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109855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00" w:lineRule="exact"/>
        <w:rPr>
          <w:sz w:val="24"/>
          <w:szCs w:val="24"/>
          <w:color w:val="auto"/>
        </w:rPr>
      </w:pPr>
    </w:p>
    <w:p>
      <w:pPr>
        <w:ind w:left="3880" w:right="1340" w:hanging="3546"/>
        <w:spacing w:after="0" w:line="406" w:lineRule="auto"/>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228" w:lineRule="exact"/>
        <w:rPr>
          <w:sz w:val="24"/>
          <w:szCs w:val="24"/>
          <w:color w:val="auto"/>
        </w:rPr>
      </w:pPr>
    </w:p>
    <w:p>
      <w:pPr>
        <w:ind w:left="3900" w:right="1340" w:hanging="3566"/>
        <w:spacing w:after="0" w:line="369" w:lineRule="auto"/>
        <w:tabs>
          <w:tab w:leader="none" w:pos="64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2730500</wp:posOffset>
            </wp:positionH>
            <wp:positionV relativeFrom="paragraph">
              <wp:posOffset>107315</wp:posOffset>
            </wp:positionV>
            <wp:extent cx="104584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6920" w:type="dxa"/>
            <w:vAlign w:val="bottom"/>
            <w:gridSpan w:val="6"/>
          </w:tcPr>
          <w:p>
            <w:pPr>
              <w:jc w:val="center"/>
              <w:ind w:left="3254"/>
              <w:spacing w:after="0"/>
              <w:rPr>
                <w:sz w:val="20"/>
                <w:szCs w:val="20"/>
                <w:color w:val="auto"/>
              </w:rPr>
            </w:pPr>
            <w:r>
              <w:rPr>
                <w:rFonts w:ascii="Times New Roman" w:cs="Times New Roman" w:eastAsia="Times New Roman" w:hAnsi="Times New Roman"/>
                <w:sz w:val="22"/>
                <w:szCs w:val="22"/>
                <w:b w:val="1"/>
                <w:bCs w:val="1"/>
                <w:color w:val="auto"/>
                <w:w w:val="97"/>
              </w:rPr>
              <w:t>WESTROCK COFFEE COMPANY</w:t>
            </w:r>
          </w:p>
        </w:tc>
        <w:tc>
          <w:tcPr>
            <w:tcW w:w="3320" w:type="dxa"/>
            <w:vAlign w:val="bottom"/>
          </w:tcPr>
          <w:p>
            <w:pPr>
              <w:spacing w:after="0"/>
              <w:rPr>
                <w:sz w:val="22"/>
                <w:szCs w:val="22"/>
                <w:color w:val="auto"/>
              </w:rPr>
            </w:pPr>
          </w:p>
        </w:tc>
      </w:tr>
      <w:tr>
        <w:trPr>
          <w:trHeight w:val="164"/>
        </w:trPr>
        <w:tc>
          <w:tcPr>
            <w:tcW w:w="3660" w:type="dxa"/>
            <w:vAlign w:val="bottom"/>
          </w:tcPr>
          <w:p>
            <w:pPr>
              <w:spacing w:after="0"/>
              <w:rPr>
                <w:sz w:val="14"/>
                <w:szCs w:val="14"/>
                <w:color w:val="auto"/>
              </w:rPr>
            </w:pPr>
          </w:p>
        </w:tc>
        <w:tc>
          <w:tcPr>
            <w:tcW w:w="326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3320" w:type="dxa"/>
            <w:vAlign w:val="bottom"/>
          </w:tcPr>
          <w:p>
            <w:pPr>
              <w:spacing w:after="0"/>
              <w:rPr>
                <w:sz w:val="14"/>
                <w:szCs w:val="14"/>
                <w:color w:val="auto"/>
              </w:rPr>
            </w:pPr>
          </w:p>
        </w:tc>
      </w:tr>
      <w:tr>
        <w:trPr>
          <w:trHeight w:val="229"/>
        </w:trPr>
        <w:tc>
          <w:tcPr>
            <w:tcW w:w="3660" w:type="dxa"/>
            <w:vAlign w:val="bottom"/>
          </w:tcPr>
          <w:p>
            <w:pPr>
              <w:jc w:val="center"/>
              <w:ind w:left="1514"/>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tcPr>
          <w:p>
            <w:pPr>
              <w:jc w:val="right"/>
              <w:ind w:right="2237"/>
              <w:spacing w:after="0"/>
              <w:rPr>
                <w:sz w:val="20"/>
                <w:szCs w:val="20"/>
                <w:color w:val="auto"/>
              </w:rPr>
            </w:pPr>
            <w:r>
              <w:rPr>
                <w:rFonts w:ascii="Times New Roman" w:cs="Times New Roman" w:eastAsia="Times New Roman" w:hAnsi="Times New Roman"/>
                <w:sz w:val="13"/>
                <w:szCs w:val="13"/>
                <w:b w:val="1"/>
                <w:bCs w:val="1"/>
                <w:color w:val="auto"/>
              </w:rPr>
              <w:t>80-0977200</w:t>
            </w:r>
          </w:p>
        </w:tc>
      </w:tr>
      <w:tr>
        <w:trPr>
          <w:trHeight w:val="175"/>
        </w:trPr>
        <w:tc>
          <w:tcPr>
            <w:tcW w:w="3660" w:type="dxa"/>
            <w:vAlign w:val="bottom"/>
          </w:tcPr>
          <w:p>
            <w:pPr>
              <w:jc w:val="center"/>
              <w:ind w:left="1514"/>
              <w:spacing w:after="0"/>
              <w:rPr>
                <w:sz w:val="20"/>
                <w:szCs w:val="20"/>
                <w:color w:val="auto"/>
              </w:rPr>
            </w:pPr>
            <w:r>
              <w:rPr>
                <w:rFonts w:ascii="Times New Roman" w:cs="Times New Roman" w:eastAsia="Times New Roman" w:hAnsi="Times New Roman"/>
                <w:sz w:val="13"/>
                <w:szCs w:val="13"/>
                <w:color w:val="auto"/>
                <w:w w:val="97"/>
              </w:rPr>
              <w:t>(State or Other Jurisdiction of</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75"/>
        </w:trPr>
        <w:tc>
          <w:tcPr>
            <w:tcW w:w="3660" w:type="dxa"/>
            <w:vAlign w:val="bottom"/>
          </w:tcPr>
          <w:p>
            <w:pPr>
              <w:jc w:val="center"/>
              <w:ind w:left="1514"/>
              <w:spacing w:after="0"/>
              <w:rPr>
                <w:sz w:val="20"/>
                <w:szCs w:val="20"/>
                <w:color w:val="auto"/>
              </w:rPr>
            </w:pPr>
            <w:r>
              <w:rPr>
                <w:rFonts w:ascii="Times New Roman" w:cs="Times New Roman" w:eastAsia="Times New Roman" w:hAnsi="Times New Roman"/>
                <w:sz w:val="13"/>
                <w:szCs w:val="13"/>
                <w:color w:val="auto"/>
                <w:w w:val="97"/>
              </w:rPr>
              <w:t>Incorporation or Organization)</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351"/>
        </w:trPr>
        <w:tc>
          <w:tcPr>
            <w:tcW w:w="6920" w:type="dxa"/>
            <w:vAlign w:val="bottom"/>
            <w:gridSpan w:val="6"/>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w w:val="96"/>
              </w:rPr>
              <w:t>4009 N. Rodney Parham Road, 4th Floor</w:t>
            </w:r>
          </w:p>
        </w:tc>
        <w:tc>
          <w:tcPr>
            <w:tcW w:w="3320" w:type="dxa"/>
            <w:vAlign w:val="bottom"/>
          </w:tcPr>
          <w:p>
            <w:pPr>
              <w:spacing w:after="0"/>
              <w:rPr>
                <w:sz w:val="24"/>
                <w:szCs w:val="24"/>
                <w:color w:val="auto"/>
              </w:rPr>
            </w:pPr>
          </w:p>
        </w:tc>
      </w:tr>
      <w:tr>
        <w:trPr>
          <w:trHeight w:val="175"/>
        </w:trPr>
        <w:tc>
          <w:tcPr>
            <w:tcW w:w="3660" w:type="dxa"/>
            <w:vAlign w:val="bottom"/>
          </w:tcPr>
          <w:p>
            <w:pPr>
              <w:jc w:val="center"/>
              <w:ind w:left="1514"/>
              <w:spacing w:after="0"/>
              <w:rPr>
                <w:sz w:val="20"/>
                <w:szCs w:val="20"/>
                <w:color w:val="auto"/>
              </w:rPr>
            </w:pPr>
            <w:r>
              <w:rPr>
                <w:rFonts w:ascii="Times New Roman" w:cs="Times New Roman" w:eastAsia="Times New Roman" w:hAnsi="Times New Roman"/>
                <w:sz w:val="13"/>
                <w:szCs w:val="13"/>
                <w:b w:val="1"/>
                <w:bCs w:val="1"/>
                <w:color w:val="auto"/>
                <w:w w:val="95"/>
              </w:rPr>
              <w:t>Little Rock, Arkansas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right"/>
              <w:ind w:right="2397"/>
              <w:spacing w:after="0"/>
              <w:rPr>
                <w:sz w:val="20"/>
                <w:szCs w:val="20"/>
                <w:color w:val="auto"/>
              </w:rPr>
            </w:pPr>
            <w:r>
              <w:rPr>
                <w:rFonts w:ascii="Times New Roman" w:cs="Times New Roman" w:eastAsia="Times New Roman" w:hAnsi="Times New Roman"/>
                <w:sz w:val="13"/>
                <w:szCs w:val="13"/>
                <w:b w:val="1"/>
                <w:bCs w:val="1"/>
                <w:color w:val="auto"/>
              </w:rPr>
              <w:t>72212</w:t>
            </w:r>
          </w:p>
        </w:tc>
      </w:tr>
      <w:tr>
        <w:trPr>
          <w:trHeight w:val="176"/>
        </w:trPr>
        <w:tc>
          <w:tcPr>
            <w:tcW w:w="3660" w:type="dxa"/>
            <w:vAlign w:val="bottom"/>
          </w:tcPr>
          <w:p>
            <w:pPr>
              <w:jc w:val="center"/>
              <w:ind w:left="1514"/>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3"/>
              </w:rPr>
              <w:t>(Zip Code)</w:t>
            </w:r>
          </w:p>
        </w:tc>
      </w:tr>
      <w:tr>
        <w:trPr>
          <w:trHeight w:val="214"/>
        </w:trPr>
        <w:tc>
          <w:tcPr>
            <w:tcW w:w="3660" w:type="dxa"/>
            <w:vAlign w:val="bottom"/>
          </w:tcPr>
          <w:p>
            <w:pPr>
              <w:spacing w:after="0"/>
              <w:rPr>
                <w:sz w:val="18"/>
                <w:szCs w:val="18"/>
                <w:color w:val="auto"/>
              </w:rPr>
            </w:pPr>
          </w:p>
        </w:tc>
        <w:tc>
          <w:tcPr>
            <w:tcW w:w="2720" w:type="dxa"/>
            <w:vAlign w:val="bottom"/>
            <w:gridSpan w:val="3"/>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5"/>
              </w:rPr>
              <w:t>(501) 918-9358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64"/>
        </w:trPr>
        <w:tc>
          <w:tcPr>
            <w:tcW w:w="3660" w:type="dxa"/>
            <w:vAlign w:val="bottom"/>
          </w:tcPr>
          <w:p>
            <w:pPr>
              <w:spacing w:after="0"/>
              <w:rPr>
                <w:sz w:val="14"/>
                <w:szCs w:val="14"/>
                <w:color w:val="auto"/>
              </w:rPr>
            </w:pPr>
          </w:p>
        </w:tc>
        <w:tc>
          <w:tcPr>
            <w:tcW w:w="326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20" w:type="dxa"/>
            <w:vAlign w:val="bottom"/>
          </w:tcPr>
          <w:p>
            <w:pPr>
              <w:spacing w:after="0"/>
              <w:rPr>
                <w:sz w:val="14"/>
                <w:szCs w:val="14"/>
                <w:color w:val="auto"/>
              </w:rPr>
            </w:pPr>
          </w:p>
        </w:tc>
      </w:tr>
      <w:tr>
        <w:trPr>
          <w:trHeight w:val="187"/>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Not applicable</w:t>
            </w:r>
          </w:p>
        </w:tc>
        <w:tc>
          <w:tcPr>
            <w:tcW w:w="3320" w:type="dxa"/>
            <w:vAlign w:val="bottom"/>
          </w:tcPr>
          <w:p>
            <w:pPr>
              <w:spacing w:after="0"/>
              <w:rPr>
                <w:sz w:val="16"/>
                <w:szCs w:val="16"/>
                <w:color w:val="auto"/>
              </w:rPr>
            </w:pPr>
          </w:p>
        </w:tc>
      </w:tr>
      <w:tr>
        <w:trPr>
          <w:trHeight w:val="164"/>
        </w:trPr>
        <w:tc>
          <w:tcPr>
            <w:tcW w:w="10240" w:type="dxa"/>
            <w:vAlign w:val="bottom"/>
            <w:gridSpan w:val="7"/>
          </w:tcPr>
          <w:p>
            <w:pPr>
              <w:jc w:val="center"/>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r>
      <w:tr>
        <w:trPr>
          <w:trHeight w:val="243"/>
        </w:trPr>
        <w:tc>
          <w:tcPr>
            <w:tcW w:w="3660" w:type="dxa"/>
            <w:vAlign w:val="bottom"/>
          </w:tcPr>
          <w:p>
            <w:pPr>
              <w:spacing w:after="0"/>
              <w:rPr>
                <w:sz w:val="21"/>
                <w:szCs w:val="21"/>
                <w:color w:val="auto"/>
              </w:rPr>
            </w:pPr>
          </w:p>
        </w:tc>
        <w:tc>
          <w:tcPr>
            <w:tcW w:w="326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320" w:type="dxa"/>
            <w:vAlign w:val="bottom"/>
          </w:tcPr>
          <w:p>
            <w:pPr>
              <w:spacing w:after="0"/>
              <w:rPr>
                <w:sz w:val="21"/>
                <w:szCs w:val="21"/>
                <w:color w:val="auto"/>
              </w:rPr>
            </w:pPr>
          </w:p>
        </w:tc>
      </w:tr>
      <w:tr>
        <w:trPr>
          <w:trHeight w:val="111"/>
        </w:trPr>
        <w:tc>
          <w:tcPr>
            <w:tcW w:w="3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63"/>
        </w:trPr>
        <w:tc>
          <w:tcPr>
            <w:tcW w:w="3660" w:type="dxa"/>
            <w:vAlign w:val="bottom"/>
            <w:tcBorders>
              <w:left w:val="single" w:sz="8" w:color="auto"/>
              <w:bottom w:val="single" w:sz="8" w:color="auto"/>
            </w:tcBorders>
          </w:tcPr>
          <w:p>
            <w:pPr>
              <w:jc w:val="center"/>
              <w:ind w:left="154"/>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75"/>
        </w:trPr>
        <w:tc>
          <w:tcPr>
            <w:tcW w:w="3660" w:type="dxa"/>
            <w:vAlign w:val="bottom"/>
            <w:tcBorders>
              <w:left w:val="single" w:sz="8" w:color="auto"/>
              <w:bottom w:val="single" w:sz="8" w:color="auto"/>
            </w:tcBorders>
          </w:tcPr>
          <w:p>
            <w:pPr>
              <w:jc w:val="center"/>
              <w:ind w:left="174"/>
              <w:spacing w:after="0"/>
              <w:rPr>
                <w:sz w:val="20"/>
                <w:szCs w:val="20"/>
                <w:color w:val="auto"/>
              </w:rPr>
            </w:pPr>
            <w:r>
              <w:rPr>
                <w:rFonts w:ascii="Times New Roman" w:cs="Times New Roman" w:eastAsia="Times New Roman" w:hAnsi="Times New Roman"/>
                <w:sz w:val="13"/>
                <w:szCs w:val="13"/>
                <w:color w:val="auto"/>
                <w:w w:val="97"/>
              </w:rPr>
              <w:t>Shares of common stock, par value $0.01 per share</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WEST</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10"/>
        </w:trPr>
        <w:tc>
          <w:tcPr>
            <w:tcW w:w="3660" w:type="dxa"/>
            <w:vAlign w:val="bottom"/>
            <w:tcBorders>
              <w:left w:val="single" w:sz="8" w:color="auto"/>
            </w:tcBorders>
          </w:tcPr>
          <w:p>
            <w:pPr>
              <w:jc w:val="center"/>
              <w:ind w:left="154"/>
              <w:spacing w:after="0" w:line="110" w:lineRule="exact"/>
              <w:rPr>
                <w:sz w:val="20"/>
                <w:szCs w:val="20"/>
                <w:color w:val="auto"/>
              </w:rPr>
            </w:pPr>
            <w:r>
              <w:rPr>
                <w:rFonts w:ascii="Times New Roman" w:cs="Times New Roman" w:eastAsia="Times New Roman" w:hAnsi="Times New Roman"/>
                <w:sz w:val="12"/>
                <w:szCs w:val="12"/>
                <w:color w:val="auto"/>
              </w:rPr>
              <w:t>Warrants, each whole warrant exercisable for one share of common</w:t>
            </w:r>
          </w:p>
        </w:tc>
        <w:tc>
          <w:tcPr>
            <w:tcW w:w="1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20" w:type="dxa"/>
            <w:vAlign w:val="bottom"/>
            <w:tcBorders>
              <w:right w:val="single" w:sz="8" w:color="auto"/>
            </w:tcBorders>
          </w:tcPr>
          <w:p>
            <w:pPr>
              <w:spacing w:after="0"/>
              <w:rPr>
                <w:sz w:val="9"/>
                <w:szCs w:val="9"/>
                <w:color w:val="auto"/>
              </w:rPr>
            </w:pPr>
          </w:p>
        </w:tc>
      </w:tr>
      <w:tr>
        <w:trPr>
          <w:trHeight w:val="194"/>
        </w:trPr>
        <w:tc>
          <w:tcPr>
            <w:tcW w:w="3660" w:type="dxa"/>
            <w:vAlign w:val="bottom"/>
            <w:tcBorders>
              <w:left w:val="single" w:sz="8" w:color="auto"/>
              <w:bottom w:val="single" w:sz="8" w:color="auto"/>
            </w:tcBorders>
          </w:tcPr>
          <w:p>
            <w:pPr>
              <w:jc w:val="center"/>
              <w:ind w:left="154"/>
              <w:spacing w:after="0"/>
              <w:rPr>
                <w:sz w:val="20"/>
                <w:szCs w:val="20"/>
                <w:color w:val="auto"/>
              </w:rPr>
            </w:pPr>
            <w:r>
              <w:rPr>
                <w:rFonts w:ascii="Times New Roman" w:cs="Times New Roman" w:eastAsia="Times New Roman" w:hAnsi="Times New Roman"/>
                <w:sz w:val="13"/>
                <w:szCs w:val="13"/>
                <w:color w:val="auto"/>
                <w:w w:val="96"/>
              </w:rPr>
              <w:t>stock, par value $0.01 per share</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WESTW</w:t>
            </w: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bl>
    <w:p>
      <w:pPr>
        <w:spacing w:after="0" w:line="171" w:lineRule="exact"/>
        <w:rPr>
          <w:sz w:val="24"/>
          <w:szCs w:val="24"/>
          <w:color w:val="auto"/>
        </w:rPr>
      </w:pPr>
    </w:p>
    <w:p>
      <w:pPr>
        <w:ind w:left="20" w:right="3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1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3" w:lineRule="exact"/>
        <w:rPr>
          <w:sz w:val="24"/>
          <w:szCs w:val="24"/>
          <w:color w:val="auto"/>
        </w:rPr>
      </w:pPr>
    </w:p>
    <w:p>
      <w:pPr>
        <w:sectPr>
          <w:pgSz w:w="11900" w:h="16838" w:orient="portrait"/>
          <w:cols w:equalWidth="0" w:num="8">
            <w:col w:w="1280" w:space="720"/>
            <w:col w:w="120" w:space="520"/>
            <w:col w:w="860" w:space="720"/>
            <w:col w:w="100" w:space="620"/>
            <w:col w:w="1100" w:space="720"/>
            <w:col w:w="120" w:space="380"/>
            <w:col w:w="1880" w:space="720"/>
            <w:col w:w="380"/>
          </w:cols>
          <w:pgMar w:left="820" w:top="661" w:right="839" w:bottom="1440" w:gutter="0" w:footer="0" w:header="0"/>
          <w:type w:val="continuous"/>
        </w:sectPr>
      </w:pPr>
    </w:p>
    <w:p>
      <w:pPr>
        <w:spacing w:after="0" w:line="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sectPr>
          <w:pgSz w:w="11900" w:h="16838" w:orient="portrait"/>
          <w:cols w:equalWidth="0" w:num="2">
            <w:col w:w="1380" w:space="620"/>
            <w:col w:w="8240"/>
          </w:cols>
          <w:pgMar w:left="820" w:top="661" w:right="839" w:bottom="1440" w:gutter="0" w:footer="0" w:header="0"/>
          <w:type w:val="continuous"/>
        </w:sectPr>
      </w:pPr>
    </w:p>
    <w:p>
      <w:pPr>
        <w:ind w:left="20" w:right="3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20" w:right="3700"/>
        <w:spacing w:after="0" w:line="20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As of May 3, 2024, the Registrant had 89,531,651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825500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left="60" w:right="99"/>
        <w:spacing w:after="0" w:line="236" w:lineRule="auto"/>
        <w:rPr>
          <w:sz w:val="20"/>
          <w:szCs w:val="20"/>
          <w:color w:val="auto"/>
        </w:rPr>
      </w:pPr>
      <w:r>
        <w:rPr>
          <w:rFonts w:ascii="Times New Roman" w:cs="Times New Roman" w:eastAsia="Times New Roman" w:hAnsi="Times New Roman"/>
          <w:sz w:val="18"/>
          <w:szCs w:val="18"/>
          <w:color w:val="auto"/>
        </w:rPr>
        <w:t>This Quarterly Report on Form 10 -Q includes forward-looking statements as defined under U.S. federal securities laws. Forward -looking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the Conway, Arkansas facility and when it will begin commercial production; our expectations regarding capital expenditures; our expectations regarding the timing and benefits of the Company’s joint venture with Select Milk; our future liquidity needs and access to capital; and our expectations regarding remediation of the material weaknesses in our internal control over financial reporting.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32" w:lineRule="exact"/>
        <w:rPr>
          <w:sz w:val="20"/>
          <w:szCs w:val="20"/>
          <w:color w:val="auto"/>
        </w:rPr>
      </w:pPr>
    </w:p>
    <w:p>
      <w:pPr>
        <w:ind w:left="60" w:right="259"/>
        <w:spacing w:after="0" w:line="250"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90" w:lineRule="exact"/>
        <w:rPr>
          <w:sz w:val="20"/>
          <w:szCs w:val="20"/>
          <w:color w:val="auto"/>
        </w:rPr>
      </w:pPr>
    </w:p>
    <w:p>
      <w:pPr>
        <w:ind w:left="1700" w:right="139" w:hanging="327"/>
        <w:spacing w:after="0" w:line="261"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9" w:lineRule="exact"/>
        <w:rPr>
          <w:rFonts w:ascii="Times New Roman" w:cs="Times New Roman" w:eastAsia="Times New Roman" w:hAnsi="Times New Roman"/>
          <w:sz w:val="18"/>
          <w:szCs w:val="18"/>
          <w:color w:val="auto"/>
        </w:rPr>
      </w:pPr>
    </w:p>
    <w:p>
      <w:pPr>
        <w:ind w:left="1700" w:right="13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1700" w:right="15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disruption in our supply chain;</w:t>
      </w:r>
    </w:p>
    <w:p>
      <w:pPr>
        <w:ind w:left="1700" w:right="23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ind w:left="1700" w:right="53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9" w:lineRule="exact"/>
        <w:rPr>
          <w:rFonts w:ascii="Times New Roman" w:cs="Times New Roman" w:eastAsia="Times New Roman" w:hAnsi="Times New Roman"/>
          <w:sz w:val="18"/>
          <w:szCs w:val="18"/>
          <w:color w:val="auto"/>
        </w:rPr>
      </w:pPr>
    </w:p>
    <w:p>
      <w:pPr>
        <w:ind w:left="1700" w:right="39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22"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22"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22" w:lineRule="exact"/>
        <w:rPr>
          <w:rFonts w:ascii="Times New Roman" w:cs="Times New Roman" w:eastAsia="Times New Roman" w:hAnsi="Times New Roman"/>
          <w:sz w:val="18"/>
          <w:szCs w:val="18"/>
          <w:color w:val="auto"/>
        </w:rPr>
      </w:pPr>
    </w:p>
    <w:p>
      <w:pPr>
        <w:ind w:left="1700" w:right="77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1700" w:right="13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22" w:lineRule="exact"/>
        <w:rPr>
          <w:rFonts w:ascii="Times New Roman" w:cs="Times New Roman" w:eastAsia="Times New Roman" w:hAnsi="Times New Roman"/>
          <w:sz w:val="18"/>
          <w:szCs w:val="18"/>
          <w:color w:val="auto"/>
        </w:rPr>
      </w:pPr>
    </w:p>
    <w:p>
      <w:pPr>
        <w:ind w:left="1700" w:right="15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22" w:lineRule="exact"/>
        <w:rPr>
          <w:rFonts w:ascii="Times New Roman" w:cs="Times New Roman" w:eastAsia="Times New Roman" w:hAnsi="Times New Roman"/>
          <w:sz w:val="18"/>
          <w:szCs w:val="18"/>
          <w:color w:val="auto"/>
        </w:rPr>
      </w:pPr>
    </w:p>
    <w:p>
      <w:pPr>
        <w:ind w:left="1700" w:right="219" w:hanging="327"/>
        <w:spacing w:after="0" w:line="250"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remediation plans with regards to the material weaknesses in our internal control over financial reporting;</w:t>
      </w:r>
    </w:p>
    <w:p>
      <w:pPr>
        <w:ind w:left="1700" w:right="259" w:hanging="327"/>
        <w:spacing w:after="0" w:line="258"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1700" w:hanging="327"/>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777240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right="399" w:hanging="327"/>
        <w:spacing w:after="0" w:line="261"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ind w:left="1700" w:right="159" w:hanging="327"/>
        <w:spacing w:after="0" w:line="258"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1700" w:hanging="327"/>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pacing w:after="0" w:line="22" w:lineRule="exact"/>
        <w:rPr>
          <w:rFonts w:ascii="Times New Roman" w:cs="Times New Roman" w:eastAsia="Times New Roman" w:hAnsi="Times New Roman"/>
          <w:sz w:val="18"/>
          <w:szCs w:val="18"/>
          <w:color w:val="auto"/>
        </w:rPr>
      </w:pPr>
    </w:p>
    <w:p>
      <w:pPr>
        <w:ind w:left="1700" w:right="299" w:hanging="327"/>
        <w:spacing w:after="0" w:line="258"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the construction of our new facility in Conway, Arkansas within the anticipated time frame or incurring additional expenses in the process;</w:t>
      </w:r>
    </w:p>
    <w:p>
      <w:pPr>
        <w:ind w:left="1700" w:right="479" w:hanging="327"/>
        <w:spacing w:after="0" w:line="258"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ind w:left="1700" w:right="199" w:hanging="327"/>
        <w:spacing w:after="0" w:line="255"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1" w:lineRule="exact"/>
        <w:rPr>
          <w:rFonts w:ascii="Times New Roman" w:cs="Times New Roman" w:eastAsia="Times New Roman" w:hAnsi="Times New Roman"/>
          <w:sz w:val="18"/>
          <w:szCs w:val="18"/>
          <w:color w:val="auto"/>
        </w:rPr>
      </w:pPr>
    </w:p>
    <w:p>
      <w:pPr>
        <w:ind w:left="1700" w:right="99" w:hanging="327"/>
        <w:spacing w:after="0" w:line="252"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economic conditions, including those caused by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ind w:left="1700" w:right="119" w:hanging="327"/>
        <w:spacing w:after="0" w:line="256"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the “Business” and “Risk Factors” sections in the Company’s Annual Report on Form 10-K filed with the U.S. Securities and Exchange Commission (“SEC”) on March 15, 2024 (“Annual Report”) and in the “Management’s Discussion and Analysis of Financial Condition and Results of Operations” and “Risk Factors” sections of this Quarterly Report on Form 10-Q, as well as those described from time to time in our future reports filed with the SEC.</w:t>
      </w:r>
    </w:p>
    <w:p>
      <w:pPr>
        <w:spacing w:after="0" w:line="120" w:lineRule="exact"/>
        <w:rPr>
          <w:sz w:val="20"/>
          <w:szCs w:val="20"/>
          <w:color w:val="auto"/>
        </w:rPr>
      </w:pPr>
    </w:p>
    <w:p>
      <w:pPr>
        <w:ind w:left="60" w:right="159"/>
        <w:spacing w:after="0" w:line="23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the Annual Report or in this Quarterly Report on Form 10 -Q.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 - looking statements. Any forward- 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896620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240" w:type="dxa"/>
            <w:vAlign w:val="bottom"/>
            <w:gridSpan w:val="46"/>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Borders>
              <w:top w:val="single" w:sz="8" w:color="0000EE"/>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4"/>
              </w:rPr>
              <w:t>Item 1.</w:t>
            </w: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200" w:type="dxa"/>
            <w:vAlign w:val="bottom"/>
            <w:tcBorders>
              <w:top w:val="single" w:sz="8" w:color="0000EE"/>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tcBorders>
              <w:top w:val="single" w:sz="8" w:color="0000EE"/>
            </w:tcBorders>
            <w:gridSpan w:val="33"/>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w:t>
            </w:r>
          </w:p>
        </w:tc>
        <w:tc>
          <w:tcPr>
            <w:tcW w:w="432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EE"/>
              </w:rPr>
              <w:t>Operations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80" w:type="dxa"/>
            <w:vAlign w:val="bottom"/>
            <w:tcBorders>
              <w:top w:val="single" w:sz="8" w:color="0000EE"/>
            </w:tcBorders>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80" w:type="dxa"/>
            <w:vAlign w:val="bottom"/>
            <w:tcBorders>
              <w:top w:val="single" w:sz="8" w:color="0000EE"/>
            </w:tcBorders>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0" w:type="dxa"/>
            <w:vAlign w:val="bottom"/>
            <w:tcBorders>
              <w:top w:val="single" w:sz="8" w:color="0000EE"/>
            </w:tcBorders>
            <w:gridSpan w:val="39"/>
          </w:tcPr>
          <w:p>
            <w:pPr>
              <w:spacing w:after="0" w:line="182" w:lineRule="exact"/>
              <w:rPr>
                <w:sz w:val="20"/>
                <w:szCs w:val="20"/>
                <w:color w:val="auto"/>
              </w:rPr>
            </w:pPr>
            <w:r>
              <w:rPr>
                <w:rFonts w:ascii="Times New Roman" w:cs="Times New Roman" w:eastAsia="Times New Roman" w:hAnsi="Times New Roman"/>
                <w:sz w:val="18"/>
                <w:szCs w:val="18"/>
                <w:color w:val="0000EE"/>
              </w:rPr>
              <w:t>1. Organization and Description of Business</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tcBorders>
              <w:top w:val="single" w:sz="8" w:color="0000EE"/>
            </w:tcBorders>
            <w:gridSpan w:val="34"/>
          </w:tcPr>
          <w:p>
            <w:pPr>
              <w:spacing w:after="0" w:line="182" w:lineRule="exact"/>
              <w:rPr>
                <w:sz w:val="20"/>
                <w:szCs w:val="20"/>
                <w:color w:val="auto"/>
              </w:rPr>
            </w:pPr>
            <w:r>
              <w:rPr>
                <w:rFonts w:ascii="Times New Roman" w:cs="Times New Roman" w:eastAsia="Times New Roman" w:hAnsi="Times New Roman"/>
                <w:sz w:val="18"/>
                <w:szCs w:val="18"/>
                <w:color w:val="0000EE"/>
              </w:rPr>
              <w:t>2. Basis of Presentation and Consolidation</w:t>
            </w:r>
          </w:p>
        </w:tc>
        <w:tc>
          <w:tcPr>
            <w:tcW w:w="220" w:type="dxa"/>
            <w:vAlign w:val="bottom"/>
          </w:tcPr>
          <w:p>
            <w:pPr>
              <w:spacing w:after="0"/>
              <w:rPr>
                <w:sz w:val="15"/>
                <w:szCs w:val="15"/>
                <w:color w:val="auto"/>
              </w:rPr>
            </w:pPr>
          </w:p>
        </w:tc>
        <w:tc>
          <w:tcPr>
            <w:tcW w:w="40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EE"/>
              </w:rPr>
              <w:t>3. Summary of Significant Accounting Policies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0000EE"/>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1"/>
              </w:rPr>
              <w:t>4. Revenue</w:t>
            </w:r>
          </w:p>
        </w:tc>
        <w:tc>
          <w:tcPr>
            <w:tcW w:w="2600" w:type="dxa"/>
            <w:vAlign w:val="bottom"/>
            <w:tcBorders>
              <w:top w:val="single" w:sz="8" w:color="0000EE"/>
            </w:tcBorders>
            <w:gridSpan w:val="29"/>
          </w:tcPr>
          <w:p>
            <w:pPr>
              <w:spacing w:after="0"/>
              <w:rPr>
                <w:sz w:val="15"/>
                <w:szCs w:val="15"/>
                <w:color w:val="auto"/>
              </w:rPr>
            </w:pPr>
          </w:p>
        </w:tc>
        <w:tc>
          <w:tcPr>
            <w:tcW w:w="40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EE"/>
              </w:rPr>
              <w:t>5. Acquisitions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2"/>
              </w:rPr>
              <w:t>6. Inventories</w:t>
            </w: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7"/>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EE"/>
              </w:rPr>
              <w:t>7. Property, Plant and Equipment, Net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Borders>
              <w:top w:val="single" w:sz="8" w:color="0000EE"/>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EE"/>
              </w:rPr>
              <w:t>8. Goodwill</w:t>
            </w:r>
          </w:p>
        </w:tc>
        <w:tc>
          <w:tcPr>
            <w:tcW w:w="1080" w:type="dxa"/>
            <w:vAlign w:val="bottom"/>
            <w:gridSpan w:val="7"/>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85"/>
              </w:rPr>
              <w:t>9. Intangible</w:t>
            </w:r>
          </w:p>
        </w:tc>
        <w:tc>
          <w:tcPr>
            <w:tcW w:w="920" w:type="dxa"/>
            <w:vAlign w:val="bottom"/>
            <w:tcBorders>
              <w:bottom w:val="single" w:sz="8" w:color="0000EE"/>
            </w:tcBorders>
            <w:gridSpan w:val="12"/>
          </w:tcPr>
          <w:p>
            <w:pPr>
              <w:ind w:left="100"/>
              <w:spacing w:after="0" w:line="182" w:lineRule="exact"/>
              <w:rPr>
                <w:sz w:val="20"/>
                <w:szCs w:val="20"/>
                <w:color w:val="auto"/>
              </w:rPr>
            </w:pPr>
            <w:r>
              <w:rPr>
                <w:rFonts w:ascii="Times New Roman" w:cs="Times New Roman" w:eastAsia="Times New Roman" w:hAnsi="Times New Roman"/>
                <w:sz w:val="18"/>
                <w:szCs w:val="18"/>
                <w:color w:val="0000EE"/>
                <w:w w:val="97"/>
              </w:rPr>
              <w:t>Assets, Net</w:t>
            </w:r>
          </w:p>
        </w:tc>
        <w:tc>
          <w:tcPr>
            <w:tcW w:w="5340" w:type="dxa"/>
            <w:vAlign w:val="bottom"/>
            <w:gridSpan w:val="26"/>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10.</w:t>
            </w:r>
          </w:p>
        </w:tc>
        <w:tc>
          <w:tcPr>
            <w:tcW w:w="1660" w:type="dxa"/>
            <w:vAlign w:val="bottom"/>
            <w:gridSpan w:val="18"/>
          </w:tcPr>
          <w:p>
            <w:pPr>
              <w:ind w:left="20"/>
              <w:spacing w:after="0" w:line="182" w:lineRule="exact"/>
              <w:rPr>
                <w:sz w:val="20"/>
                <w:szCs w:val="20"/>
                <w:color w:val="auto"/>
              </w:rPr>
            </w:pPr>
            <w:r>
              <w:rPr>
                <w:rFonts w:ascii="Times New Roman" w:cs="Times New Roman" w:eastAsia="Times New Roman" w:hAnsi="Times New Roman"/>
                <w:sz w:val="18"/>
                <w:szCs w:val="18"/>
                <w:color w:val="0000EE"/>
              </w:rPr>
              <w:t>Leases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rPr>
              <w:t>11. Debt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12.</w:t>
            </w:r>
          </w:p>
        </w:tc>
        <w:tc>
          <w:tcPr>
            <w:tcW w:w="360" w:type="dxa"/>
            <w:vAlign w:val="bottom"/>
            <w:tcBorders>
              <w:top w:val="single" w:sz="8" w:color="0000EE"/>
            </w:tcBorders>
          </w:tcPr>
          <w:p>
            <w:pPr>
              <w:ind w:left="20"/>
              <w:spacing w:after="0" w:line="182" w:lineRule="exact"/>
              <w:rPr>
                <w:sz w:val="20"/>
                <w:szCs w:val="20"/>
                <w:color w:val="auto"/>
              </w:rPr>
            </w:pPr>
            <w:r>
              <w:rPr>
                <w:rFonts w:ascii="Times New Roman" w:cs="Times New Roman" w:eastAsia="Times New Roman" w:hAnsi="Times New Roman"/>
                <w:sz w:val="18"/>
                <w:szCs w:val="18"/>
                <w:color w:val="0000EE"/>
                <w:w w:val="72"/>
              </w:rPr>
              <w:t>Series</w:t>
            </w:r>
          </w:p>
        </w:tc>
        <w:tc>
          <w:tcPr>
            <w:tcW w:w="6640" w:type="dxa"/>
            <w:vAlign w:val="bottom"/>
            <w:gridSpan w:val="43"/>
          </w:tcPr>
          <w:p>
            <w:pPr>
              <w:ind w:left="140"/>
              <w:spacing w:after="0" w:line="182" w:lineRule="exact"/>
              <w:rPr>
                <w:sz w:val="20"/>
                <w:szCs w:val="20"/>
                <w:color w:val="auto"/>
              </w:rPr>
            </w:pPr>
            <w:r>
              <w:rPr>
                <w:rFonts w:ascii="Times New Roman" w:cs="Times New Roman" w:eastAsia="Times New Roman" w:hAnsi="Times New Roman"/>
                <w:sz w:val="18"/>
                <w:szCs w:val="18"/>
                <w:color w:val="0000EE"/>
              </w:rPr>
              <w:t>A Preferred Shares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13.</w:t>
            </w:r>
          </w:p>
        </w:tc>
        <w:tc>
          <w:tcPr>
            <w:tcW w:w="1880" w:type="dxa"/>
            <w:vAlign w:val="bottom"/>
            <w:tcBorders>
              <w:top w:val="single" w:sz="8" w:color="0000EE"/>
            </w:tcBorders>
            <w:gridSpan w:val="22"/>
          </w:tcPr>
          <w:p>
            <w:pPr>
              <w:ind w:left="20"/>
              <w:spacing w:after="0" w:line="182" w:lineRule="exact"/>
              <w:rPr>
                <w:sz w:val="20"/>
                <w:szCs w:val="20"/>
                <w:color w:val="auto"/>
              </w:rPr>
            </w:pPr>
            <w:r>
              <w:rPr>
                <w:rFonts w:ascii="Times New Roman" w:cs="Times New Roman" w:eastAsia="Times New Roman" w:hAnsi="Times New Roman"/>
                <w:sz w:val="18"/>
                <w:szCs w:val="18"/>
                <w:color w:val="0000EE"/>
              </w:rPr>
              <w:t>Common Stock Warrants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14.</w:t>
            </w:r>
          </w:p>
        </w:tc>
        <w:tc>
          <w:tcPr>
            <w:tcW w:w="1840" w:type="dxa"/>
            <w:vAlign w:val="bottom"/>
            <w:tcBorders>
              <w:top w:val="single" w:sz="8" w:color="0000EE"/>
            </w:tcBorders>
            <w:gridSpan w:val="20"/>
          </w:tcPr>
          <w:p>
            <w:pPr>
              <w:ind w:left="20"/>
              <w:spacing w:after="0" w:line="182" w:lineRule="exact"/>
              <w:rPr>
                <w:sz w:val="20"/>
                <w:szCs w:val="20"/>
                <w:color w:val="auto"/>
              </w:rPr>
            </w:pPr>
            <w:r>
              <w:rPr>
                <w:rFonts w:ascii="Times New Roman" w:cs="Times New Roman" w:eastAsia="Times New Roman" w:hAnsi="Times New Roman"/>
                <w:sz w:val="18"/>
                <w:szCs w:val="18"/>
                <w:color w:val="0000EE"/>
              </w:rPr>
              <w:t>Derivatives</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15.</w:t>
            </w:r>
          </w:p>
        </w:tc>
        <w:tc>
          <w:tcPr>
            <w:tcW w:w="860" w:type="dxa"/>
            <w:vAlign w:val="bottom"/>
            <w:tcBorders>
              <w:top w:val="single" w:sz="8" w:color="0000EE"/>
              <w:bottom w:val="single" w:sz="8" w:color="0000EE"/>
            </w:tcBorders>
            <w:gridSpan w:val="7"/>
          </w:tcPr>
          <w:p>
            <w:pPr>
              <w:ind w:left="20"/>
              <w:spacing w:after="0" w:line="182" w:lineRule="exact"/>
              <w:rPr>
                <w:sz w:val="20"/>
                <w:szCs w:val="20"/>
                <w:color w:val="auto"/>
              </w:rPr>
            </w:pPr>
            <w:r>
              <w:rPr>
                <w:rFonts w:ascii="Times New Roman" w:cs="Times New Roman" w:eastAsia="Times New Roman" w:hAnsi="Times New Roman"/>
                <w:sz w:val="18"/>
                <w:szCs w:val="18"/>
                <w:color w:val="0000EE"/>
              </w:rPr>
              <w:t>Fair Value</w:t>
            </w:r>
          </w:p>
        </w:tc>
        <w:tc>
          <w:tcPr>
            <w:tcW w:w="1000" w:type="dxa"/>
            <w:vAlign w:val="bottom"/>
            <w:tcBorders>
              <w:bottom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EE"/>
                <w:w w:val="93"/>
              </w:rPr>
              <w:t>Measurements</w:t>
            </w:r>
          </w:p>
        </w:tc>
        <w:tc>
          <w:tcPr>
            <w:tcW w:w="5140" w:type="dxa"/>
            <w:vAlign w:val="bottom"/>
            <w:gridSpan w:val="23"/>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16.</w:t>
            </w:r>
          </w:p>
        </w:tc>
        <w:tc>
          <w:tcPr>
            <w:tcW w:w="7000" w:type="dxa"/>
            <w:vAlign w:val="bottom"/>
            <w:gridSpan w:val="44"/>
          </w:tcPr>
          <w:p>
            <w:pPr>
              <w:ind w:left="20"/>
              <w:spacing w:after="0" w:line="182"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17.</w:t>
            </w:r>
          </w:p>
        </w:tc>
        <w:tc>
          <w:tcPr>
            <w:tcW w:w="3700" w:type="dxa"/>
            <w:vAlign w:val="bottom"/>
            <w:tcBorders>
              <w:top w:val="single" w:sz="8" w:color="0000EE"/>
            </w:tcBorders>
            <w:gridSpan w:val="37"/>
          </w:tcPr>
          <w:p>
            <w:pPr>
              <w:ind w:left="20"/>
              <w:spacing w:after="0" w:line="182" w:lineRule="exact"/>
              <w:rPr>
                <w:sz w:val="20"/>
                <w:szCs w:val="20"/>
                <w:color w:val="auto"/>
              </w:rPr>
            </w:pPr>
            <w:r>
              <w:rPr>
                <w:rFonts w:ascii="Times New Roman" w:cs="Times New Roman" w:eastAsia="Times New Roman" w:hAnsi="Times New Roman"/>
                <w:sz w:val="18"/>
                <w:szCs w:val="18"/>
                <w:color w:val="0000EE"/>
              </w:rPr>
              <w:t>Equity-Based Compensation</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18.</w:t>
            </w:r>
          </w:p>
        </w:tc>
        <w:tc>
          <w:tcPr>
            <w:tcW w:w="2100" w:type="dxa"/>
            <w:vAlign w:val="bottom"/>
            <w:tcBorders>
              <w:top w:val="single" w:sz="8" w:color="0000EE"/>
            </w:tcBorders>
            <w:gridSpan w:val="25"/>
          </w:tcPr>
          <w:p>
            <w:pPr>
              <w:ind w:left="20"/>
              <w:spacing w:after="0" w:line="182" w:lineRule="exact"/>
              <w:rPr>
                <w:sz w:val="20"/>
                <w:szCs w:val="20"/>
                <w:color w:val="auto"/>
              </w:rPr>
            </w:pPr>
            <w:r>
              <w:rPr>
                <w:rFonts w:ascii="Times New Roman" w:cs="Times New Roman" w:eastAsia="Times New Roman" w:hAnsi="Times New Roman"/>
                <w:sz w:val="18"/>
                <w:szCs w:val="18"/>
                <w:color w:val="0000EE"/>
              </w:rPr>
              <w:t>Earnings per Share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19.</w:t>
            </w:r>
          </w:p>
        </w:tc>
        <w:tc>
          <w:tcPr>
            <w:tcW w:w="1380" w:type="dxa"/>
            <w:vAlign w:val="bottom"/>
            <w:tcBorders>
              <w:top w:val="single" w:sz="8" w:color="0000EE"/>
              <w:bottom w:val="single" w:sz="8" w:color="0000EE"/>
            </w:tcBorders>
            <w:gridSpan w:val="13"/>
          </w:tcPr>
          <w:p>
            <w:pPr>
              <w:ind w:left="20"/>
              <w:spacing w:after="0" w:line="182" w:lineRule="exact"/>
              <w:rPr>
                <w:sz w:val="20"/>
                <w:szCs w:val="20"/>
                <w:color w:val="auto"/>
              </w:rPr>
            </w:pPr>
            <w:r>
              <w:rPr>
                <w:rFonts w:ascii="Times New Roman" w:cs="Times New Roman" w:eastAsia="Times New Roman" w:hAnsi="Times New Roman"/>
                <w:sz w:val="18"/>
                <w:szCs w:val="18"/>
                <w:color w:val="0000EE"/>
                <w:w w:val="87"/>
              </w:rPr>
              <w:t>Segment Information</w:t>
            </w:r>
          </w:p>
        </w:tc>
        <w:tc>
          <w:tcPr>
            <w:tcW w:w="12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20.</w:t>
            </w:r>
          </w:p>
        </w:tc>
        <w:tc>
          <w:tcPr>
            <w:tcW w:w="1560" w:type="dxa"/>
            <w:vAlign w:val="bottom"/>
            <w:gridSpan w:val="17"/>
          </w:tcPr>
          <w:p>
            <w:pPr>
              <w:ind w:left="20"/>
              <w:spacing w:after="0" w:line="182" w:lineRule="exact"/>
              <w:rPr>
                <w:sz w:val="20"/>
                <w:szCs w:val="20"/>
                <w:color w:val="auto"/>
              </w:rPr>
            </w:pPr>
            <w:r>
              <w:rPr>
                <w:rFonts w:ascii="Times New Roman" w:cs="Times New Roman" w:eastAsia="Times New Roman" w:hAnsi="Times New Roman"/>
                <w:sz w:val="18"/>
                <w:szCs w:val="18"/>
                <w:color w:val="0000EE"/>
              </w:rPr>
              <w:t>Commitments and</w:t>
            </w:r>
          </w:p>
        </w:tc>
        <w:tc>
          <w:tcPr>
            <w:tcW w:w="5440" w:type="dxa"/>
            <w:vAlign w:val="bottom"/>
            <w:gridSpan w:val="27"/>
          </w:tcPr>
          <w:p>
            <w:pPr>
              <w:spacing w:after="0" w:line="182" w:lineRule="exact"/>
              <w:rPr>
                <w:sz w:val="20"/>
                <w:szCs w:val="20"/>
                <w:color w:val="auto"/>
              </w:rPr>
            </w:pPr>
            <w:r>
              <w:rPr>
                <w:rFonts w:ascii="Times New Roman" w:cs="Times New Roman" w:eastAsia="Times New Roman" w:hAnsi="Times New Roman"/>
                <w:sz w:val="18"/>
                <w:szCs w:val="18"/>
                <w:color w:val="0000EE"/>
              </w:rPr>
              <w:t>Contingencies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21.</w:t>
            </w:r>
          </w:p>
        </w:tc>
        <w:tc>
          <w:tcPr>
            <w:tcW w:w="2420" w:type="dxa"/>
            <w:vAlign w:val="bottom"/>
            <w:tcBorders>
              <w:top w:val="single" w:sz="8" w:color="0000EE"/>
            </w:tcBorders>
            <w:gridSpan w:val="28"/>
          </w:tcPr>
          <w:p>
            <w:pPr>
              <w:ind w:left="20"/>
              <w:spacing w:after="0" w:line="18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140" w:type="dxa"/>
            <w:vAlign w:val="bottom"/>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Item 2.</w:t>
            </w:r>
          </w:p>
        </w:tc>
        <w:tc>
          <w:tcPr>
            <w:tcW w:w="2200" w:type="dxa"/>
            <w:vAlign w:val="bottom"/>
            <w:tcBorders>
              <w:top w:val="single" w:sz="8" w:color="0000EE"/>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EE"/>
                <w:w w:val="98"/>
              </w:rPr>
              <w:t>Management’s Discussion and</w:t>
            </w:r>
          </w:p>
        </w:tc>
        <w:tc>
          <w:tcPr>
            <w:tcW w:w="5040" w:type="dxa"/>
            <w:vAlign w:val="bottom"/>
            <w:gridSpan w:val="21"/>
          </w:tcPr>
          <w:p>
            <w:pPr>
              <w:ind w:left="40"/>
              <w:spacing w:after="0" w:line="182" w:lineRule="exact"/>
              <w:rPr>
                <w:sz w:val="20"/>
                <w:szCs w:val="20"/>
                <w:color w:val="auto"/>
              </w:rPr>
            </w:pPr>
            <w:r>
              <w:rPr>
                <w:rFonts w:ascii="Times New Roman" w:cs="Times New Roman" w:eastAsia="Times New Roman" w:hAnsi="Times New Roman"/>
                <w:sz w:val="18"/>
                <w:szCs w:val="18"/>
                <w:color w:val="0000EE"/>
              </w:rPr>
              <w:t>Analysis of Financial Condition and Results of Operations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0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5"/>
              </w:rPr>
              <w:t>Overview</w:t>
            </w:r>
          </w:p>
        </w:tc>
        <w:tc>
          <w:tcPr>
            <w:tcW w:w="5560" w:type="dxa"/>
            <w:vAlign w:val="bottom"/>
            <w:tcBorders>
              <w:top w:val="single" w:sz="8" w:color="0000EE"/>
            </w:tcBorders>
            <w:gridSpan w:val="40"/>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EE"/>
              </w:rPr>
              <w:t>Key Business Metrics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EE"/>
              </w:rPr>
              <w:t>Significant Developments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Borders>
              <w:top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EE"/>
              </w:rPr>
              <w:t>Results of Operations</w:t>
            </w:r>
          </w:p>
        </w:tc>
        <w:tc>
          <w:tcPr>
            <w:tcW w:w="28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top w:val="single" w:sz="8" w:color="0000EE"/>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EE"/>
              </w:rPr>
              <w:t>Critical Accounting</w:t>
            </w:r>
          </w:p>
        </w:tc>
        <w:tc>
          <w:tcPr>
            <w:tcW w:w="550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EE"/>
              </w:rPr>
              <w:t>Estimates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EE"/>
                <w:w w:val="92"/>
              </w:rPr>
              <w:t>Liquidity and Capital Resources</w:t>
            </w:r>
          </w:p>
        </w:tc>
        <w:tc>
          <w:tcPr>
            <w:tcW w:w="140" w:type="dxa"/>
            <w:vAlign w:val="bottom"/>
            <w:tcBorders>
              <w:bottom w:val="single" w:sz="8" w:color="0000EE"/>
            </w:tcBorders>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EE"/>
              </w:rPr>
              <w:t>Recent Accounting Pronouncements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Item 3.</w:t>
            </w:r>
          </w:p>
        </w:tc>
        <w:tc>
          <w:tcPr>
            <w:tcW w:w="180" w:type="dxa"/>
            <w:vAlign w:val="bottom"/>
          </w:tcPr>
          <w:p>
            <w:pPr>
              <w:spacing w:after="0"/>
              <w:rPr>
                <w:sz w:val="15"/>
                <w:szCs w:val="15"/>
                <w:color w:val="auto"/>
              </w:rPr>
            </w:pPr>
          </w:p>
        </w:tc>
        <w:tc>
          <w:tcPr>
            <w:tcW w:w="2620" w:type="dxa"/>
            <w:vAlign w:val="bottom"/>
            <w:tcBorders>
              <w:top w:val="single" w:sz="8" w:color="0000EE"/>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EE"/>
                <w:w w:val="88"/>
              </w:rPr>
              <w:t>Quantitative and Qualitative Disclosures</w:t>
            </w:r>
          </w:p>
        </w:tc>
        <w:tc>
          <w:tcPr>
            <w:tcW w:w="4440" w:type="dxa"/>
            <w:vAlign w:val="bottom"/>
            <w:gridSpan w:val="15"/>
          </w:tcPr>
          <w:p>
            <w:pPr>
              <w:ind w:left="160"/>
              <w:spacing w:after="0" w:line="182" w:lineRule="exact"/>
              <w:rPr>
                <w:sz w:val="20"/>
                <w:szCs w:val="20"/>
                <w:color w:val="auto"/>
              </w:rPr>
            </w:pPr>
            <w:r>
              <w:rPr>
                <w:rFonts w:ascii="Times New Roman" w:cs="Times New Roman" w:eastAsia="Times New Roman" w:hAnsi="Times New Roman"/>
                <w:sz w:val="18"/>
                <w:szCs w:val="18"/>
                <w:color w:val="0000EE"/>
              </w:rPr>
              <w:t>About Market Risk</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Item 4.</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2600" w:type="dxa"/>
            <w:vAlign w:val="bottom"/>
            <w:tcBorders>
              <w:top w:val="single" w:sz="8" w:color="0000EE"/>
            </w:tcBorders>
            <w:gridSpan w:val="24"/>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7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560" w:type="dxa"/>
            <w:vAlign w:val="bottom"/>
            <w:gridSpan w:val="8"/>
          </w:tcPr>
          <w:p>
            <w:pPr>
              <w:spacing w:after="0"/>
              <w:rPr>
                <w:sz w:val="15"/>
                <w:szCs w:val="15"/>
                <w:color w:val="auto"/>
              </w:rPr>
            </w:pPr>
          </w:p>
        </w:tc>
        <w:tc>
          <w:tcPr>
            <w:tcW w:w="2020" w:type="dxa"/>
            <w:vAlign w:val="bottom"/>
            <w:gridSpan w:val="15"/>
          </w:tcPr>
          <w:p>
            <w:pPr>
              <w:spacing w:after="0"/>
              <w:rPr>
                <w:sz w:val="15"/>
                <w:szCs w:val="15"/>
                <w:color w:val="auto"/>
              </w:rPr>
            </w:pP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1.</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rPr>
              <w:t>Legal Proceedings</w:t>
            </w:r>
          </w:p>
        </w:tc>
        <w:tc>
          <w:tcPr>
            <w:tcW w:w="880" w:type="dxa"/>
            <w:vAlign w:val="bottom"/>
            <w:gridSpan w:val="13"/>
          </w:tcPr>
          <w:p>
            <w:pPr>
              <w:spacing w:after="0"/>
              <w:rPr>
                <w:sz w:val="15"/>
                <w:szCs w:val="15"/>
                <w:color w:val="auto"/>
              </w:rPr>
            </w:pPr>
          </w:p>
        </w:tc>
        <w:tc>
          <w:tcPr>
            <w:tcW w:w="2020" w:type="dxa"/>
            <w:vAlign w:val="bottom"/>
            <w:gridSpan w:val="15"/>
          </w:tcPr>
          <w:p>
            <w:pPr>
              <w:spacing w:after="0"/>
              <w:rPr>
                <w:sz w:val="15"/>
                <w:szCs w:val="15"/>
                <w:color w:val="auto"/>
              </w:rPr>
            </w:pP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1000" w:type="dxa"/>
            <w:vAlign w:val="bottom"/>
            <w:gridSpan w:val="14"/>
          </w:tcPr>
          <w:p>
            <w:pPr>
              <w:spacing w:after="0" w:line="20" w:lineRule="exact"/>
              <w:rPr>
                <w:sz w:val="1"/>
                <w:szCs w:val="1"/>
                <w:color w:val="auto"/>
              </w:rPr>
            </w:pPr>
          </w:p>
        </w:tc>
        <w:tc>
          <w:tcPr>
            <w:tcW w:w="2020" w:type="dxa"/>
            <w:vAlign w:val="bottom"/>
            <w:gridSpan w:val="1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20" w:type="dxa"/>
            <w:vAlign w:val="bottom"/>
            <w:gridSpan w:val="52"/>
          </w:tcPr>
          <w:p>
            <w:pPr>
              <w:spacing w:after="0" w:line="182" w:lineRule="exact"/>
              <w:rPr>
                <w:sz w:val="20"/>
                <w:szCs w:val="20"/>
                <w:color w:val="auto"/>
              </w:rPr>
            </w:pPr>
            <w:r>
              <w:rPr>
                <w:rFonts w:ascii="Times New Roman" w:cs="Times New Roman" w:eastAsia="Times New Roman" w:hAnsi="Times New Roman"/>
                <w:sz w:val="18"/>
                <w:szCs w:val="18"/>
                <w:color w:val="0000EE"/>
              </w:rPr>
              <w:t>Item 1A. Risk Factors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tcPr>
          <w:p>
            <w:pPr>
              <w:spacing w:after="0"/>
              <w:rPr>
                <w:sz w:val="15"/>
                <w:szCs w:val="15"/>
                <w:color w:val="auto"/>
              </w:rPr>
            </w:pPr>
          </w:p>
        </w:tc>
        <w:tc>
          <w:tcPr>
            <w:tcW w:w="900" w:type="dxa"/>
            <w:vAlign w:val="bottom"/>
            <w:tcBorders>
              <w:top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4"/>
              </w:rPr>
              <w:t>Unregistered</w:t>
            </w:r>
          </w:p>
        </w:tc>
        <w:tc>
          <w:tcPr>
            <w:tcW w:w="6340" w:type="dxa"/>
            <w:vAlign w:val="bottom"/>
            <w:gridSpan w:val="40"/>
          </w:tcPr>
          <w:p>
            <w:pPr>
              <w:ind w:left="60"/>
              <w:spacing w:after="0" w:line="182" w:lineRule="exact"/>
              <w:rPr>
                <w:sz w:val="20"/>
                <w:szCs w:val="20"/>
                <w:color w:val="auto"/>
              </w:rPr>
            </w:pPr>
            <w:r>
              <w:rPr>
                <w:rFonts w:ascii="Times New Roman" w:cs="Times New Roman" w:eastAsia="Times New Roman" w:hAnsi="Times New Roman"/>
                <w:sz w:val="18"/>
                <w:szCs w:val="18"/>
                <w:color w:val="0000EE"/>
              </w:rPr>
              <w:t>Sales of Equity Securities and Use of Proceeds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gridSpan w:val="3"/>
          </w:tcPr>
          <w:p>
            <w:pPr>
              <w:spacing w:after="0"/>
              <w:rPr>
                <w:sz w:val="15"/>
                <w:szCs w:val="15"/>
                <w:color w:val="auto"/>
              </w:rPr>
            </w:pPr>
          </w:p>
        </w:tc>
        <w:tc>
          <w:tcPr>
            <w:tcW w:w="4340" w:type="dxa"/>
            <w:vAlign w:val="bottom"/>
            <w:tcBorders>
              <w:top w:val="single" w:sz="8" w:color="0000EE"/>
            </w:tcBorders>
            <w:gridSpan w:val="41"/>
          </w:tcPr>
          <w:p>
            <w:pPr>
              <w:spacing w:after="0" w:line="182"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gridSpan w:val="3"/>
          </w:tcPr>
          <w:p>
            <w:pPr>
              <w:spacing w:after="0"/>
              <w:rPr>
                <w:sz w:val="15"/>
                <w:szCs w:val="15"/>
                <w:color w:val="auto"/>
              </w:rPr>
            </w:pPr>
          </w:p>
        </w:tc>
        <w:tc>
          <w:tcPr>
            <w:tcW w:w="2320" w:type="dxa"/>
            <w:vAlign w:val="bottom"/>
            <w:tcBorders>
              <w:top w:val="single" w:sz="8" w:color="0000EE"/>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EE"/>
              </w:rPr>
              <w:t>Mine Safety Disclosures</w:t>
            </w:r>
          </w:p>
        </w:tc>
        <w:tc>
          <w:tcPr>
            <w:tcW w:w="4920" w:type="dxa"/>
            <w:vAlign w:val="bottom"/>
            <w:gridSpan w:val="20"/>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gridSpan w:val="3"/>
          </w:tcPr>
          <w:p>
            <w:pPr>
              <w:spacing w:after="0"/>
              <w:rPr>
                <w:sz w:val="15"/>
                <w:szCs w:val="15"/>
                <w:color w:val="auto"/>
              </w:rPr>
            </w:pPr>
          </w:p>
        </w:tc>
        <w:tc>
          <w:tcPr>
            <w:tcW w:w="1760" w:type="dxa"/>
            <w:vAlign w:val="bottom"/>
            <w:tcBorders>
              <w:top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EE"/>
              </w:rPr>
              <w:t>Other Information</w:t>
            </w:r>
          </w:p>
        </w:tc>
        <w:tc>
          <w:tcPr>
            <w:tcW w:w="5480" w:type="dxa"/>
            <w:vAlign w:val="bottom"/>
            <w:gridSpan w:val="28"/>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gridSpan w:val="3"/>
          </w:tcPr>
          <w:p>
            <w:pPr>
              <w:spacing w:after="0"/>
              <w:rPr>
                <w:sz w:val="15"/>
                <w:szCs w:val="15"/>
                <w:color w:val="auto"/>
              </w:rPr>
            </w:pPr>
          </w:p>
        </w:tc>
        <w:tc>
          <w:tcPr>
            <w:tcW w:w="600" w:type="dxa"/>
            <w:vAlign w:val="bottom"/>
            <w:tcBorders>
              <w:top w:val="single" w:sz="8" w:color="0000EE"/>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9"/>
          </w:tcPr>
          <w:p>
            <w:pPr>
              <w:spacing w:after="0"/>
              <w:rPr>
                <w:sz w:val="15"/>
                <w:szCs w:val="15"/>
                <w:color w:val="auto"/>
              </w:rPr>
            </w:pPr>
          </w:p>
        </w:tc>
        <w:tc>
          <w:tcPr>
            <w:tcW w:w="5920" w:type="dxa"/>
            <w:vAlign w:val="bottom"/>
            <w:gridSpan w:val="3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47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6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12,571</w:t>
            </w:r>
          </w:p>
        </w:tc>
        <w:tc>
          <w:tcPr>
            <w:tcW w:w="180" w:type="dxa"/>
            <w:vAlign w:val="bottom"/>
          </w:tcPr>
          <w:p>
            <w:pPr>
              <w:spacing w:after="0"/>
              <w:rPr>
                <w:sz w:val="12"/>
                <w:szCs w:val="12"/>
                <w:color w:val="auto"/>
              </w:rPr>
            </w:pP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37,196</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$3,356 and 2,915, respectively</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90,214</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99,158</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Inventories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140,354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149,921</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Derivative assets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15,424</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13,658</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13,457</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12,473</w:t>
            </w:r>
          </w:p>
        </w:tc>
      </w:tr>
      <w:tr>
        <w:trPr>
          <w:trHeight w:val="142"/>
        </w:trPr>
        <w:tc>
          <w:tcPr>
            <w:tcW w:w="6320" w:type="dxa"/>
            <w:vAlign w:val="bottom"/>
            <w:gridSpan w:val="2"/>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273,225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313,050</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400,839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344,038</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Goodwill</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r>
      <w:tr>
        <w:trPr>
          <w:trHeight w:val="14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Intangible assets, net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120,950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122,945</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67,601</w:t>
            </w:r>
          </w:p>
        </w:tc>
      </w:tr>
      <w:tr>
        <w:trPr>
          <w:trHeight w:val="148"/>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 long-term assets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7,769</w:t>
            </w:r>
          </w:p>
        </w:tc>
      </w:tr>
      <w:tr>
        <w:trPr>
          <w:trHeight w:val="142"/>
        </w:trPr>
        <w:tc>
          <w:tcPr>
            <w:tcW w:w="63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983,256</w:t>
            </w:r>
          </w:p>
        </w:tc>
        <w:tc>
          <w:tcPr>
            <w:tcW w:w="1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971,514</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6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12,118</w:t>
            </w:r>
          </w:p>
        </w:tc>
        <w:tc>
          <w:tcPr>
            <w:tcW w:w="180" w:type="dxa"/>
            <w:vAlign w:val="bottom"/>
          </w:tcPr>
          <w:p>
            <w:pPr>
              <w:spacing w:after="0"/>
              <w:rPr>
                <w:sz w:val="12"/>
                <w:szCs w:val="12"/>
                <w:color w:val="auto"/>
              </w:rPr>
            </w:pP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9,811</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Short-term debt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34,432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43,694</w:t>
            </w:r>
          </w:p>
        </w:tc>
      </w:tr>
      <w:tr>
        <w:trPr>
          <w:trHeight w:val="14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44,230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69,106</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Supply chain finance program</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78,706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78,076</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Derivative liabilities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3,731</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46,573</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35,217</w:t>
            </w:r>
          </w:p>
        </w:tc>
      </w:tr>
      <w:tr>
        <w:trPr>
          <w:trHeight w:val="142"/>
        </w:trPr>
        <w:tc>
          <w:tcPr>
            <w:tcW w:w="6320" w:type="dxa"/>
            <w:vAlign w:val="bottom"/>
            <w:gridSpan w:val="2"/>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220,288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239,635</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Long-term debt, net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224,090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223,092</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Convertible notes payable - related party, net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49,654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10,847</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63,554</w:t>
            </w:r>
          </w:p>
        </w:tc>
      </w:tr>
      <w:tr>
        <w:trPr>
          <w:trHeight w:val="14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Warrant liabilities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44,801</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r>
      <w:tr>
        <w:trPr>
          <w:trHeight w:val="142"/>
        </w:trPr>
        <w:tc>
          <w:tcPr>
            <w:tcW w:w="6320" w:type="dxa"/>
            <w:vAlign w:val="bottom"/>
            <w:gridSpan w:val="2"/>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617,443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583,558</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20)</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6"/>
        </w:trPr>
        <w:tc>
          <w:tcPr>
            <w:tcW w:w="632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23,512 shares issued and</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outstanding at March 31, 2024 and December 31, 2023, respectively, $11.50 liquidation value</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274,129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274,216</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632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88,282 shares and 88,051 shares issued and</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outstanding at March 31, 2024 and December 31, 2023, respectively</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473,064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471,666</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Accumulated deficit</w:t>
            </w:r>
          </w:p>
        </w:tc>
        <w:tc>
          <w:tcPr>
            <w:tcW w:w="1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(386,297)</w:t>
            </w: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(362,624)</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4,034</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3,818</w:t>
            </w:r>
          </w:p>
        </w:tc>
      </w:tr>
      <w:tr>
        <w:trPr>
          <w:trHeight w:val="142"/>
        </w:trPr>
        <w:tc>
          <w:tcPr>
            <w:tcW w:w="6320" w:type="dxa"/>
            <w:vAlign w:val="bottom"/>
            <w:tcBorders>
              <w:bottom w:val="single" w:sz="8" w:color="CCEEFF"/>
            </w:tcBorders>
            <w:gridSpan w:val="2"/>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91,684</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r>
      <w:tr>
        <w:trPr>
          <w:trHeight w:val="142"/>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983,256</w:t>
            </w:r>
          </w:p>
        </w:tc>
        <w:tc>
          <w:tcPr>
            <w:tcW w:w="180" w:type="dxa"/>
            <w:vAlign w:val="bottom"/>
          </w:tcPr>
          <w:p>
            <w:pPr>
              <w:spacing w:after="0"/>
              <w:rPr>
                <w:sz w:val="12"/>
                <w:szCs w:val="12"/>
                <w:color w:val="auto"/>
              </w:rPr>
            </w:pPr>
          </w:p>
        </w:tc>
        <w:tc>
          <w:tcPr>
            <w:tcW w:w="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971,514</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OPERATIONS (Unaudited)</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 except per share data)</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192,500</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205,442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155,226</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171,144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37,274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34,298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47,406</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(10,132)</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(7,364)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 and equity in earnings from unconsolidated entities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(17,805)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(23,673)</w:t>
            </w:r>
          </w:p>
        </w:tc>
        <w:tc>
          <w:tcPr>
            <w:tcW w:w="180" w:type="dxa"/>
            <w:vAlign w:val="bottom"/>
          </w:tcPr>
          <w:p>
            <w:pPr>
              <w:spacing w:after="0"/>
              <w:rPr>
                <w:sz w:val="12"/>
                <w:szCs w:val="12"/>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shareholders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(23,673)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182"/>
        </w:trPr>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(23,586)</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(4,770)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per common share: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4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(0.27)</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(0.13)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shares outstanding:</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88,095</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88,095</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(Thousands)</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42"/>
        </w:trPr>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(23,673)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(4,326)</w:t>
            </w:r>
          </w:p>
        </w:tc>
      </w:tr>
      <w:tr>
        <w:trPr>
          <w:trHeight w:val="149"/>
        </w:trPr>
        <w:tc>
          <w:tcPr>
            <w:tcW w:w="5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w:t>
            </w:r>
          </w:p>
        </w:tc>
      </w:tr>
      <w:tr>
        <w:trPr>
          <w:trHeight w:val="148"/>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42"/>
        </w:trPr>
        <w:tc>
          <w:tcPr>
            <w:tcW w:w="560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4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2,222</w:t>
            </w:r>
          </w:p>
        </w:tc>
      </w:tr>
      <w:tr>
        <w:trPr>
          <w:trHeight w:val="142"/>
        </w:trPr>
        <w:tc>
          <w:tcPr>
            <w:tcW w:w="5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Comprehensive loss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(23,457)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(2,104)</w:t>
            </w:r>
          </w:p>
        </w:tc>
      </w:tr>
      <w:tr>
        <w:trPr>
          <w:trHeight w:val="148"/>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42"/>
        </w:trPr>
        <w:tc>
          <w:tcPr>
            <w:tcW w:w="5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shareholders</w:t>
            </w:r>
          </w:p>
        </w:tc>
        <w:tc>
          <w:tcPr>
            <w:tcW w:w="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(23,457)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(2,119)</w:t>
            </w:r>
          </w:p>
        </w:tc>
      </w:tr>
      <w:tr>
        <w:trPr>
          <w:trHeight w:val="148"/>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4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42"/>
        </w:trPr>
        <w:tc>
          <w:tcPr>
            <w:tcW w:w="5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440" w:type="dxa"/>
            <w:vAlign w:val="bottom"/>
          </w:tcPr>
          <w:p>
            <w:pPr>
              <w:spacing w:after="0"/>
              <w:rPr>
                <w:sz w:val="12"/>
                <w:szCs w:val="12"/>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(23,370)</w:t>
            </w:r>
          </w:p>
        </w:tc>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(2,548)</w:t>
            </w:r>
          </w:p>
        </w:tc>
      </w:tr>
      <w:tr>
        <w:trPr>
          <w:trHeight w:val="20"/>
        </w:trPr>
        <w:tc>
          <w:tcPr>
            <w:tcW w:w="5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5"/>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4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7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0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52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23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75,020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342,664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(328,042)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(6,103)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2,460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11,729</w:t>
            </w:r>
          </w:p>
        </w:tc>
      </w:tr>
      <w:tr>
        <w:trPr>
          <w:trHeight w:val="148"/>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(4,341)</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w:t>
            </w:r>
          </w:p>
        </w:tc>
      </w:tr>
      <w:tr>
        <w:trPr>
          <w:trHeight w:val="136"/>
        </w:trPr>
        <w:tc>
          <w:tcPr>
            <w:tcW w:w="244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1"/>
        </w:trPr>
        <w:tc>
          <w:tcPr>
            <w:tcW w:w="2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136"/>
        </w:trPr>
        <w:tc>
          <w:tcPr>
            <w:tcW w:w="244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1"/>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r>
      <w:tr>
        <w:trPr>
          <w:trHeight w:val="136"/>
        </w:trPr>
        <w:tc>
          <w:tcPr>
            <w:tcW w:w="244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1"/>
        </w:trPr>
        <w:tc>
          <w:tcPr>
            <w:tcW w:w="2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36"/>
        </w:trPr>
        <w:tc>
          <w:tcPr>
            <w:tcW w:w="244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9"/>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conversion of Series A Convertible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1"/>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36"/>
        </w:trPr>
        <w:tc>
          <w:tcPr>
            <w:tcW w:w="244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1"/>
        </w:trPr>
        <w:tc>
          <w:tcPr>
            <w:tcW w:w="2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(429)</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48"/>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r>
      <w:tr>
        <w:trPr>
          <w:trHeight w:val="148"/>
        </w:trPr>
        <w:tc>
          <w:tcPr>
            <w:tcW w:w="2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w:t>
            </w:r>
          </w:p>
        </w:tc>
      </w:tr>
      <w:tr>
        <w:trPr>
          <w:trHeight w:val="148"/>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(1,841)</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r>
      <w:tr>
        <w:trPr>
          <w:trHeight w:val="142"/>
        </w:trPr>
        <w:tc>
          <w:tcPr>
            <w:tcW w:w="244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75,628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345,840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(332,383)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12,810</w:t>
            </w: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29"/>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8"/>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(362,624)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113,740</w:t>
            </w:r>
          </w:p>
        </w:tc>
      </w:tr>
      <w:tr>
        <w:trPr>
          <w:trHeight w:val="148"/>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(23,673)</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(23,673)</w:t>
            </w:r>
          </w:p>
        </w:tc>
      </w:tr>
      <w:tr>
        <w:trPr>
          <w:trHeight w:val="136"/>
        </w:trPr>
        <w:tc>
          <w:tcPr>
            <w:tcW w:w="244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1"/>
        </w:trPr>
        <w:tc>
          <w:tcPr>
            <w:tcW w:w="2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48"/>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48"/>
        </w:trPr>
        <w:tc>
          <w:tcPr>
            <w:tcW w:w="2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r>
      <w:tr>
        <w:trPr>
          <w:trHeight w:val="149"/>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(1,141)</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w:t>
            </w:r>
          </w:p>
        </w:tc>
      </w:tr>
      <w:tr>
        <w:trPr>
          <w:trHeight w:val="142"/>
        </w:trPr>
        <w:tc>
          <w:tcPr>
            <w:tcW w:w="244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88,282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473,064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(386,297)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91,684</w:t>
            </w: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CASH FLOWS (Unaudited)</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59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36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(23,673)</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Mark-to-market adjustments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Derivative assets and liabilities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Prepaid expense and other 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14,372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7,979</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(25,131)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(68,914)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(68,936)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(22,028)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Payments on debt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debt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Payments on supply chain financing program</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convertible notes payable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exercise of Public Warrants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36,973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46,379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decrease in cash and cash equivalents and restricted cash</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(24,064)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37,840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13,776</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6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17,508</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w:t>
            </w:r>
          </w:p>
        </w:tc>
        <w:tc>
          <w:tcPr>
            <w:tcW w:w="0" w:type="dxa"/>
            <w:vAlign w:val="bottom"/>
          </w:tcPr>
          <w:p>
            <w:pPr>
              <w:spacing w:after="0"/>
              <w:rPr>
                <w:sz w:val="1"/>
                <w:szCs w:val="1"/>
                <w:color w:val="auto"/>
              </w:rPr>
            </w:pPr>
          </w:p>
        </w:tc>
      </w:tr>
      <w:tr>
        <w:trPr>
          <w:trHeight w:val="352"/>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total cash and cash equivalents and restricted cash is as follows: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4"/>
                <w:szCs w:val="14"/>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142"/>
        </w:trPr>
        <w:tc>
          <w:tcPr>
            <w:tcW w:w="5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12,571</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23,688</w:t>
            </w:r>
          </w:p>
        </w:tc>
      </w:tr>
      <w:tr>
        <w:trPr>
          <w:trHeight w:val="148"/>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1,882</w:t>
            </w:r>
          </w:p>
        </w:tc>
      </w:tr>
      <w:tr>
        <w:trPr>
          <w:trHeight w:val="142"/>
        </w:trPr>
        <w:tc>
          <w:tcPr>
            <w:tcW w:w="61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13,776</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25,570</w:t>
            </w: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ind w:left="4040" w:right="1239" w:hanging="2155"/>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83"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xml:space="preserve">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2023 was derived from the audited financial statements, but does not include all disclosures required by GAAP.</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shares of common stock, par value $0.01 per share, of the Company (“Common Shares”). Due to the Company’s controlling financial interest in Falcon prior to the purchase, the transaction was accounted for as an equity transaction. For periods prior to April 3, 2023, equity interests not owned by us are reflected as non-controlling interests. In the Condensed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2023 consolidated financial statements and notes thereto included in our Annual Report on Form 10-K filed with the U.S. Securities and Exchange Commission (“SEC”) on March 15, 2024.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Continue as a Going Concern (Subtopic 205-40)</w:t>
      </w:r>
      <w:r>
        <w:rPr>
          <w:rFonts w:ascii="Times New Roman" w:cs="Times New Roman" w:eastAsia="Times New Roman" w:hAnsi="Times New Roman"/>
          <w:sz w:val="18"/>
          <w:szCs w:val="18"/>
          <w:color w:val="auto"/>
        </w:rPr>
        <w:t>, the Company has the responsibility to evaluate whether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events raise substantial doubt about its ability to meet its obligations as they become due within one year after the date that the financial statements are available to be issued. The Company is dependent on borrowings under its Credit Agreement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will be sufficient to fund operations for at least the next twelve months. However, during the three months ended March 31, 2024, the Company incurred net losses of $23.7 million. If we are unable to achieve our profitability growth projections and maintain our minimum liquidity requirements, as a result of, for example, experiencing any adverse impact of changes or delays in the estimated timing and volume of products to be commercialized in our Conway Facility over the next twelve months, and generate sufficient cash flows from operations, it may restrict our liquidity and capital resources and our ability to maintain compliance with our financial covenants. As management’s ability to amend its financial covenants cannot be assured, management has committed to raise additional capital, delay growth capital expenditures and/or reduce operating expenses, including headcount, salary and/or bonus reductions, all of which are in the Company’s control, as necessary, in order to have adequate liquidity and to remain in compliance with its debt covenants. The accompanying Condensed Consolidated Financial Statements have been prepared assuming that the Company will continue as a going concern, which contemplates the realization of assets and satisfaction of liabilities in the ordinary course of business.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allowance for credit losses for the periods indicated was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months ended March 31, 2024 and 2023, we recognized $0.7 million of net unrealized losses and $2.3 million of net unrealized gains, respectively, on green coffee inventory associated with our forward sales and purchase contracts.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three months ended March 31, 2024, we capitalized $2.8 million of interest costs. No such interest was capitalized during the three months ended March 31,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2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March 31, 2024 and December 31, 2023, there were $78.7 million and $78.1 million of obligations outstanding under the Program, respectively.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effective income tax rates for the three months ended March 31, 2024 and 2023 were (32.6)% and 50.2%, respectively. The Company’s effective tax rate for the current period differs from the federal statutory rate primarily due to an increase in the valuation allowance against domestic deferred tax assets and certain permanent differences, including nondeductible expenses related to executive compensation. The effective tax rate for the three months ended March 31, 2024 differs from the effective tax rate for the same period in 2023 primarily due to the Company’s full year forecasted ordinary income (loss) in the periods.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("OECD") released Pillar Two Model Rules, which provide for a global minimum tax of 15% on multinational entities. Although the U.S. has not yet adopted the Pillar Two Model Rules, several foreign countries enacted Pillar Two legislation in 2023 with an initial effective date of January 1, 2024. The impact of Pillar Two legislation on the Company's 2024 effective tax rate is expected to be minimal. Management will continue to monitor future Pillar Two legislation in relevant jurisdictions for any impacts to the Company's effective tax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ASU 2022-04 - Liabilities—Supplier Finance Programs (Subtopic 405-50): Disclosure of Supplier Finance Program Obligations</w:t>
      </w:r>
    </w:p>
    <w:p>
      <w:pPr>
        <w:spacing w:after="0" w:line="16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The Company adopted the amendments within ASU 2022-04 on a retrospective basis effective January 1, 2023. The amendments to ASU 2022-04 do not affect the recognition, measurement or financial statement presentation of obligations covered by supplier finance programs.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2023-07 – Segment Reporting (Topic 280): Improvements to Reportable Segment Disclosures</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(“CODM”) and a description of other segment items by reportable segment. ASU 2023-07 also requires all annual disclosures currently required by Topic 280 to be included in interim periods. The amendments in the update are effective for fiscal years beginning after December 31, 2023, and interim periods within fiscal years beginning after December 31, 2024, with early adoption permitted. The amendments in the update require retrospective application to all prior periods presented in the financial statements. The Company is currently evaluating the impact that ASU 2023-07 will have on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2023-09 – Income Taxes (Topic 740): Improvements to Income Tax Disclosures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Company is currently evaluating the impact that ASU 2023-09 will have on our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Enhancement and Standardization of Climate-Related Disclosure for Investors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March 2024, the SEC adopted final rules requiring registrants to provide certain climate-related disclosures, including Scope 1 and Scope 2 greenhouse gas emissions to the extent they are material. These rules require certain disclosures related to severe weather events and other natural conditions in the notes to audited financial statements. These disclosures are required to phase-in over multiple years beginning with fiscal 2025 for large accelerated filers and fiscal 2026 for accelerated filers. On April 4, 2024, the SEC determined to voluntarily stay the final rules pending certain legal challenges. The Company is currently evaluating the impact of the new rules.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March 31, 2024 and December 31, 2023, the Company has $3.4 million and $8.3 million, respectively,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months ended March 31, 2024 and 2023, we recorded $2.3 million of net unrealized gains and $1.0 million of net unrealized losses, respectively, within costs of sales.</w:t>
      </w:r>
    </w:p>
    <w:p>
      <w:pPr>
        <w:spacing w:after="0" w:line="18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recognized $35.0 million and $24.4 million in revenues under ASC 815, respectively, which are reported within the Company’s Sustainable Sourcing &amp; Traceability segment.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$1.8 million and $1.5 million at March 31, 2024 and December 31, 2023, respectively. Other accrued deductions were $3.4 million and $2.7 million at March 31, 2024 and December 31, 2023, respectively, and are included as a reduction to accounts receivable, net in the Condensed Consolidated Balance Sheets.</w:t>
      </w:r>
    </w:p>
    <w:p>
      <w:pPr>
        <w:spacing w:after="0" w:line="18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does not have any material contract liabilities as of March 31, 2024 or December 31, 2023. Receivables from contracts with customers are included in accounts receivable, net on the Company’s Condensed Consolidated Balance Sheets. At March 31, 2024 and December 31, 2023, accounts receivable, net included $96.1 million and $104.8 million in receivables from contracts with customers, respectively.</w:t>
      </w:r>
    </w:p>
    <w:p>
      <w:pPr>
        <w:spacing w:after="0" w:line="18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March 31, 2024 and December 31, 2023, no costs were capitalized as all arrangements were less than a year.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Coffee &amp; tea</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Bixby Roasting Co.</w:t>
      </w:r>
    </w:p>
    <w:p>
      <w:pPr>
        <w:spacing w:after="0" w:line="227"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inventories as of March 31, 2024 and December 31, 2023:</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149,921</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 green coffee held for resale. At March 31, 2024 and December 31, 2023, all green coffee held for resale was included within our Sustainable Sourcing &amp; Traceability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March 31, 2024 and December 31,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w w:val="99"/>
              </w:rPr>
              <w:t>10-40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rPr>
              <w:t>3-15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128,639</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520" w:type="dxa"/>
            <w:vAlign w:val="bottom"/>
            <w:gridSpan w:val="3"/>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w w:val="99"/>
              </w:rPr>
              <w:t>3-5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systems</w:t>
            </w: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9"/>
              </w:rPr>
              <w:t>3-7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20" w:type="dxa"/>
            <w:vAlign w:val="bottom"/>
            <w:gridSpan w:val="3"/>
            <w:shd w:val="clear" w:color="auto" w:fill="CCEEFF"/>
          </w:tcPr>
          <w:p>
            <w:pPr>
              <w:jc w:val="center"/>
              <w:ind w:right="236"/>
              <w:spacing w:after="0"/>
              <w:rPr>
                <w:sz w:val="20"/>
                <w:szCs w:val="20"/>
                <w:color w:val="auto"/>
              </w:rPr>
            </w:pPr>
            <w:r>
              <w:rPr>
                <w:rFonts w:ascii="Times New Roman" w:cs="Times New Roman" w:eastAsia="Times New Roman" w:hAnsi="Times New Roman"/>
                <w:sz w:val="18"/>
                <w:szCs w:val="18"/>
                <w:color w:val="auto"/>
              </w:rPr>
              <w:t>3-10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9"/>
              </w:rPr>
              <w:t>3-5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251,852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208,308</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489,256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427,299</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(88,417)</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(83,261)</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400,839</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pacing w:after="0" w:line="12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$5.5 million and $3.9 million, respectively. Assets classified as construction in progress and equipment deposits are not depreciated, as they are not ready for production use. All assets classified as construction in progress and equipment deposits at March 31, 2024 are expected to be in production use.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reflects the carrying amount of goodwill as of March 31, 2024 and December 31, 2023:</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560"/>
        </w:trPr>
        <w:tc>
          <w:tcPr>
            <w:tcW w:w="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March 31, 2024 and December 31,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r>
      <w:tr>
        <w:trPr>
          <w:trHeight w:val="210"/>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120,233</w:t>
            </w:r>
          </w:p>
        </w:tc>
        <w:tc>
          <w:tcPr>
            <w:tcW w:w="20" w:type="dxa"/>
            <w:vAlign w:val="bottom"/>
          </w:tcPr>
          <w:p>
            <w:pPr>
              <w:spacing w:after="0"/>
              <w:rPr>
                <w:sz w:val="18"/>
                <w:szCs w:val="18"/>
                <w:color w:val="auto"/>
              </w:rPr>
            </w:pPr>
          </w:p>
        </w:tc>
      </w:tr>
      <w:tr>
        <w:trPr>
          <w:trHeight w:val="21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8"/>
                <w:szCs w:val="18"/>
                <w:color w:val="auto"/>
              </w:rPr>
            </w:pPr>
          </w:p>
        </w:tc>
      </w:tr>
      <w:tr>
        <w:trPr>
          <w:trHeight w:val="216"/>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8"/>
                <w:szCs w:val="18"/>
                <w:color w:val="auto"/>
              </w:rPr>
            </w:pPr>
          </w:p>
        </w:tc>
      </w:tr>
      <w:tr>
        <w:trPr>
          <w:trHeight w:val="209"/>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122,161</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150,517</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122,945</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$2.0 million and $2.0 million for the three months ended March 31, 2024 and 2023, respectively. As of March 31, 2024, the weighted average useful life for definite-lived intangibles is approximately 20 years.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Condensed Consolidated Balance Sheets: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r>
      <w:tr>
        <w:trPr>
          <w:trHeight w:val="210"/>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4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67,601</w:t>
            </w: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198"/>
        </w:trPr>
        <w:tc>
          <w:tcPr>
            <w:tcW w:w="29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Operating lease liabilities -</w:t>
            </w:r>
          </w:p>
        </w:tc>
        <w:tc>
          <w:tcPr>
            <w:tcW w:w="3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63,554</w:t>
            </w:r>
          </w:p>
        </w:tc>
      </w:tr>
    </w:tbl>
    <w:p>
      <w:pPr>
        <w:spacing w:after="0" w:line="211"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obtained $1.0 million and $6.0 million of right-of-use operating lease assets in exchange for lease obligations.</w:t>
      </w:r>
    </w:p>
    <w:p>
      <w:pPr>
        <w:spacing w:after="0" w:line="162" w:lineRule="exact"/>
        <w:rPr>
          <w:sz w:val="20"/>
          <w:szCs w:val="20"/>
          <w:color w:val="auto"/>
        </w:rPr>
      </w:pPr>
    </w:p>
    <w:p>
      <w:pPr>
        <w:ind w:left="60" w:right="299"/>
        <w:spacing w:after="0" w:line="281" w:lineRule="auto"/>
        <w:rPr>
          <w:sz w:val="20"/>
          <w:szCs w:val="20"/>
          <w:color w:val="auto"/>
        </w:rPr>
      </w:pPr>
      <w:r>
        <w:rPr>
          <w:rFonts w:ascii="Times New Roman" w:cs="Times New Roman" w:eastAsia="Times New Roman" w:hAnsi="Times New Roman"/>
          <w:sz w:val="17"/>
          <w:szCs w:val="17"/>
          <w:color w:val="auto"/>
        </w:rPr>
        <w:t>On February 12, 2024, following the completion of its 530,000 square foot distribution center in Conway, Arkansas, the Company entered into a lease termination agreement for the premises located at 1601 Gregory Street, North Little Rock, Arkansas, 72114, originally entered into on October 24, 2018. The lease will terminate by mutual agreement, effective June 30, 2024. As of the date of this Quarterly Report on Form 10-Q, no costs have been incurred, and no costs are</w:t>
      </w:r>
    </w:p>
    <w:p>
      <w:pPr>
        <w:spacing w:after="0" w:line="3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expected to be incurred, by the Company as a result of the lease termination. This lease termination event does not significantly alter the Company’s operational capabilities or its financial position.</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Condensed Consolidated Statements of Operations. The components of lease costs for the three months ended March 31, 2024 and 2023, respectively,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7"/>
                <w:szCs w:val="17"/>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9"/>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0"/>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 as of March 31, 2024 and December 31,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years</w:t>
            </w:r>
          </w:p>
        </w:tc>
      </w:tr>
    </w:tbl>
    <w:p>
      <w:pPr>
        <w:spacing w:after="0" w:line="193"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March 31, 2024 and 2023, respectively,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r>
      <w:tr>
        <w:trPr>
          <w:trHeight w:val="16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4"/>
                <w:szCs w:val="14"/>
                <w:color w:val="auto"/>
              </w:rPr>
            </w:pP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related to operating lease liabilities</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bl>
    <w:p>
      <w:pPr>
        <w:spacing w:after="0" w:line="21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March 31,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March 31, 2024 are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68,540</w:t>
            </w:r>
          </w:p>
        </w:tc>
        <w:tc>
          <w:tcPr>
            <w:tcW w:w="20" w:type="dxa"/>
            <w:vAlign w:val="bottom"/>
          </w:tcPr>
          <w:p>
            <w:pPr>
              <w:spacing w:after="0"/>
              <w:rPr>
                <w:sz w:val="18"/>
                <w:szCs w:val="18"/>
                <w:color w:val="auto"/>
              </w:rPr>
            </w:pPr>
          </w:p>
        </w:tc>
      </w:tr>
      <w:tr>
        <w:trPr>
          <w:trHeight w:val="210"/>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106,329</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65,050</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60"/>
        </w:trPr>
        <w:tc>
          <w:tcPr>
            <w:tcW w:w="6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debt at March 31, 2024 and December 31, 2023 is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278,975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(43,694)</w:t>
            </w: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224,090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223,092</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At March 31, 2024, the interest rate applicable to our Term Loan Facility was 9.2%, and the interest rate applicable to our Delayed Draw Term Loan Facility was 8.7%. At March 31, 2024, no amounts were outstanding under the Revolving Credit Facility and we had $2.6 million of standby letters of credit outstanding.</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15, 2024, Westrock Beverage Solutions, LLC, a Delaware limited liability company and wholly owned subsidiary of the Company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As of the date of this Quarterly Report on Form 10-Q, the Company was in compliance with its financial covenants.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requires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Condensed Consolidated Balance Sheets and are being amortized ratably over the remaining term of the Revolving Credit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of which $50.0 million was from related parties (See Note 21). The Convertible Notes are unsecured, senior obligations of the Company and accrue interest at a rate of 5.00% per annum.</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Condensed Consolidated Balance Sheets. At March 31, 2024, the carrying value of the Convertible Notes was $71.5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conversion rate of approximately 77.88 Common Shares per $1,000 principal amount of Convertible Notes. The conversion price and conversion rate are subject to customary adjustments.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On March 21, 2023, we entered into a $70 million working capital trade finance facility with multiple financial institutions through our subsidiary, Falcon. The facility is uncommitted and repayable on demand, with certain of Falcon’s assets pledged as collateral against the facility. The facility was set to mature one year from inception. Borrowings under the facility bore interest at the borrower’s option at a rate equal to (a) Term SOFR, as defined in the facility, plus a margin of</w:t>
      </w:r>
    </w:p>
    <w:p>
      <w:pPr>
        <w:spacing w:after="0" w:line="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At March 31, 2024, there was $27.8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March 31, 2024.</w:t>
      </w:r>
    </w:p>
    <w:p>
      <w:pPr>
        <w:spacing w:after="0" w:line="19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before the Quotation Day; or (b) the most recent applicable Term SOFR (as of the Quotation Day) for the shortest period (for which Term SOFR is available) which exceeds the applicable interest period of that loan, in each case plus the applicable margin. At March 31, 2024, there was $5.0 million of outstanding borrowings under the facility, of which $4.5 million and $0.5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March 31, 2024.</w:t>
      </w:r>
    </w:p>
    <w:p>
      <w:pPr>
        <w:spacing w:after="0" w:line="19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mortgage and inventory-backed lending facilities with a local bank in Rwanda: (a) a short-term trade finance facility with a balance of $6.7 million at March 31, 2024 and (b) a long-term note payable with a balance of $1.0 million at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Series A Preferred Shares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23,511,922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whole number of Common Shares at any time at a rate equal to the quotient of (a) the liquidation preference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Westrock Series A Preferred Share is subject to customary adjustments for the issuance of Common Shares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 of the Common Shares into a greater or lesser number of Common Shares, certain tender or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offers for the Common Shares, and issuances of Common Shares below a specified price.</w:t>
      </w:r>
    </w:p>
    <w:p>
      <w:pPr>
        <w:spacing w:after="0" w:line="20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23,511,922 Series A Preferred Shares outstanding at March 31, 2024 remain outstanding after February 26, 2028, we estimate an aggregate redemption payment of at least approximately $270.4 million.</w:t>
      </w:r>
    </w:p>
    <w:p>
      <w:pPr>
        <w:spacing w:after="0" w:line="19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3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months ended March 31, 2024 and 2023, the Company recorded $0.1 million of amortization and $0.4 million of accretion, respectively, with respect to the Westrock Series A Preferred Shares.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Common Stock Warrants</w:t>
      </w:r>
    </w:p>
    <w:p>
      <w:pPr>
        <w:spacing w:after="0" w:line="229"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The Company has 19,144,120 common stock warrants outstanding at March 31, 2024. 17,118,074 of the warrants are publicly-traded (the “Westrock Public Warrants”) and 2,026,046 of the warrants are private placements warrants (the “Westrock Private Warrants” and together with the Westrock Public Warrants, the “Westrock Warrants”). The Westrock Warrants are included in warrant liabilities on the Company’s Condensed Consolidated Balance Sheet. The Westrock Warrants entitle the holder to purchase one share of Common Share at an exercise price of $11.50 per share.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Westrock Warrants may only be exercised for a whole number of shares, and will expire on August 26, 2027 (i.e., five years following the Closing), or earlier upon redemption or liquidation.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 Westrock Warrants to exercise their Westrock Warrants on a “cashless basis” in accordance with Section 3(a)(9) of the Securities Act of 1933, as amended, or another exemption.</w:t>
      </w:r>
    </w:p>
    <w:p>
      <w:pPr>
        <w:spacing w:after="0" w:line="188"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If and when the Westrock Public Warrants become redeemable by Westrock, Westrock may exercise its redemption right even if Westrock is unable to register or qualify the underlying securities for sale under all applicable state securities laws.</w:t>
      </w:r>
    </w:p>
    <w:p>
      <w:pPr>
        <w:spacing w:after="0" w:line="140"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The Westrock Private Warrants are generally identical to the Westrock Public Warrants, except they cannot be redeemable by Westrock so long as they are held by the existing holders or its permitted transferees. Furthermore, the existing holders, or their permitted transferees, have the option to exercise the Westrock Private Warrants on a cashless basis.</w:t>
      </w:r>
    </w:p>
    <w:p>
      <w:pPr>
        <w:spacing w:after="0" w:line="1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We account for the Westrock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the Westrock Public Warrants based on the quoted market price of the Westrock Public Warrants. The Westrock Private Warrants are valued using a binomial lattice valuation model. For the three months ended March 31, 2024 and 2023, the Company recognized less than $0.1 million and $5.5 million of gains, respectively, related to the change in fair value of warrant liabilities, which is recognized in other (income) expense in the Condensed Consolidated Statements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Derivatives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spacing w:after="0" w:line="188" w:lineRule="exact"/>
        <w:rPr>
          <w:sz w:val="20"/>
          <w:szCs w:val="20"/>
          <w:color w:val="auto"/>
        </w:rPr>
      </w:pPr>
    </w:p>
    <w:p>
      <w:pPr>
        <w:ind w:left="60" w:right="299"/>
        <w:spacing w:after="0" w:line="289" w:lineRule="auto"/>
        <w:rPr>
          <w:sz w:val="20"/>
          <w:szCs w:val="20"/>
          <w:color w:val="auto"/>
        </w:rPr>
      </w:pPr>
      <w:r>
        <w:rPr>
          <w:rFonts w:ascii="Times New Roman" w:cs="Times New Roman" w:eastAsia="Times New Roman" w:hAnsi="Times New Roman"/>
          <w:sz w:val="17"/>
          <w:szCs w:val="17"/>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w:t>
      </w:r>
    </w:p>
    <w:p>
      <w:pPr>
        <w:spacing w:after="0" w:line="37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whether the financial instruments used in hedging transactions are highly effective at offsetting changes in either the fair values or cash flows of the related underlying exposures.</w:t>
      </w:r>
    </w:p>
    <w:p>
      <w:pPr>
        <w:spacing w:after="0" w:line="16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three months ended March 31, 2024 or 2023.</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16.1 million pounds and 11.5 million pounds as of March 31, 2024 and December 31, 2023, respectively. During the three months ended March 31, 2024 and 2023, the Company purchased coffee futures contracts and coffee options contracts under our cash flow hedging program with aggregate notional amounts of 9.9 million pounds and 8.4 million pounds, respectively.</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Approximately $0.1 million of net realized gains and $0.7 million of net realized losses, representing the effective portion of the cash flow hedge, were subsequently reclassified from AOCI to earnings and recognized in costs of sales in the Condensed Consolidated Statements of Operations for the three months ended March 31, 2024 and 2023, respectively. As of March 31, 2024, the estimated amount of net gains reported in AOCI that is expected to be reclassified to the Condensed Consolidated Statements of Operations within the next twelve months is $3.6 million.</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spacing w:after="0" w:line="183"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Condensed Consolidated Balance Sheets are set forth below:</w:t>
      </w: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8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w:t>
            </w:r>
          </w:p>
        </w:tc>
        <w:tc>
          <w:tcPr>
            <w:tcW w:w="2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8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4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2023, respectively:</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366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6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Costs of sales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purchase contracts</w:t>
            </w:r>
          </w:p>
        </w:tc>
        <w:tc>
          <w:tcPr>
            <w:tcW w:w="2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Costs of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March 31,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6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r>
      <w:tr>
        <w:trPr>
          <w:trHeight w:val="209"/>
        </w:trPr>
        <w:tc>
          <w:tcPr>
            <w:tcW w:w="45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w:t>
            </w: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Westrock Public Warrants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w:t>
            </w: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r>
      <w:tr>
        <w:trPr>
          <w:trHeight w:val="209"/>
        </w:trPr>
        <w:tc>
          <w:tcPr>
            <w:tcW w:w="45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w:t>
            </w: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change in fair value of Level 3 Westrock Private Warrant liabilities: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Westrock</w:t>
            </w: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March 31, 2024</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0"/>
        </w:trPr>
        <w:tc>
          <w:tcPr>
            <w:tcW w:w="684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2023:</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4"/>
                <w:szCs w:val="14"/>
                <w:color w:val="auto"/>
              </w:rPr>
            </w:pPr>
          </w:p>
        </w:tc>
        <w:tc>
          <w:tcPr>
            <w:tcW w:w="74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Westrock Public Warrants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Westrock Public Warrants are valued based on their quoted market price of $2.30 per warrant as of March 31, 2024 and December 31, 2023, respectively. Westrock Private Warrants price of $2.66 and $2.68 per warrant as of March 31, 2024 and December 31, 2023, respectively, are valued using a binomial lattice valuation model, which is considered to be a Level 3 fair value measurement. The primary unobservable inputs were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6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 supply chain finance program,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Revolving Credit Facility and Delayed Draw Term Loan Facility are carried on the Condensed Consolidated Balance Sheets at amortized cost and are estimated by management to approximate fair value as of March 31, 2024 as the interest rate on these facilities is adjusted for changes in the market rates. The Convertible Notes are carried on the Condensed Consolidated Balance Sheets at amortized cost and are estimated by management to approximate fair value as of March 31, 2024, as the Convertible Notes were issued on February 15, 2024. The fair value of the Term Loan Facility, Revolving Credit Facility, Delayed Draw Term Loan Facility and Convertible Notes was determined based on Level 2 inputs under the fair value hierarchy.</w:t>
      </w:r>
    </w:p>
    <w:p>
      <w:pPr>
        <w:spacing w:after="0" w:line="19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three months ended March 31, 2024 or 2023, requiring these non-financial assets and liabilities to be subsequently recognized at fair value.</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2024, the Company had an equity investment with a carrying value of approximately $1.0 million, for which there is no readily determinable fair value. This investment is recorded at cost within other long-term assets on the Condensed Consolidated Balance Sheets. As of March 31, 2024, there have been no adjustments, upward or downward, to the carrying value.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 (Loss)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for the three months ended March 31, 2024 and 2023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9"/>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Equity-Based Compensation</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granted 1.3 million and 1.1 million restricted stock units (“RSUs”), respectively, under the Westrock Coffee Company 2022 Equity Incentive Plan (the “2022 Equity Plan”). The RSUs had a grant date fair value of $12.3 million and $13.0 million, respectively, which was calculated using the closing price of the Common Shares on the applicable date of grant. The RSUs are amortized on a straight-line basis to expense over the vesting period. For RSUs issued during 2024, the vesting period is four years, and for RSUs issued prior to 2024, the vesting period is three years. As of March 31, 2024, there were 2.7 million shares available for future issuance under the 2022 Equity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three months ended March 31,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7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2"/>
                <w:szCs w:val="12"/>
                <w:color w:val="auto"/>
              </w:rPr>
            </w:pPr>
          </w:p>
        </w:tc>
        <w:tc>
          <w:tcPr>
            <w:tcW w:w="194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7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1,989,782</w:t>
            </w:r>
          </w:p>
        </w:tc>
        <w:tc>
          <w:tcPr>
            <w:tcW w:w="34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1,276,276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(17,563)</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(348,895)</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2,899,600</w:t>
            </w:r>
          </w:p>
        </w:tc>
        <w:tc>
          <w:tcPr>
            <w:tcW w:w="3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Earnings per Share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Incentive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83"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3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If-converted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23,583</w:t>
            </w:r>
          </w:p>
        </w:tc>
      </w:tr>
    </w:tbl>
    <w:p>
      <w:pPr>
        <w:spacing w:after="0" w:line="193"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participating securities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of non-participating securities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of dilutive participating securities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88,095</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loss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two operating segments, Beverage Solutions and Sustainable Sourcing &amp; Traceability, are evaluated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Coffee, Inc., impairment charges, changes in the fair value of warrant liabilities, non-cash mark-to-market adjustments, certain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specifically excluded from the calculation of EBITDA under our material debt agreements, such as facility start-up costs, and other similar or infrequent items (although we may not have had such charges in the periods presented).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Total of</w:t>
            </w:r>
          </w:p>
        </w:tc>
      </w:tr>
      <w:tr>
        <w:trPr>
          <w:trHeight w:val="176"/>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180" w:type="dxa"/>
            <w:vAlign w:val="bottom"/>
          </w:tcPr>
          <w:p>
            <w:pPr>
              <w:spacing w:after="0"/>
              <w:rPr>
                <w:sz w:val="15"/>
                <w:szCs w:val="15"/>
                <w:color w:val="auto"/>
              </w:rPr>
            </w:pPr>
          </w:p>
        </w:tc>
        <w:tc>
          <w:tcPr>
            <w:tcW w:w="11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0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w:t>
            </w:r>
          </w:p>
        </w:tc>
      </w:tr>
      <w:tr>
        <w:trPr>
          <w:trHeight w:val="173"/>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2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0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158,059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start-up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4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r>
      <w:tr>
        <w:trPr>
          <w:trHeight w:val="21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983,256</w:t>
            </w:r>
          </w:p>
        </w:tc>
        <w:tc>
          <w:tcPr>
            <w:tcW w:w="20" w:type="dxa"/>
            <w:vAlign w:val="bottom"/>
          </w:tcPr>
          <w:p>
            <w:pPr>
              <w:spacing w:after="0"/>
              <w:rPr>
                <w:sz w:val="18"/>
                <w:szCs w:val="18"/>
                <w:color w:val="auto"/>
              </w:rPr>
            </w:pPr>
          </w:p>
        </w:tc>
      </w:tr>
      <w:tr>
        <w:trPr>
          <w:trHeight w:val="378"/>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of</w:t>
            </w:r>
          </w:p>
        </w:tc>
      </w:tr>
      <w:tr>
        <w:trPr>
          <w:trHeight w:val="175"/>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140" w:type="dxa"/>
            <w:vAlign w:val="bottom"/>
          </w:tcPr>
          <w:p>
            <w:pPr>
              <w:spacing w:after="0"/>
              <w:rPr>
                <w:sz w:val="15"/>
                <w:szCs w:val="15"/>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Reportable</w:t>
            </w:r>
          </w:p>
        </w:tc>
      </w:tr>
      <w:tr>
        <w:trPr>
          <w:trHeight w:val="173"/>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40" w:type="dxa"/>
            <w:vAlign w:val="bottom"/>
          </w:tcPr>
          <w:p>
            <w:pPr>
              <w:spacing w:after="0"/>
              <w:rPr>
                <w:sz w:val="15"/>
                <w:szCs w:val="15"/>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10"/>
        </w:trPr>
        <w:tc>
          <w:tcPr>
            <w:tcW w:w="4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181,209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25,391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(1,158)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205,442</w:t>
            </w:r>
          </w:p>
        </w:tc>
        <w:tc>
          <w:tcPr>
            <w:tcW w:w="20" w:type="dxa"/>
            <w:vAlign w:val="bottom"/>
          </w:tcPr>
          <w:p>
            <w:pPr>
              <w:spacing w:after="0"/>
              <w:rPr>
                <w:sz w:val="18"/>
                <w:szCs w:val="18"/>
                <w:color w:val="auto"/>
              </w:rPr>
            </w:pPr>
          </w:p>
        </w:tc>
      </w:tr>
      <w:tr>
        <w:trPr>
          <w:trHeight w:val="216"/>
        </w:trPr>
        <w:tc>
          <w:tcPr>
            <w:tcW w:w="45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8,421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0" w:type="dxa"/>
            <w:vAlign w:val="bottom"/>
          </w:tcPr>
          <w:p>
            <w:pPr>
              <w:spacing w:after="0"/>
              <w:rPr>
                <w:sz w:val="18"/>
                <w:szCs w:val="18"/>
                <w:color w:val="auto"/>
              </w:rPr>
            </w:pPr>
          </w:p>
        </w:tc>
      </w:tr>
      <w:tr>
        <w:trPr>
          <w:trHeight w:val="216"/>
        </w:trPr>
        <w:tc>
          <w:tcPr>
            <w:tcW w:w="54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Coffee, Inc.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start-up costs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18"/>
                <w:szCs w:val="18"/>
                <w:color w:val="auto"/>
              </w:rPr>
            </w:pPr>
          </w:p>
        </w:tc>
      </w:tr>
      <w:tr>
        <w:trPr>
          <w:trHeight w:val="216"/>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r>
      <w:tr>
        <w:trPr>
          <w:trHeight w:val="249"/>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 w:type="dxa"/>
            <w:vAlign w:val="bottom"/>
          </w:tcPr>
          <w:p>
            <w:pPr>
              <w:spacing w:after="0"/>
              <w:rPr>
                <w:sz w:val="21"/>
                <w:szCs w:val="21"/>
                <w:color w:val="auto"/>
              </w:rPr>
            </w:pPr>
          </w:p>
        </w:tc>
      </w:tr>
      <w:tr>
        <w:trPr>
          <w:trHeight w:val="196"/>
        </w:trPr>
        <w:tc>
          <w:tcPr>
            <w:tcW w:w="4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688,403</w:t>
            </w: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84,898</w:t>
            </w:r>
          </w:p>
        </w:tc>
        <w:tc>
          <w:tcPr>
            <w:tcW w:w="140" w:type="dxa"/>
            <w:vAlign w:val="bottom"/>
          </w:tcPr>
          <w:p>
            <w:pPr>
              <w:spacing w:after="0"/>
              <w:rPr>
                <w:sz w:val="20"/>
                <w:szCs w:val="20"/>
                <w:color w:val="auto"/>
              </w:rPr>
            </w:pPr>
          </w:p>
        </w:tc>
        <w:tc>
          <w:tcPr>
            <w:tcW w:w="9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773,301</w:t>
            </w:r>
          </w:p>
        </w:tc>
        <w:tc>
          <w:tcPr>
            <w:tcW w:w="20" w:type="dxa"/>
            <w:vAlign w:val="bottom"/>
          </w:tcPr>
          <w:p>
            <w:pPr>
              <w:spacing w:after="0"/>
              <w:rPr>
                <w:sz w:val="20"/>
                <w:szCs w:val="20"/>
                <w:color w:val="auto"/>
              </w:rPr>
            </w:pPr>
          </w:p>
        </w:tc>
      </w:tr>
      <w:tr>
        <w:trPr>
          <w:trHeight w:val="846"/>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60"/>
        </w:trPr>
        <w:tc>
          <w:tcPr>
            <w:tcW w:w="4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20. Commitments and Contingencies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$160.1 million as of March 31, 2024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In addition, at March 31, 2024, we had an obligation to repurchase $3.4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Condensed Consolidated Balance Sheet.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21. Related Party Transactions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February 2024, the Company sold and issued Convertible Notes to Westrock Group, LLC (a holder of more than 5% of the outstanding Common Shares and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reflect the following transactions with related parties: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r>
      <w:tr>
        <w:trPr>
          <w:trHeight w:val="210"/>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980" w:type="dxa"/>
            <w:vAlign w:val="bottom"/>
            <w:gridSpan w:val="2"/>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6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r>
      <w:tr>
        <w:trPr>
          <w:trHeight w:val="210"/>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 net: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980" w:type="dxa"/>
            <w:vAlign w:val="bottom"/>
            <w:gridSpan w:val="2"/>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Unamortized debt costs</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197"/>
        </w:trPr>
        <w:tc>
          <w:tcPr>
            <w:tcW w:w="20" w:type="dxa"/>
            <w:vAlign w:val="bottom"/>
            <w:tcBorders>
              <w:bottom w:val="single" w:sz="8" w:color="CCEEFF"/>
            </w:tcBorders>
            <w:shd w:val="clear" w:color="auto" w:fill="CCEEFF"/>
          </w:tcPr>
          <w:p>
            <w:pPr>
              <w:spacing w:after="0"/>
              <w:rPr>
                <w:sz w:val="17"/>
                <w:szCs w:val="17"/>
                <w:color w:val="auto"/>
              </w:rPr>
            </w:pPr>
          </w:p>
        </w:tc>
        <w:tc>
          <w:tcPr>
            <w:tcW w:w="608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49,654</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9"/>
        </w:trPr>
        <w:tc>
          <w:tcPr>
            <w:tcW w:w="6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980" w:type="dxa"/>
            <w:vAlign w:val="bottom"/>
            <w:gridSpan w:val="2"/>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980" w:type="dxa"/>
            <w:vAlign w:val="bottom"/>
            <w:gridSpan w:val="2"/>
          </w:tcPr>
          <w:p>
            <w:pPr>
              <w:jc w:val="right"/>
              <w:ind w:right="80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499"/>
        <w:spacing w:after="0" w:line="312" w:lineRule="auto"/>
        <w:rPr>
          <w:sz w:val="20"/>
          <w:szCs w:val="20"/>
          <w:color w:val="auto"/>
        </w:rPr>
      </w:pPr>
      <w:r>
        <w:rPr>
          <w:rFonts w:ascii="Times New Roman" w:cs="Times New Roman" w:eastAsia="Times New Roman" w:hAnsi="Times New Roman"/>
          <w:sz w:val="17"/>
          <w:szCs w:val="17"/>
          <w:color w:val="auto"/>
        </w:rPr>
        <w:t>In connection with the acquisition of S&amp;D Coffee, Inc. in February 2020, the Company entered into a Management Services Agreement with Westrock Group, whose controlling manager and controlling member, Greenbrier Holdings,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Condensed Consolidated Statements of Operations. The Company recognized $0.6 million of such expenses during the three months ended March 31, 2023 and no such expenses during the three months ended March 31, 2024. In addition, the Company reimburses Westrock Group for the usage of a corporate aircraft, and its portion of shared administrative expenses. For the three months ended March 31, 2024 and 2023, the Company recognized expenses of $0.3 million and $0.3 million, respectively, for such items, which are recorded in selling, general and administrative expenses in our Condensed Consolidated Statements of Operations. At March 31, 2024 and December 31, 2023, we had $0.1 million and $0.2 million payable to Westrock Group, respectively, related to such items.</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months ended March 31, 2024. This discussion should be read in conjunction with the accompanying Condensed Consolidated Financial Statements, and the notes thereto set forth in Part I, Item 1 of this Quarterly Report on Form 10-Q and our December 31, 2023 Audited Consolidated Financial Statements and notes thereto included in our Annual Report on Form 10-K filed with the U.S. Securities and Exchange Commission (“SEC”) on March 15,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225"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use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define “EBITDA” as net (loss) income, as defined by GAAP, before interest expense, provision for income taxes and depreciation and amortization. We define “Adjusted EBITDA” as EBITDA before equity-based compensation expense and the impact, which may be recurring in nature, of transaction,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9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spacing w:after="0" w:line="180"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reconciliation of our net loss to EBITDA and Adjusted EBITDA for the three months ended March 31, 2024 and 2023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Coffee, Inc. acquisition)</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start-up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of Reportable Segments</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560"/>
        </w:trPr>
        <w:tc>
          <w:tcPr>
            <w:tcW w:w="6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 Milk Joint Venture</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February 15, 2024, the Company entered into a non-binding letter of intent with Select Milk Producers (“Select Milk”) to establish a joint venture that will construct and operate an extended shelf life and aseptic multi-serve bottle line facility to be co-located at Select Milk’s factory in Littlefield, Texas. Westrock will produce and provide the joint venture with coffee extract from its extract and ready-to-drink facility in Conway, Arkansas and Select Milk will provide the joint venture with milk from its Littlefield facility. The Company and Select Milk expect to ship the first product from these lines in the first quarter of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Offering</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The Convertible Notes will be unsecured and senior obligations of the Company and will accrue interest at a rate of 5.00% per annum.</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purchasers of the Convertible Notes are Westrock Group, LLC (a holder of more than 5% of the outstanding Common Shares and an affiliate of Scott Ford, the Company’s Chief Executive Officer and a member of the board of directors of the Company), Wooster Capital, LLC (an affiliate of Joe Ford, chairman of the board of directors), an affiliate of The Stephens Group, LLC (a holder of more than 5% of the outstanding Common Shares), an affiliate of Sowell Westrock, L.P. (a holder of more than 5% of the outstanding Common Shares), HF Direct Investments Pool, LLC (a holder of more than 10% of the outstanding Common Shares), an affiliate of the Herbert Hunt family and an individual investor. The offer and sale of the Convertible Notes was authorized and approved unanimously by the Audit &amp; Finance Committee of the board of directors in accordance with the Company’s Related Party Transactions Policy. See Note 11 to our Condensed Consolidated Financial Statements for additional discussion related to the Convertible Notes offering.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14, 2023, the Company entered into an Incremental Assumption Agreement and Amendment No. 1 (the “First Amendment”) to its Credit Agreement, which established a new class of incremental term loan commitments in the form of a senior secured delayed draw term loan facility (the “Delayed Draw Term Loan Facility”) in the aggregate principal amount of $50.0 million. In January 2024, the Company borrowed the $50.0 million available to it under the terms of the Delayed Draw Term Loan Facility.</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15, 2024, Westrock Beverage Solutions, LLC, a Delaware limited liability company and wholly-owned subsidiary of the Company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w:t>
      </w:r>
    </w:p>
    <w:p>
      <w:pPr>
        <w:spacing w:after="0" w:line="19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 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See Note 11 to our Condensed Consolidated Financial Statements for additional discussion related to the Third Amendment.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March 15, 2024, the Company entered into an Equity Distribution Agreement (the “Equity Distribution Agreement”) with Wells Fargo Securities, LLC and Truist Securities, Inc. (the “Agents”), pursuant to which the Company may from time to time offer and sell shares of the Company’s common stock, par value $0.01 per share (the “Common Shares”), not to exceed 5,000,000 Common Shares in the aggregate (the “Placement Securities”) through the Agents as part of an “at the market” offering program.</w:t>
      </w:r>
    </w:p>
    <w:p>
      <w:pPr>
        <w:spacing w:after="0" w:line="183"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offer and sale of the Placement Securities will be made pursuant to the Company’s shelf registration statement on Form S-3 (File No. 333-274827) that was declared effective by the SEC on November 17, 2023, and a related prospectus supplement, which the Company filed with the SEC on March 15, 2024.</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is not obligated to sell any Placement Securities pursuant to the Equity Distribution Agreement. Subject to the terms and conditions of the Equity Distribution Agreement, the Agents have agreed to use commercially reasonable efforts, consistent with their normal trading and sales practices, to sell Placement Securities from time to time in accordance with the Company’s placement notice, including any price, time or size limits or other customary parameters or conditions the Company may deem appropriate.</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Under the Equity Distribution Agreement and subject to the terms of the placement notice delivered by the Company, an Agent may sell Placement Securities by (x) any method permitted by law and deemed to be an “at-the-market offering” as defined in Rule 415 of the Securities Act and the rules and regulations thereunder, including, without limitation, sales made directly on the Nasdaq Global Select Market at market prices prevailing at the time of sale or at prices related to prevailing market prices, on any other existing trading market for the Common Shares or to or through a market maker, and (y) any other method permitted by law, including but not limited to in privately negotiated transactions. Subject to the terms and conditions of the Equity Distribution Agreement, the Company may also from time to time sell Placement Securities to an Agent as principal.</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Equity Distribution Agreement may be terminated for any reason, at any time by either the Company or any of the Agents upon ten days’ prior written notice to the other parties, or by the Agents at any time in certain circumstances, including the occurrence of a material adverse change in the Company. In addition, the Equity Distribution Agreement will automatically terminate upon the earlier of (1) two years from the date of the Equity Distribution Agreement and (2) the issuance and sale of all of the Placement Securities through the Agents.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will pay each Agent a commission of 1.5% of the gross proceeds from the sales of Common Shares sold by such Agent pursuant to the Equity Distribution Agreement. The Company has agreed to provide the Agents with customary indemnification and contribution rights. The Company has agreed to pay certain specified expenses incurred by the Agents in connection with the offering. The Equity Distribution Agreement contains customary representations and warranties and conditions to the placements of the Placement Securities pursuant thereto.</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2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vMerge w:val="continue"/>
          </w:tcPr>
          <w:p>
            <w:pPr>
              <w:spacing w:after="0"/>
              <w:rPr>
                <w:sz w:val="15"/>
                <w:szCs w:val="15"/>
                <w:color w:val="auto"/>
              </w:rPr>
            </w:pP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9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4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4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9"/>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47,406</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41,662</w:t>
            </w:r>
          </w:p>
        </w:tc>
        <w:tc>
          <w:tcPr>
            <w:tcW w:w="14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40" w:type="dxa"/>
            <w:vAlign w:val="bottom"/>
          </w:tcPr>
          <w:p>
            <w:pPr>
              <w:spacing w:after="0"/>
              <w:rPr>
                <w:sz w:val="21"/>
                <w:szCs w:val="21"/>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174"/>
        </w:trPr>
        <w:tc>
          <w:tcPr>
            <w:tcW w:w="47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4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1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w:t>
            </w:r>
          </w:p>
        </w:tc>
        <w:tc>
          <w:tcPr>
            <w:tcW w:w="2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4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1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4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4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of our reportable segments for the three months ended March 31,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6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Total of</w:t>
            </w:r>
          </w:p>
        </w:tc>
        <w:tc>
          <w:tcPr>
            <w:tcW w:w="0" w:type="dxa"/>
            <w:vAlign w:val="bottom"/>
          </w:tcPr>
          <w:p>
            <w:pPr>
              <w:spacing w:after="0"/>
              <w:rPr>
                <w:sz w:val="1"/>
                <w:szCs w:val="1"/>
                <w:color w:val="auto"/>
              </w:rPr>
            </w:pPr>
          </w:p>
        </w:tc>
      </w:tr>
      <w:tr>
        <w:trPr>
          <w:trHeight w:val="146"/>
        </w:trPr>
        <w:tc>
          <w:tcPr>
            <w:tcW w:w="4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5"/>
        </w:trPr>
        <w:tc>
          <w:tcPr>
            <w:tcW w:w="48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$ 158,059</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$ 36,320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Costs of Sales: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150,714</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Intersegment revenues represent sales of green coffee from our SS&amp;T segment to our Beverage Solutions segment.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Net Sales from our Beverage Solutions segment were $158.1 million for the three months ended March 31, 2024, compared to $181.2 million for the three months ended March 31, 2023, a decrease of approximately 12.8%. The decrease was primarily due to a $27.6 million decrease in the sale of coffee and tea products, driven by a 23.8% decrease in roast and ground coffee volumes, partially offset by a $4.6 million increase in the sale of flavors, extracts and ingredients products, driven by a 41.5% increase in flavors, extracts and ingredients volumes.</w:t>
      </w:r>
    </w:p>
    <w:p>
      <w:pPr>
        <w:spacing w:after="0" w:line="18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Net Sales from our SS&amp;T segment, net of intersegment revenues, totaled $34.4 million for the three months ended March 31, 2024, increasing 42.1% compared to $24.2 million for the three months ended March 31, 2023. The increase is driven by an increase in sales volume, which increased 100.9%, partially offset by a 27.9% decrease in average sales price per pound for the three months ended March 31, 2024 compared to the three months ended March 31, 2023. The decrease in the average sales price per pound is directly correlated to the global commodities price.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decreased to $125.1 million for the three months ended March 31, 2024, from $150.7 million for the three months ended March 31, 2023. The decrease in costs of sales was primarily driven by a decrease in the sale of coffee and tea products for the three months ended March 31, 2024 compared to the three months ended March 31, 2023.</w:t>
      </w:r>
    </w:p>
    <w:p>
      <w:pPr>
        <w:spacing w:after="0" w:line="180"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In our SS&amp;T segment, costs of sales increased $9.7 million to $30.2 million for the three months ended March 31, 2024 compared to the three months ended March 31, 2023. This increase is primarily due to an increase in green coffee sales volume. Costs of sales in our SS&amp;T segment for the three months ended March 31, 2024 included $1.6 million of net unrealized gains on forward sales and purchase contracts and mark-to-market adjustments on green coffee inventory compared to $1.2 million of net unrealized gains for the three months ended March 31, 2023.</w:t>
      </w: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60" w:type="dxa"/>
            <w:vAlign w:val="bottom"/>
            <w:gridSpan w:val="7"/>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$ 42,028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$ 31,802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$ 44,440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$ 34,122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increased $10.2 million to $42.0 million for the three months ended March 31, 2024, compared to the three months ended March 31, 2023. The increase is primarily due to a $7.9 million increase in expenses associated with the start-up of our extract and ready-to-drink facility in Conway, Arkansas. In our SS&amp;T segment, selling, general and administrative costs were relatively unchanged compared to the three months ended March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Transaction, restructuring and integration expenses for the three months ended March 31, 2024 were $3.0 million, approximately $2.2 million of which related to the Equity Distribution Agreement. During the three months ended March 31, 2023, we incurred $6.6 million of transaction, restructuring and integration expenses, approximately $6.1 million of which related to the costs associated with the integration of our new enterprise resource planning system, including internal and external costs related to post go-live system support, and $0.5 million of which related to the acquisition of Bixby Roasting Co.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(2,828)</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Interest expense for the three months ended March 31, 2024 was $7.6 million compared to $6.0 million for the three months ended March 31, 2023. $1.9 million of the increase is attributable to interest expense associated with our term loan and delayed draw term loan facilities, primarily due to an increase in interest rates. In addition, we incurred $2.0 million in interest on our supply chain finance program borrowings for the three months ended March 31, 2024 compared to no such interest for the three months ended March 31, 2023. Furthermore, during the three months ended March 31, 2024, the Company capitalized approximately $2.8 million of interest costs associated with the build-out of our extract and ready-to-drink facility in Conway, Arkansas, while no such interest was capitalized during the three months ended March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Condensed Consolidated Statement of Operations. The change in fair value of warrant liabilities for the three months ended March 31, 2024 resulted in recognition of $0.1 million of gains compared to recognition of $5.5 million of gains during the three months ended March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months ended March 31, 2024 was $5.8 million, resulting in an effective tax rate of (32.6)%. The effective tax rate for the current period differs from the federal statutory rate primarily due to an increase in the valuation allowance against domestic deferred tax assets and certain permanent differences, including nondeductible expenses related to executive compensation. Income tax benefit for the three months ended March 31, 2023 was $4.4 million, resulting in an effective tax rate of 50.2%.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5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80"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filed with the SEC on March 15, 2024. As of March 31, 2024, there have been no material changes to these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w:t>
      </w:r>
    </w:p>
    <w:p>
      <w:pPr>
        <w:spacing w:after="0" w:line="1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including any adverse impact from changes or delays in the estimated timing and volume of products to be commercialized in our extract and ready-to-drink manufacturing facility in Conway, Arkansas,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8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At March 31, 2024, the interest rate applicable to our Term Loan Facility was 9.2%, and the interest rate applicable to our Delayed Draw Term Loan Facility was 8.7%. At March 31, 2024, no amounts were outstanding under the Revolving Credit Facility and we had $2.6 million of standby letters of credit outstanding.</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15, 2024, Westrock Beverage Solutions, LLC, a Delaware limited liability company and wholly owned subsidiary of the Company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As of the date of this Quarterly Report on Form 10-Q, the Company was in compliance with its financial covenants.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requires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Term Loan Facility. Approximately $1.0 million of the fees were allocated to the Revolving Credit Facility, are reported within other long-term assets on the Condensed Consolidated Balance Sheets and are being amortized ratably over the remaining term of the Revolving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left="60" w:right="139"/>
        <w:spacing w:after="0" w:line="289" w:lineRule="auto"/>
        <w:rPr>
          <w:sz w:val="20"/>
          <w:szCs w:val="20"/>
          <w:color w:val="auto"/>
        </w:rPr>
      </w:pPr>
      <w:r>
        <w:rPr>
          <w:rFonts w:ascii="Times New Roman" w:cs="Times New Roman" w:eastAsia="Times New Roman" w:hAnsi="Times New Roman"/>
          <w:sz w:val="17"/>
          <w:szCs w:val="17"/>
          <w:color w:val="auto"/>
        </w:rPr>
        <w:t>On February 15, 2024, the Company sold and issued in a private placement $72.0 million in aggregate principal amount of 5.00% convertible senior notes due 2029 (the “Convertible Notes”), of which $50.0 million was from related parties. The Convertible Notes are unsecured, senior obligations of the Company and accrue interest at a rate of 5.00% per annum.</w:t>
      </w:r>
    </w:p>
    <w:p>
      <w:pPr>
        <w:spacing w:after="0" w:line="15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Condensed Consolidated Balance Sheets. At March 31, 2024, the carrying value of the Convertible Notes was $71.5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On March 21, 2023, we entered into a $70 million working capital trade finance facility with multiple financial institutions through our subsidiary, Falcon. The facility was set to mature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At March 31, 2024, there was $27.8 million of outstanding borrowings under the facility, which is recorded in short-term debt in the Condensed Consolidated Balance Sheets. Falcon’s facility contains certain restrictive</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financial covenants which require Falcon to maintain certain levels of working capital, debt, and net worth. Falcon was in compliance with these financial covenants as of March 31, 2024.</w:t>
      </w:r>
    </w:p>
    <w:p>
      <w:pPr>
        <w:spacing w:after="0" w:line="16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before the Quotation Day; or (b) the most recent applicable Term SOFR (as of the Quotation Day) for the shortest period (for which Term SOFR is available) which exceeds the applicable interest period of that loan, in each case plus the applicable margin. At March 31, 2024, there was $5.0 million of outstanding borrowings under the facility, of which $4.5 million and $0.5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March 31, 2024.</w:t>
      </w:r>
    </w:p>
    <w:p>
      <w:pPr>
        <w:spacing w:after="0" w:line="19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mortgage and inventory-backed lending facilities with a local bank in Rwanda: (a) a short-term trade finance facility with a balance of $6.7 million at March 31, 2024 and (b) a long-term note payable with a balance of $1.0 million at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As of March 31, 2024, there were $78.7 million obligations outstanding under the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Stock Offering Program</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shares of Common Stock in the aggregate. During the three months ended March 31, 2024, we did not make any sales under the ATM Program. This program is intended to provide additional financial flexibility and an alternative mechanism to access the capital markets at an efficient cost as and when we need financing, including for acquisitions.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519"/>
        <w:spacing w:after="0" w:line="258" w:lineRule="auto"/>
        <w:rPr>
          <w:sz w:val="20"/>
          <w:szCs w:val="20"/>
          <w:color w:val="auto"/>
        </w:rPr>
      </w:pPr>
      <w:r>
        <w:rPr>
          <w:rFonts w:ascii="Times New Roman" w:cs="Times New Roman" w:eastAsia="Times New Roman" w:hAnsi="Times New Roman"/>
          <w:sz w:val="18"/>
          <w:szCs w:val="18"/>
          <w:color w:val="auto"/>
        </w:rPr>
        <w:t>A key component of our long-term growth strategy is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 We expect that the material capital expenditures related to the facility will be completed by the first quarter of 2025.</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believe proceeds from the Delayed Draw Term Loans, Convertible Notes, cash from operations and borrowings available under the Revolving Credit Facility will provide sufficient cash on-hand to fund our near-term growth strategies, which include, (i) extending and enhancing product offerings through innovation, (ii) expanding our customer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base, (iii) expanding geographically, (iv) funding accretive acquisitions, (v) continuing to drive margin expansion and (vi) completing the build-out of our extract and ready-to-drink manufacturing facility in Conway, Arkansas. However, the Company will continuously evaluate its liquidity needs, and may seek to opportunistically access additional liquidity, including through either the debt or equity capital markets. If it is determined that we have insufficient liquidity to fund the Conway facility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Proceeds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March 31, 2024, we had 19,144,120 outstanding warrants to purchase 19,144,120 Common Shares, exercisable at an exercise price of $11.50 per share, which expire on the earliest to occur of August 26, 2027,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Westrock Public Warrants under certain conditions, as described in their warrant agreement, are redeemable by the Company at a price of $0.01 per warrant or on a cashless basis. Our Westrock Private Placement Warrants, of which there were 2,026,046 outstanding at March 31,2024, are not redeemable so long as they are held by the existing holders or their permitted transferees. As such, it is possible that we may never generate any or only very limited cash proceeds from the exercise of our warrants.</w:t>
      </w:r>
    </w:p>
    <w:p>
      <w:pPr>
        <w:spacing w:after="0" w:line="19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As of the date of this Quarterly Report on Form 10-Q,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w:t>
      </w:r>
    </w:p>
    <w:p>
      <w:pPr>
        <w:spacing w:after="0" w:line="18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Redemptions of Series A Preferred Shares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23,511,922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Our Term Loan Facility and Delayed Draw Term Loan Facility require quarterly principal payments of 1.25% of the original principal. Quarterly payments increase 1.875% and 2.5% of the original principal balance during the fourth and fifth years of the Credit Facility, respectively. We have no other material obligations to pay principal amounts of our long-term debt obligations prior to their maturity.</w:t>
      </w:r>
    </w:p>
    <w:p>
      <w:pPr>
        <w:spacing w:after="0" w:line="18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Future purchase obligations of $160.1 million as of March 31, 2024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have future obligations to repurchase $3.4 million of inventory associated with repurchase agreements in which the Company’s SS&amp;T segment has sold inventory to a third party and from whom the Company’s Beverage Solution segment has an obligation to repurchase.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three months ended March 31, 2024 and 2023 were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9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$ 67,344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68,914</w:t>
            </w: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$ 17,766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19,625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During 2024, we expect to continue to invest to expand our extract and ready-to-drink product manufacturing capacity in Conway, Arkansas.</w:t>
      </w:r>
    </w:p>
    <w:p>
      <w:pPr>
        <w:spacing w:after="0" w:line="1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market risks discussed in Item 7A “Quantitative and Qualitative Disclosures About Market Risk” in our Annual Report on Form 10-K filed with the SEC on March 15,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49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2024, the end of the period covered by this Quarterly Report. Based on this evaluation, our Principal Executive Officer and Principal Financial Officer concluded that our disclosure controls and procedures were not effective as of March 31, 2024, due to the material weaknesses in our internal control over financial reporting, described below.</w:t>
      </w:r>
    </w:p>
    <w:p>
      <w:pPr>
        <w:spacing w:after="0" w:line="183"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However, after giving full consideration to the material weaknesses, 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March 31, 2024.</w:t>
      </w:r>
    </w:p>
    <w:p>
      <w:pPr>
        <w:spacing w:after="0" w:line="18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spacing w:after="0" w:line="207" w:lineRule="exact"/>
        <w:rPr>
          <w:sz w:val="20"/>
          <w:szCs w:val="20"/>
          <w:color w:val="auto"/>
        </w:rPr>
      </w:pPr>
    </w:p>
    <w:p>
      <w:pPr>
        <w:ind w:left="720" w:right="79" w:hanging="319"/>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over the period-end financial reporting process to achieve complete and accurate financial accounting, reporting and disclosures, including the presentation and classification of various accounts and the recognition of operating lease right-of-use assets and operating lease liabilities in the consolidated financial statements, which resulted in immaterial adjustments to certain interim and annual periods for the years ending December 31, 2020 through December 31, 2023, and material adjustments to the cash flow presentation of net repayments from repurchase agreements within financing activities within the condensed consolidated statement of cash flows for the six months ended June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spacing w:after="0" w:line="282" w:lineRule="auto"/>
        <w:rPr>
          <w:sz w:val="20"/>
          <w:szCs w:val="20"/>
          <w:color w:val="auto"/>
        </w:rPr>
      </w:pPr>
      <w:r>
        <w:rPr>
          <w:rFonts w:ascii="Times New Roman" w:cs="Times New Roman" w:eastAsia="Times New Roman" w:hAnsi="Times New Roman"/>
          <w:sz w:val="18"/>
          <w:szCs w:val="18"/>
          <w:color w:val="auto"/>
        </w:rPr>
        <w:t>and to operating lease right-of-use assets and operating lease liabilities within the consolidated balance sheet as of December 31, 2023.</w:t>
      </w:r>
    </w:p>
    <w:p>
      <w:pPr>
        <w:spacing w:after="0" w:line="175" w:lineRule="exact"/>
        <w:rPr>
          <w:sz w:val="20"/>
          <w:szCs w:val="20"/>
          <w:color w:val="auto"/>
        </w:rPr>
      </w:pPr>
    </w:p>
    <w:p>
      <w:pPr>
        <w:ind w:left="720" w:right="13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89"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Activities</w:t>
      </w:r>
    </w:p>
    <w:p>
      <w:pPr>
        <w:spacing w:after="0" w:line="227"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Westrock has taken and is taking certain measures to remediate the material weaknesses described above, including the following:</w:t>
      </w:r>
    </w:p>
    <w:p>
      <w:pPr>
        <w:spacing w:after="0" w:line="162" w:lineRule="exact"/>
        <w:rPr>
          <w:sz w:val="20"/>
          <w:szCs w:val="20"/>
          <w:color w:val="auto"/>
        </w:rPr>
      </w:pPr>
    </w:p>
    <w:p>
      <w:pPr>
        <w:ind w:left="720" w:right="9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and information technology (“IT”) personnel, including a new chief accounting officer hired in May 2021, a new technical accounting resource hired in April 2022, a new IT compliance resource hired in March 2023, a new internal controls resource hired in April 2023 with the appropriate level of knowledge, training, and experience to establish an internal audit function responsible for testing internal controls to improve our internal control over financial reporting and IT capabilities, and a Chief Information Officer in November 2023 with public company IT compliance and cybersecurity experience.</w:t>
      </w:r>
    </w:p>
    <w:p>
      <w:pPr>
        <w:spacing w:after="0" w:line="187"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formalized a risk assessment process across the organization to identify risks and design new controls or enhance existing controls responsive to such risks to ensure timely and accurate financial reporting based on criteria established in the COSO Framework. Entity level controls necessary to support management’s risk assessment and a process to evaluate the control environment in accordance with the COSO Framework were improved or implemented throughout 2023.</w:t>
      </w:r>
    </w:p>
    <w:p>
      <w:pPr>
        <w:spacing w:after="0" w:line="196"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period-end financial reporting and segregation of duties.</w:t>
      </w:r>
    </w:p>
    <w:p>
      <w:pPr>
        <w:spacing w:after="0" w:line="175"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during the quarters ended June 30, September 30, and December 31, 2023, to formalize roles and review responsibilities to align with Westrock’s team’s skills and experience and designing and implementing controls over segregation of duties that include documentation, task reassignment, and policies and procedures enhancement around the preparation, review and oversight of account reconciliations and journal entries.</w:t>
      </w:r>
    </w:p>
    <w:p>
      <w:pPr>
        <w:spacing w:after="0" w:line="196"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accounting procedures and controls during the quarters ended September 30, 2023 December 31, 2023, and March 31, 2024 that support Westrock’s period-end financial accounting, reporting and disclosures, including controls over close procedures workflow, preparation, review and oversight of account reconciliations and journal entries, presentation and classification, evaluation of internal information for disclosure, recognition of operating lease right-of-use assets and operating lease liabilities, and controls to reconcile financial statement and disclosure information to source documentation.</w:t>
      </w:r>
    </w:p>
    <w:p>
      <w:pPr>
        <w:spacing w:after="0" w:line="201"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enhancements are expected to remediate the material weaknesses when they have operated effectively for a sufficient period of time.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w:t>
      </w:r>
    </w:p>
    <w:p>
      <w:pPr>
        <w:spacing w:after="0" w:line="227"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As previously disclosed, Westrock did not design and maintain effective controls over certain IT or general computer controls for information systems that are relevant to the preparation of the consolidated financial statements.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remediate the material weakness, management has taken certain measures including the following:</w:t>
      </w:r>
    </w:p>
    <w:p>
      <w:pPr>
        <w:spacing w:after="0" w:line="225" w:lineRule="exact"/>
        <w:rPr>
          <w:sz w:val="20"/>
          <w:szCs w:val="20"/>
          <w:color w:val="auto"/>
        </w:rPr>
      </w:pPr>
    </w:p>
    <w:p>
      <w:pPr>
        <w:ind w:left="720" w:right="79" w:hanging="319"/>
        <w:spacing w:after="0" w:line="25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and IT personnel, including a new chief accounting officer hired in May 2021, a new IT compliance resource hired in March 2023, a new internal controls resource hired in April 2023 with the appropriate level of knowledge, training, and experience to establish an internal audit function responsible for testing internal controls to improve our internal control over financial reporting and IT capabilities, and a Chief Information Officer in November 2023 with public company IT compliance and cybersecurity experience.</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IT general controls (ITGC).</w:t>
      </w:r>
    </w:p>
    <w:p>
      <w:pPr>
        <w:spacing w:after="0" w:line="225" w:lineRule="exact"/>
        <w:rPr>
          <w:rFonts w:ascii="Times New Roman" w:cs="Times New Roman" w:eastAsia="Times New Roman" w:hAnsi="Times New Roman"/>
          <w:sz w:val="18"/>
          <w:szCs w:val="18"/>
          <w:color w:val="auto"/>
        </w:rPr>
      </w:pPr>
    </w:p>
    <w:p>
      <w:pPr>
        <w:ind w:left="720" w:right="119" w:hanging="319"/>
        <w:spacing w:after="0" w:line="25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2023, enhanced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(v) backup processes including access to backups, monitoring, scheduling, recovery, and testing, and (vi) review of service organization reports and related end-user control considerations.</w:t>
      </w:r>
    </w:p>
    <w:p>
      <w:pPr>
        <w:spacing w:after="0" w:line="191" w:lineRule="exact"/>
        <w:rPr>
          <w:rFonts w:ascii="Times New Roman" w:cs="Times New Roman" w:eastAsia="Times New Roman" w:hAnsi="Times New Roman"/>
          <w:sz w:val="18"/>
          <w:szCs w:val="18"/>
          <w:color w:val="auto"/>
        </w:rPr>
      </w:pPr>
    </w:p>
    <w:p>
      <w:pPr>
        <w:ind w:left="720" w:right="239" w:hanging="319"/>
        <w:spacing w:after="0" w:line="27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course of the quarter ended December 31, 2023, management provided training to control owners and revised certain control documentation to emphasize evidence retention in the execution of key IT controls.</w:t>
      </w:r>
    </w:p>
    <w:p>
      <w:pPr>
        <w:spacing w:after="0" w:line="389"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IT general controls, including controls over program change management, the review and update of user access rights and privileges, controls over batch jobs and data backups, and program development approvals and testing for all IT systems during the quarters ended September 30, and December 31, 2023.</w:t>
      </w:r>
    </w:p>
    <w:p>
      <w:pPr>
        <w:spacing w:after="0" w:line="179" w:lineRule="exact"/>
        <w:rPr>
          <w:rFonts w:ascii="Times New Roman" w:cs="Times New Roman" w:eastAsia="Times New Roman" w:hAnsi="Times New Roman"/>
          <w:sz w:val="18"/>
          <w:szCs w:val="18"/>
          <w:color w:val="auto"/>
        </w:rPr>
      </w:pPr>
    </w:p>
    <w:p>
      <w:pPr>
        <w:ind w:left="720" w:right="23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ending December 31, 2023, designed and implemented a third-party service provider assurance report review control which includes management’s overall evaluation of the report and bridge letters as applicable, a response to the deficiencies noted, a mapping of complimentary user entity controls to the company’s controls, and an evaluation of relevant sub-service providers.</w:t>
      </w:r>
    </w:p>
    <w:p>
      <w:pPr>
        <w:spacing w:after="0" w:line="180" w:lineRule="exact"/>
        <w:rPr>
          <w:sz w:val="20"/>
          <w:szCs w:val="20"/>
          <w:color w:val="auto"/>
        </w:rPr>
      </w:pPr>
    </w:p>
    <w:p>
      <w:pPr>
        <w:jc w:val="both"/>
        <w:ind w:left="60" w:right="239"/>
        <w:spacing w:after="0" w:line="289" w:lineRule="auto"/>
        <w:rPr>
          <w:sz w:val="20"/>
          <w:szCs w:val="20"/>
          <w:color w:val="auto"/>
        </w:rPr>
      </w:pPr>
      <w:r>
        <w:rPr>
          <w:rFonts w:ascii="Times New Roman" w:cs="Times New Roman" w:eastAsia="Times New Roman" w:hAnsi="Times New Roman"/>
          <w:sz w:val="17"/>
          <w:szCs w:val="17"/>
          <w:color w:val="auto"/>
        </w:rPr>
        <w:t>During the fourth quarter of 2023 and first quarter of 2024, management completed the testing necessary to conclude that the newly implemented and enhanced controls were appropriately designed, implemented and operating effectively as of March 31, 2024, and concluded that the material weakness related to IT general computer controls has been remediated.</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3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described under Item 1A “Risk Factors” discussed in our Annual Report on Form 10-K filed with the SEC on March 15,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00" w:right="239" w:hanging="650"/>
        <w:spacing w:after="0" w:line="289" w:lineRule="auto"/>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below, during the three months ended March 31, 2024, none of the Company’s directors or officers (as defined in Rule 16a-1(f) of the Securities Exchange Act of 1934) adopted or terminated a Rule 10b5-1 trading arrangement or non-Rule 10b5-1 trading arrangement (as such terms are defined in Item 408 of Regulation S-K).</w:t>
      </w:r>
    </w:p>
    <w:p>
      <w:pPr>
        <w:spacing w:after="0" w:line="157" w:lineRule="exact"/>
        <w:rPr>
          <w:rFonts w:ascii="Times New Roman" w:cs="Times New Roman" w:eastAsia="Times New Roman" w:hAnsi="Times New Roman"/>
          <w:sz w:val="17"/>
          <w:szCs w:val="17"/>
          <w:color w:val="auto"/>
        </w:rPr>
      </w:pPr>
    </w:p>
    <w:p>
      <w:pPr>
        <w:ind w:left="700" w:right="179"/>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18, 2024, Mr. T. Christopher Pledger, the Company’s Chief Financial Officer, entered into a Rule 10b5-1 trading arrangement (the “10b5-1 Plan”) to sell up to 30,000 shares of the Company’s common stock during the period starting 90 days after the date of the 10b5-1 Plan and ending on March 31, 2025,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19"/>
          </w:tcPr>
          <w:p>
            <w:pPr>
              <w:ind w:left="6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8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Incorporation of Westrock Coffee</w:t>
              </w:r>
            </w:hyperlink>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Company</w:t>
              </w:r>
            </w:hyperlink>
          </w:p>
        </w:tc>
        <w:tc>
          <w:tcPr>
            <w:tcW w:w="2720" w:type="dxa"/>
            <w:vAlign w:val="bottom"/>
            <w:tcBorders>
              <w:top w:val="single" w:sz="8" w:color="0000EE"/>
            </w:tcBorders>
            <w:gridSpan w:val="8"/>
          </w:tcPr>
          <w:p>
            <w:pPr>
              <w:spacing w:after="0"/>
              <w:rPr>
                <w:sz w:val="17"/>
                <w:szCs w:val="17"/>
                <w:color w:val="auto"/>
              </w:rPr>
            </w:pPr>
          </w:p>
        </w:tc>
        <w:tc>
          <w:tcPr>
            <w:tcW w:w="52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Westrock Coffee Company</w:t>
              </w:r>
            </w:hyperlink>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3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Form of Convertible Note of Westrock Coffee</w:t>
              </w:r>
            </w:hyperlink>
          </w:p>
        </w:tc>
        <w:tc>
          <w:tcPr>
            <w:tcW w:w="600" w:type="dxa"/>
            <w:vAlign w:val="bottom"/>
            <w:gridSpan w:val="13"/>
          </w:tcPr>
          <w:p>
            <w:pPr>
              <w:spacing w:after="0"/>
              <w:rPr>
                <w:sz w:val="24"/>
                <w:szCs w:val="24"/>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February 15,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Company, dated February 15, 2024</w:t>
              </w:r>
            </w:hyperlink>
          </w:p>
        </w:tc>
        <w:tc>
          <w:tcPr>
            <w:tcW w:w="1400" w:type="dxa"/>
            <w:vAlign w:val="bottom"/>
            <w:gridSpan w:val="16"/>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Amendment No. 3, dated as of f 15, 2024, among</w:t>
              </w:r>
            </w:hyperlink>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33"/>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February 15,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Westrock Beverage Solutions, LLC, as the borrower,</w:t>
              </w:r>
            </w:hyperlink>
          </w:p>
        </w:tc>
        <w:tc>
          <w:tcPr>
            <w:tcW w:w="1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the lenders party thereto and Wells Fargo Bank,</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N.A., as administrative agent</w:t>
              </w:r>
            </w:hyperlink>
          </w:p>
        </w:tc>
        <w:tc>
          <w:tcPr>
            <w:tcW w:w="1320" w:type="dxa"/>
            <w:vAlign w:val="bottom"/>
            <w:tcBorders>
              <w:top w:val="single" w:sz="8" w:color="0000EE"/>
            </w:tcBorders>
            <w:gridSpan w:val="6"/>
          </w:tcPr>
          <w:p>
            <w:pPr>
              <w:spacing w:after="0"/>
              <w:rPr>
                <w:sz w:val="17"/>
                <w:szCs w:val="17"/>
                <w:color w:val="auto"/>
              </w:rPr>
            </w:pPr>
          </w:p>
        </w:tc>
        <w:tc>
          <w:tcPr>
            <w:tcW w:w="52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3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Westrock Coffee Company Deferred Compensation</w:t>
              </w:r>
            </w:hyperlink>
          </w:p>
        </w:tc>
        <w:tc>
          <w:tcPr>
            <w:tcW w:w="220" w:type="dxa"/>
            <w:vAlign w:val="bottom"/>
            <w:gridSpan w:val="3"/>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33"/>
              <w:spacing w:after="0"/>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15,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Plan for Non-Employee Directors</w:t>
              </w:r>
            </w:hyperlink>
          </w:p>
        </w:tc>
        <w:tc>
          <w:tcPr>
            <w:tcW w:w="1500" w:type="dxa"/>
            <w:vAlign w:val="bottom"/>
            <w:gridSpan w:val="1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3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Form of Restricted Stock Unit Award Agreement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3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30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62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8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32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30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62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8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3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20" w:type="dxa"/>
            <w:vAlign w:val="bottom"/>
            <w:gridSpan w:val="10"/>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80" w:type="dxa"/>
            <w:vAlign w:val="bottom"/>
            <w:gridSpan w:val="1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32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28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gridSpan w:val="17"/>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560" w:type="dxa"/>
            <w:vAlign w:val="bottom"/>
            <w:gridSpan w:val="1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80" w:type="dxa"/>
            <w:vAlign w:val="bottom"/>
          </w:tcPr>
          <w:p>
            <w:pPr>
              <w:spacing w:after="0"/>
              <w:rPr>
                <w:sz w:val="24"/>
                <w:szCs w:val="24"/>
                <w:color w:val="auto"/>
              </w:rPr>
            </w:pPr>
          </w:p>
        </w:tc>
        <w:tc>
          <w:tcPr>
            <w:tcW w:w="3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80" w:type="dxa"/>
            <w:vAlign w:val="bottom"/>
          </w:tcPr>
          <w:p>
            <w:pPr>
              <w:spacing w:after="0"/>
              <w:rPr>
                <w:sz w:val="24"/>
                <w:szCs w:val="24"/>
                <w:color w:val="auto"/>
              </w:rPr>
            </w:pPr>
          </w:p>
        </w:tc>
        <w:tc>
          <w:tcPr>
            <w:tcW w:w="3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ind w:left="860" w:right="4319" w:hanging="568"/>
        <w:spacing w:after="0" w:line="261" w:lineRule="auto"/>
        <w:tabs>
          <w:tab w:leader="none" w:pos="8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7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59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Westrock Coffee Company</w:t>
            </w: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T. Christopher Pledger</w:t>
            </w:r>
          </w:p>
        </w:tc>
      </w:tr>
      <w:tr>
        <w:trPr>
          <w:trHeight w:val="225"/>
        </w:trPr>
        <w:tc>
          <w:tcPr>
            <w:tcW w:w="2900" w:type="dxa"/>
            <w:vAlign w:val="bottom"/>
          </w:tcPr>
          <w:p>
            <w:pPr>
              <w:spacing w:after="0"/>
              <w:rPr>
                <w:sz w:val="19"/>
                <w:szCs w:val="19"/>
                <w:color w:val="auto"/>
              </w:rPr>
            </w:pPr>
          </w:p>
        </w:tc>
        <w:tc>
          <w:tcPr>
            <w:tcW w:w="2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 Christopher Pledger</w:t>
            </w:r>
          </w:p>
        </w:tc>
      </w:tr>
      <w:tr>
        <w:trPr>
          <w:trHeight w:val="234"/>
        </w:trPr>
        <w:tc>
          <w:tcPr>
            <w:tcW w:w="2900" w:type="dxa"/>
            <w:vAlign w:val="bottom"/>
          </w:tcPr>
          <w:p>
            <w:pPr>
              <w:spacing w:after="0"/>
              <w:rPr>
                <w:sz w:val="20"/>
                <w:szCs w:val="20"/>
                <w:color w:val="auto"/>
              </w:rPr>
            </w:pPr>
          </w:p>
        </w:tc>
        <w:tc>
          <w:tcPr>
            <w:tcW w:w="2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9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Blake Schuhmacher</w:t>
            </w:r>
          </w:p>
        </w:tc>
      </w:tr>
      <w:tr>
        <w:trPr>
          <w:trHeight w:val="225"/>
        </w:trPr>
        <w:tc>
          <w:tcPr>
            <w:tcW w:w="2900" w:type="dxa"/>
            <w:vAlign w:val="bottom"/>
          </w:tcPr>
          <w:p>
            <w:pPr>
              <w:spacing w:after="0"/>
              <w:rPr>
                <w:sz w:val="19"/>
                <w:szCs w:val="19"/>
                <w:color w:val="auto"/>
              </w:rPr>
            </w:pPr>
          </w:p>
        </w:tc>
        <w:tc>
          <w:tcPr>
            <w:tcW w:w="2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Blake Schuhmacher</w:t>
            </w:r>
          </w:p>
        </w:tc>
      </w:tr>
      <w:tr>
        <w:trPr>
          <w:trHeight w:val="234"/>
        </w:trPr>
        <w:tc>
          <w:tcPr>
            <w:tcW w:w="2900" w:type="dxa"/>
            <w:vAlign w:val="bottom"/>
          </w:tcPr>
          <w:p>
            <w:pPr>
              <w:spacing w:after="0"/>
              <w:rPr>
                <w:sz w:val="20"/>
                <w:szCs w:val="20"/>
                <w:color w:val="auto"/>
              </w:rPr>
            </w:pPr>
          </w:p>
        </w:tc>
        <w:tc>
          <w:tcPr>
            <w:tcW w:w="2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Accounting Officer</w:t>
            </w:r>
          </w:p>
        </w:tc>
      </w:tr>
      <w:tr>
        <w:trPr>
          <w:trHeight w:val="243"/>
        </w:trPr>
        <w:tc>
          <w:tcPr>
            <w:tcW w:w="29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AWARD AGREEMENT</w:t>
      </w:r>
    </w:p>
    <w:p>
      <w:pPr>
        <w:spacing w:after="0" w:line="17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Westrock Coffee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individual named on the acceptance page hereto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is made as of the date set forth on such acceptance page hereto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Reference is made herein to the Westrock Coffee Company 2022 Equity Incentive Plan, as amended, modified or supplemented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WHEREAS, on the terms and subject to the conditions hereof, the Company desires to issue to Participant Restricted Stock Units (as defined in the Plan) in the amount set forth on the acceptance page hereto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as hereinafter set forth.</w:t>
      </w:r>
    </w:p>
    <w:p>
      <w:pPr>
        <w:spacing w:after="0" w:line="17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21"/>
          <w:szCs w:val="21"/>
          <w:color w:val="auto"/>
        </w:rPr>
        <w:t>NOW, THEREFORE, in order to implement the foregoing and in consideration of the mutual representations, warranties, covenants and agreements contained herein, the parties hereto agree as follows:</w:t>
      </w:r>
    </w:p>
    <w:p>
      <w:pPr>
        <w:spacing w:after="0" w:line="131" w:lineRule="exact"/>
        <w:rPr>
          <w:sz w:val="20"/>
          <w:szCs w:val="20"/>
          <w:color w:val="auto"/>
        </w:rPr>
      </w:pPr>
    </w:p>
    <w:p>
      <w:pPr>
        <w:ind w:right="180" w:firstLine="656"/>
        <w:spacing w:after="0" w:line="262" w:lineRule="auto"/>
        <w:tabs>
          <w:tab w:leader="none" w:pos="129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Capitalized terms not defined in this Agreement shall have the meanings ascribed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Plan.</w:t>
      </w:r>
    </w:p>
    <w:p>
      <w:pPr>
        <w:spacing w:after="0" w:line="149" w:lineRule="exact"/>
        <w:rPr>
          <w:rFonts w:ascii="Times New Roman" w:cs="Times New Roman" w:eastAsia="Times New Roman" w:hAnsi="Times New Roman"/>
          <w:sz w:val="22"/>
          <w:szCs w:val="22"/>
          <w:color w:val="010000"/>
        </w:rPr>
      </w:pPr>
    </w:p>
    <w:p>
      <w:pPr>
        <w:ind w:right="20" w:firstLine="656"/>
        <w:spacing w:after="0" w:line="238" w:lineRule="auto"/>
        <w:tabs>
          <w:tab w:leader="none" w:pos="129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Incorporation of the Plan</w:t>
      </w:r>
      <w:r>
        <w:rPr>
          <w:rFonts w:ascii="Times New Roman" w:cs="Times New Roman" w:eastAsia="Times New Roman" w:hAnsi="Times New Roman"/>
          <w:sz w:val="22"/>
          <w:szCs w:val="22"/>
          <w:color w:val="auto"/>
        </w:rPr>
        <w:t>. The Award is made pursuant to the Plan, all terms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in this Agreement. In the event of any conflict between the terms of the Plan, on the one hand, and the terms of this Agreement or any other arrangement between you and the Company, on the other hand, the terms of the Plan shall govern. By accepting this Agreement, Participant hereby agrees to be bound by the terms of the Plan and this Agreement.</w:t>
      </w:r>
    </w:p>
    <w:p>
      <w:pPr>
        <w:spacing w:after="0" w:line="176" w:lineRule="exact"/>
        <w:rPr>
          <w:rFonts w:ascii="Times New Roman" w:cs="Times New Roman" w:eastAsia="Times New Roman" w:hAnsi="Times New Roman"/>
          <w:sz w:val="22"/>
          <w:szCs w:val="22"/>
          <w:color w:val="010000"/>
        </w:rPr>
      </w:pPr>
    </w:p>
    <w:p>
      <w:pPr>
        <w:ind w:right="40" w:firstLine="656"/>
        <w:spacing w:after="0" w:line="236" w:lineRule="auto"/>
        <w:tabs>
          <w:tab w:leader="none" w:pos="129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Grant and Vesting</w:t>
      </w:r>
      <w:r>
        <w:rPr>
          <w:rFonts w:ascii="Times New Roman" w:cs="Times New Roman" w:eastAsia="Times New Roman" w:hAnsi="Times New Roman"/>
          <w:sz w:val="22"/>
          <w:szCs w:val="22"/>
          <w:color w:val="auto"/>
        </w:rPr>
        <w:t>. Participant is hereby granted the number of Restricted Stock Units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signature page hereto. The Restricted Stock Units shall become vested in [INSERT APPLICABLE VESTING TERMS] (each such applicable date,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subject to Participant’s continued service or employment, as applicable, through the applicable Vesting Date. Any unvested Restricted Stock Units that do not become vested on or prior to Participant’s termination of service or employment, as applicable, with the Company and its Affiliates shall be forfeited, and Participant shall have no further rights with respect thereto, effective as of the date of such termination.</w:t>
      </w:r>
    </w:p>
    <w:p>
      <w:pPr>
        <w:spacing w:after="0" w:line="175" w:lineRule="exact"/>
        <w:rPr>
          <w:rFonts w:ascii="Times New Roman" w:cs="Times New Roman" w:eastAsia="Times New Roman" w:hAnsi="Times New Roman"/>
          <w:sz w:val="22"/>
          <w:szCs w:val="22"/>
          <w:color w:val="010000"/>
        </w:rPr>
      </w:pPr>
    </w:p>
    <w:p>
      <w:pPr>
        <w:ind w:right="220" w:firstLine="656"/>
        <w:spacing w:after="0" w:line="246" w:lineRule="auto"/>
        <w:tabs>
          <w:tab w:leader="none" w:pos="129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Any unvested Restricted Stock Units shall vest in full upon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subject to Participant’s continued service or employment, as applicable, through the occurrence of such Change in Control.</w:t>
      </w:r>
    </w:p>
    <w:p>
      <w:pPr>
        <w:spacing w:after="0" w:line="167" w:lineRule="exact"/>
        <w:rPr>
          <w:rFonts w:ascii="Times New Roman" w:cs="Times New Roman" w:eastAsia="Times New Roman" w:hAnsi="Times New Roman"/>
          <w:sz w:val="22"/>
          <w:szCs w:val="22"/>
          <w:color w:val="010000"/>
        </w:rPr>
      </w:pPr>
    </w:p>
    <w:p>
      <w:pPr>
        <w:ind w:right="140" w:firstLine="656"/>
        <w:spacing w:after="0" w:line="238" w:lineRule="auto"/>
        <w:tabs>
          <w:tab w:leader="none" w:pos="129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Issuance of Shares</w:t>
      </w:r>
      <w:r>
        <w:rPr>
          <w:rFonts w:ascii="Times New Roman" w:cs="Times New Roman" w:eastAsia="Times New Roman" w:hAnsi="Times New Roman"/>
          <w:sz w:val="22"/>
          <w:szCs w:val="22"/>
          <w:color w:val="auto"/>
        </w:rPr>
        <w:t>. As soon as reasonably practicable following the date a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hereby vests (but in no event later than two and one-half months after the end of the year in which such Restricted Stock Unit vests), the Company shall issue to Participant the number of Shares equal to the aggregate number of Restricted Stock Units that have vested pursuant to this Agreement on such date and Participant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4" w:name="page55"/>
    <w:bookmarkEnd w:id="54"/>
    <w:p>
      <w:pPr>
        <w:ind w:right="20" w:firstLine="656"/>
        <w:spacing w:after="0" w:line="235" w:lineRule="auto"/>
        <w:tabs>
          <w:tab w:leader="none" w:pos="1296"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If the record date for the payment of cash dividends on Shares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Grant Date and the date a Restricted Stock Unit is settled for Shares or forfeited pursuant to this Agreement, the Company shall make a cash payment (a “</w:t>
      </w:r>
      <w:r>
        <w:rPr>
          <w:rFonts w:ascii="Times New Roman" w:cs="Times New Roman" w:eastAsia="Times New Roman" w:hAnsi="Times New Roman"/>
          <w:sz w:val="22"/>
          <w:szCs w:val="22"/>
          <w:b w:val="1"/>
          <w:bCs w:val="1"/>
          <w:color w:val="auto"/>
        </w:rPr>
        <w:t>Dividend Equivalent</w:t>
      </w:r>
      <w:r>
        <w:rPr>
          <w:rFonts w:ascii="Times New Roman" w:cs="Times New Roman" w:eastAsia="Times New Roman" w:hAnsi="Times New Roman"/>
          <w:sz w:val="22"/>
          <w:szCs w:val="22"/>
          <w:color w:val="auto"/>
        </w:rPr>
        <w:t>”) to Participant equal to the value of the cash dividend that Participant would have received on the Shares underlying the Restricted Stock Units that are outstanding and not settled as of such record date, which Dividend Equivalent shall be paid as soon as reasonably practicable following the date the corresponding cash dividend is paid to holders of Shares, subject to Participant’s continued service or employment, as applicable, with the Company and its Affiliates through the date such Dividend Equivalent is paid.</w:t>
      </w:r>
    </w:p>
    <w:p>
      <w:pPr>
        <w:spacing w:after="0" w:line="178"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b w:val="1"/>
          <w:bCs w:val="1"/>
          <w:u w:val="single" w:color="auto"/>
          <w:color w:val="000000"/>
        </w:rPr>
        <w:t>Notices</w:t>
      </w:r>
      <w:r>
        <w:rPr>
          <w:rFonts w:ascii="Times New Roman" w:cs="Times New Roman" w:eastAsia="Times New Roman" w:hAnsi="Times New Roman"/>
          <w:sz w:val="22"/>
          <w:szCs w:val="22"/>
          <w:color w:val="000000"/>
        </w:rPr>
        <w:t>. Unless otherwise provided herein, all notices and other communications hereunder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in writing and shall be deemed given and received (a) if delivered in person, on the date delivered, (b) if transmitted by facsimile (provided receipt is confirmed by telephone), on the date sent or (c) if delivered by an express courier, on the second business day after mailing, to the parties at the following addresses (or at such other address for a party as shall be specified by like notice):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Westrock Coffee Company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4009 N. Rodney Parham Road,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w:t>
      </w:r>
    </w:p>
    <w:p>
      <w:pPr>
        <w:ind w:left="2600"/>
        <w:spacing w:after="0" w:line="230" w:lineRule="auto"/>
        <w:rPr>
          <w:sz w:val="20"/>
          <w:szCs w:val="20"/>
          <w:color w:val="auto"/>
        </w:rPr>
      </w:pPr>
      <w:r>
        <w:rPr>
          <w:rFonts w:ascii="Times New Roman" w:cs="Times New Roman" w:eastAsia="Times New Roman" w:hAnsi="Times New Roman"/>
          <w:sz w:val="22"/>
          <w:szCs w:val="22"/>
          <w:color w:val="auto"/>
        </w:rPr>
        <w:t>Little Rock, AR 72212</w:t>
      </w:r>
    </w:p>
    <w:p>
      <w:pPr>
        <w:ind w:left="2600"/>
        <w:spacing w:after="0" w:line="231" w:lineRule="auto"/>
        <w:rPr>
          <w:sz w:val="20"/>
          <w:szCs w:val="20"/>
          <w:color w:val="auto"/>
        </w:rPr>
      </w:pPr>
      <w:r>
        <w:rPr>
          <w:rFonts w:ascii="Times New Roman" w:cs="Times New Roman" w:eastAsia="Times New Roman" w:hAnsi="Times New Roman"/>
          <w:sz w:val="22"/>
          <w:szCs w:val="22"/>
          <w:color w:val="auto"/>
        </w:rPr>
        <w:t>Attn: Chief Legal Officer</w:t>
      </w:r>
    </w:p>
    <w:p>
      <w:pPr>
        <w:ind w:left="2600"/>
        <w:spacing w:after="0" w:line="230" w:lineRule="auto"/>
        <w:rPr>
          <w:sz w:val="20"/>
          <w:szCs w:val="20"/>
          <w:color w:val="auto"/>
        </w:rPr>
      </w:pPr>
      <w:r>
        <w:rPr>
          <w:rFonts w:ascii="Times New Roman" w:cs="Times New Roman" w:eastAsia="Times New Roman" w:hAnsi="Times New Roman"/>
          <w:sz w:val="22"/>
          <w:szCs w:val="22"/>
          <w:color w:val="auto"/>
        </w:rPr>
        <w:t>Email: mckinneyb@westrockcoffee.com</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Phone: 704-782-3121</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Participant: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the most recent address of Participant set forth in the personnel records of the Company.</w:t>
      </w:r>
    </w:p>
    <w:p>
      <w:pPr>
        <w:spacing w:after="0" w:line="20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b w:val="1"/>
          <w:bCs w:val="1"/>
          <w:u w:val="single" w:color="auto"/>
          <w:color w:val="000000"/>
        </w:rPr>
        <w:t>Restriction on Transfer</w:t>
      </w:r>
      <w:r>
        <w:rPr>
          <w:rFonts w:ascii="Times New Roman" w:cs="Times New Roman" w:eastAsia="Times New Roman" w:hAnsi="Times New Roman"/>
          <w:sz w:val="22"/>
          <w:szCs w:val="22"/>
          <w:color w:val="000000"/>
        </w:rPr>
        <w:t>. The Restricted Stock Units may not be transferred, pledged, assigned,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hypothecated or otherwise disposed of in any way by Participant, except as permitted by the Committee or by will or the laws of descent and distribution, in each case in compliance with applicable laws. The Restricted Stock Units shall not be subject to execution, attachment or similar process. Any attempted assignment, transfer, pledge, hypothecation or other disposition of the Restricted Stock Units contrary to the provisions of this Agreement or the Plan shall be null and void and without effect.</w:t>
      </w:r>
    </w:p>
    <w:p>
      <w:pPr>
        <w:spacing w:after="0" w:line="175"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7.3 </w:t>
      </w:r>
      <w:r>
        <w:rPr>
          <w:rFonts w:ascii="Times New Roman" w:cs="Times New Roman" w:eastAsia="Times New Roman" w:hAnsi="Times New Roman"/>
          <w:sz w:val="22"/>
          <w:szCs w:val="22"/>
          <w:b w:val="1"/>
          <w:bCs w:val="1"/>
          <w:u w:val="single" w:color="auto"/>
          <w:color w:val="000000"/>
        </w:rPr>
        <w:t>Amendments and Waivers</w:t>
      </w:r>
      <w:r>
        <w:rPr>
          <w:rFonts w:ascii="Times New Roman" w:cs="Times New Roman" w:eastAsia="Times New Roman" w:hAnsi="Times New Roman"/>
          <w:sz w:val="22"/>
          <w:szCs w:val="22"/>
          <w:color w:val="000000"/>
        </w:rPr>
        <w:t>. (a) Any provision of this Agreement may be amended or waived if,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foregoing notwithstanding, this Agreement may be amended by the Company unilaterally, provided that no such unilateral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55" w:name="page56"/>
    <w:bookmarkEnd w:id="55"/>
    <w:p>
      <w:pPr>
        <w:ind w:right="220"/>
        <w:spacing w:after="0" w:line="259" w:lineRule="auto"/>
        <w:rPr>
          <w:sz w:val="20"/>
          <w:szCs w:val="20"/>
          <w:color w:val="auto"/>
        </w:rPr>
      </w:pPr>
      <w:r>
        <w:rPr>
          <w:rFonts w:ascii="Times New Roman" w:cs="Times New Roman" w:eastAsia="Times New Roman" w:hAnsi="Times New Roman"/>
          <w:sz w:val="22"/>
          <w:szCs w:val="22"/>
          <w:color w:val="auto"/>
        </w:rPr>
        <w:t>amendment may materially adversely affect Participant, except to the extent provided for or contemplated in the terms of this Agreement.</w:t>
      </w:r>
    </w:p>
    <w:p>
      <w:pPr>
        <w:spacing w:after="0" w:line="157" w:lineRule="exact"/>
        <w:rPr>
          <w:sz w:val="20"/>
          <w:szCs w:val="20"/>
          <w:color w:val="auto"/>
        </w:rPr>
      </w:pPr>
    </w:p>
    <w:p>
      <w:pPr>
        <w:ind w:right="120" w:firstLine="1304"/>
        <w:spacing w:after="0" w:line="239" w:lineRule="auto"/>
        <w:tabs>
          <w:tab w:leader="none" w:pos="1944"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7.4 </w:t>
      </w:r>
      <w:r>
        <w:rPr>
          <w:rFonts w:ascii="Times New Roman" w:cs="Times New Roman" w:eastAsia="Times New Roman" w:hAnsi="Times New Roman"/>
          <w:sz w:val="22"/>
          <w:szCs w:val="22"/>
          <w:b w:val="1"/>
          <w:bCs w:val="1"/>
          <w:u w:val="single" w:color="auto"/>
          <w:color w:val="000000"/>
        </w:rPr>
        <w:t>Successors and Assigns</w:t>
      </w:r>
      <w:r>
        <w:rPr>
          <w:rFonts w:ascii="Times New Roman" w:cs="Times New Roman" w:eastAsia="Times New Roman" w:hAnsi="Times New Roman"/>
          <w:sz w:val="22"/>
          <w:szCs w:val="22"/>
          <w:color w:val="000000"/>
        </w:rPr>
        <w:t>. The provisions of this Agreement shall be binding upon and inure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benefit of the parties hereto and their respective successors and permitted assigns.</w:t>
      </w:r>
    </w:p>
    <w:p>
      <w:pPr>
        <w:spacing w:after="0" w:line="150"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7.5 </w:t>
      </w:r>
      <w:r>
        <w:rPr>
          <w:rFonts w:ascii="Times New Roman" w:cs="Times New Roman" w:eastAsia="Times New Roman" w:hAnsi="Times New Roman"/>
          <w:sz w:val="22"/>
          <w:szCs w:val="22"/>
          <w:b w:val="1"/>
          <w:bCs w:val="1"/>
          <w:u w:val="single" w:color="auto"/>
          <w:color w:val="000000"/>
        </w:rPr>
        <w:t>Governing Law</w:t>
      </w:r>
      <w:r>
        <w:rPr>
          <w:rFonts w:ascii="Times New Roman" w:cs="Times New Roman" w:eastAsia="Times New Roman" w:hAnsi="Times New Roman"/>
          <w:sz w:val="22"/>
          <w:szCs w:val="22"/>
          <w:color w:val="000000"/>
        </w:rPr>
        <w:t>. This Agreement, the legal relations between the parties and the adjudication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enforcement thereof, shall be governed by and interpreted and construed in accordance with the laws of the State of Delaware applicable to agreements made and to be performed entirely within the State of Delaware, without regard to the conflict of law provisions thereof that could result in the application of the laws of any other jurisdiction.</w:t>
      </w:r>
    </w:p>
    <w:p>
      <w:pPr>
        <w:spacing w:after="0" w:line="17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010000"/>
        </w:rPr>
        <w:t xml:space="preserve">7.6 </w:t>
      </w:r>
      <w:r>
        <w:rPr>
          <w:rFonts w:ascii="Times New Roman" w:cs="Times New Roman" w:eastAsia="Times New Roman" w:hAnsi="Times New Roman"/>
          <w:sz w:val="22"/>
          <w:szCs w:val="22"/>
          <w:b w:val="1"/>
          <w:bCs w:val="1"/>
          <w:u w:val="single" w:color="auto"/>
          <w:color w:val="000000"/>
        </w:rPr>
        <w:t>Jurisdiction</w:t>
      </w:r>
      <w:r>
        <w:rPr>
          <w:rFonts w:ascii="Times New Roman" w:cs="Times New Roman" w:eastAsia="Times New Roman" w:hAnsi="Times New Roman"/>
          <w:sz w:val="22"/>
          <w:szCs w:val="22"/>
          <w:color w:val="000000"/>
        </w:rPr>
        <w:t>. Each party irrevocably submits to the jurisdiction of any state or federal court sitting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or for Little Rock, Arkansas for the purposes of any suit, action or other proceeding arising out of this Agreement or the transactions contemplated hereby. Each party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Section 7.6. Each party irrevocably and unconditionally waives any objection to the laying of venue of any action, suit or proceeding arising out of this Agreement or the transactions contemplated hereby in any state or federal court sitting in or for Little Rock, Arkansas, and hereby and thereby further irrevocably and unconditionally waives and agrees not to plead or claim in any such court that any such action, suit or proceeding brought in any such court has been brought in an inconvenient forum.</w:t>
      </w:r>
    </w:p>
    <w:p>
      <w:pPr>
        <w:spacing w:after="0" w:line="179"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010000"/>
        </w:rPr>
        <w:t xml:space="preserve">7.7 </w:t>
      </w:r>
      <w:r>
        <w:rPr>
          <w:rFonts w:ascii="Times New Roman" w:cs="Times New Roman" w:eastAsia="Times New Roman" w:hAnsi="Times New Roman"/>
          <w:sz w:val="22"/>
          <w:szCs w:val="22"/>
          <w:b w:val="1"/>
          <w:bCs w:val="1"/>
          <w:u w:val="single" w:color="auto"/>
          <w:color w:val="000000"/>
        </w:rPr>
        <w:t>Waiver of Jury Trial</w:t>
      </w:r>
      <w:r>
        <w:rPr>
          <w:rFonts w:ascii="Times New Roman" w:cs="Times New Roman" w:eastAsia="Times New Roman" w:hAnsi="Times New Roman"/>
          <w:sz w:val="22"/>
          <w:szCs w:val="22"/>
          <w:color w:val="000000"/>
        </w:rPr>
        <w:t>. EACH PARTY ACKNOWLEDGES AND AGREES THAT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SUCH PARTY MAKES THIS WAIVER VOLUNTARILY, AND (D) EACH SUCH PARTY HAS BEEN INDUCED TO ENTER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633095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6" w:name="page57"/>
    <w:bookmarkEnd w:id="56"/>
    <w:p>
      <w:pPr>
        <w:ind w:right="60"/>
        <w:spacing w:after="0" w:line="259" w:lineRule="auto"/>
        <w:rPr>
          <w:sz w:val="20"/>
          <w:szCs w:val="20"/>
          <w:color w:val="auto"/>
        </w:rPr>
      </w:pPr>
      <w:r>
        <w:rPr>
          <w:rFonts w:ascii="Times New Roman" w:cs="Times New Roman" w:eastAsia="Times New Roman" w:hAnsi="Times New Roman"/>
          <w:sz w:val="22"/>
          <w:szCs w:val="22"/>
          <w:color w:val="auto"/>
        </w:rPr>
        <w:t>THIS AGREEMENT BY, AMONG OTHER THINGS, THE MUTUAL WAIVERS AND CERTIFICATIONS IN THIS SECTION 7.7.</w:t>
      </w:r>
    </w:p>
    <w:p>
      <w:pPr>
        <w:spacing w:after="0" w:line="15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22"/>
          <w:szCs w:val="22"/>
          <w:color w:val="010000"/>
        </w:rPr>
        <w:t xml:space="preserve">7.8 </w:t>
      </w:r>
      <w:r>
        <w:rPr>
          <w:rFonts w:ascii="Times New Roman" w:cs="Times New Roman" w:eastAsia="Times New Roman" w:hAnsi="Times New Roman"/>
          <w:sz w:val="22"/>
          <w:szCs w:val="22"/>
          <w:b w:val="1"/>
          <w:bCs w:val="1"/>
          <w:u w:val="single" w:color="auto"/>
          <w:color w:val="000000"/>
        </w:rPr>
        <w:t>Counterparts; Third Party Beneficiaries</w:t>
      </w:r>
      <w:r>
        <w:rPr>
          <w:rFonts w:ascii="Times New Roman" w:cs="Times New Roman" w:eastAsia="Times New Roman" w:hAnsi="Times New Roman"/>
          <w:sz w:val="22"/>
          <w:szCs w:val="22"/>
          <w:color w:val="000000"/>
        </w:rPr>
        <w:t>. This Agreement may be signed in any number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counterparts, each of which shall be an original, with the same effect as if the signatures hereto were upon the same instrument. This Agreement shall become effective as to a particular Participant when such Participant shall have received a counterpart hereof signed by the Company or shall have acknowledged acceptance electronically. No provision of this Agreement shall confer upon any person other than the parties hereto any rights or remedies hereunder.</w:t>
      </w:r>
    </w:p>
    <w:p>
      <w:pPr>
        <w:spacing w:after="0" w:line="17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1"/>
          <w:szCs w:val="21"/>
          <w:color w:val="010000"/>
        </w:rPr>
        <w:t xml:space="preserve">7.9 </w:t>
      </w:r>
      <w:r>
        <w:rPr>
          <w:rFonts w:ascii="Times New Roman" w:cs="Times New Roman" w:eastAsia="Times New Roman" w:hAnsi="Times New Roman"/>
          <w:sz w:val="21"/>
          <w:szCs w:val="21"/>
          <w:b w:val="1"/>
          <w:bCs w:val="1"/>
          <w:u w:val="single" w:color="auto"/>
          <w:color w:val="000000"/>
        </w:rPr>
        <w:t>Entire Agreement</w:t>
      </w:r>
      <w:r>
        <w:rPr>
          <w:rFonts w:ascii="Times New Roman" w:cs="Times New Roman" w:eastAsia="Times New Roman" w:hAnsi="Times New Roman"/>
          <w:sz w:val="21"/>
          <w:szCs w:val="21"/>
          <w:color w:val="000000"/>
        </w:rPr>
        <w:t>. This Agreement, together with (if applicable) any individual services,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severance, employment or similar agreement between Participant and the Company or one of its Affiliates, constitutes the entire agreement between the parties with respect to the Award granted hereunder and supersedes all prior agreements and understandings, both oral and written, between the parties with respect to such Award.</w:t>
      </w:r>
    </w:p>
    <w:p>
      <w:pPr>
        <w:spacing w:after="0" w:line="158"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7.10 </w:t>
      </w:r>
      <w:r>
        <w:rPr>
          <w:rFonts w:ascii="Times New Roman" w:cs="Times New Roman" w:eastAsia="Times New Roman" w:hAnsi="Times New Roman"/>
          <w:sz w:val="22"/>
          <w:szCs w:val="22"/>
          <w:b w:val="1"/>
          <w:bCs w:val="1"/>
          <w:u w:val="single" w:color="auto"/>
          <w:color w:val="000000"/>
        </w:rPr>
        <w:t>Section Headings; Construction</w:t>
      </w:r>
      <w:r>
        <w:rPr>
          <w:rFonts w:ascii="Times New Roman" w:cs="Times New Roman" w:eastAsia="Times New Roman" w:hAnsi="Times New Roman"/>
          <w:sz w:val="22"/>
          <w:szCs w:val="22"/>
          <w:color w:val="000000"/>
        </w:rPr>
        <w:t>. The section headings contained herein are for the purpose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convenience only and are not intended to define or limit the contents of the sections. All words used in this Agreement shall be construed to be of such gender or number, as the circumstances require. Unless otherwise expressly provided, the word “including” does not limit the preceding words or terms and the word “or” is not exclusive.</w:t>
      </w:r>
    </w:p>
    <w:p>
      <w:pPr>
        <w:spacing w:after="0" w:line="1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1"/>
          <w:szCs w:val="21"/>
          <w:color w:val="010000"/>
        </w:rPr>
        <w:t xml:space="preserve">7.11 </w:t>
      </w:r>
      <w:r>
        <w:rPr>
          <w:rFonts w:ascii="Times New Roman" w:cs="Times New Roman" w:eastAsia="Times New Roman" w:hAnsi="Times New Roman"/>
          <w:sz w:val="21"/>
          <w:szCs w:val="21"/>
          <w:b w:val="1"/>
          <w:bCs w:val="1"/>
          <w:u w:val="single" w:color="auto"/>
          <w:color w:val="000000"/>
        </w:rPr>
        <w:t>Severability</w:t>
      </w:r>
      <w:r>
        <w:rPr>
          <w:rFonts w:ascii="Times New Roman" w:cs="Times New Roman" w:eastAsia="Times New Roman" w:hAnsi="Times New Roman"/>
          <w:sz w:val="21"/>
          <w:szCs w:val="21"/>
          <w:color w:val="000000"/>
        </w:rPr>
        <w:t>. Except as otherwise provided herein, if one or more provisions of this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are held to be 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 Furthermore, a determination in any jurisdiction that this Agreement, in whole or in part, is invalid, illegal or unenforceable shall not in any way affect or impair the validity, legality or enforceability of this Agreement in any other jurisdiction.</w:t>
      </w:r>
    </w:p>
    <w:p>
      <w:pPr>
        <w:spacing w:after="0" w:line="165"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7.12 </w:t>
      </w:r>
      <w:r>
        <w:rPr>
          <w:rFonts w:ascii="Times New Roman" w:cs="Times New Roman" w:eastAsia="Times New Roman" w:hAnsi="Times New Roman"/>
          <w:sz w:val="22"/>
          <w:szCs w:val="22"/>
          <w:b w:val="1"/>
          <w:bCs w:val="1"/>
          <w:u w:val="single" w:color="auto"/>
          <w:color w:val="000000"/>
        </w:rPr>
        <w:t>Interpretation</w:t>
      </w:r>
      <w:r>
        <w:rPr>
          <w:rFonts w:ascii="Times New Roman" w:cs="Times New Roman" w:eastAsia="Times New Roman" w:hAnsi="Times New Roman"/>
          <w:sz w:val="22"/>
          <w:szCs w:val="22"/>
          <w:color w:val="000000"/>
        </w:rPr>
        <w:t>. The headings contained in this Agreement are for reference purposes only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not affect in any way the meaning or interpretation of this Agreement.</w:t>
      </w:r>
    </w:p>
    <w:p>
      <w:pPr>
        <w:spacing w:after="0" w:line="150"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7.13 </w:t>
      </w:r>
      <w:r>
        <w:rPr>
          <w:rFonts w:ascii="Times New Roman" w:cs="Times New Roman" w:eastAsia="Times New Roman" w:hAnsi="Times New Roman"/>
          <w:sz w:val="22"/>
          <w:szCs w:val="22"/>
          <w:b w:val="1"/>
          <w:bCs w:val="1"/>
          <w:u w:val="single" w:color="auto"/>
          <w:color w:val="000000"/>
        </w:rPr>
        <w:t>Participant’s Service or Employment with the Company</w:t>
      </w:r>
      <w:r>
        <w:rPr>
          <w:rFonts w:ascii="Times New Roman" w:cs="Times New Roman" w:eastAsia="Times New Roman" w:hAnsi="Times New Roman"/>
          <w:sz w:val="22"/>
          <w:szCs w:val="22"/>
          <w:color w:val="000000"/>
        </w:rPr>
        <w:t>. Nothing contained in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deemed (i) to obligate the Company or any of its Affiliates to continue the employment of Participant in any capacity whatsoever or to otherwise allow Participant to provide services to the Company or any of its Affiliates or (ii) to prohibit or restrict the Company or any of its Affiliates from terminating the services or employment, as applicable, of Participant at any time or for any reason whatsoever, with or without Cause.</w:t>
      </w:r>
    </w:p>
    <w:p>
      <w:pPr>
        <w:spacing w:after="0" w:line="17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2"/>
          <w:szCs w:val="22"/>
          <w:color w:val="010000"/>
        </w:rPr>
        <w:t xml:space="preserve">7.14 </w:t>
      </w:r>
      <w:r>
        <w:rPr>
          <w:rFonts w:ascii="Times New Roman" w:cs="Times New Roman" w:eastAsia="Times New Roman" w:hAnsi="Times New Roman"/>
          <w:sz w:val="22"/>
          <w:szCs w:val="22"/>
          <w:b w:val="1"/>
          <w:bCs w:val="1"/>
          <w:u w:val="single" w:color="auto"/>
          <w:color w:val="000000"/>
        </w:rPr>
        <w:t>Withholding Taxes</w:t>
      </w:r>
      <w:r>
        <w:rPr>
          <w:rFonts w:ascii="Times New Roman" w:cs="Times New Roman" w:eastAsia="Times New Roman" w:hAnsi="Times New Roman"/>
          <w:sz w:val="22"/>
          <w:szCs w:val="22"/>
          <w:color w:val="000000"/>
        </w:rPr>
        <w:t>. Participant acknowledges and agrees that the delivery of Shares or Dividend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Equivalents pursuant to this Agreement is conditioned on satisfaction of any applicable withholding taxes in accordance with Section 12(d) of the Plan.</w:t>
      </w:r>
    </w:p>
    <w:p>
      <w:pPr>
        <w:spacing w:after="0" w:line="167" w:lineRule="exact"/>
        <w:rPr>
          <w:sz w:val="20"/>
          <w:szCs w:val="20"/>
          <w:color w:val="auto"/>
        </w:rPr>
      </w:pPr>
    </w:p>
    <w:p>
      <w:pPr>
        <w:ind w:right="62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7.15 </w:t>
      </w:r>
      <w:r>
        <w:rPr>
          <w:rFonts w:ascii="Times New Roman" w:cs="Times New Roman" w:eastAsia="Times New Roman" w:hAnsi="Times New Roman"/>
          <w:sz w:val="22"/>
          <w:szCs w:val="22"/>
          <w:b w:val="1"/>
          <w:bCs w:val="1"/>
          <w:u w:val="single" w:color="auto"/>
          <w:color w:val="000000"/>
        </w:rPr>
        <w:t>Section 409A of the Code</w:t>
      </w:r>
      <w:r>
        <w:rPr>
          <w:rFonts w:ascii="Times New Roman" w:cs="Times New Roman" w:eastAsia="Times New Roman" w:hAnsi="Times New Roman"/>
          <w:sz w:val="22"/>
          <w:szCs w:val="22"/>
          <w:color w:val="000000"/>
        </w:rPr>
        <w:t>. This Agreement is intended to comply with the requirements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Section 409A of the Code or an exemption or exclusion therefrom and,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57" w:name="page58"/>
    <w:bookmarkEnd w:id="57"/>
    <w:p>
      <w:pPr>
        <w:spacing w:after="0" w:line="244" w:lineRule="auto"/>
        <w:rPr>
          <w:sz w:val="20"/>
          <w:szCs w:val="20"/>
          <w:color w:val="auto"/>
        </w:rPr>
      </w:pPr>
      <w:r>
        <w:rPr>
          <w:rFonts w:ascii="Times New Roman" w:cs="Times New Roman" w:eastAsia="Times New Roman" w:hAnsi="Times New Roman"/>
          <w:sz w:val="21"/>
          <w:szCs w:val="21"/>
          <w:color w:val="auto"/>
        </w:rPr>
        <w:t>respect to amounts that are subject to Section 409A of the Code, it is intended that this Agreement be administered in all respects in accordance with Section 409A of the Code. Each payment under the Award shall be treated as a separate payment for purposes of Section 409A of the Code. In no event may Participant, directly or indirectly, designate the calendar year of any payment to be made under the Award to the extent that it constitutes nonqualified deferred compensation subject to Section 409A of the Code. Notwithstanding any other provision of this Agreement to the contrary, if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Participant’s Separation from Service during the six (6)-month period immediately following such Separation from Service shall instead be paid or provided on the first (1st) business day following the date that is six (6) months following Participant’s Separation from Service or any earlier date permitted by Section 409A of the Code. If Participant dies following the Separation from Service and prior to the payment of any amounts delayed on account of Section 409A of the Code, such amounts shall be paid to the personal representative of Participant’s estate within thirty (30) days following the date of Participant’s death.</w:t>
      </w:r>
    </w:p>
    <w:p>
      <w:pPr>
        <w:spacing w:after="0" w:line="177" w:lineRule="exact"/>
        <w:rPr>
          <w:sz w:val="20"/>
          <w:szCs w:val="20"/>
          <w:color w:val="auto"/>
        </w:rPr>
      </w:pPr>
    </w:p>
    <w:p>
      <w:pPr>
        <w:jc w:val="both"/>
        <w:ind w:left="80" w:right="12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7.16 </w:t>
      </w:r>
      <w:r>
        <w:rPr>
          <w:rFonts w:ascii="Times New Roman" w:cs="Times New Roman" w:eastAsia="Times New Roman" w:hAnsi="Times New Roman"/>
          <w:sz w:val="22"/>
          <w:szCs w:val="22"/>
          <w:b w:val="1"/>
          <w:bCs w:val="1"/>
          <w:u w:val="single" w:color="auto"/>
          <w:color w:val="000000"/>
        </w:rPr>
        <w:t>Further Assurances</w:t>
      </w:r>
      <w:r>
        <w:rPr>
          <w:rFonts w:ascii="Times New Roman" w:cs="Times New Roman" w:eastAsia="Times New Roman" w:hAnsi="Times New Roman"/>
          <w:sz w:val="22"/>
          <w:szCs w:val="22"/>
          <w:color w:val="000000"/>
        </w:rPr>
        <w:t>. Participant agrees to execute all such certificates and other documents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instruments and shall do other acts as the Company reasonably deems appropriate to effectuate and perform the provisions of this Agreement and the transactions hereunder and to comply with the requirements of applicable law, including all agreements, certificates, tax statements and other documents as may be required to be filed in respect of the Company or any Subsidiary.</w:t>
      </w:r>
    </w:p>
    <w:p>
      <w:pPr>
        <w:spacing w:after="0" w:line="17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7.17 </w:t>
      </w:r>
      <w:r>
        <w:rPr>
          <w:rFonts w:ascii="Times New Roman" w:cs="Times New Roman" w:eastAsia="Times New Roman" w:hAnsi="Times New Roman"/>
          <w:sz w:val="22"/>
          <w:szCs w:val="22"/>
          <w:b w:val="1"/>
          <w:bCs w:val="1"/>
          <w:u w:val="single" w:color="auto"/>
          <w:color w:val="000000"/>
        </w:rPr>
        <w:t>Rights as Stockholder</w:t>
      </w:r>
      <w:r>
        <w:rPr>
          <w:rFonts w:ascii="Times New Roman" w:cs="Times New Roman" w:eastAsia="Times New Roman" w:hAnsi="Times New Roman"/>
          <w:sz w:val="22"/>
          <w:szCs w:val="22"/>
          <w:color w:val="000000"/>
        </w:rPr>
        <w:t>. Until the issuance of the Shares underlying a Restricted Stock Unit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evidenced by the appropriate entry on the books of the Company or of a duly authorized transfer agent of the Company), no right to vote or receive dividends or any other rights as a holder of Shares shall exist with respect to such Restricted Stock Unit. No adjustment shall be made for a dividend or other right for which the record date is prior to the date the Shares are issued, except as provided in Section 6 or in the Plan.</w:t>
      </w:r>
    </w:p>
    <w:p>
      <w:pPr>
        <w:spacing w:after="0" w:line="181" w:lineRule="exact"/>
        <w:rPr>
          <w:sz w:val="20"/>
          <w:szCs w:val="20"/>
          <w:color w:val="auto"/>
        </w:rPr>
      </w:pPr>
    </w:p>
    <w:p>
      <w:pPr>
        <w:jc w:val="center"/>
        <w:ind w:right="-19"/>
        <w:spacing w:after="0"/>
        <w:tabs>
          <w:tab w:leader="none" w:pos="260" w:val="left"/>
          <w:tab w:leader="none" w:pos="260" w:val="left"/>
          <w:tab w:leader="none" w:pos="24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11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11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March 31, 2024,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March 31, 2024,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
      <w:numFmt w:val="bullet"/>
      <w:start w:val="1"/>
    </w:lvl>
    <w:lvl w:ilvl="1">
      <w:lvlJc w:val="left"/>
      <w:lvlText w:val="%2"/>
      <w:numFmt w:val="decimal"/>
      <w:start w:val="104"/>
    </w:lvl>
  </w:abstractNum>
  <w:abstractNum w:abstractNumId="13">
    <w:nsid w:val="519B500D"/>
    <w:multiLevelType w:val="hybridMultilevel"/>
    <w:lvl w:ilvl="0">
      <w:lvlJc w:val="left"/>
      <w:lvlText w:val="**"/>
      <w:numFmt w:val="bullet"/>
      <w:start w:val="1"/>
    </w:lvl>
    <w:lvl w:ilvl="1">
      <w:lvlJc w:val="left"/>
      <w:lvlText w:val="%2"/>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6"/>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59" Type="http://schemas.openxmlformats.org/officeDocument/2006/relationships/hyperlink" Target="https://www.sec.gov/Archives/edgar/data/1806347/000155837022014048/west-20220630xex3d1.htm" TargetMode="External"/><Relationship Id="rId60" Type="http://schemas.openxmlformats.org/officeDocument/2006/relationships/hyperlink" Target="https://www.sec.gov/Archives/edgar/data/1806347/000155837022014048/west-20220630xex3d2.htm" TargetMode="External"/><Relationship Id="rId61" Type="http://schemas.openxmlformats.org/officeDocument/2006/relationships/hyperlink" Target="https://www.sec.gov/Archives/edgar/data/1806347/000110465924024575/tm246306d1_ex4-1.htm" TargetMode="External"/><Relationship Id="rId62" Type="http://schemas.openxmlformats.org/officeDocument/2006/relationships/hyperlink" Target="https://www.sec.gov/Archives/edgar/data/1806347/000110465924024575/tm246306d1_ex10-1.htm" TargetMode="External"/><Relationship Id="rId63" Type="http://schemas.openxmlformats.org/officeDocument/2006/relationships/hyperlink" Target="https://www.sec.gov/Archives/edgar/data/1806347/000155837024003417/west-20231231xex10d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2024-05-09T16:28:23Z</dcterms:created>
  <dcterms:modified xsi:type="dcterms:W3CDTF">2024-05-09T16:28:23Z</dcterms:modified>
</cp:coreProperties>
</file>