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99060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04"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82"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For the transition period from _____ to _____.</w:t>
            </w:r>
          </w:p>
        </w:tc>
        <w:tc>
          <w:tcPr>
            <w:tcW w:w="3260" w:type="dxa"/>
            <w:vAlign w:val="bottom"/>
          </w:tcPr>
          <w:p>
            <w:pPr>
              <w:spacing w:after="0"/>
              <w:rPr>
                <w:sz w:val="16"/>
                <w:szCs w:val="16"/>
                <w:color w:val="auto"/>
              </w:rPr>
            </w:pPr>
          </w:p>
        </w:tc>
      </w:tr>
      <w:tr>
        <w:trPr>
          <w:trHeight w:val="243"/>
        </w:trPr>
        <w:tc>
          <w:tcPr>
            <w:tcW w:w="3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Commission File Number: 001-41485</w:t>
            </w:r>
          </w:p>
        </w:tc>
        <w:tc>
          <w:tcPr>
            <w:tcW w:w="3260" w:type="dxa"/>
            <w:vAlign w:val="bottom"/>
          </w:tcPr>
          <w:p>
            <w:pPr>
              <w:spacing w:after="0"/>
              <w:rPr>
                <w:sz w:val="21"/>
                <w:szCs w:val="21"/>
                <w:color w:val="auto"/>
              </w:rPr>
            </w:pPr>
          </w:p>
        </w:tc>
      </w:tr>
      <w:tr>
        <w:trPr>
          <w:trHeight w:val="174"/>
        </w:trPr>
        <w:tc>
          <w:tcPr>
            <w:tcW w:w="3840" w:type="dxa"/>
            <w:vAlign w:val="bottom"/>
            <w:gridSpan w:val="2"/>
          </w:tcPr>
          <w:p>
            <w:pPr>
              <w:spacing w:after="0"/>
              <w:rPr>
                <w:sz w:val="15"/>
                <w:szCs w:val="15"/>
                <w:color w:val="auto"/>
              </w:rPr>
            </w:pPr>
          </w:p>
        </w:tc>
        <w:tc>
          <w:tcPr>
            <w:tcW w:w="2560" w:type="dxa"/>
            <w:vAlign w:val="bottom"/>
            <w:tcBorders>
              <w:bottom w:val="single" w:sz="8" w:color="auto"/>
            </w:tcBorders>
            <w:gridSpan w:val="3"/>
          </w:tcPr>
          <w:p>
            <w:pPr>
              <w:spacing w:after="0"/>
              <w:rPr>
                <w:sz w:val="15"/>
                <w:szCs w:val="15"/>
                <w:color w:val="auto"/>
              </w:rPr>
            </w:pPr>
          </w:p>
        </w:tc>
        <w:tc>
          <w:tcPr>
            <w:tcW w:w="3840" w:type="dxa"/>
            <w:vAlign w:val="bottom"/>
            <w:gridSpan w:val="2"/>
          </w:tcPr>
          <w:p>
            <w:pPr>
              <w:spacing w:after="0"/>
              <w:rPr>
                <w:sz w:val="15"/>
                <w:szCs w:val="15"/>
                <w:color w:val="auto"/>
              </w:rPr>
            </w:pPr>
          </w:p>
        </w:tc>
      </w:tr>
      <w:tr>
        <w:trPr>
          <w:trHeight w:val="447"/>
        </w:trPr>
        <w:tc>
          <w:tcPr>
            <w:tcW w:w="10240" w:type="dxa"/>
            <w:vAlign w:val="bottom"/>
            <w:gridSpan w:val="7"/>
          </w:tcPr>
          <w:p>
            <w:pPr>
              <w:jc w:val="center"/>
              <w:spacing w:after="0"/>
              <w:rPr>
                <w:sz w:val="20"/>
                <w:szCs w:val="20"/>
                <w:color w:val="auto"/>
              </w:rPr>
            </w:pPr>
            <w:r>
              <w:rPr>
                <w:rFonts w:ascii="Arial" w:cs="Arial" w:eastAsia="Arial" w:hAnsi="Arial"/>
                <w:sz w:val="27"/>
                <w:szCs w:val="27"/>
                <w:b w:val="1"/>
                <w:bCs w:val="1"/>
                <w:color w:val="auto"/>
                <w:w w:val="99"/>
              </w:rPr>
              <w:t>WESTROCK COFFEE COMPANY</w:t>
            </w:r>
          </w:p>
        </w:tc>
      </w:tr>
      <w:tr>
        <w:trPr>
          <w:trHeight w:val="182"/>
        </w:trPr>
        <w:tc>
          <w:tcPr>
            <w:tcW w:w="3440" w:type="dxa"/>
            <w:vAlign w:val="bottom"/>
          </w:tcPr>
          <w:p>
            <w:pPr>
              <w:spacing w:after="0"/>
              <w:rPr>
                <w:sz w:val="15"/>
                <w:szCs w:val="15"/>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4"/>
                <w:szCs w:val="14"/>
                <w:color w:val="auto"/>
                <w:w w:val="93"/>
              </w:rPr>
              <w:t>(Exact Name of Registrant as Specified in Its Charter)</w:t>
            </w:r>
          </w:p>
        </w:tc>
        <w:tc>
          <w:tcPr>
            <w:tcW w:w="3260" w:type="dxa"/>
            <w:vAlign w:val="bottom"/>
          </w:tcPr>
          <w:p>
            <w:pPr>
              <w:spacing w:after="0"/>
              <w:rPr>
                <w:sz w:val="15"/>
                <w:szCs w:val="15"/>
                <w:color w:val="auto"/>
              </w:rPr>
            </w:pPr>
          </w:p>
        </w:tc>
      </w:tr>
      <w:tr>
        <w:trPr>
          <w:trHeight w:val="257"/>
        </w:trPr>
        <w:tc>
          <w:tcPr>
            <w:tcW w:w="3440" w:type="dxa"/>
            <w:vAlign w:val="bottom"/>
          </w:tcPr>
          <w:p>
            <w:pPr>
              <w:jc w:val="center"/>
              <w:ind w:left="1705"/>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60" w:type="dxa"/>
            <w:vAlign w:val="bottom"/>
          </w:tcPr>
          <w:p>
            <w:pPr>
              <w:jc w:val="right"/>
              <w:ind w:right="2191"/>
              <w:spacing w:after="0"/>
              <w:rPr>
                <w:sz w:val="20"/>
                <w:szCs w:val="20"/>
                <w:color w:val="auto"/>
              </w:rPr>
            </w:pPr>
            <w:r>
              <w:rPr>
                <w:rFonts w:ascii="Arial" w:cs="Arial" w:eastAsia="Arial" w:hAnsi="Arial"/>
                <w:sz w:val="14"/>
                <w:szCs w:val="14"/>
                <w:b w:val="1"/>
                <w:bCs w:val="1"/>
                <w:color w:val="auto"/>
              </w:rPr>
              <w:t>80-0977200</w:t>
            </w:r>
          </w:p>
        </w:tc>
      </w:tr>
      <w:tr>
        <w:trPr>
          <w:trHeight w:val="185"/>
        </w:trPr>
        <w:tc>
          <w:tcPr>
            <w:tcW w:w="3440" w:type="dxa"/>
            <w:vAlign w:val="bottom"/>
          </w:tcPr>
          <w:p>
            <w:pPr>
              <w:jc w:val="center"/>
              <w:ind w:left="1705"/>
              <w:spacing w:after="0"/>
              <w:rPr>
                <w:sz w:val="20"/>
                <w:szCs w:val="20"/>
                <w:color w:val="auto"/>
              </w:rPr>
            </w:pPr>
            <w:r>
              <w:rPr>
                <w:rFonts w:ascii="Arial" w:cs="Arial" w:eastAsia="Arial" w:hAnsi="Arial"/>
                <w:sz w:val="13"/>
                <w:szCs w:val="13"/>
                <w:color w:val="auto"/>
                <w:w w:val="88"/>
              </w:rPr>
              <w:t>(State or Other Jurisdiction of</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60" w:type="dxa"/>
            <w:vAlign w:val="bottom"/>
          </w:tcPr>
          <w:p>
            <w:pPr>
              <w:jc w:val="center"/>
              <w:ind w:right="1891"/>
              <w:spacing w:after="0"/>
              <w:rPr>
                <w:sz w:val="20"/>
                <w:szCs w:val="20"/>
                <w:color w:val="auto"/>
              </w:rPr>
            </w:pPr>
            <w:r>
              <w:rPr>
                <w:rFonts w:ascii="Arial" w:cs="Arial" w:eastAsia="Arial" w:hAnsi="Arial"/>
                <w:sz w:val="13"/>
                <w:szCs w:val="13"/>
                <w:color w:val="auto"/>
                <w:w w:val="90"/>
              </w:rPr>
              <w:t>(I.R.S. Employer</w:t>
            </w:r>
          </w:p>
        </w:tc>
      </w:tr>
      <w:tr>
        <w:trPr>
          <w:trHeight w:val="162"/>
        </w:trPr>
        <w:tc>
          <w:tcPr>
            <w:tcW w:w="3440" w:type="dxa"/>
            <w:vAlign w:val="bottom"/>
          </w:tcPr>
          <w:p>
            <w:pPr>
              <w:jc w:val="center"/>
              <w:ind w:left="1725"/>
              <w:spacing w:after="0"/>
              <w:rPr>
                <w:sz w:val="20"/>
                <w:szCs w:val="20"/>
                <w:color w:val="auto"/>
              </w:rPr>
            </w:pPr>
            <w:r>
              <w:rPr>
                <w:rFonts w:ascii="Arial" w:cs="Arial" w:eastAsia="Arial" w:hAnsi="Arial"/>
                <w:sz w:val="13"/>
                <w:szCs w:val="13"/>
                <w:color w:val="auto"/>
                <w:w w:val="90"/>
              </w:rPr>
              <w:t>Incorporation or Organization)</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tcPr>
          <w:p>
            <w:pPr>
              <w:jc w:val="center"/>
              <w:ind w:right="1891"/>
              <w:spacing w:after="0"/>
              <w:rPr>
                <w:sz w:val="20"/>
                <w:szCs w:val="20"/>
                <w:color w:val="auto"/>
              </w:rPr>
            </w:pPr>
            <w:r>
              <w:rPr>
                <w:rFonts w:ascii="Arial" w:cs="Arial" w:eastAsia="Arial" w:hAnsi="Arial"/>
                <w:sz w:val="13"/>
                <w:szCs w:val="13"/>
                <w:color w:val="auto"/>
                <w:w w:val="92"/>
              </w:rPr>
              <w:t>Identification Number)</w:t>
            </w:r>
          </w:p>
        </w:tc>
      </w:tr>
      <w:tr>
        <w:trPr>
          <w:trHeight w:val="304"/>
        </w:trPr>
        <w:tc>
          <w:tcPr>
            <w:tcW w:w="698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w w:val="92"/>
              </w:rPr>
              <w:t>4009 N. Rodney Parham Road, 3</w:t>
            </w:r>
            <w:r>
              <w:rPr>
                <w:rFonts w:ascii="Arial" w:cs="Arial" w:eastAsia="Arial" w:hAnsi="Arial"/>
                <w:sz w:val="21"/>
                <w:szCs w:val="21"/>
                <w:b w:val="1"/>
                <w:bCs w:val="1"/>
                <w:color w:val="auto"/>
                <w:w w:val="92"/>
                <w:vertAlign w:val="superscript"/>
              </w:rPr>
              <w:t>rd</w:t>
            </w:r>
            <w:r>
              <w:rPr>
                <w:rFonts w:ascii="Arial" w:cs="Arial" w:eastAsia="Arial" w:hAnsi="Arial"/>
                <w:sz w:val="14"/>
                <w:szCs w:val="14"/>
                <w:b w:val="1"/>
                <w:bCs w:val="1"/>
                <w:color w:val="auto"/>
                <w:w w:val="92"/>
              </w:rPr>
              <w:t xml:space="preserve"> Floor</w:t>
            </w:r>
          </w:p>
        </w:tc>
        <w:tc>
          <w:tcPr>
            <w:tcW w:w="3260" w:type="dxa"/>
            <w:vAlign w:val="bottom"/>
          </w:tcPr>
          <w:p>
            <w:pPr>
              <w:spacing w:after="0"/>
              <w:rPr>
                <w:sz w:val="24"/>
                <w:szCs w:val="24"/>
                <w:color w:val="auto"/>
              </w:rPr>
            </w:pPr>
          </w:p>
        </w:tc>
      </w:tr>
      <w:tr>
        <w:trPr>
          <w:trHeight w:val="186"/>
        </w:trPr>
        <w:tc>
          <w:tcPr>
            <w:tcW w:w="3440" w:type="dxa"/>
            <w:vAlign w:val="bottom"/>
          </w:tcPr>
          <w:p>
            <w:pPr>
              <w:jc w:val="center"/>
              <w:ind w:left="1705"/>
              <w:spacing w:after="0"/>
              <w:rPr>
                <w:sz w:val="20"/>
                <w:szCs w:val="20"/>
                <w:color w:val="auto"/>
              </w:rPr>
            </w:pPr>
            <w:r>
              <w:rPr>
                <w:rFonts w:ascii="Arial" w:cs="Arial" w:eastAsia="Arial" w:hAnsi="Arial"/>
                <w:sz w:val="14"/>
                <w:szCs w:val="14"/>
                <w:b w:val="1"/>
                <w:bCs w:val="1"/>
                <w:color w:val="auto"/>
                <w:w w:val="94"/>
              </w:rPr>
              <w:t>Little Rock, Arkansas</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60" w:type="dxa"/>
            <w:vAlign w:val="bottom"/>
          </w:tcPr>
          <w:p>
            <w:pPr>
              <w:jc w:val="right"/>
              <w:ind w:right="2351"/>
              <w:spacing w:after="0"/>
              <w:rPr>
                <w:sz w:val="20"/>
                <w:szCs w:val="20"/>
                <w:color w:val="auto"/>
              </w:rPr>
            </w:pPr>
            <w:r>
              <w:rPr>
                <w:rFonts w:ascii="Arial" w:cs="Arial" w:eastAsia="Arial" w:hAnsi="Arial"/>
                <w:sz w:val="14"/>
                <w:szCs w:val="14"/>
                <w:b w:val="1"/>
                <w:bCs w:val="1"/>
                <w:color w:val="auto"/>
              </w:rPr>
              <w:t>72212</w:t>
            </w:r>
          </w:p>
        </w:tc>
      </w:tr>
      <w:tr>
        <w:trPr>
          <w:trHeight w:val="185"/>
        </w:trPr>
        <w:tc>
          <w:tcPr>
            <w:tcW w:w="6980" w:type="dxa"/>
            <w:vAlign w:val="bottom"/>
            <w:gridSpan w:val="6"/>
          </w:tcPr>
          <w:p>
            <w:pPr>
              <w:jc w:val="center"/>
              <w:ind w:right="1760"/>
              <w:spacing w:after="0"/>
              <w:rPr>
                <w:sz w:val="20"/>
                <w:szCs w:val="20"/>
                <w:color w:val="auto"/>
              </w:rPr>
            </w:pPr>
            <w:r>
              <w:rPr>
                <w:rFonts w:ascii="Arial" w:cs="Arial" w:eastAsia="Arial" w:hAnsi="Arial"/>
                <w:sz w:val="13"/>
                <w:szCs w:val="13"/>
                <w:color w:val="auto"/>
                <w:w w:val="90"/>
              </w:rPr>
              <w:t>(Address of Principal Executive Offices)</w:t>
            </w:r>
          </w:p>
        </w:tc>
        <w:tc>
          <w:tcPr>
            <w:tcW w:w="3260" w:type="dxa"/>
            <w:vAlign w:val="bottom"/>
          </w:tcPr>
          <w:p>
            <w:pPr>
              <w:jc w:val="center"/>
              <w:ind w:right="1891"/>
              <w:spacing w:after="0"/>
              <w:rPr>
                <w:sz w:val="20"/>
                <w:szCs w:val="20"/>
                <w:color w:val="auto"/>
              </w:rPr>
            </w:pPr>
            <w:r>
              <w:rPr>
                <w:rFonts w:ascii="Arial" w:cs="Arial" w:eastAsia="Arial" w:hAnsi="Arial"/>
                <w:sz w:val="13"/>
                <w:szCs w:val="13"/>
                <w:color w:val="auto"/>
                <w:w w:val="87"/>
              </w:rPr>
              <w:t>(Zip Code)</w:t>
            </w:r>
          </w:p>
        </w:tc>
      </w:tr>
      <w:tr>
        <w:trPr>
          <w:trHeight w:val="258"/>
        </w:trPr>
        <w:tc>
          <w:tcPr>
            <w:tcW w:w="3440" w:type="dxa"/>
            <w:vAlign w:val="bottom"/>
          </w:tcPr>
          <w:p>
            <w:pPr>
              <w:spacing w:after="0"/>
              <w:rPr>
                <w:sz w:val="22"/>
                <w:szCs w:val="22"/>
                <w:color w:val="auto"/>
              </w:rPr>
            </w:pPr>
          </w:p>
        </w:tc>
        <w:tc>
          <w:tcPr>
            <w:tcW w:w="2940" w:type="dxa"/>
            <w:vAlign w:val="bottom"/>
            <w:gridSpan w:val="3"/>
          </w:tcPr>
          <w:p>
            <w:pPr>
              <w:jc w:val="center"/>
              <w:ind w:left="370"/>
              <w:spacing w:after="0"/>
              <w:rPr>
                <w:sz w:val="20"/>
                <w:szCs w:val="20"/>
                <w:color w:val="auto"/>
              </w:rPr>
            </w:pPr>
            <w:r>
              <w:rPr>
                <w:rFonts w:ascii="Arial" w:cs="Arial" w:eastAsia="Arial" w:hAnsi="Arial"/>
                <w:sz w:val="14"/>
                <w:szCs w:val="14"/>
                <w:b w:val="1"/>
                <w:bCs w:val="1"/>
                <w:color w:val="auto"/>
                <w:w w:val="93"/>
              </w:rPr>
              <w:t>(501) 320-4880</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160"/>
        </w:trPr>
        <w:tc>
          <w:tcPr>
            <w:tcW w:w="3440" w:type="dxa"/>
            <w:vAlign w:val="bottom"/>
          </w:tcPr>
          <w:p>
            <w:pPr>
              <w:spacing w:after="0"/>
              <w:rPr>
                <w:sz w:val="13"/>
                <w:szCs w:val="13"/>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3"/>
                <w:szCs w:val="13"/>
                <w:color w:val="auto"/>
                <w:w w:val="88"/>
              </w:rPr>
              <w:t>(Registrant’s Telephone Number, Including Area Code)</w:t>
            </w:r>
          </w:p>
        </w:tc>
        <w:tc>
          <w:tcPr>
            <w:tcW w:w="3260" w:type="dxa"/>
            <w:vAlign w:val="bottom"/>
          </w:tcPr>
          <w:p>
            <w:pPr>
              <w:spacing w:after="0"/>
              <w:rPr>
                <w:sz w:val="13"/>
                <w:szCs w:val="13"/>
                <w:color w:val="auto"/>
              </w:rPr>
            </w:pPr>
          </w:p>
        </w:tc>
      </w:tr>
      <w:tr>
        <w:trPr>
          <w:trHeight w:val="254"/>
        </w:trPr>
        <w:tc>
          <w:tcPr>
            <w:tcW w:w="3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Not applicable</w:t>
            </w:r>
          </w:p>
        </w:tc>
        <w:tc>
          <w:tcPr>
            <w:tcW w:w="3260" w:type="dxa"/>
            <w:vAlign w:val="bottom"/>
          </w:tcPr>
          <w:p>
            <w:pPr>
              <w:spacing w:after="0"/>
              <w:rPr>
                <w:sz w:val="22"/>
                <w:szCs w:val="22"/>
                <w:color w:val="auto"/>
              </w:rPr>
            </w:pPr>
          </w:p>
        </w:tc>
      </w:tr>
      <w:tr>
        <w:trPr>
          <w:trHeight w:val="182"/>
        </w:trPr>
        <w:tc>
          <w:tcPr>
            <w:tcW w:w="10240" w:type="dxa"/>
            <w:vAlign w:val="bottom"/>
            <w:gridSpan w:val="7"/>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r>
      <w:tr>
        <w:trPr>
          <w:trHeight w:val="257"/>
        </w:trPr>
        <w:tc>
          <w:tcPr>
            <w:tcW w:w="3440" w:type="dxa"/>
            <w:vAlign w:val="bottom"/>
          </w:tcPr>
          <w:p>
            <w:pPr>
              <w:spacing w:after="0"/>
              <w:rPr>
                <w:sz w:val="22"/>
                <w:szCs w:val="22"/>
                <w:color w:val="auto"/>
              </w:rPr>
            </w:pPr>
          </w:p>
        </w:tc>
        <w:tc>
          <w:tcPr>
            <w:tcW w:w="3540" w:type="dxa"/>
            <w:vAlign w:val="bottom"/>
            <w:gridSpan w:val="5"/>
          </w:tcPr>
          <w:p>
            <w:pPr>
              <w:jc w:val="center"/>
              <w:ind w:right="160"/>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3260" w:type="dxa"/>
            <w:vAlign w:val="bottom"/>
          </w:tcPr>
          <w:p>
            <w:pPr>
              <w:spacing w:after="0"/>
              <w:rPr>
                <w:sz w:val="22"/>
                <w:szCs w:val="22"/>
                <w:color w:val="auto"/>
              </w:rPr>
            </w:pPr>
          </w:p>
        </w:tc>
      </w:tr>
      <w:tr>
        <w:trPr>
          <w:trHeight w:val="106"/>
        </w:trPr>
        <w:tc>
          <w:tcPr>
            <w:tcW w:w="34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r>
      <w:tr>
        <w:trPr>
          <w:trHeight w:val="179"/>
        </w:trPr>
        <w:tc>
          <w:tcPr>
            <w:tcW w:w="3440" w:type="dxa"/>
            <w:vAlign w:val="bottom"/>
            <w:tcBorders>
              <w:left w:val="single" w:sz="8" w:color="auto"/>
              <w:bottom w:val="single" w:sz="8" w:color="auto"/>
            </w:tcBorders>
          </w:tcPr>
          <w:p>
            <w:pPr>
              <w:jc w:val="center"/>
              <w:ind w:left="365"/>
              <w:spacing w:after="0"/>
              <w:rPr>
                <w:sz w:val="20"/>
                <w:szCs w:val="20"/>
                <w:color w:val="auto"/>
              </w:rPr>
            </w:pPr>
            <w:r>
              <w:rPr>
                <w:rFonts w:ascii="Arial" w:cs="Arial" w:eastAsia="Arial" w:hAnsi="Arial"/>
                <w:sz w:val="14"/>
                <w:szCs w:val="14"/>
                <w:color w:val="auto"/>
                <w:w w:val="92"/>
              </w:rPr>
              <w:t>Title of each class</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2"/>
              </w:rPr>
              <w:t>Name of each exchange on which registered</w:t>
            </w:r>
          </w:p>
        </w:tc>
      </w:tr>
      <w:tr>
        <w:trPr>
          <w:trHeight w:val="186"/>
        </w:trPr>
        <w:tc>
          <w:tcPr>
            <w:tcW w:w="3440" w:type="dxa"/>
            <w:vAlign w:val="bottom"/>
            <w:tcBorders>
              <w:left w:val="single" w:sz="8" w:color="auto"/>
              <w:bottom w:val="single" w:sz="8" w:color="auto"/>
            </w:tcBorders>
          </w:tcPr>
          <w:p>
            <w:pPr>
              <w:jc w:val="center"/>
              <w:ind w:left="385"/>
              <w:spacing w:after="0"/>
              <w:rPr>
                <w:sz w:val="20"/>
                <w:szCs w:val="20"/>
                <w:color w:val="auto"/>
              </w:rPr>
            </w:pPr>
            <w:r>
              <w:rPr>
                <w:rFonts w:ascii="Arial" w:cs="Arial" w:eastAsia="Arial" w:hAnsi="Arial"/>
                <w:sz w:val="14"/>
                <w:szCs w:val="14"/>
                <w:color w:val="auto"/>
                <w:w w:val="91"/>
              </w:rPr>
              <w:t>Shares of common stock, par value $0.01 per share</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WEST</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4"/>
              </w:rPr>
              <w:t>The Nasdaq Stock Market LLC</w:t>
            </w:r>
          </w:p>
        </w:tc>
      </w:tr>
      <w:tr>
        <w:trPr>
          <w:trHeight w:val="123"/>
        </w:trPr>
        <w:tc>
          <w:tcPr>
            <w:tcW w:w="3880" w:type="dxa"/>
            <w:vAlign w:val="bottom"/>
            <w:tcBorders>
              <w:left w:val="single" w:sz="8" w:color="auto"/>
              <w:right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2"/>
              </w:rPr>
              <w:t>Warrants, each whole warrant exercisable for one share of</w:t>
            </w:r>
          </w:p>
        </w:tc>
        <w:tc>
          <w:tcPr>
            <w:tcW w:w="2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r>
      <w:tr>
        <w:trPr>
          <w:trHeight w:val="208"/>
        </w:trPr>
        <w:tc>
          <w:tcPr>
            <w:tcW w:w="3440" w:type="dxa"/>
            <w:vAlign w:val="bottom"/>
            <w:tcBorders>
              <w:left w:val="single" w:sz="8" w:color="auto"/>
              <w:bottom w:val="single" w:sz="8" w:color="auto"/>
            </w:tcBorders>
          </w:tcPr>
          <w:p>
            <w:pPr>
              <w:jc w:val="center"/>
              <w:ind w:left="365"/>
              <w:spacing w:after="0"/>
              <w:rPr>
                <w:sz w:val="20"/>
                <w:szCs w:val="20"/>
                <w:color w:val="auto"/>
              </w:rPr>
            </w:pPr>
            <w:r>
              <w:rPr>
                <w:rFonts w:ascii="Arial" w:cs="Arial" w:eastAsia="Arial" w:hAnsi="Arial"/>
                <w:sz w:val="14"/>
                <w:szCs w:val="14"/>
                <w:color w:val="auto"/>
                <w:w w:val="91"/>
              </w:rPr>
              <w:t>common stock, par value $0.01 per share</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WESTW</w:t>
            </w: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188595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66" w:lineRule="exact"/>
        <w:rPr>
          <w:sz w:val="24"/>
          <w:szCs w:val="24"/>
          <w:color w:val="auto"/>
        </w:rPr>
      </w:pPr>
    </w:p>
    <w:p>
      <w:pPr>
        <w:ind w:left="20" w:right="4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left="20" w:right="180" w:firstLine="441"/>
        <w:spacing w:after="0" w:line="18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0" w:lineRule="exact"/>
        <w:rPr>
          <w:sz w:val="24"/>
          <w:szCs w:val="24"/>
          <w:color w:val="auto"/>
        </w:rPr>
      </w:pPr>
    </w:p>
    <w:p>
      <w:pPr>
        <w:ind w:left="20" w:right="6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44" w:lineRule="exact"/>
        <w:rPr>
          <w:sz w:val="24"/>
          <w:szCs w:val="24"/>
          <w:color w:val="auto"/>
        </w:rPr>
      </w:pPr>
    </w:p>
    <w:p>
      <w:pPr>
        <w:ind w:left="20"/>
        <w:spacing w:after="0" w:line="334" w:lineRule="auto"/>
        <w:rPr>
          <w:sz w:val="20"/>
          <w:szCs w:val="20"/>
          <w:color w:val="auto"/>
        </w:rPr>
      </w:pPr>
      <w:r>
        <w:rPr>
          <w:rFonts w:ascii="Arial" w:cs="Arial" w:eastAsia="Arial" w:hAnsi="Arial"/>
          <w:sz w:val="13"/>
          <w:szCs w:val="13"/>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3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79" w:lineRule="exact"/>
        <w:rPr>
          <w:sz w:val="24"/>
          <w:szCs w:val="24"/>
          <w:color w:val="auto"/>
        </w:rPr>
      </w:pPr>
    </w:p>
    <w:p>
      <w:pPr>
        <w:sectPr>
          <w:pgSz w:w="11900" w:h="16838" w:orient="portrait"/>
          <w:cols w:equalWidth="0" w:num="8">
            <w:col w:w="1580" w:space="420"/>
            <w:col w:w="140" w:space="520"/>
            <w:col w:w="960" w:space="600"/>
            <w:col w:w="140" w:space="600"/>
            <w:col w:w="1220" w:space="600"/>
            <w:col w:w="140" w:space="360"/>
            <w:col w:w="1860" w:space="720"/>
            <w:col w:w="380"/>
          </w:cols>
          <w:pgMar w:left="820" w:top="665" w:right="839" w:bottom="1440" w:gutter="0" w:footer="0" w:header="0"/>
          <w:type w:val="continuous"/>
        </w:sectPr>
      </w:pPr>
    </w:p>
    <w:p>
      <w:pPr>
        <w:ind w:left="20" w:right="340" w:firstLine="44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left="460" w:right="2320"/>
        <w:spacing w:after="0" w:line="23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As of August 7, 2023, the Registrant had 87,611,165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822325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33655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left="60" w:right="99"/>
        <w:spacing w:after="0" w:line="227" w:lineRule="auto"/>
        <w:rPr>
          <w:sz w:val="20"/>
          <w:szCs w:val="20"/>
          <w:color w:val="auto"/>
        </w:rPr>
      </w:pPr>
      <w:r>
        <w:rPr>
          <w:rFonts w:ascii="Arial" w:cs="Arial" w:eastAsia="Arial" w:hAnsi="Arial"/>
          <w:sz w:val="18"/>
          <w:szCs w:val="18"/>
          <w:color w:val="auto"/>
        </w:rPr>
        <w:t>On August 26, 2022, the registrant, Westrock Coffee Company, a Delaware corporation (the “Company,” “Westrock,” “we,” “us,” or “our”),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48" w:lineRule="exact"/>
        <w:rPr>
          <w:sz w:val="20"/>
          <w:szCs w:val="20"/>
          <w:color w:val="auto"/>
        </w:rPr>
      </w:pPr>
    </w:p>
    <w:p>
      <w:pPr>
        <w:ind w:left="60" w:right="179"/>
        <w:spacing w:after="0" w:line="223" w:lineRule="auto"/>
        <w:rPr>
          <w:sz w:val="20"/>
          <w:szCs w:val="20"/>
          <w:color w:val="auto"/>
        </w:rPr>
      </w:pPr>
      <w:r>
        <w:rPr>
          <w:rFonts w:ascii="Arial" w:cs="Arial" w:eastAsia="Arial" w:hAnsi="Arial"/>
          <w:sz w:val="18"/>
          <w:szCs w:val="18"/>
          <w:color w:val="auto"/>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respectively. See Note 4, De-SPAC Merger Transaction, to the Condensed Consolidated Financial Statements included in Item 1 of Part I of this Quarterly Report on Form 10-Q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adjusted on the basis of Common Shares to reflect the conversion of common units to Common Shares.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60" w:right="139"/>
        <w:spacing w:after="0" w:line="222" w:lineRule="auto"/>
        <w:rPr>
          <w:sz w:val="20"/>
          <w:szCs w:val="20"/>
          <w:color w:val="auto"/>
        </w:rPr>
      </w:pPr>
      <w:r>
        <w:rPr>
          <w:rFonts w:ascii="Arial" w:cs="Arial" w:eastAsia="Arial" w:hAnsi="Arial"/>
          <w:sz w:val="18"/>
          <w:szCs w:val="18"/>
          <w:color w:val="auto"/>
        </w:rPr>
        <w:t>This Quarterly Report on Form 10 -Q includes forward-looking statements as defined under U.S. federal securities laws. Forward -looking statements include all statements that are not historical statements of fact and statements regarding, but not limited to, statements regarding our expectations, hopes, beliefs, intentions or strategies regarding the future, our expectations regarding the build-out of the Conway, Arkansas facility and when it will begin commercial production; our expectations regarding capital expenditures; 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5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97" w:lineRule="exact"/>
        <w:rPr>
          <w:sz w:val="20"/>
          <w:szCs w:val="20"/>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23" w:lineRule="exact"/>
        <w:rPr>
          <w:rFonts w:ascii="Arial" w:cs="Arial" w:eastAsia="Arial" w:hAnsi="Arial"/>
          <w:sz w:val="18"/>
          <w:szCs w:val="18"/>
          <w:color w:val="auto"/>
        </w:rPr>
      </w:pPr>
    </w:p>
    <w:p>
      <w:pPr>
        <w:ind w:left="1700" w:right="9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increases in the cost of green coffee, tea and other ingredients and packaging, and our inability to pass these costs on to customers;</w:t>
      </w:r>
    </w:p>
    <w:p>
      <w:pPr>
        <w:ind w:left="1700" w:right="15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an adequate supply of key raw materials, including green coffee and tea, or disruption in our supply chain;</w:t>
      </w:r>
    </w:p>
    <w:p>
      <w:pPr>
        <w:ind w:left="1700" w:right="23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macroeconomic conditions and/or decreases in consumer spending on discretionary items;</w:t>
      </w:r>
    </w:p>
    <w:p>
      <w:pPr>
        <w:ind w:left="1700" w:right="559" w:hanging="327"/>
        <w:spacing w:after="0" w:line="273" w:lineRule="auto"/>
        <w:tabs>
          <w:tab w:leader="none" w:pos="1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 in operations at any of our, our suppliers’ or our co-manufacturers’ production, distribution or manufacturing facilities or other loss of manufacturing capacity;</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anticipate customer preferences and successfully develop new products;</w:t>
      </w:r>
    </w:p>
    <w:p>
      <w:pPr>
        <w:spacing w:after="0" w:line="9" w:lineRule="exact"/>
        <w:rPr>
          <w:rFonts w:ascii="Arial" w:cs="Arial" w:eastAsia="Arial" w:hAnsi="Arial"/>
          <w:sz w:val="18"/>
          <w:szCs w:val="18"/>
          <w:color w:val="auto"/>
        </w:rPr>
      </w:pPr>
    </w:p>
    <w:p>
      <w:pPr>
        <w:ind w:left="1700" w:right="39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which may increase commodity costs, damage our facilities and disrupt our production capabilities and supply chain;</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key personnel or recruit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777240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operating a coffee trading business and a coffee exporting business;</w:t>
      </w:r>
    </w:p>
    <w:p>
      <w:pPr>
        <w:spacing w:after="0" w:line="23"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hedge commodity risks;</w:t>
      </w:r>
    </w:p>
    <w:p>
      <w:pPr>
        <w:spacing w:after="0" w:line="9"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among our distributors and customers or the loss of any key customer;</w:t>
      </w:r>
    </w:p>
    <w:p>
      <w:pPr>
        <w:spacing w:after="0" w:line="22" w:lineRule="exact"/>
        <w:rPr>
          <w:rFonts w:ascii="Arial" w:cs="Arial" w:eastAsia="Arial" w:hAnsi="Arial"/>
          <w:sz w:val="18"/>
          <w:szCs w:val="18"/>
          <w:color w:val="auto"/>
        </w:rPr>
      </w:pPr>
    </w:p>
    <w:p>
      <w:pPr>
        <w:ind w:left="1700" w:right="77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evolving U.S. and international laws and regulations, and noncompliance therewith subjecting us to criminal or civil liability;</w:t>
      </w:r>
    </w:p>
    <w:p>
      <w:pPr>
        <w:ind w:left="1700" w:right="13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of businesses, which may divert our management’s attention, prove difficult to effectively integrate and fail to achieve their projected benefits;</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effectively manage the growth and increased complexity of our business;</w:t>
      </w:r>
    </w:p>
    <w:p>
      <w:pPr>
        <w:spacing w:after="0" w:line="22" w:lineRule="exact"/>
        <w:rPr>
          <w:rFonts w:ascii="Arial" w:cs="Arial" w:eastAsia="Arial" w:hAnsi="Arial"/>
          <w:sz w:val="18"/>
          <w:szCs w:val="18"/>
          <w:color w:val="auto"/>
        </w:rPr>
      </w:pPr>
    </w:p>
    <w:p>
      <w:pPr>
        <w:ind w:left="1700" w:right="1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maintain or grow market share through continued differentiation of our product and competitive pricing;</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secure the additional capital needed to operate and grow our business;</w:t>
      </w:r>
    </w:p>
    <w:p>
      <w:pPr>
        <w:spacing w:after="0" w:line="22" w:lineRule="exact"/>
        <w:rPr>
          <w:rFonts w:ascii="Arial" w:cs="Arial" w:eastAsia="Arial" w:hAnsi="Arial"/>
          <w:sz w:val="18"/>
          <w:szCs w:val="18"/>
          <w:color w:val="auto"/>
        </w:rPr>
      </w:pPr>
    </w:p>
    <w:p>
      <w:pPr>
        <w:ind w:left="1700" w:right="2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or legal disputes, which could lead us to incur significant liabilities and costs or harm our reputation;</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material failure, inadequacy or interruption of our information technology systems;</w:t>
      </w:r>
    </w:p>
    <w:p>
      <w:pPr>
        <w:spacing w:after="0" w:line="22" w:lineRule="exact"/>
        <w:rPr>
          <w:rFonts w:ascii="Arial" w:cs="Arial" w:eastAsia="Arial" w:hAnsi="Arial"/>
          <w:sz w:val="18"/>
          <w:szCs w:val="18"/>
          <w:color w:val="auto"/>
        </w:rPr>
      </w:pPr>
    </w:p>
    <w:p>
      <w:pPr>
        <w:ind w:left="1700" w:right="39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unauthorized access, theft, use or destruction of personal, financial or other confidential information relating to our customers, suppliers, employees or business;</w:t>
      </w:r>
    </w:p>
    <w:p>
      <w:pPr>
        <w:ind w:left="1700" w:right="1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level of indebtedness, which may reduce funds available for other business purposes and reduce our operational flexibility;</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comply with the financial covenants contained in our credit agreement;</w:t>
      </w:r>
    </w:p>
    <w:p>
      <w:pPr>
        <w:spacing w:after="0" w:line="22" w:lineRule="exact"/>
        <w:rPr>
          <w:rFonts w:ascii="Arial" w:cs="Arial" w:eastAsia="Arial" w:hAnsi="Arial"/>
          <w:sz w:val="18"/>
          <w:szCs w:val="18"/>
          <w:color w:val="auto"/>
        </w:rPr>
      </w:pPr>
    </w:p>
    <w:p>
      <w:pPr>
        <w:ind w:left="1700" w:right="31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complete the construction of our new facility in Conway, Arkansas in time or incurring additional expenses in the process;</w:t>
      </w:r>
    </w:p>
    <w:p>
      <w:pPr>
        <w:ind w:left="1700" w:right="47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structure and organization, which may prevent or delay attempts to acquire a controlling interest in the Company;</w:t>
      </w:r>
    </w:p>
    <w:p>
      <w:pPr>
        <w:ind w:left="1700" w:right="199" w:hanging="327"/>
        <w:spacing w:after="0" w:line="255"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1" w:lineRule="exact"/>
        <w:rPr>
          <w:rFonts w:ascii="Arial" w:cs="Arial" w:eastAsia="Arial" w:hAnsi="Arial"/>
          <w:sz w:val="18"/>
          <w:szCs w:val="18"/>
          <w:color w:val="auto"/>
        </w:rPr>
      </w:pPr>
    </w:p>
    <w:p>
      <w:pPr>
        <w:ind w:left="1700" w:right="239" w:hanging="327"/>
        <w:spacing w:after="0" w:line="267"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global economic conditions, including those caused by economic slowdowns or recessions, changes in political, economic or industry conditions, global conflicts (including the ongoing military conflict between Russia and Ukraine and recent conflicts in Brazil),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3" w:lineRule="exact"/>
        <w:rPr>
          <w:rFonts w:ascii="Arial" w:cs="Arial" w:eastAsia="Arial" w:hAnsi="Arial"/>
          <w:sz w:val="17"/>
          <w:szCs w:val="17"/>
          <w:color w:val="auto"/>
        </w:rPr>
      </w:pPr>
    </w:p>
    <w:p>
      <w:pPr>
        <w:ind w:left="1700" w:right="119" w:hanging="327"/>
        <w:spacing w:after="0" w:line="25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the “Risk Factors” section in the Company’s Annual Report on Form 10-K filed with the U.S. Securities and Exchange Commission (“SEC”) on March 21, 2023 (“Annual Report”) and in the “Management’s Discussion and Analysis” and “Risk Factors” sections of this Quarterly Report on Form 10-Q, as well as those described from time to time in our future reports filed with the SEC.</w:t>
      </w:r>
    </w:p>
    <w:p>
      <w:pPr>
        <w:spacing w:after="0" w:line="120" w:lineRule="exact"/>
        <w:rPr>
          <w:sz w:val="20"/>
          <w:szCs w:val="20"/>
          <w:color w:val="auto"/>
        </w:rPr>
      </w:pPr>
    </w:p>
    <w:p>
      <w:pPr>
        <w:ind w:left="60" w:right="159"/>
        <w:spacing w:after="0" w:line="247"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 - looking statements. Any forward- 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849630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20" w:type="dxa"/>
            <w:vAlign w:val="bottom"/>
            <w:gridSpan w:val="52"/>
          </w:tcPr>
          <w:p>
            <w:pPr>
              <w:spacing w:after="0"/>
              <w:rPr>
                <w:sz w:val="20"/>
                <w:szCs w:val="20"/>
                <w:color w:val="auto"/>
              </w:rPr>
            </w:pPr>
            <w:r>
              <w:rPr>
                <w:rFonts w:ascii="Arial" w:cs="Arial" w:eastAsia="Arial" w:hAnsi="Arial"/>
                <w:sz w:val="18"/>
                <w:szCs w:val="18"/>
                <w:color w:val="0000EE"/>
              </w:rPr>
              <w:t>Table of Contents</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9"/>
          </w:tcPr>
          <w:p>
            <w:pPr>
              <w:jc w:val="center"/>
              <w:ind w:right="1260"/>
              <w:spacing w:after="0"/>
              <w:rPr>
                <w:sz w:val="20"/>
                <w:szCs w:val="20"/>
                <w:color w:val="auto"/>
              </w:rPr>
            </w:pPr>
            <w:r>
              <w:rPr>
                <w:rFonts w:ascii="Arial" w:cs="Arial" w:eastAsia="Arial" w:hAnsi="Arial"/>
                <w:sz w:val="18"/>
                <w:szCs w:val="18"/>
                <w:b w:val="1"/>
                <w:bCs w:val="1"/>
                <w:color w:val="auto"/>
                <w:w w:val="99"/>
              </w:rPr>
              <w:t>WESTROCK COFFEE COMPANY</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11"/>
          </w:tcPr>
          <w:p>
            <w:pPr>
              <w:jc w:val="center"/>
              <w:ind w:right="2100"/>
              <w:spacing w:after="0"/>
              <w:rPr>
                <w:sz w:val="20"/>
                <w:szCs w:val="20"/>
                <w:color w:val="auto"/>
              </w:rPr>
            </w:pPr>
            <w:r>
              <w:rPr>
                <w:rFonts w:ascii="Arial" w:cs="Arial" w:eastAsia="Arial" w:hAnsi="Arial"/>
                <w:sz w:val="18"/>
                <w:szCs w:val="18"/>
                <w:b w:val="1"/>
                <w:bCs w:val="1"/>
                <w:color w:val="auto"/>
                <w:w w:val="99"/>
              </w:rPr>
              <w:t>FORM 10-Q</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88"/>
              </w:rPr>
              <w:t>June 30, 2023</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gridSpan w:val="12"/>
          </w:tcPr>
          <w:p>
            <w:pPr>
              <w:jc w:val="center"/>
              <w:ind w:right="1860"/>
              <w:spacing w:after="0"/>
              <w:rPr>
                <w:sz w:val="20"/>
                <w:szCs w:val="20"/>
                <w:color w:val="auto"/>
              </w:rPr>
            </w:pPr>
            <w:r>
              <w:rPr>
                <w:rFonts w:ascii="Arial" w:cs="Arial" w:eastAsia="Arial" w:hAnsi="Arial"/>
                <w:sz w:val="18"/>
                <w:szCs w:val="18"/>
                <w:b w:val="1"/>
                <w:bCs w:val="1"/>
                <w:color w:val="auto"/>
                <w:w w:val="89"/>
              </w:rPr>
              <w:t>Table of Contents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0000EE"/>
              </w:rPr>
              <w:t>Part I.</w:t>
            </w:r>
          </w:p>
        </w:tc>
        <w:tc>
          <w:tcPr>
            <w:tcW w:w="6440" w:type="dxa"/>
            <w:vAlign w:val="bottom"/>
            <w:gridSpan w:val="48"/>
          </w:tcPr>
          <w:p>
            <w:pPr>
              <w:spacing w:after="0"/>
              <w:rPr>
                <w:sz w:val="20"/>
                <w:szCs w:val="20"/>
                <w:color w:val="auto"/>
              </w:rPr>
            </w:pPr>
            <w:r>
              <w:rPr>
                <w:rFonts w:ascii="Arial" w:cs="Arial" w:eastAsia="Arial" w:hAnsi="Arial"/>
                <w:sz w:val="18"/>
                <w:szCs w:val="18"/>
                <w:b w:val="1"/>
                <w:bCs w:val="1"/>
                <w:color w:val="0000EE"/>
              </w:rPr>
              <w:t>Financial Information</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line="156" w:lineRule="exact"/>
              <w:rPr>
                <w:sz w:val="20"/>
                <w:szCs w:val="20"/>
                <w:color w:val="auto"/>
              </w:rPr>
            </w:pPr>
            <w:r>
              <w:rPr>
                <w:rFonts w:ascii="Arial" w:cs="Arial" w:eastAsia="Arial" w:hAnsi="Arial"/>
                <w:sz w:val="18"/>
                <w:szCs w:val="18"/>
                <w:color w:val="0000EE"/>
                <w:w w:val="87"/>
              </w:rPr>
              <w:t>Item 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EE"/>
            </w:tcBorders>
            <w:gridSpan w:val="16"/>
          </w:tcPr>
          <w:p>
            <w:pPr>
              <w:spacing w:after="0" w:line="156" w:lineRule="exact"/>
              <w:rPr>
                <w:sz w:val="20"/>
                <w:szCs w:val="20"/>
                <w:color w:val="auto"/>
              </w:rPr>
            </w:pPr>
            <w:r>
              <w:rPr>
                <w:rFonts w:ascii="Arial" w:cs="Arial" w:eastAsia="Arial" w:hAnsi="Arial"/>
                <w:sz w:val="18"/>
                <w:szCs w:val="18"/>
                <w:color w:val="0000EE"/>
                <w:w w:val="98"/>
              </w:rPr>
              <w:t>Financial Statements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420" w:type="dxa"/>
            <w:vAlign w:val="bottom"/>
            <w:gridSpan w:val="47"/>
          </w:tcPr>
          <w:p>
            <w:pPr>
              <w:spacing w:after="0" w:line="169" w:lineRule="exact"/>
              <w:rPr>
                <w:sz w:val="20"/>
                <w:szCs w:val="20"/>
                <w:color w:val="auto"/>
              </w:rPr>
            </w:pPr>
            <w:r>
              <w:rPr>
                <w:rFonts w:ascii="Arial" w:cs="Arial" w:eastAsia="Arial" w:hAnsi="Arial"/>
                <w:sz w:val="18"/>
                <w:szCs w:val="18"/>
                <w:color w:val="0000EE"/>
              </w:rPr>
              <w:t>Condensed Consolidated Balance Sheets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36"/>
          </w:tcPr>
          <w:p>
            <w:pPr>
              <w:spacing w:after="0" w:line="182" w:lineRule="exact"/>
              <w:rPr>
                <w:sz w:val="20"/>
                <w:szCs w:val="20"/>
                <w:color w:val="auto"/>
              </w:rPr>
            </w:pPr>
            <w:r>
              <w:rPr>
                <w:rFonts w:ascii="Arial" w:cs="Arial" w:eastAsia="Arial" w:hAnsi="Arial"/>
                <w:sz w:val="18"/>
                <w:szCs w:val="18"/>
                <w:color w:val="0000EE"/>
                <w:w w:val="91"/>
              </w:rPr>
              <w:t>Condensed Consolidated Statements of</w:t>
            </w:r>
          </w:p>
        </w:tc>
        <w:tc>
          <w:tcPr>
            <w:tcW w:w="72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79"/>
              </w:rPr>
              <w:t>Operations</w:t>
            </w:r>
          </w:p>
        </w:tc>
        <w:tc>
          <w:tcPr>
            <w:tcW w:w="2780" w:type="dxa"/>
            <w:vAlign w:val="bottom"/>
            <w:gridSpan w:val="8"/>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gridSpan w:val="48"/>
          </w:tcPr>
          <w:p>
            <w:pPr>
              <w:spacing w:after="0" w:line="182" w:lineRule="exact"/>
              <w:rPr>
                <w:sz w:val="20"/>
                <w:szCs w:val="20"/>
                <w:color w:val="auto"/>
              </w:rPr>
            </w:pPr>
            <w:r>
              <w:rPr>
                <w:rFonts w:ascii="Arial" w:cs="Arial" w:eastAsia="Arial" w:hAnsi="Arial"/>
                <w:sz w:val="18"/>
                <w:szCs w:val="18"/>
                <w:color w:val="0000EE"/>
              </w:rPr>
              <w:t>Condensed Consolidated Statements of Comprehensive Income (Loss)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80" w:type="dxa"/>
            <w:vAlign w:val="bottom"/>
            <w:tcBorders>
              <w:top w:val="single" w:sz="8" w:color="0000EE"/>
            </w:tcBorders>
            <w:gridSpan w:val="47"/>
          </w:tcPr>
          <w:p>
            <w:pPr>
              <w:spacing w:after="0" w:line="169" w:lineRule="exact"/>
              <w:rPr>
                <w:sz w:val="20"/>
                <w:szCs w:val="20"/>
                <w:color w:val="auto"/>
              </w:rPr>
            </w:pPr>
            <w:r>
              <w:rPr>
                <w:rFonts w:ascii="Arial" w:cs="Arial" w:eastAsia="Arial" w:hAnsi="Arial"/>
                <w:sz w:val="18"/>
                <w:szCs w:val="18"/>
                <w:color w:val="0000EE"/>
                <w:w w:val="90"/>
              </w:rPr>
              <w:t>Condensed Consolidated Statements of Shareholders’ Equity (Deficit</w:t>
            </w:r>
            <w:r>
              <w:rPr>
                <w:rFonts w:ascii="Arial" w:cs="Arial" w:eastAsia="Arial" w:hAnsi="Arial"/>
                <w:sz w:val="18"/>
                <w:szCs w:val="18"/>
                <w:color w:val="000000"/>
                <w:w w:val="90"/>
              </w:rPr>
              <w:t>)</w:t>
            </w:r>
          </w:p>
        </w:tc>
        <w:tc>
          <w:tcPr>
            <w:tcW w:w="1360" w:type="dxa"/>
            <w:vAlign w:val="bottom"/>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41"/>
          </w:tcPr>
          <w:p>
            <w:pPr>
              <w:spacing w:after="0" w:line="182" w:lineRule="exact"/>
              <w:rPr>
                <w:sz w:val="20"/>
                <w:szCs w:val="20"/>
                <w:color w:val="auto"/>
              </w:rPr>
            </w:pPr>
            <w:r>
              <w:rPr>
                <w:rFonts w:ascii="Arial" w:cs="Arial" w:eastAsia="Arial" w:hAnsi="Arial"/>
                <w:sz w:val="18"/>
                <w:szCs w:val="18"/>
                <w:color w:val="0000EE"/>
                <w:w w:val="88"/>
              </w:rPr>
              <w:t>Condensed Consolidated Statements of Cash Flows</w:t>
            </w:r>
          </w:p>
        </w:tc>
        <w:tc>
          <w:tcPr>
            <w:tcW w:w="1260" w:type="dxa"/>
            <w:vAlign w:val="bottom"/>
            <w:tcBorders>
              <w:top w:val="single" w:sz="8" w:color="0000EE"/>
            </w:tcBorders>
            <w:gridSpan w:val="5"/>
          </w:tcPr>
          <w:p>
            <w:pPr>
              <w:spacing w:after="0"/>
              <w:rPr>
                <w:sz w:val="15"/>
                <w:szCs w:val="15"/>
                <w:color w:val="auto"/>
              </w:rPr>
            </w:pPr>
          </w:p>
        </w:tc>
        <w:tc>
          <w:tcPr>
            <w:tcW w:w="1460" w:type="dxa"/>
            <w:vAlign w:val="bottom"/>
            <w:gridSpan w:val="2"/>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gridSpan w:val="48"/>
          </w:tcPr>
          <w:p>
            <w:pPr>
              <w:spacing w:after="0" w:line="182" w:lineRule="exact"/>
              <w:rPr>
                <w:sz w:val="20"/>
                <w:szCs w:val="20"/>
                <w:color w:val="auto"/>
              </w:rPr>
            </w:pPr>
            <w:r>
              <w:rPr>
                <w:rFonts w:ascii="Arial" w:cs="Arial" w:eastAsia="Arial" w:hAnsi="Arial"/>
                <w:sz w:val="18"/>
                <w:szCs w:val="18"/>
                <w:color w:val="0000EE"/>
              </w:rPr>
              <w:t>Notes to Condensed Consolidated Financial Statements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20" w:type="dxa"/>
            <w:vAlign w:val="bottom"/>
            <w:tcBorders>
              <w:top w:val="single" w:sz="8" w:color="0000EE"/>
            </w:tcBorders>
            <w:gridSpan w:val="40"/>
          </w:tcPr>
          <w:p>
            <w:pPr>
              <w:spacing w:after="0" w:line="169" w:lineRule="exact"/>
              <w:rPr>
                <w:sz w:val="20"/>
                <w:szCs w:val="20"/>
                <w:color w:val="auto"/>
              </w:rPr>
            </w:pPr>
            <w:r>
              <w:rPr>
                <w:rFonts w:ascii="Arial" w:cs="Arial" w:eastAsia="Arial" w:hAnsi="Arial"/>
                <w:sz w:val="18"/>
                <w:szCs w:val="18"/>
                <w:color w:val="0000EE"/>
              </w:rPr>
              <w:t>1. Organization and Description of Business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35"/>
          </w:tcPr>
          <w:p>
            <w:pPr>
              <w:spacing w:after="0" w:line="182" w:lineRule="exact"/>
              <w:rPr>
                <w:sz w:val="20"/>
                <w:szCs w:val="20"/>
                <w:color w:val="auto"/>
              </w:rPr>
            </w:pPr>
            <w:r>
              <w:rPr>
                <w:rFonts w:ascii="Arial" w:cs="Arial" w:eastAsia="Arial" w:hAnsi="Arial"/>
                <w:sz w:val="18"/>
                <w:szCs w:val="18"/>
                <w:color w:val="0000EE"/>
                <w:w w:val="88"/>
              </w:rPr>
              <w:t>2. Basis of Presentation and Consolidation</w:t>
            </w:r>
          </w:p>
        </w:tc>
        <w:tc>
          <w:tcPr>
            <w:tcW w:w="1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4"/>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gridSpan w:val="46"/>
          </w:tcPr>
          <w:p>
            <w:pPr>
              <w:spacing w:after="0" w:line="182" w:lineRule="exact"/>
              <w:rPr>
                <w:sz w:val="20"/>
                <w:szCs w:val="20"/>
                <w:color w:val="auto"/>
              </w:rPr>
            </w:pPr>
            <w:r>
              <w:rPr>
                <w:rFonts w:ascii="Arial" w:cs="Arial" w:eastAsia="Arial" w:hAnsi="Arial"/>
                <w:sz w:val="18"/>
                <w:szCs w:val="18"/>
                <w:color w:val="0000EE"/>
              </w:rPr>
              <w:t>3. Summary of Significant Accounting Policies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tcBorders>
              <w:top w:val="single" w:sz="8" w:color="0000EE"/>
            </w:tcBorders>
            <w:gridSpan w:val="37"/>
          </w:tcPr>
          <w:p>
            <w:pPr>
              <w:spacing w:after="0" w:line="169" w:lineRule="exact"/>
              <w:rPr>
                <w:sz w:val="20"/>
                <w:szCs w:val="20"/>
                <w:color w:val="auto"/>
              </w:rPr>
            </w:pPr>
            <w:r>
              <w:rPr>
                <w:rFonts w:ascii="Arial" w:cs="Arial" w:eastAsia="Arial" w:hAnsi="Arial"/>
                <w:sz w:val="18"/>
                <w:szCs w:val="18"/>
                <w:color w:val="0000EE"/>
              </w:rPr>
              <w:t>4. De-SPAC Merger Transaction</w:t>
            </w:r>
          </w:p>
        </w:tc>
        <w:tc>
          <w:tcPr>
            <w:tcW w:w="480" w:type="dxa"/>
            <w:vAlign w:val="bottom"/>
            <w:gridSpan w:val="4"/>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0000EE"/>
              </w:rPr>
              <w:t>5. Revenue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8"/>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gridSpan w:val="46"/>
          </w:tcPr>
          <w:p>
            <w:pPr>
              <w:spacing w:after="0" w:line="182" w:lineRule="exact"/>
              <w:rPr>
                <w:sz w:val="20"/>
                <w:szCs w:val="20"/>
                <w:color w:val="auto"/>
              </w:rPr>
            </w:pPr>
            <w:r>
              <w:rPr>
                <w:rFonts w:ascii="Arial" w:cs="Arial" w:eastAsia="Arial" w:hAnsi="Arial"/>
                <w:sz w:val="18"/>
                <w:szCs w:val="18"/>
                <w:color w:val="0000EE"/>
              </w:rPr>
              <w:t>6. Acquisitions</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8"/>
                <w:szCs w:val="18"/>
                <w:color w:val="0000EE"/>
                <w:w w:val="94"/>
              </w:rPr>
              <w:t>7. Inventories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8"/>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gridSpan w:val="46"/>
          </w:tcPr>
          <w:p>
            <w:pPr>
              <w:spacing w:after="0" w:line="182" w:lineRule="exact"/>
              <w:rPr>
                <w:sz w:val="20"/>
                <w:szCs w:val="20"/>
                <w:color w:val="auto"/>
              </w:rPr>
            </w:pPr>
            <w:r>
              <w:rPr>
                <w:rFonts w:ascii="Arial" w:cs="Arial" w:eastAsia="Arial" w:hAnsi="Arial"/>
                <w:sz w:val="18"/>
                <w:szCs w:val="18"/>
                <w:color w:val="0000EE"/>
              </w:rPr>
              <w:t>8. Property, Plant and Equipment, Net</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9. Goodwill</w:t>
            </w:r>
          </w:p>
        </w:tc>
        <w:tc>
          <w:tcPr>
            <w:tcW w:w="1160" w:type="dxa"/>
            <w:vAlign w:val="bottom"/>
            <w:gridSpan w:val="8"/>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10.</w:t>
            </w:r>
          </w:p>
        </w:tc>
        <w:tc>
          <w:tcPr>
            <w:tcW w:w="660" w:type="dxa"/>
            <w:vAlign w:val="bottom"/>
            <w:tcBorders>
              <w:top w:val="single" w:sz="8" w:color="0000EE"/>
            </w:tcBorders>
            <w:gridSpan w:val="7"/>
          </w:tcPr>
          <w:p>
            <w:pPr>
              <w:ind w:left="20"/>
              <w:spacing w:after="0" w:line="169" w:lineRule="exact"/>
              <w:rPr>
                <w:sz w:val="20"/>
                <w:szCs w:val="20"/>
                <w:color w:val="auto"/>
              </w:rPr>
            </w:pPr>
            <w:r>
              <w:rPr>
                <w:rFonts w:ascii="Arial" w:cs="Arial" w:eastAsia="Arial" w:hAnsi="Arial"/>
                <w:sz w:val="18"/>
                <w:szCs w:val="18"/>
                <w:color w:val="0000EE"/>
                <w:w w:val="79"/>
              </w:rPr>
              <w:t>Intangible</w:t>
            </w:r>
          </w:p>
        </w:tc>
        <w:tc>
          <w:tcPr>
            <w:tcW w:w="5440" w:type="dxa"/>
            <w:vAlign w:val="bottom"/>
            <w:gridSpan w:val="38"/>
          </w:tcPr>
          <w:p>
            <w:pPr>
              <w:ind w:left="120"/>
              <w:spacing w:after="0" w:line="169" w:lineRule="exact"/>
              <w:rPr>
                <w:sz w:val="20"/>
                <w:szCs w:val="20"/>
                <w:color w:val="auto"/>
              </w:rPr>
            </w:pPr>
            <w:r>
              <w:rPr>
                <w:rFonts w:ascii="Arial" w:cs="Arial" w:eastAsia="Arial" w:hAnsi="Arial"/>
                <w:sz w:val="18"/>
                <w:szCs w:val="18"/>
                <w:color w:val="0000EE"/>
              </w:rPr>
              <w:t>Assets, Net</w:t>
            </w: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11. Leases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9"/>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12.</w:t>
            </w:r>
          </w:p>
        </w:tc>
        <w:tc>
          <w:tcPr>
            <w:tcW w:w="500" w:type="dxa"/>
            <w:vAlign w:val="bottom"/>
            <w:tcBorders>
              <w:top w:val="single" w:sz="8" w:color="0000EE"/>
            </w:tcBorders>
            <w:gridSpan w:val="4"/>
          </w:tcPr>
          <w:p>
            <w:pPr>
              <w:ind w:left="20"/>
              <w:spacing w:after="0" w:line="182" w:lineRule="exact"/>
              <w:rPr>
                <w:sz w:val="20"/>
                <w:szCs w:val="20"/>
                <w:color w:val="auto"/>
              </w:rPr>
            </w:pPr>
            <w:r>
              <w:rPr>
                <w:rFonts w:ascii="Arial" w:cs="Arial" w:eastAsia="Arial" w:hAnsi="Arial"/>
                <w:sz w:val="18"/>
                <w:szCs w:val="18"/>
                <w:color w:val="0000EE"/>
              </w:rPr>
              <w:t>Debt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9"/>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13.</w:t>
            </w:r>
          </w:p>
        </w:tc>
        <w:tc>
          <w:tcPr>
            <w:tcW w:w="360" w:type="dxa"/>
            <w:vAlign w:val="bottom"/>
            <w:tcBorders>
              <w:top w:val="single" w:sz="8" w:color="0000EE"/>
            </w:tcBorders>
            <w:gridSpan w:val="3"/>
          </w:tcPr>
          <w:p>
            <w:pPr>
              <w:ind w:left="20"/>
              <w:spacing w:after="0" w:line="169" w:lineRule="exact"/>
              <w:rPr>
                <w:sz w:val="20"/>
                <w:szCs w:val="20"/>
                <w:color w:val="auto"/>
              </w:rPr>
            </w:pPr>
            <w:r>
              <w:rPr>
                <w:rFonts w:ascii="Arial" w:cs="Arial" w:eastAsia="Arial" w:hAnsi="Arial"/>
                <w:sz w:val="16"/>
                <w:szCs w:val="16"/>
                <w:color w:val="0000EE"/>
                <w:w w:val="70"/>
              </w:rPr>
              <w:t>Series</w:t>
            </w:r>
          </w:p>
        </w:tc>
        <w:tc>
          <w:tcPr>
            <w:tcW w:w="5740" w:type="dxa"/>
            <w:vAlign w:val="bottom"/>
            <w:gridSpan w:val="42"/>
          </w:tcPr>
          <w:p>
            <w:pPr>
              <w:jc w:val="right"/>
              <w:ind w:right="4240"/>
              <w:spacing w:after="0" w:line="169" w:lineRule="exact"/>
              <w:rPr>
                <w:sz w:val="20"/>
                <w:szCs w:val="20"/>
                <w:color w:val="auto"/>
              </w:rPr>
            </w:pPr>
            <w:r>
              <w:rPr>
                <w:rFonts w:ascii="Arial" w:cs="Arial" w:eastAsia="Arial" w:hAnsi="Arial"/>
                <w:sz w:val="18"/>
                <w:szCs w:val="18"/>
                <w:color w:val="0000EE"/>
                <w:w w:val="96"/>
              </w:rPr>
              <w:t>A Preferred Shares</w:t>
            </w: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14.</w:t>
            </w:r>
          </w:p>
        </w:tc>
        <w:tc>
          <w:tcPr>
            <w:tcW w:w="1860" w:type="dxa"/>
            <w:vAlign w:val="bottom"/>
            <w:tcBorders>
              <w:top w:val="single" w:sz="8" w:color="0000EE"/>
            </w:tcBorders>
            <w:gridSpan w:val="22"/>
          </w:tcPr>
          <w:p>
            <w:pPr>
              <w:ind w:left="20"/>
              <w:spacing w:after="0" w:line="182" w:lineRule="exact"/>
              <w:rPr>
                <w:sz w:val="20"/>
                <w:szCs w:val="20"/>
                <w:color w:val="auto"/>
              </w:rPr>
            </w:pPr>
            <w:r>
              <w:rPr>
                <w:rFonts w:ascii="Arial" w:cs="Arial" w:eastAsia="Arial" w:hAnsi="Arial"/>
                <w:sz w:val="18"/>
                <w:szCs w:val="18"/>
                <w:color w:val="0000EE"/>
              </w:rPr>
              <w:t>Derivatives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9"/>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2"/>
                <w:szCs w:val="12"/>
                <w:color w:val="0000EE"/>
                <w:w w:val="71"/>
              </w:rPr>
              <w:t>15.</w:t>
            </w:r>
          </w:p>
        </w:tc>
        <w:tc>
          <w:tcPr>
            <w:tcW w:w="840" w:type="dxa"/>
            <w:vAlign w:val="bottom"/>
            <w:tcBorders>
              <w:top w:val="single" w:sz="8" w:color="0000EE"/>
              <w:bottom w:val="single" w:sz="8" w:color="0000EE"/>
            </w:tcBorders>
            <w:gridSpan w:val="9"/>
          </w:tcPr>
          <w:p>
            <w:pPr>
              <w:ind w:left="20"/>
              <w:spacing w:after="0" w:line="182" w:lineRule="exact"/>
              <w:rPr>
                <w:sz w:val="20"/>
                <w:szCs w:val="20"/>
                <w:color w:val="auto"/>
              </w:rPr>
            </w:pPr>
            <w:r>
              <w:rPr>
                <w:rFonts w:ascii="Arial" w:cs="Arial" w:eastAsia="Arial" w:hAnsi="Arial"/>
                <w:sz w:val="18"/>
                <w:szCs w:val="18"/>
                <w:color w:val="0000EE"/>
                <w:w w:val="97"/>
              </w:rPr>
              <w:t>Fair Value</w:t>
            </w:r>
          </w:p>
        </w:tc>
        <w:tc>
          <w:tcPr>
            <w:tcW w:w="1040" w:type="dxa"/>
            <w:vAlign w:val="bottom"/>
            <w:tcBorders>
              <w:bottom w:val="single" w:sz="8" w:color="0000EE"/>
            </w:tcBorders>
            <w:gridSpan w:val="14"/>
          </w:tcPr>
          <w:p>
            <w:pPr>
              <w:jc w:val="right"/>
              <w:ind w:right="20"/>
              <w:spacing w:after="0" w:line="182" w:lineRule="exact"/>
              <w:rPr>
                <w:sz w:val="20"/>
                <w:szCs w:val="20"/>
                <w:color w:val="auto"/>
              </w:rPr>
            </w:pPr>
            <w:r>
              <w:rPr>
                <w:rFonts w:ascii="Arial" w:cs="Arial" w:eastAsia="Arial" w:hAnsi="Arial"/>
                <w:sz w:val="18"/>
                <w:szCs w:val="18"/>
                <w:color w:val="0000EE"/>
                <w:w w:val="83"/>
              </w:rPr>
              <w:t>Measurements</w:t>
            </w:r>
          </w:p>
        </w:tc>
        <w:tc>
          <w:tcPr>
            <w:tcW w:w="4220" w:type="dxa"/>
            <w:vAlign w:val="bottom"/>
            <w:gridSpan w:val="22"/>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60" w:type="dxa"/>
            <w:vAlign w:val="bottom"/>
            <w:gridSpan w:val="46"/>
          </w:tcPr>
          <w:p>
            <w:pPr>
              <w:spacing w:after="0" w:line="169" w:lineRule="exact"/>
              <w:rPr>
                <w:sz w:val="20"/>
                <w:szCs w:val="20"/>
                <w:color w:val="auto"/>
              </w:rPr>
            </w:pPr>
            <w:r>
              <w:rPr>
                <w:rFonts w:ascii="Arial" w:cs="Arial" w:eastAsia="Arial" w:hAnsi="Arial"/>
                <w:sz w:val="18"/>
                <w:szCs w:val="18"/>
                <w:color w:val="0000EE"/>
              </w:rPr>
              <w:t>16. Accumulated Other Comprehensive Income (Loss)</w:t>
            </w: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17.</w:t>
            </w:r>
          </w:p>
        </w:tc>
        <w:tc>
          <w:tcPr>
            <w:tcW w:w="3680" w:type="dxa"/>
            <w:vAlign w:val="bottom"/>
            <w:tcBorders>
              <w:top w:val="single" w:sz="8" w:color="0000EE"/>
            </w:tcBorders>
            <w:gridSpan w:val="40"/>
          </w:tcPr>
          <w:p>
            <w:pPr>
              <w:ind w:left="20"/>
              <w:spacing w:after="0" w:line="182" w:lineRule="exact"/>
              <w:rPr>
                <w:sz w:val="20"/>
                <w:szCs w:val="20"/>
                <w:color w:val="auto"/>
              </w:rPr>
            </w:pPr>
            <w:r>
              <w:rPr>
                <w:rFonts w:ascii="Arial" w:cs="Arial" w:eastAsia="Arial" w:hAnsi="Arial"/>
                <w:sz w:val="18"/>
                <w:szCs w:val="18"/>
                <w:color w:val="0000EE"/>
              </w:rPr>
              <w:t>Equity-Based Compensation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18.</w:t>
            </w:r>
          </w:p>
        </w:tc>
        <w:tc>
          <w:tcPr>
            <w:tcW w:w="2080" w:type="dxa"/>
            <w:vAlign w:val="bottom"/>
            <w:tcBorders>
              <w:top w:val="single" w:sz="8" w:color="0000EE"/>
            </w:tcBorders>
            <w:gridSpan w:val="27"/>
          </w:tcPr>
          <w:p>
            <w:pPr>
              <w:ind w:left="20"/>
              <w:spacing w:after="0" w:line="182" w:lineRule="exact"/>
              <w:rPr>
                <w:sz w:val="20"/>
                <w:szCs w:val="20"/>
                <w:color w:val="auto"/>
              </w:rPr>
            </w:pPr>
            <w:r>
              <w:rPr>
                <w:rFonts w:ascii="Arial" w:cs="Arial" w:eastAsia="Arial" w:hAnsi="Arial"/>
                <w:sz w:val="18"/>
                <w:szCs w:val="18"/>
                <w:color w:val="0000EE"/>
              </w:rPr>
              <w:t>Earnings per Share</w:t>
            </w:r>
          </w:p>
        </w:tc>
        <w:tc>
          <w:tcPr>
            <w:tcW w:w="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2"/>
                <w:szCs w:val="12"/>
                <w:color w:val="0000EE"/>
                <w:w w:val="71"/>
              </w:rPr>
              <w:t>19.</w:t>
            </w:r>
          </w:p>
        </w:tc>
        <w:tc>
          <w:tcPr>
            <w:tcW w:w="1400" w:type="dxa"/>
            <w:vAlign w:val="bottom"/>
            <w:tcBorders>
              <w:top w:val="single" w:sz="8" w:color="0000EE"/>
              <w:bottom w:val="single" w:sz="8" w:color="0000EE"/>
            </w:tcBorders>
            <w:gridSpan w:val="16"/>
          </w:tcPr>
          <w:p>
            <w:pPr>
              <w:ind w:left="20"/>
              <w:spacing w:after="0" w:line="169" w:lineRule="exact"/>
              <w:rPr>
                <w:sz w:val="20"/>
                <w:szCs w:val="20"/>
                <w:color w:val="auto"/>
              </w:rPr>
            </w:pPr>
            <w:r>
              <w:rPr>
                <w:rFonts w:ascii="Arial" w:cs="Arial" w:eastAsia="Arial" w:hAnsi="Arial"/>
                <w:sz w:val="18"/>
                <w:szCs w:val="18"/>
                <w:color w:val="0000EE"/>
                <w:w w:val="81"/>
              </w:rPr>
              <w:t>Segment Information</w:t>
            </w: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16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0000EE"/>
                <w:w w:val="71"/>
              </w:rPr>
              <w:t>20.</w:t>
            </w:r>
          </w:p>
        </w:tc>
        <w:tc>
          <w:tcPr>
            <w:tcW w:w="1560" w:type="dxa"/>
            <w:vAlign w:val="bottom"/>
            <w:gridSpan w:val="19"/>
          </w:tcPr>
          <w:p>
            <w:pPr>
              <w:ind w:left="20"/>
              <w:spacing w:after="0" w:line="182" w:lineRule="exact"/>
              <w:rPr>
                <w:sz w:val="20"/>
                <w:szCs w:val="20"/>
                <w:color w:val="auto"/>
              </w:rPr>
            </w:pPr>
            <w:r>
              <w:rPr>
                <w:rFonts w:ascii="Arial" w:cs="Arial" w:eastAsia="Arial" w:hAnsi="Arial"/>
                <w:sz w:val="18"/>
                <w:szCs w:val="18"/>
                <w:color w:val="0000EE"/>
              </w:rPr>
              <w:t>Commitments and</w:t>
            </w:r>
          </w:p>
        </w:tc>
        <w:tc>
          <w:tcPr>
            <w:tcW w:w="4540" w:type="dxa"/>
            <w:vAlign w:val="bottom"/>
            <w:gridSpan w:val="26"/>
          </w:tcPr>
          <w:p>
            <w:pPr>
              <w:spacing w:after="0" w:line="182" w:lineRule="exact"/>
              <w:rPr>
                <w:sz w:val="20"/>
                <w:szCs w:val="20"/>
                <w:color w:val="auto"/>
              </w:rPr>
            </w:pPr>
            <w:r>
              <w:rPr>
                <w:rFonts w:ascii="Arial" w:cs="Arial" w:eastAsia="Arial" w:hAnsi="Arial"/>
                <w:sz w:val="18"/>
                <w:szCs w:val="18"/>
                <w:color w:val="0000EE"/>
              </w:rPr>
              <w:t>Contingencies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21.</w:t>
            </w:r>
          </w:p>
        </w:tc>
        <w:tc>
          <w:tcPr>
            <w:tcW w:w="2420" w:type="dxa"/>
            <w:vAlign w:val="bottom"/>
            <w:tcBorders>
              <w:top w:val="single" w:sz="8" w:color="0000EE"/>
            </w:tcBorders>
            <w:gridSpan w:val="30"/>
          </w:tcPr>
          <w:p>
            <w:pPr>
              <w:ind w:left="20"/>
              <w:spacing w:after="0" w:line="182" w:lineRule="exact"/>
              <w:rPr>
                <w:sz w:val="20"/>
                <w:szCs w:val="20"/>
                <w:color w:val="auto"/>
              </w:rPr>
            </w:pPr>
            <w:r>
              <w:rPr>
                <w:rFonts w:ascii="Arial" w:cs="Arial" w:eastAsia="Arial" w:hAnsi="Arial"/>
                <w:sz w:val="18"/>
                <w:szCs w:val="18"/>
                <w:color w:val="0000EE"/>
              </w:rPr>
              <w:t>Related Party Transactions</w:t>
            </w:r>
          </w:p>
        </w:tc>
        <w:tc>
          <w:tcPr>
            <w:tcW w:w="40" w:type="dxa"/>
            <w:vAlign w:val="bottom"/>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top w:val="single" w:sz="8" w:color="0000EE"/>
            </w:tcBorders>
          </w:tcPr>
          <w:p>
            <w:pPr>
              <w:jc w:val="right"/>
              <w:spacing w:after="0"/>
              <w:rPr>
                <w:sz w:val="20"/>
                <w:szCs w:val="20"/>
                <w:color w:val="auto"/>
              </w:rPr>
            </w:pPr>
            <w:r>
              <w:rPr>
                <w:rFonts w:ascii="Arial" w:cs="Arial" w:eastAsia="Arial" w:hAnsi="Arial"/>
                <w:sz w:val="12"/>
                <w:szCs w:val="12"/>
                <w:color w:val="0000EE"/>
                <w:w w:val="71"/>
              </w:rPr>
              <w:t>22.</w:t>
            </w:r>
          </w:p>
        </w:tc>
        <w:tc>
          <w:tcPr>
            <w:tcW w:w="1940" w:type="dxa"/>
            <w:vAlign w:val="bottom"/>
            <w:tcBorders>
              <w:top w:val="single" w:sz="8" w:color="0000EE"/>
            </w:tcBorders>
            <w:gridSpan w:val="24"/>
          </w:tcPr>
          <w:p>
            <w:pPr>
              <w:ind w:left="20"/>
              <w:spacing w:after="0" w:line="169" w:lineRule="exact"/>
              <w:rPr>
                <w:sz w:val="20"/>
                <w:szCs w:val="20"/>
                <w:color w:val="auto"/>
              </w:rPr>
            </w:pPr>
            <w:r>
              <w:rPr>
                <w:rFonts w:ascii="Arial" w:cs="Arial" w:eastAsia="Arial" w:hAnsi="Arial"/>
                <w:sz w:val="18"/>
                <w:szCs w:val="18"/>
                <w:color w:val="0000EE"/>
              </w:rPr>
              <w:t>Subsequent Events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00" w:type="dxa"/>
            <w:vAlign w:val="bottom"/>
            <w:gridSpan w:val="2"/>
          </w:tcPr>
          <w:p>
            <w:pPr>
              <w:spacing w:after="0"/>
              <w:rPr>
                <w:sz w:val="14"/>
                <w:szCs w:val="14"/>
                <w:color w:val="auto"/>
              </w:rPr>
            </w:pPr>
          </w:p>
        </w:tc>
        <w:tc>
          <w:tcPr>
            <w:tcW w:w="15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6"/>
          </w:tcPr>
          <w:p>
            <w:pPr>
              <w:spacing w:after="0" w:line="182" w:lineRule="exact"/>
              <w:rPr>
                <w:sz w:val="20"/>
                <w:szCs w:val="20"/>
                <w:color w:val="auto"/>
              </w:rPr>
            </w:pPr>
            <w:r>
              <w:rPr>
                <w:rFonts w:ascii="Arial" w:cs="Arial" w:eastAsia="Arial" w:hAnsi="Arial"/>
                <w:sz w:val="18"/>
                <w:szCs w:val="18"/>
                <w:color w:val="0000EE"/>
              </w:rPr>
              <w:t>Item 2.</w:t>
            </w:r>
          </w:p>
        </w:tc>
        <w:tc>
          <w:tcPr>
            <w:tcW w:w="15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72"/>
              </w:rPr>
              <w:t>Management’s Discussion</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27"/>
          </w:tcPr>
          <w:p>
            <w:pPr>
              <w:ind w:left="160"/>
              <w:spacing w:after="0" w:line="182" w:lineRule="exact"/>
              <w:rPr>
                <w:sz w:val="20"/>
                <w:szCs w:val="20"/>
                <w:color w:val="auto"/>
              </w:rPr>
            </w:pPr>
            <w:r>
              <w:rPr>
                <w:rFonts w:ascii="Arial" w:cs="Arial" w:eastAsia="Arial" w:hAnsi="Arial"/>
                <w:sz w:val="18"/>
                <w:szCs w:val="18"/>
                <w:color w:val="0000EE"/>
                <w:w w:val="90"/>
              </w:rPr>
              <w:t>and Analysis of Financial Condition and Results of Operations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260" w:type="dxa"/>
            <w:vAlign w:val="bottom"/>
            <w:tcBorders>
              <w:top w:val="single" w:sz="8" w:color="0000EE"/>
            </w:tcBorders>
            <w:gridSpan w:val="46"/>
          </w:tcPr>
          <w:p>
            <w:pPr>
              <w:spacing w:after="0" w:line="169" w:lineRule="exact"/>
              <w:rPr>
                <w:sz w:val="20"/>
                <w:szCs w:val="20"/>
                <w:color w:val="auto"/>
              </w:rPr>
            </w:pPr>
            <w:r>
              <w:rPr>
                <w:rFonts w:ascii="Arial" w:cs="Arial" w:eastAsia="Arial" w:hAnsi="Arial"/>
                <w:sz w:val="18"/>
                <w:szCs w:val="18"/>
                <w:color w:val="0000EE"/>
              </w:rPr>
              <w:t>Overview</w:t>
            </w: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1"/>
              </w:rPr>
              <w:t>Key Business Metrics</w:t>
            </w:r>
          </w:p>
        </w:tc>
        <w:tc>
          <w:tcPr>
            <w:tcW w:w="4660" w:type="dxa"/>
            <w:vAlign w:val="bottom"/>
            <w:gridSpan w:val="27"/>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gridSpan w:val="46"/>
          </w:tcPr>
          <w:p>
            <w:pPr>
              <w:spacing w:after="0" w:line="182" w:lineRule="exact"/>
              <w:rPr>
                <w:sz w:val="20"/>
                <w:szCs w:val="20"/>
                <w:color w:val="auto"/>
              </w:rPr>
            </w:pPr>
            <w:r>
              <w:rPr>
                <w:rFonts w:ascii="Arial" w:cs="Arial" w:eastAsia="Arial" w:hAnsi="Arial"/>
                <w:sz w:val="18"/>
                <w:szCs w:val="18"/>
                <w:color w:val="0000EE"/>
              </w:rPr>
              <w:t>Significant Developments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8"/>
                <w:szCs w:val="18"/>
                <w:color w:val="0000EE"/>
              </w:rPr>
              <w:t>Results of Operations</w:t>
            </w:r>
          </w:p>
        </w:tc>
        <w:tc>
          <w:tcPr>
            <w:tcW w:w="2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00" w:type="dxa"/>
            <w:vAlign w:val="bottom"/>
            <w:gridSpan w:val="2"/>
          </w:tcPr>
          <w:p>
            <w:pPr>
              <w:spacing w:after="0"/>
              <w:rPr>
                <w:sz w:val="14"/>
                <w:szCs w:val="14"/>
                <w:color w:val="auto"/>
              </w:rPr>
            </w:pPr>
          </w:p>
        </w:tc>
        <w:tc>
          <w:tcPr>
            <w:tcW w:w="15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Critical Accounting</w:t>
            </w:r>
          </w:p>
        </w:tc>
        <w:tc>
          <w:tcPr>
            <w:tcW w:w="4680" w:type="dxa"/>
            <w:vAlign w:val="bottom"/>
            <w:gridSpan w:val="28"/>
          </w:tcPr>
          <w:p>
            <w:pPr>
              <w:spacing w:after="0" w:line="182" w:lineRule="exact"/>
              <w:rPr>
                <w:sz w:val="20"/>
                <w:szCs w:val="20"/>
                <w:color w:val="auto"/>
              </w:rPr>
            </w:pPr>
            <w:r>
              <w:rPr>
                <w:rFonts w:ascii="Arial" w:cs="Arial" w:eastAsia="Arial" w:hAnsi="Arial"/>
                <w:sz w:val="18"/>
                <w:szCs w:val="18"/>
                <w:color w:val="0000EE"/>
              </w:rPr>
              <w:t>Estimates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84"/>
              </w:rPr>
              <w:t>Liquidity and Capital Resources</w:t>
            </w:r>
          </w:p>
        </w:tc>
        <w:tc>
          <w:tcPr>
            <w:tcW w:w="160" w:type="dxa"/>
            <w:vAlign w:val="bottom"/>
            <w:tcBorders>
              <w:bottom w:val="single" w:sz="8" w:color="0000EE"/>
            </w:tcBorders>
            <w:gridSpan w:val="3"/>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Borders>
              <w:bottom w:val="single" w:sz="8" w:color="0000EE"/>
            </w:tcBorders>
            <w:gridSpan w:val="30"/>
          </w:tcPr>
          <w:p>
            <w:pPr>
              <w:spacing w:after="0" w:line="169" w:lineRule="exact"/>
              <w:rPr>
                <w:sz w:val="20"/>
                <w:szCs w:val="20"/>
                <w:color w:val="auto"/>
              </w:rPr>
            </w:pPr>
            <w:r>
              <w:rPr>
                <w:rFonts w:ascii="Arial" w:cs="Arial" w:eastAsia="Arial" w:hAnsi="Arial"/>
                <w:sz w:val="18"/>
                <w:szCs w:val="18"/>
                <w:color w:val="0000EE"/>
                <w:w w:val="78"/>
              </w:rPr>
              <w:t>Recent Accounting Pronouncements</w:t>
            </w:r>
          </w:p>
        </w:tc>
        <w:tc>
          <w:tcPr>
            <w:tcW w:w="300" w:type="dxa"/>
            <w:vAlign w:val="bottom"/>
            <w:tcBorders>
              <w:bottom w:val="single" w:sz="8" w:color="0000EE"/>
            </w:tcBorders>
            <w:gridSpan w:val="2"/>
          </w:tcPr>
          <w:p>
            <w:pPr>
              <w:spacing w:after="0"/>
              <w:rPr>
                <w:sz w:val="14"/>
                <w:szCs w:val="14"/>
                <w:color w:val="auto"/>
              </w:rPr>
            </w:pPr>
          </w:p>
        </w:tc>
        <w:tc>
          <w:tcPr>
            <w:tcW w:w="15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6"/>
          </w:tcPr>
          <w:p>
            <w:pPr>
              <w:spacing w:after="0" w:line="182" w:lineRule="exact"/>
              <w:rPr>
                <w:sz w:val="20"/>
                <w:szCs w:val="20"/>
                <w:color w:val="auto"/>
              </w:rPr>
            </w:pPr>
            <w:r>
              <w:rPr>
                <w:rFonts w:ascii="Arial" w:cs="Arial" w:eastAsia="Arial" w:hAnsi="Arial"/>
                <w:sz w:val="18"/>
                <w:szCs w:val="18"/>
                <w:color w:val="0000EE"/>
              </w:rPr>
              <w:t>Item 3.</w:t>
            </w:r>
          </w:p>
        </w:tc>
        <w:tc>
          <w:tcPr>
            <w:tcW w:w="2620" w:type="dxa"/>
            <w:vAlign w:val="bottom"/>
            <w:gridSpan w:val="32"/>
          </w:tcPr>
          <w:p>
            <w:pPr>
              <w:spacing w:after="0" w:line="182" w:lineRule="exact"/>
              <w:rPr>
                <w:sz w:val="20"/>
                <w:szCs w:val="20"/>
                <w:color w:val="auto"/>
              </w:rPr>
            </w:pPr>
            <w:r>
              <w:rPr>
                <w:rFonts w:ascii="Arial" w:cs="Arial" w:eastAsia="Arial" w:hAnsi="Arial"/>
                <w:sz w:val="18"/>
                <w:szCs w:val="18"/>
                <w:color w:val="0000EE"/>
                <w:w w:val="81"/>
              </w:rPr>
              <w:t>Quantitative and Qualitative Disclosures</w:t>
            </w:r>
          </w:p>
        </w:tc>
        <w:tc>
          <w:tcPr>
            <w:tcW w:w="3640" w:type="dxa"/>
            <w:vAlign w:val="bottom"/>
            <w:gridSpan w:val="14"/>
          </w:tcPr>
          <w:p>
            <w:pPr>
              <w:jc w:val="right"/>
              <w:ind w:right="2100"/>
              <w:spacing w:after="0" w:line="182" w:lineRule="exact"/>
              <w:rPr>
                <w:sz w:val="20"/>
                <w:szCs w:val="20"/>
                <w:color w:val="auto"/>
              </w:rPr>
            </w:pPr>
            <w:r>
              <w:rPr>
                <w:rFonts w:ascii="Arial" w:cs="Arial" w:eastAsia="Arial" w:hAnsi="Arial"/>
                <w:sz w:val="18"/>
                <w:szCs w:val="18"/>
                <w:color w:val="0000EE"/>
              </w:rPr>
              <w:t>About Market Risk</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87"/>
              </w:rPr>
              <w:t>Item 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20"/>
          </w:tcPr>
          <w:p>
            <w:pPr>
              <w:spacing w:after="0" w:line="182" w:lineRule="exact"/>
              <w:rPr>
                <w:sz w:val="20"/>
                <w:szCs w:val="20"/>
                <w:color w:val="auto"/>
              </w:rPr>
            </w:pPr>
            <w:r>
              <w:rPr>
                <w:rFonts w:ascii="Arial" w:cs="Arial" w:eastAsia="Arial" w:hAnsi="Arial"/>
                <w:sz w:val="18"/>
                <w:szCs w:val="18"/>
                <w:color w:val="0000EE"/>
                <w:w w:val="87"/>
              </w:rPr>
              <w:t>Controls and Procedures</w:t>
            </w:r>
          </w:p>
        </w:tc>
        <w:tc>
          <w:tcPr>
            <w:tcW w:w="2580" w:type="dxa"/>
            <w:vAlign w:val="bottom"/>
            <w:tcBorders>
              <w:top w:val="single" w:sz="8" w:color="0000EE"/>
            </w:tcBorders>
            <w:gridSpan w:val="24"/>
          </w:tcPr>
          <w:p>
            <w:pPr>
              <w:spacing w:after="0"/>
              <w:rPr>
                <w:sz w:val="15"/>
                <w:szCs w:val="15"/>
                <w:color w:val="auto"/>
              </w:rPr>
            </w:pPr>
          </w:p>
        </w:tc>
        <w:tc>
          <w:tcPr>
            <w:tcW w:w="2080" w:type="dxa"/>
            <w:vAlign w:val="bottom"/>
            <w:gridSpan w:val="3"/>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4"/>
          </w:tcPr>
          <w:p>
            <w:pPr>
              <w:spacing w:after="0" w:line="169" w:lineRule="exact"/>
              <w:rPr>
                <w:sz w:val="20"/>
                <w:szCs w:val="20"/>
                <w:color w:val="auto"/>
              </w:rPr>
            </w:pPr>
            <w:r>
              <w:rPr>
                <w:rFonts w:ascii="Arial" w:cs="Arial" w:eastAsia="Arial" w:hAnsi="Arial"/>
                <w:sz w:val="18"/>
                <w:szCs w:val="18"/>
                <w:b w:val="1"/>
                <w:bCs w:val="1"/>
                <w:color w:val="0000EE"/>
              </w:rPr>
              <w:t>Part II.</w:t>
            </w:r>
          </w:p>
        </w:tc>
        <w:tc>
          <w:tcPr>
            <w:tcW w:w="20" w:type="dxa"/>
            <w:vAlign w:val="bottom"/>
          </w:tcPr>
          <w:p>
            <w:pPr>
              <w:spacing w:after="0"/>
              <w:rPr>
                <w:sz w:val="14"/>
                <w:szCs w:val="14"/>
                <w:color w:val="auto"/>
              </w:rPr>
            </w:pPr>
          </w:p>
        </w:tc>
        <w:tc>
          <w:tcPr>
            <w:tcW w:w="1760" w:type="dxa"/>
            <w:vAlign w:val="bottom"/>
            <w:gridSpan w:val="20"/>
          </w:tcPr>
          <w:p>
            <w:pPr>
              <w:spacing w:after="0" w:line="169" w:lineRule="exact"/>
              <w:rPr>
                <w:sz w:val="20"/>
                <w:szCs w:val="20"/>
                <w:color w:val="auto"/>
              </w:rPr>
            </w:pPr>
            <w:r>
              <w:rPr>
                <w:rFonts w:ascii="Arial" w:cs="Arial" w:eastAsia="Arial" w:hAnsi="Arial"/>
                <w:sz w:val="18"/>
                <w:szCs w:val="18"/>
                <w:b w:val="1"/>
                <w:bCs w:val="1"/>
                <w:color w:val="0000EE"/>
              </w:rPr>
              <w:t>Other Information</w:t>
            </w:r>
          </w:p>
        </w:tc>
        <w:tc>
          <w:tcPr>
            <w:tcW w:w="540" w:type="dxa"/>
            <w:vAlign w:val="bottom"/>
            <w:gridSpan w:val="7"/>
          </w:tcPr>
          <w:p>
            <w:pPr>
              <w:spacing w:after="0"/>
              <w:rPr>
                <w:sz w:val="14"/>
                <w:szCs w:val="14"/>
                <w:color w:val="auto"/>
              </w:rPr>
            </w:pPr>
          </w:p>
        </w:tc>
        <w:tc>
          <w:tcPr>
            <w:tcW w:w="2020" w:type="dxa"/>
            <w:vAlign w:val="bottom"/>
            <w:gridSpan w:val="16"/>
          </w:tcPr>
          <w:p>
            <w:pPr>
              <w:spacing w:after="0"/>
              <w:rPr>
                <w:sz w:val="14"/>
                <w:szCs w:val="14"/>
                <w:color w:val="auto"/>
              </w:rPr>
            </w:pPr>
          </w:p>
        </w:tc>
        <w:tc>
          <w:tcPr>
            <w:tcW w:w="2100" w:type="dxa"/>
            <w:vAlign w:val="bottom"/>
            <w:gridSpan w:val="4"/>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5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87"/>
              </w:rPr>
              <w:t>Item 1.</w:t>
            </w: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87"/>
              </w:rPr>
              <w:t>Legal Proceedings</w:t>
            </w:r>
          </w:p>
        </w:tc>
        <w:tc>
          <w:tcPr>
            <w:tcW w:w="160" w:type="dxa"/>
            <w:vAlign w:val="bottom"/>
            <w:tcBorders>
              <w:top w:val="single" w:sz="8" w:color="0000EE"/>
            </w:tcBorders>
          </w:tcPr>
          <w:p>
            <w:pPr>
              <w:spacing w:after="0"/>
              <w:rPr>
                <w:sz w:val="15"/>
                <w:szCs w:val="15"/>
                <w:color w:val="auto"/>
              </w:rPr>
            </w:pPr>
          </w:p>
        </w:tc>
        <w:tc>
          <w:tcPr>
            <w:tcW w:w="820" w:type="dxa"/>
            <w:vAlign w:val="bottom"/>
            <w:gridSpan w:val="12"/>
          </w:tcPr>
          <w:p>
            <w:pPr>
              <w:spacing w:after="0"/>
              <w:rPr>
                <w:sz w:val="15"/>
                <w:szCs w:val="15"/>
                <w:color w:val="auto"/>
              </w:rPr>
            </w:pPr>
          </w:p>
        </w:tc>
        <w:tc>
          <w:tcPr>
            <w:tcW w:w="2020" w:type="dxa"/>
            <w:vAlign w:val="bottom"/>
            <w:gridSpan w:val="16"/>
          </w:tcPr>
          <w:p>
            <w:pPr>
              <w:spacing w:after="0"/>
              <w:rPr>
                <w:sz w:val="15"/>
                <w:szCs w:val="15"/>
                <w:color w:val="auto"/>
              </w:rPr>
            </w:pPr>
          </w:p>
        </w:tc>
        <w:tc>
          <w:tcPr>
            <w:tcW w:w="2100" w:type="dxa"/>
            <w:vAlign w:val="bottom"/>
            <w:gridSpan w:val="4"/>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gridSpan w:val="52"/>
          </w:tcPr>
          <w:p>
            <w:pPr>
              <w:spacing w:after="0" w:line="182" w:lineRule="exact"/>
              <w:rPr>
                <w:sz w:val="20"/>
                <w:szCs w:val="20"/>
                <w:color w:val="auto"/>
              </w:rPr>
            </w:pPr>
            <w:r>
              <w:rPr>
                <w:rFonts w:ascii="Arial" w:cs="Arial" w:eastAsia="Arial" w:hAnsi="Arial"/>
                <w:sz w:val="18"/>
                <w:szCs w:val="18"/>
                <w:color w:val="0000EE"/>
              </w:rPr>
              <w:t>Item 1A. Risk Factors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8"/>
                <w:szCs w:val="18"/>
                <w:color w:val="0000EE"/>
              </w:rPr>
              <w:t>Item 2.</w:t>
            </w:r>
          </w:p>
        </w:tc>
        <w:tc>
          <w:tcPr>
            <w:tcW w:w="60" w:type="dxa"/>
            <w:vAlign w:val="bottom"/>
            <w:gridSpan w:val="2"/>
          </w:tcPr>
          <w:p>
            <w:pPr>
              <w:spacing w:after="0"/>
              <w:rPr>
                <w:sz w:val="14"/>
                <w:szCs w:val="14"/>
                <w:color w:val="auto"/>
              </w:rPr>
            </w:pPr>
          </w:p>
        </w:tc>
        <w:tc>
          <w:tcPr>
            <w:tcW w:w="92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8"/>
                <w:szCs w:val="18"/>
                <w:color w:val="0000EE"/>
                <w:w w:val="85"/>
              </w:rPr>
              <w:t>Unregistered</w:t>
            </w:r>
          </w:p>
        </w:tc>
        <w:tc>
          <w:tcPr>
            <w:tcW w:w="5500" w:type="dxa"/>
            <w:vAlign w:val="bottom"/>
            <w:gridSpan w:val="39"/>
          </w:tcPr>
          <w:p>
            <w:pPr>
              <w:jc w:val="right"/>
              <w:ind w:right="2100"/>
              <w:spacing w:after="0" w:line="169" w:lineRule="exact"/>
              <w:rPr>
                <w:sz w:val="20"/>
                <w:szCs w:val="20"/>
                <w:color w:val="auto"/>
              </w:rPr>
            </w:pPr>
            <w:r>
              <w:rPr>
                <w:rFonts w:ascii="Arial" w:cs="Arial" w:eastAsia="Arial" w:hAnsi="Arial"/>
                <w:sz w:val="18"/>
                <w:szCs w:val="18"/>
                <w:color w:val="0000EE"/>
                <w:w w:val="89"/>
              </w:rPr>
              <w:t>Sales of Equity Securities and Use of Proceeds</w:t>
            </w: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87"/>
              </w:rPr>
              <w:t>Item 3.</w:t>
            </w:r>
          </w:p>
        </w:tc>
        <w:tc>
          <w:tcPr>
            <w:tcW w:w="180" w:type="dxa"/>
            <w:vAlign w:val="bottom"/>
            <w:gridSpan w:val="4"/>
          </w:tcPr>
          <w:p>
            <w:pPr>
              <w:spacing w:after="0"/>
              <w:rPr>
                <w:sz w:val="15"/>
                <w:szCs w:val="15"/>
                <w:color w:val="auto"/>
              </w:rPr>
            </w:pPr>
          </w:p>
        </w:tc>
        <w:tc>
          <w:tcPr>
            <w:tcW w:w="4320" w:type="dxa"/>
            <w:vAlign w:val="bottom"/>
            <w:tcBorders>
              <w:top w:val="single" w:sz="8" w:color="0000EE"/>
            </w:tcBorders>
            <w:gridSpan w:val="43"/>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100" w:type="dxa"/>
            <w:vAlign w:val="bottom"/>
            <w:gridSpan w:val="4"/>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87"/>
              </w:rPr>
              <w:t>Item 4.</w:t>
            </w:r>
          </w:p>
        </w:tc>
        <w:tc>
          <w:tcPr>
            <w:tcW w:w="180" w:type="dxa"/>
            <w:vAlign w:val="bottom"/>
            <w:gridSpan w:val="4"/>
          </w:tcPr>
          <w:p>
            <w:pPr>
              <w:spacing w:after="0"/>
              <w:rPr>
                <w:sz w:val="15"/>
                <w:szCs w:val="15"/>
                <w:color w:val="auto"/>
              </w:rPr>
            </w:pPr>
          </w:p>
        </w:tc>
        <w:tc>
          <w:tcPr>
            <w:tcW w:w="230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Mine Safety Disclosures</w:t>
            </w:r>
          </w:p>
        </w:tc>
        <w:tc>
          <w:tcPr>
            <w:tcW w:w="4120" w:type="dxa"/>
            <w:vAlign w:val="bottom"/>
            <w:gridSpan w:val="20"/>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line="169" w:lineRule="exact"/>
              <w:rPr>
                <w:sz w:val="20"/>
                <w:szCs w:val="20"/>
                <w:color w:val="auto"/>
              </w:rPr>
            </w:pPr>
            <w:r>
              <w:rPr>
                <w:rFonts w:ascii="Arial" w:cs="Arial" w:eastAsia="Arial" w:hAnsi="Arial"/>
                <w:sz w:val="18"/>
                <w:szCs w:val="18"/>
                <w:color w:val="0000EE"/>
                <w:w w:val="87"/>
              </w:rPr>
              <w:t>Item 5.</w:t>
            </w: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8"/>
                <w:szCs w:val="18"/>
                <w:color w:val="0000EE"/>
              </w:rPr>
              <w:t>Other Information</w:t>
            </w:r>
          </w:p>
        </w:tc>
        <w:tc>
          <w:tcPr>
            <w:tcW w:w="4660" w:type="dxa"/>
            <w:vAlign w:val="bottom"/>
            <w:gridSpan w:val="27"/>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5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87"/>
              </w:rPr>
              <w:t>Item 6.</w:t>
            </w: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88"/>
              </w:rPr>
              <w:t>Exhibits</w:t>
            </w:r>
          </w:p>
        </w:tc>
        <w:tc>
          <w:tcPr>
            <w:tcW w:w="720" w:type="dxa"/>
            <w:vAlign w:val="bottom"/>
            <w:tcBorders>
              <w:top w:val="single" w:sz="8" w:color="0000EE"/>
            </w:tcBorders>
            <w:gridSpan w:val="9"/>
          </w:tcPr>
          <w:p>
            <w:pPr>
              <w:spacing w:after="0"/>
              <w:rPr>
                <w:sz w:val="15"/>
                <w:szCs w:val="15"/>
                <w:color w:val="auto"/>
              </w:rPr>
            </w:pPr>
          </w:p>
        </w:tc>
        <w:tc>
          <w:tcPr>
            <w:tcW w:w="5120" w:type="dxa"/>
            <w:vAlign w:val="bottom"/>
            <w:gridSpan w:val="34"/>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7"/>
          </w:tcPr>
          <w:p>
            <w:pPr>
              <w:spacing w:after="0" w:line="182" w:lineRule="exact"/>
              <w:rPr>
                <w:sz w:val="20"/>
                <w:szCs w:val="20"/>
                <w:color w:val="auto"/>
              </w:rPr>
            </w:pPr>
            <w:r>
              <w:rPr>
                <w:rFonts w:ascii="Arial" w:cs="Arial" w:eastAsia="Arial" w:hAnsi="Arial"/>
                <w:sz w:val="18"/>
                <w:szCs w:val="18"/>
                <w:color w:val="0000EE"/>
              </w:rPr>
              <w:t>Signatures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458"/>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ind w:left="20"/>
              <w:spacing w:after="0"/>
              <w:rPr>
                <w:sz w:val="20"/>
                <w:szCs w:val="20"/>
                <w:color w:val="auto"/>
              </w:rPr>
            </w:pPr>
            <w:r>
              <w:rPr>
                <w:rFonts w:ascii="Arial" w:cs="Arial" w:eastAsia="Arial" w:hAnsi="Arial"/>
                <w:sz w:val="13"/>
                <w:szCs w:val="13"/>
                <w:color w:val="auto"/>
              </w:rPr>
              <w:t>(Thousands, except par 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June 30, 2023</w:t>
            </w:r>
          </w:p>
        </w:tc>
        <w:tc>
          <w:tcPr>
            <w:tcW w:w="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December 31, 2022</w:t>
            </w:r>
          </w:p>
        </w:tc>
      </w:tr>
      <w:tr>
        <w:trPr>
          <w:trHeight w:val="142"/>
        </w:trPr>
        <w:tc>
          <w:tcPr>
            <w:tcW w:w="6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25,245</w:t>
            </w:r>
          </w:p>
        </w:tc>
        <w:tc>
          <w:tcPr>
            <w:tcW w:w="100" w:type="dxa"/>
            <w:vAlign w:val="bottom"/>
          </w:tcPr>
          <w:p>
            <w:pPr>
              <w:spacing w:after="0"/>
              <w:rPr>
                <w:sz w:val="12"/>
                <w:szCs w:val="12"/>
                <w:color w:val="auto"/>
              </w:rPr>
            </w:pPr>
          </w:p>
        </w:tc>
        <w:tc>
          <w:tcPr>
            <w:tcW w:w="46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16,838</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9,567</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Accounts receivable, net of allowance for credit losses of $2,672 and $3,023, respectively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100,863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101,639</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145,836</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18,357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15,053</w:t>
            </w:r>
          </w:p>
        </w:tc>
      </w:tr>
      <w:tr>
        <w:trPr>
          <w:trHeight w:val="148"/>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13,542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9,166</w:t>
            </w:r>
          </w:p>
        </w:tc>
      </w:tr>
      <w:tr>
        <w:trPr>
          <w:trHeight w:val="142"/>
        </w:trPr>
        <w:tc>
          <w:tcPr>
            <w:tcW w:w="6120" w:type="dxa"/>
            <w:vAlign w:val="bottom"/>
          </w:tcPr>
          <w:p>
            <w:pPr>
              <w:ind w:left="440"/>
              <w:spacing w:after="0" w:line="142"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3"/>
                <w:szCs w:val="13"/>
                <w:color w:val="auto"/>
              </w:rPr>
              <w:t>316,226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298,099</w:t>
            </w:r>
          </w:p>
        </w:tc>
      </w:tr>
      <w:tr>
        <w:trPr>
          <w:trHeight w:val="149"/>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2"/>
        </w:trPr>
        <w:tc>
          <w:tcPr>
            <w:tcW w:w="6120" w:type="dxa"/>
            <w:vAlign w:val="bottom"/>
          </w:tcPr>
          <w:p>
            <w:pPr>
              <w:ind w:left="220"/>
              <w:spacing w:after="0"/>
              <w:rPr>
                <w:sz w:val="20"/>
                <w:szCs w:val="20"/>
                <w:color w:val="auto"/>
              </w:rPr>
            </w:pPr>
            <w:r>
              <w:rPr>
                <w:rFonts w:ascii="Arial" w:cs="Arial" w:eastAsia="Arial" w:hAnsi="Arial"/>
                <w:sz w:val="13"/>
                <w:szCs w:val="13"/>
                <w:color w:val="auto"/>
              </w:rPr>
              <w:t>Property, plant and equipment,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240,349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185,206</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113,999</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127,022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130,886</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11,090</w:t>
            </w:r>
          </w:p>
        </w:tc>
      </w:tr>
      <w:tr>
        <w:trPr>
          <w:trHeight w:val="148"/>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long-term assets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7,186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6,933</w:t>
            </w:r>
          </w:p>
        </w:tc>
      </w:tr>
      <w:tr>
        <w:trPr>
          <w:trHeight w:val="142"/>
        </w:trPr>
        <w:tc>
          <w:tcPr>
            <w:tcW w:w="612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822,308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33"/>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746,213</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CONVERTIBLE PREFERRED SHARES AND SHAREHOLDERS' (DEFICIT) EQUITY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Current maturities of long-term debt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9,293</w:t>
            </w:r>
          </w:p>
        </w:tc>
        <w:tc>
          <w:tcPr>
            <w:tcW w:w="100" w:type="dxa"/>
            <w:vAlign w:val="bottom"/>
          </w:tcPr>
          <w:p>
            <w:pPr>
              <w:spacing w:after="0"/>
              <w:rPr>
                <w:sz w:val="12"/>
                <w:szCs w:val="12"/>
                <w:color w:val="auto"/>
              </w:rPr>
            </w:pPr>
          </w:p>
        </w:tc>
        <w:tc>
          <w:tcPr>
            <w:tcW w:w="46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11,504</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Short-term debt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42,905</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102,083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116,675</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Supply chain finance program</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Derivative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7,592</w:t>
            </w:r>
          </w:p>
        </w:tc>
      </w:tr>
      <w:tr>
        <w:trPr>
          <w:trHeight w:val="149"/>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36,084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37,459</w:t>
            </w:r>
          </w:p>
        </w:tc>
      </w:tr>
      <w:tr>
        <w:trPr>
          <w:trHeight w:val="142"/>
        </w:trPr>
        <w:tc>
          <w:tcPr>
            <w:tcW w:w="6120" w:type="dxa"/>
            <w:vAlign w:val="bottom"/>
          </w:tcPr>
          <w:p>
            <w:pPr>
              <w:ind w:left="440"/>
              <w:spacing w:after="0" w:line="142" w:lineRule="exact"/>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3"/>
                <w:szCs w:val="13"/>
                <w:color w:val="auto"/>
              </w:rPr>
              <w:t>229,958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216,135</w:t>
            </w:r>
          </w:p>
        </w:tc>
      </w:tr>
      <w:tr>
        <w:trPr>
          <w:trHeight w:val="149"/>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2"/>
        </w:trPr>
        <w:tc>
          <w:tcPr>
            <w:tcW w:w="6120" w:type="dxa"/>
            <w:vAlign w:val="bottom"/>
          </w:tcPr>
          <w:p>
            <w:pPr>
              <w:ind w:left="220"/>
              <w:spacing w:after="0"/>
              <w:rPr>
                <w:sz w:val="20"/>
                <w:szCs w:val="20"/>
                <w:color w:val="auto"/>
              </w:rPr>
            </w:pPr>
            <w:r>
              <w:rPr>
                <w:rFonts w:ascii="Arial" w:cs="Arial" w:eastAsia="Arial" w:hAnsi="Arial"/>
                <w:sz w:val="13"/>
                <w:szCs w:val="13"/>
                <w:color w:val="auto"/>
              </w:rPr>
              <w:t>Long-term debt,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237,769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162,502</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14,355</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Warrant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61,280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55,521</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11,035</w:t>
            </w:r>
          </w:p>
        </w:tc>
      </w:tr>
      <w:tr>
        <w:trPr>
          <w:trHeight w:val="142"/>
        </w:trPr>
        <w:tc>
          <w:tcPr>
            <w:tcW w:w="612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561,545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459,548</w:t>
            </w:r>
          </w:p>
        </w:tc>
      </w:tr>
      <w:tr>
        <w:trPr>
          <w:trHeight w:val="142"/>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6120" w:type="dxa"/>
            <w:vAlign w:val="bottom"/>
          </w:tcPr>
          <w:p>
            <w:pPr>
              <w:ind w:left="20"/>
              <w:spacing w:after="0"/>
              <w:rPr>
                <w:sz w:val="20"/>
                <w:szCs w:val="20"/>
                <w:color w:val="auto"/>
              </w:rPr>
            </w:pPr>
            <w:r>
              <w:rPr>
                <w:rFonts w:ascii="Arial" w:cs="Arial" w:eastAsia="Arial" w:hAnsi="Arial"/>
                <w:sz w:val="13"/>
                <w:szCs w:val="13"/>
                <w:color w:val="auto"/>
              </w:rPr>
              <w:t>Commitments and contingencies (Note 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8"/>
        </w:trPr>
        <w:tc>
          <w:tcPr>
            <w:tcW w:w="6120" w:type="dxa"/>
            <w:vAlign w:val="bottom"/>
          </w:tcPr>
          <w:p>
            <w:pPr>
              <w:ind w:left="220"/>
              <w:spacing w:after="0" w:line="138" w:lineRule="exact"/>
              <w:rPr>
                <w:sz w:val="20"/>
                <w:szCs w:val="20"/>
                <w:color w:val="auto"/>
              </w:rPr>
            </w:pPr>
            <w:r>
              <w:rPr>
                <w:rFonts w:ascii="Arial" w:cs="Arial" w:eastAsia="Arial" w:hAnsi="Arial"/>
                <w:sz w:val="13"/>
                <w:szCs w:val="13"/>
                <w:color w:val="auto"/>
                <w:w w:val="93"/>
              </w:rPr>
              <w:t>Series A Convertible Preferred Shares, $0.01 par value, 24,000 shares authorized, 23,566 shares and 23,588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6120" w:type="dxa"/>
            <w:vAlign w:val="bottom"/>
          </w:tcPr>
          <w:p>
            <w:pPr>
              <w:ind w:left="220"/>
              <w:spacing w:after="0"/>
              <w:rPr>
                <w:sz w:val="20"/>
                <w:szCs w:val="20"/>
                <w:color w:val="auto"/>
              </w:rPr>
            </w:pPr>
            <w:r>
              <w:rPr>
                <w:rFonts w:ascii="Arial" w:cs="Arial" w:eastAsia="Arial" w:hAnsi="Arial"/>
                <w:sz w:val="13"/>
                <w:szCs w:val="13"/>
                <w:color w:val="auto"/>
                <w:w w:val="97"/>
              </w:rPr>
              <w:t>shares issued and outstanding at June 30, 2023 and December 31, 2022, respectively, $11.50 liquidation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9"/>
        </w:trPr>
        <w:tc>
          <w:tcPr>
            <w:tcW w:w="6120" w:type="dxa"/>
            <w:vAlign w:val="bottom"/>
          </w:tcPr>
          <w:p>
            <w:pPr>
              <w:ind w:left="220"/>
              <w:spacing w:after="0"/>
              <w:rPr>
                <w:sz w:val="20"/>
                <w:szCs w:val="20"/>
                <w:color w:val="auto"/>
              </w:rPr>
            </w:pPr>
            <w:r>
              <w:rPr>
                <w:rFonts w:ascii="Arial" w:cs="Arial" w:eastAsia="Arial" w:hAnsi="Arial"/>
                <w:sz w:val="13"/>
                <w:szCs w:val="13"/>
                <w:color w:val="auto"/>
              </w:rPr>
              <w:t>value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275,025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274,936</w:t>
            </w:r>
          </w:p>
        </w:tc>
      </w:tr>
      <w:tr>
        <w:trPr>
          <w:trHeight w:val="149"/>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Shareholders' (Deficit) Equity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Preferred stock, $0.01 par value, 26,000 shares authorized, no shares issued and outstanding</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8"/>
        </w:trPr>
        <w:tc>
          <w:tcPr>
            <w:tcW w:w="6120" w:type="dxa"/>
            <w:vAlign w:val="bottom"/>
          </w:tcPr>
          <w:p>
            <w:pPr>
              <w:ind w:left="220"/>
              <w:spacing w:after="0" w:line="138" w:lineRule="exact"/>
              <w:rPr>
                <w:sz w:val="20"/>
                <w:szCs w:val="20"/>
                <w:color w:val="auto"/>
              </w:rPr>
            </w:pPr>
            <w:r>
              <w:rPr>
                <w:rFonts w:ascii="Arial" w:cs="Arial" w:eastAsia="Arial" w:hAnsi="Arial"/>
                <w:sz w:val="13"/>
                <w:szCs w:val="13"/>
                <w:color w:val="auto"/>
                <w:w w:val="96"/>
              </w:rPr>
              <w:t>Common stock, $0.01 par value, 300,000 shares authorized, 75,728 shares and 75,020 shares issued and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9"/>
        </w:trPr>
        <w:tc>
          <w:tcPr>
            <w:tcW w:w="6120" w:type="dxa"/>
            <w:vAlign w:val="bottom"/>
          </w:tcPr>
          <w:p>
            <w:pPr>
              <w:ind w:left="220"/>
              <w:spacing w:after="0"/>
              <w:rPr>
                <w:sz w:val="20"/>
                <w:szCs w:val="20"/>
                <w:color w:val="auto"/>
              </w:rPr>
            </w:pPr>
            <w:r>
              <w:rPr>
                <w:rFonts w:ascii="Arial" w:cs="Arial" w:eastAsia="Arial" w:hAnsi="Arial"/>
                <w:sz w:val="13"/>
                <w:szCs w:val="13"/>
                <w:color w:val="auto"/>
              </w:rPr>
              <w:t>outstanding at June 30, 2023 and December 31, 2022, respectively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Additional paid-in-capital</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348,711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342,664</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(359,194)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(328,042)</w:t>
            </w:r>
          </w:p>
        </w:tc>
      </w:tr>
      <w:tr>
        <w:trPr>
          <w:trHeight w:val="148"/>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loss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w:t>
            </w:r>
          </w:p>
        </w:tc>
      </w:tr>
      <w:tr>
        <w:trPr>
          <w:trHeight w:val="156"/>
        </w:trPr>
        <w:tc>
          <w:tcPr>
            <w:tcW w:w="6120" w:type="dxa"/>
            <w:vAlign w:val="bottom"/>
          </w:tcPr>
          <w:p>
            <w:pPr>
              <w:ind w:left="440"/>
              <w:spacing w:after="0"/>
              <w:rPr>
                <w:sz w:val="20"/>
                <w:szCs w:val="20"/>
                <w:color w:val="auto"/>
              </w:rPr>
            </w:pPr>
            <w:r>
              <w:rPr>
                <w:rFonts w:ascii="Arial" w:cs="Arial" w:eastAsia="Arial" w:hAnsi="Arial"/>
                <w:sz w:val="13"/>
                <w:szCs w:val="13"/>
                <w:b w:val="1"/>
                <w:bCs w:val="1"/>
                <w:color w:val="auto"/>
              </w:rPr>
              <w:t>Total shareholders' (deficit) equity attributable to Westrock Coffee Company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(14,262)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9,269</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w:t>
            </w:r>
          </w:p>
        </w:tc>
      </w:tr>
      <w:tr>
        <w:trPr>
          <w:trHeight w:val="142"/>
        </w:trPr>
        <w:tc>
          <w:tcPr>
            <w:tcW w:w="612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3"/>
                <w:szCs w:val="13"/>
                <w:b w:val="1"/>
                <w:bCs w:val="1"/>
                <w:color w:val="auto"/>
              </w:rPr>
              <w:t>Total shareholders' (deficit) equity</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(14,262)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11,729</w:t>
            </w:r>
          </w:p>
        </w:tc>
      </w:tr>
      <w:tr>
        <w:trPr>
          <w:trHeight w:val="142"/>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120" w:type="dxa"/>
            <w:vAlign w:val="bottom"/>
          </w:tcPr>
          <w:p>
            <w:pPr>
              <w:ind w:left="20"/>
              <w:spacing w:after="0"/>
              <w:rPr>
                <w:sz w:val="20"/>
                <w:szCs w:val="20"/>
                <w:color w:val="auto"/>
              </w:rPr>
            </w:pPr>
            <w:r>
              <w:rPr>
                <w:rFonts w:ascii="Arial" w:cs="Arial" w:eastAsia="Arial" w:hAnsi="Arial"/>
                <w:sz w:val="13"/>
                <w:szCs w:val="13"/>
                <w:b w:val="1"/>
                <w:bCs w:val="1"/>
                <w:color w:val="auto"/>
              </w:rPr>
              <w:t>Total Liabilities, Convertible Preferred Shares and Shareholders' (Deficit) Equity</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822,308</w:t>
            </w:r>
          </w:p>
        </w:tc>
        <w:tc>
          <w:tcPr>
            <w:tcW w:w="100" w:type="dxa"/>
            <w:vAlign w:val="bottom"/>
          </w:tcPr>
          <w:p>
            <w:pPr>
              <w:spacing w:after="0"/>
              <w:rPr>
                <w:sz w:val="12"/>
                <w:szCs w:val="12"/>
                <w:color w:val="auto"/>
              </w:rPr>
            </w:pPr>
          </w:p>
        </w:tc>
        <w:tc>
          <w:tcPr>
            <w:tcW w:w="46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746,213</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WESTROCK COFFEE COMPANY CONDENSED CONSOLIDATED STATEMENTS OF OPERATIONS (Unaudited)</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gridSpan w:val="2"/>
            <w:vMerge w:val="restart"/>
          </w:tcPr>
          <w:p>
            <w:pPr>
              <w:ind w:left="20"/>
              <w:spacing w:after="0"/>
              <w:rPr>
                <w:sz w:val="20"/>
                <w:szCs w:val="20"/>
                <w:color w:val="auto"/>
              </w:rPr>
            </w:pPr>
            <w:r>
              <w:rPr>
                <w:rFonts w:ascii="Arial" w:cs="Arial" w:eastAsia="Arial" w:hAnsi="Arial"/>
                <w:sz w:val="13"/>
                <w:szCs w:val="13"/>
                <w:color w:val="auto"/>
              </w:rPr>
              <w:t>(Thousands, except per share data)</w:t>
            </w:r>
          </w:p>
        </w:tc>
        <w:tc>
          <w:tcPr>
            <w:tcW w:w="120" w:type="dxa"/>
            <w:vAlign w:val="bottom"/>
          </w:tcPr>
          <w:p>
            <w:pPr>
              <w:spacing w:after="0"/>
              <w:rPr>
                <w:sz w:val="14"/>
                <w:szCs w:val="14"/>
                <w:color w:val="auto"/>
              </w:rPr>
            </w:pPr>
          </w:p>
        </w:tc>
        <w:tc>
          <w:tcPr>
            <w:tcW w:w="21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4"/>
                <w:szCs w:val="14"/>
                <w:color w:val="auto"/>
              </w:rPr>
            </w:pPr>
          </w:p>
        </w:tc>
        <w:tc>
          <w:tcPr>
            <w:tcW w:w="1920" w:type="dxa"/>
            <w:vAlign w:val="bottom"/>
            <w:gridSpan w:val="4"/>
          </w:tcPr>
          <w:p>
            <w:pPr>
              <w:jc w:val="right"/>
              <w:ind w:right="193"/>
              <w:spacing w:after="0"/>
              <w:rPr>
                <w:sz w:val="20"/>
                <w:szCs w:val="20"/>
                <w:color w:val="auto"/>
              </w:rPr>
            </w:pPr>
            <w:r>
              <w:rPr>
                <w:rFonts w:ascii="Arial" w:cs="Arial" w:eastAsia="Arial" w:hAnsi="Arial"/>
                <w:sz w:val="13"/>
                <w:szCs w:val="13"/>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Net sales</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224,694</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223,413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430,136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409,841</w:t>
            </w:r>
          </w:p>
        </w:tc>
        <w:tc>
          <w:tcPr>
            <w:tcW w:w="0" w:type="dxa"/>
            <w:vAlign w:val="bottom"/>
          </w:tcPr>
          <w:p>
            <w:pPr>
              <w:spacing w:after="0"/>
              <w:rPr>
                <w:sz w:val="1"/>
                <w:szCs w:val="1"/>
                <w:color w:val="auto"/>
              </w:rPr>
            </w:pPr>
          </w:p>
        </w:tc>
      </w:tr>
      <w:tr>
        <w:trPr>
          <w:trHeight w:val="149"/>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Costs of sales</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189,018</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184,515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360,162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332,512</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3"/>
                <w:szCs w:val="13"/>
                <w:color w:val="auto"/>
              </w:rPr>
              <w:t>Gross profit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35,676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38,898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69,974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77,329</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34,170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68,292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70,109</w:t>
            </w:r>
          </w:p>
        </w:tc>
        <w:tc>
          <w:tcPr>
            <w:tcW w:w="0" w:type="dxa"/>
            <w:vAlign w:val="bottom"/>
          </w:tcPr>
          <w:p>
            <w:pPr>
              <w:spacing w:after="0"/>
              <w:rPr>
                <w:sz w:val="1"/>
                <w:szCs w:val="1"/>
                <w:color w:val="auto"/>
              </w:rPr>
            </w:pPr>
          </w:p>
        </w:tc>
      </w:tr>
      <w:tr>
        <w:trPr>
          <w:trHeight w:val="149"/>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Acquisition, restructuring and integration expense</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9,545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4,787</w:t>
            </w: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Loss on disposal of property, plant and equipment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gridSpan w:val="2"/>
          </w:tcPr>
          <w:p>
            <w:pPr>
              <w:ind w:left="220"/>
              <w:spacing w:after="0" w:line="142" w:lineRule="exact"/>
              <w:rPr>
                <w:sz w:val="20"/>
                <w:szCs w:val="20"/>
                <w:color w:val="auto"/>
              </w:rPr>
            </w:pPr>
            <w:r>
              <w:rPr>
                <w:rFonts w:ascii="Arial" w:cs="Arial" w:eastAsia="Arial" w:hAnsi="Arial"/>
                <w:sz w:val="13"/>
                <w:szCs w:val="13"/>
                <w:color w:val="auto"/>
              </w:rPr>
              <w:t>Total operating expenses</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37,071</w:t>
            </w: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37,536</w:t>
            </w: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78,733</w:t>
            </w: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75,185</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(Loss) income from operations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(1,395)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1,362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(8,759)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7,385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13,414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16,861</w:t>
            </w: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Change in fair value of warrant liabilities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(133)</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Loss before income taxes</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(20,571)</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(7,318)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(29,256)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(13,607)</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6,240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(1,499)</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1,881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loss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(26,811)</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(5,819)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(31,137)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(10,524)</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Net (loss) income attributable to non-controlling interest</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loss attributable to shareholders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(26,811)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(5,713)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(31,152)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(10,589)</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Accretion of Series A Convertible Preferred Shares</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Accumulating preferred dividends</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(7,145)</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(13,882)</w:t>
            </w:r>
          </w:p>
        </w:tc>
        <w:tc>
          <w:tcPr>
            <w:tcW w:w="0" w:type="dxa"/>
            <w:vAlign w:val="bottom"/>
          </w:tcPr>
          <w:p>
            <w:pPr>
              <w:spacing w:after="0"/>
              <w:rPr>
                <w:sz w:val="1"/>
                <w:szCs w:val="1"/>
                <w:color w:val="auto"/>
              </w:rPr>
            </w:pPr>
          </w:p>
        </w:tc>
      </w:tr>
      <w:tr>
        <w:trPr>
          <w:trHeight w:val="142"/>
        </w:trPr>
        <w:tc>
          <w:tcPr>
            <w:tcW w:w="46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Net loss attributable to common shareholders</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(26,724)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(12,858)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(31,493)</w:t>
            </w:r>
          </w:p>
        </w:tc>
        <w:tc>
          <w:tcPr>
            <w:tcW w:w="360" w:type="dxa"/>
            <w:vAlign w:val="bottom"/>
            <w:gridSpan w:val="2"/>
          </w:tcPr>
          <w:p>
            <w:pPr>
              <w:jc w:val="right"/>
              <w:ind w:right="73"/>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(24,471)</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gridSpan w:val="2"/>
          </w:tcPr>
          <w:p>
            <w:pPr>
              <w:ind w:left="20"/>
              <w:spacing w:after="0" w:line="149" w:lineRule="exact"/>
              <w:rPr>
                <w:sz w:val="20"/>
                <w:szCs w:val="20"/>
                <w:color w:val="auto"/>
              </w:rPr>
            </w:pPr>
            <w:r>
              <w:rPr>
                <w:rFonts w:ascii="Arial" w:cs="Arial" w:eastAsia="Arial" w:hAnsi="Arial"/>
                <w:sz w:val="12"/>
                <w:szCs w:val="12"/>
                <w:b w:val="1"/>
                <w:bCs w:val="1"/>
                <w:color w:val="auto"/>
              </w:rPr>
              <w:t>Loss per common share</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2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(0.35)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(0.37)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(0.42)</w:t>
            </w:r>
          </w:p>
        </w:tc>
        <w:tc>
          <w:tcPr>
            <w:tcW w:w="360" w:type="dxa"/>
            <w:vAlign w:val="bottom"/>
            <w:gridSpan w:val="2"/>
            <w:shd w:val="clear" w:color="auto" w:fill="CCEEFF"/>
          </w:tcPr>
          <w:p>
            <w:pPr>
              <w:jc w:val="right"/>
              <w:ind w:right="73"/>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183"/>
        </w:trPr>
        <w:tc>
          <w:tcPr>
            <w:tcW w:w="4620" w:type="dxa"/>
            <w:vAlign w:val="bottom"/>
            <w:tcBorders>
              <w:top w:val="single" w:sz="8" w:color="CCEEFF"/>
              <w:bottom w:val="single" w:sz="8" w:color="CCEEFF"/>
            </w:tcBorders>
            <w:gridSpan w:val="2"/>
          </w:tcPr>
          <w:p>
            <w:pPr>
              <w:ind w:left="120"/>
              <w:spacing w:after="0" w:line="143" w:lineRule="exact"/>
              <w:rPr>
                <w:sz w:val="20"/>
                <w:szCs w:val="20"/>
                <w:color w:val="auto"/>
              </w:rPr>
            </w:pPr>
            <w:r>
              <w:rPr>
                <w:rFonts w:ascii="Arial" w:cs="Arial" w:eastAsia="Arial" w:hAnsi="Arial"/>
                <w:sz w:val="13"/>
                <w:szCs w:val="13"/>
                <w:color w:val="auto"/>
              </w:rPr>
              <w:t>Diluted</w:t>
            </w: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(0.35)</w:t>
            </w:r>
          </w:p>
        </w:tc>
        <w:tc>
          <w:tcPr>
            <w:tcW w:w="1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(0.37)</w:t>
            </w:r>
          </w:p>
        </w:tc>
        <w:tc>
          <w:tcPr>
            <w:tcW w:w="14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(0.42)</w:t>
            </w:r>
          </w:p>
        </w:tc>
        <w:tc>
          <w:tcPr>
            <w:tcW w:w="14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129"/>
        </w:trPr>
        <w:tc>
          <w:tcPr>
            <w:tcW w:w="4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gridSpan w:val="2"/>
          </w:tcPr>
          <w:p>
            <w:pPr>
              <w:ind w:left="20"/>
              <w:spacing w:after="0" w:line="149" w:lineRule="exact"/>
              <w:rPr>
                <w:sz w:val="20"/>
                <w:szCs w:val="20"/>
                <w:color w:val="auto"/>
              </w:rPr>
            </w:pPr>
            <w:r>
              <w:rPr>
                <w:rFonts w:ascii="Arial" w:cs="Arial" w:eastAsia="Arial" w:hAnsi="Arial"/>
                <w:sz w:val="12"/>
                <w:szCs w:val="12"/>
                <w:b w:val="1"/>
                <w:bCs w:val="1"/>
                <w:color w:val="auto"/>
              </w:rPr>
              <w:t>Weighted-average number of shares outstanding</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75,726</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34,855</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75,543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34,749</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75,726</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34,855</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75,543</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34,749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240" w:hanging="190"/>
        <w:spacing w:after="0"/>
        <w:tabs>
          <w:tab w:leader="none" w:pos="2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Retroactively adjusted the three and six months ended June 30, 2022 for the de-SPAC merger transaction as described in Note 4.</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2540"/>
        <w:spacing w:after="0"/>
        <w:rPr>
          <w:rFonts w:ascii="Arial" w:cs="Arial" w:eastAsia="Arial" w:hAnsi="Arial"/>
          <w:sz w:val="13"/>
          <w:szCs w:val="13"/>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w w:val="94"/>
              </w:rPr>
              <w:t>Three Months Ended June 30,</w:t>
            </w:r>
          </w:p>
        </w:tc>
        <w:tc>
          <w:tcPr>
            <w:tcW w:w="120" w:type="dxa"/>
            <w:vAlign w:val="bottom"/>
          </w:tcPr>
          <w:p>
            <w:pPr>
              <w:spacing w:after="0"/>
              <w:rPr>
                <w:sz w:val="14"/>
                <w:szCs w:val="14"/>
                <w:color w:val="auto"/>
              </w:rPr>
            </w:pPr>
          </w:p>
        </w:tc>
        <w:tc>
          <w:tcPr>
            <w:tcW w:w="1780" w:type="dxa"/>
            <w:vAlign w:val="bottom"/>
            <w:gridSpan w:val="4"/>
          </w:tcPr>
          <w:p>
            <w:pPr>
              <w:jc w:val="right"/>
              <w:ind w:right="113"/>
              <w:spacing w:after="0"/>
              <w:rPr>
                <w:sz w:val="20"/>
                <w:szCs w:val="20"/>
                <w:color w:val="auto"/>
              </w:rPr>
            </w:pPr>
            <w:r>
              <w:rPr>
                <w:rFonts w:ascii="Arial" w:cs="Arial" w:eastAsia="Arial" w:hAnsi="Arial"/>
                <w:sz w:val="13"/>
                <w:szCs w:val="13"/>
                <w:b w:val="1"/>
                <w:bCs w:val="1"/>
                <w:color w:val="auto"/>
                <w:w w:val="93"/>
              </w:rPr>
              <w:t>Six Months Ended June 30,</w:t>
            </w:r>
          </w:p>
        </w:tc>
      </w:tr>
      <w:tr>
        <w:trPr>
          <w:trHeight w:val="15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(Thousands)</w:t>
            </w: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2022</w:t>
            </w:r>
          </w:p>
        </w:tc>
      </w:tr>
      <w:tr>
        <w:trPr>
          <w:trHeight w:val="142"/>
        </w:trPr>
        <w:tc>
          <w:tcPr>
            <w:tcW w:w="46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3"/>
                <w:szCs w:val="13"/>
                <w:color w:val="auto"/>
              </w:rPr>
              <w:t>(26,811)</w:t>
            </w:r>
          </w:p>
        </w:tc>
        <w:tc>
          <w:tcPr>
            <w:tcW w:w="18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3"/>
                <w:szCs w:val="13"/>
                <w:color w:val="auto"/>
              </w:rPr>
              <w:t>(5,819)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(31,137)</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(10,524)</w:t>
            </w:r>
          </w:p>
        </w:tc>
      </w:tr>
      <w:tr>
        <w:trPr>
          <w:trHeight w:val="162"/>
        </w:trPr>
        <w:tc>
          <w:tcPr>
            <w:tcW w:w="4620" w:type="dxa"/>
            <w:vAlign w:val="bottom"/>
            <w:gridSpan w:val="2"/>
          </w:tcPr>
          <w:p>
            <w:pPr>
              <w:ind w:left="20"/>
              <w:spacing w:after="0"/>
              <w:rPr>
                <w:sz w:val="20"/>
                <w:szCs w:val="20"/>
                <w:color w:val="auto"/>
              </w:rPr>
            </w:pPr>
            <w:r>
              <w:rPr>
                <w:rFonts w:ascii="Arial" w:cs="Arial" w:eastAsia="Arial" w:hAnsi="Arial"/>
                <w:sz w:val="13"/>
                <w:szCs w:val="13"/>
                <w:i w:val="1"/>
                <w:iCs w:val="1"/>
                <w:color w:val="auto"/>
              </w:rPr>
              <w:t>Other comprehensive income (loss), net of tax:</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8"/>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Unrealized gain (loss) on derivative instruments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(717)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(7,285)</w:t>
            </w:r>
          </w:p>
        </w:tc>
      </w:tr>
      <w:tr>
        <w:trPr>
          <w:trHeight w:val="148"/>
        </w:trPr>
        <w:tc>
          <w:tcPr>
            <w:tcW w:w="4620" w:type="dxa"/>
            <w:vAlign w:val="bottom"/>
            <w:gridSpan w:val="2"/>
          </w:tcPr>
          <w:p>
            <w:pPr>
              <w:ind w:left="220"/>
              <w:spacing w:after="0"/>
              <w:rPr>
                <w:sz w:val="20"/>
                <w:szCs w:val="20"/>
                <w:color w:val="auto"/>
              </w:rPr>
            </w:pPr>
            <w:r>
              <w:rPr>
                <w:rFonts w:ascii="Arial" w:cs="Arial" w:eastAsia="Arial" w:hAnsi="Arial"/>
                <w:sz w:val="13"/>
                <w:szCs w:val="13"/>
                <w:color w:val="auto"/>
              </w:rPr>
              <w:t>Foreign currency translation adjustment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42"/>
        </w:trPr>
        <w:tc>
          <w:tcPr>
            <w:tcW w:w="4620" w:type="dxa"/>
            <w:vAlign w:val="bottom"/>
            <w:tcBorders>
              <w:top w:val="single" w:sz="8" w:color="CCEEFF"/>
            </w:tcBorders>
            <w:gridSpan w:val="2"/>
            <w:shd w:val="clear" w:color="auto" w:fill="CCEEFF"/>
          </w:tcPr>
          <w:p>
            <w:pPr>
              <w:ind w:left="440"/>
              <w:spacing w:after="0" w:line="142" w:lineRule="exact"/>
              <w:rPr>
                <w:sz w:val="20"/>
                <w:szCs w:val="20"/>
                <w:color w:val="auto"/>
              </w:rPr>
            </w:pPr>
            <w:r>
              <w:rPr>
                <w:rFonts w:ascii="Arial" w:cs="Arial" w:eastAsia="Arial" w:hAnsi="Arial"/>
                <w:sz w:val="13"/>
                <w:szCs w:val="13"/>
                <w:color w:val="auto"/>
              </w:rPr>
              <w:t>Total other comprehensive income (loss)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(658)</w:t>
            </w:r>
          </w:p>
        </w:tc>
        <w:tc>
          <w:tcPr>
            <w:tcW w:w="4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(2,434)</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1,564</w:t>
            </w:r>
          </w:p>
        </w:tc>
        <w:tc>
          <w:tcPr>
            <w:tcW w:w="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(7,294)</w:t>
            </w:r>
          </w:p>
        </w:tc>
      </w:tr>
      <w:tr>
        <w:trPr>
          <w:trHeight w:val="142"/>
        </w:trPr>
        <w:tc>
          <w:tcPr>
            <w:tcW w:w="4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Comprehensive loss</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(27,469)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(8,253)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(29,573)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(17,818)</w:t>
            </w:r>
          </w:p>
        </w:tc>
      </w:tr>
      <w:tr>
        <w:trPr>
          <w:trHeight w:val="148"/>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Comprehensive income (loss) attributable to non-controlling interests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42"/>
        </w:trPr>
        <w:tc>
          <w:tcPr>
            <w:tcW w:w="462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Comprehensive loss attributable to shareholders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(27,469)</w:t>
            </w: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(8,147)</w:t>
            </w: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(29,588)</w:t>
            </w: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(17,883)</w:t>
            </w:r>
          </w:p>
        </w:tc>
      </w:tr>
      <w:tr>
        <w:trPr>
          <w:trHeight w:val="148"/>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Accretion of convertible preferred shares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4620" w:type="dxa"/>
            <w:vAlign w:val="bottom"/>
            <w:gridSpan w:val="2"/>
          </w:tcPr>
          <w:p>
            <w:pPr>
              <w:ind w:left="220"/>
              <w:spacing w:after="0"/>
              <w:rPr>
                <w:sz w:val="20"/>
                <w:szCs w:val="20"/>
                <w:color w:val="auto"/>
              </w:rPr>
            </w:pPr>
            <w:r>
              <w:rPr>
                <w:rFonts w:ascii="Arial" w:cs="Arial" w:eastAsia="Arial" w:hAnsi="Arial"/>
                <w:sz w:val="13"/>
                <w:szCs w:val="13"/>
                <w:color w:val="auto"/>
              </w:rPr>
              <w:t>Accumulating preferred dividends</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(7,145)</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(13,882)</w:t>
            </w:r>
          </w:p>
        </w:tc>
      </w:tr>
      <w:tr>
        <w:trPr>
          <w:trHeight w:val="20"/>
        </w:trPr>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62"/>
        </w:trPr>
        <w:tc>
          <w:tcPr>
            <w:tcW w:w="46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Comprehensive loss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40"/>
              <w:spacing w:after="0" w:line="129" w:lineRule="exact"/>
              <w:rPr>
                <w:sz w:val="20"/>
                <w:szCs w:val="20"/>
                <w:color w:val="auto"/>
              </w:rPr>
            </w:pPr>
            <w:r>
              <w:rPr>
                <w:rFonts w:ascii="Arial" w:cs="Arial" w:eastAsia="Arial" w:hAnsi="Arial"/>
                <w:sz w:val="13"/>
                <w:szCs w:val="13"/>
                <w:color w:val="auto"/>
              </w:rPr>
              <w:t>(27,382)</w:t>
            </w:r>
          </w:p>
        </w:tc>
        <w:tc>
          <w:tcPr>
            <w:tcW w:w="180" w:type="dxa"/>
            <w:vAlign w:val="bottom"/>
            <w:shd w:val="clear" w:color="auto" w:fill="CCEEFF"/>
          </w:tcPr>
          <w:p>
            <w:pPr>
              <w:jc w:val="right"/>
              <w:ind w:right="33"/>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3"/>
                <w:szCs w:val="13"/>
                <w:color w:val="auto"/>
              </w:rPr>
              <w:t>(15,292)</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(29,929)</w:t>
            </w: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(31,765)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jc w:val="center"/>
        <w:ind w:right="19"/>
        <w:spacing w:after="0" w:line="196" w:lineRule="auto"/>
        <w:rPr>
          <w:sz w:val="20"/>
          <w:szCs w:val="20"/>
          <w:color w:val="auto"/>
        </w:rPr>
      </w:pPr>
      <w:r>
        <w:rPr>
          <w:rFonts w:ascii="Arial" w:cs="Arial" w:eastAsia="Arial" w:hAnsi="Arial"/>
          <w:sz w:val="18"/>
          <w:szCs w:val="18"/>
          <w:b w:val="1"/>
          <w:bCs w:val="1"/>
          <w:color w:val="auto"/>
        </w:rPr>
        <w:t>CONDENSED CONSOLIDATED STATEMENTS OF SHAREHOLDERS’ EQUITY (DEFICIT)</w:t>
      </w:r>
      <w:r>
        <w:rPr>
          <w:rFonts w:ascii="Arial" w:cs="Arial" w:eastAsia="Arial" w:hAnsi="Arial"/>
          <w:sz w:val="26"/>
          <w:szCs w:val="26"/>
          <w:b w:val="1"/>
          <w:bCs w:val="1"/>
          <w:color w:val="auto"/>
          <w:vertAlign w:val="superscript"/>
        </w:rPr>
        <w:t>(1)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3"/>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128"/>
        </w:trPr>
        <w:tc>
          <w:tcPr>
            <w:tcW w:w="19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(Thousands)</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8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0"/>
              </w:rPr>
              <w:t>Paid-in Capital</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86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9"/>
              </w:rPr>
              <w:t>Equity (Deficit)</w:t>
            </w:r>
          </w:p>
        </w:tc>
      </w:tr>
      <w:tr>
        <w:trPr>
          <w:trHeight w:val="128"/>
        </w:trPr>
        <w:tc>
          <w:tcPr>
            <w:tcW w:w="20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March 31, 2022</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34,856</w:t>
            </w:r>
          </w:p>
        </w:tc>
        <w:tc>
          <w:tcPr>
            <w:tcW w:w="260" w:type="dxa"/>
            <w:vAlign w:val="bottom"/>
            <w:gridSpan w:val="2"/>
            <w:shd w:val="clear" w:color="auto" w:fill="CCEEFF"/>
          </w:tcPr>
          <w:p>
            <w:pPr>
              <w:jc w:val="right"/>
              <w:ind w:right="28"/>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348</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60,319</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(263,338)</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7,158</w:t>
            </w:r>
          </w:p>
        </w:tc>
        <w:tc>
          <w:tcPr>
            <w:tcW w:w="28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2,907</w:t>
            </w:r>
          </w:p>
        </w:tc>
        <w:tc>
          <w:tcPr>
            <w:tcW w:w="30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(192,606)</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(5,819)</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Other comprehensive income (loss)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(2,434)</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r>
      <w:tr>
        <w:trPr>
          <w:trHeight w:val="148"/>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(7,145)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(7,145)</w:t>
            </w:r>
          </w:p>
        </w:tc>
      </w:tr>
      <w:tr>
        <w:trPr>
          <w:trHeight w:val="168"/>
        </w:trPr>
        <w:tc>
          <w:tcPr>
            <w:tcW w:w="208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Balance at June 30, 2022</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34,856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60,627</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(276,196)</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4,724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(207,696)</w:t>
            </w:r>
          </w:p>
        </w:tc>
      </w:tr>
      <w:tr>
        <w:trPr>
          <w:trHeight w:val="116"/>
        </w:trPr>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Balance at March 31, 2023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75,628</w:t>
            </w:r>
          </w:p>
        </w:tc>
        <w:tc>
          <w:tcPr>
            <w:tcW w:w="2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759</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345,840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(332,383)</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(3,881)</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2,475</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12,810</w:t>
            </w:r>
          </w:p>
        </w:tc>
      </w:tr>
      <w:tr>
        <w:trPr>
          <w:trHeight w:val="135"/>
        </w:trPr>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0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(26,811)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(26,811)</w:t>
            </w:r>
          </w:p>
        </w:tc>
      </w:tr>
      <w:tr>
        <w:trPr>
          <w:trHeight w:val="135"/>
        </w:trPr>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08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4"/>
              </w:rPr>
              <w:t>Issuance of common shares related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5"/>
        </w:trPr>
        <w:tc>
          <w:tcPr>
            <w:tcW w:w="20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to purchase of non-controlling</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080" w:type="dxa"/>
            <w:vAlign w:val="bottom"/>
            <w:gridSpan w:val="2"/>
          </w:tcPr>
          <w:p>
            <w:pPr>
              <w:ind w:left="120"/>
              <w:spacing w:after="0"/>
              <w:rPr>
                <w:sz w:val="20"/>
                <w:szCs w:val="20"/>
                <w:color w:val="auto"/>
              </w:rPr>
            </w:pPr>
            <w:r>
              <w:rPr>
                <w:rFonts w:ascii="Arial" w:cs="Arial" w:eastAsia="Arial" w:hAnsi="Arial"/>
                <w:sz w:val="13"/>
                <w:szCs w:val="13"/>
                <w:color w:val="auto"/>
              </w:rPr>
              <w:t>interest</w:t>
            </w: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135"/>
        </w:trPr>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08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Accretion of convertible preferred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080" w:type="dxa"/>
            <w:vAlign w:val="bottom"/>
            <w:gridSpan w:val="2"/>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35"/>
        </w:trPr>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08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4"/>
              </w:rPr>
              <w:t>Other comprehensive income (loss)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(658)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(658)</w:t>
            </w:r>
          </w:p>
        </w:tc>
      </w:tr>
      <w:tr>
        <w:trPr>
          <w:trHeight w:val="135"/>
        </w:trPr>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0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2,310</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2,310</w:t>
            </w:r>
          </w:p>
        </w:tc>
      </w:tr>
      <w:tr>
        <w:trPr>
          <w:trHeight w:val="148"/>
        </w:trPr>
        <w:tc>
          <w:tcPr>
            <w:tcW w:w="2080" w:type="dxa"/>
            <w:vAlign w:val="bottom"/>
            <w:gridSpan w:val="2"/>
            <w:shd w:val="clear" w:color="auto" w:fill="CCEEFF"/>
          </w:tcPr>
          <w:p>
            <w:pPr>
              <w:ind w:left="120"/>
              <w:spacing w:after="0" w:line="115" w:lineRule="exact"/>
              <w:rPr>
                <w:sz w:val="20"/>
                <w:szCs w:val="20"/>
                <w:color w:val="auto"/>
              </w:rPr>
            </w:pPr>
            <w:r>
              <w:rPr>
                <w:rFonts w:ascii="Arial" w:cs="Arial" w:eastAsia="Arial" w:hAnsi="Arial"/>
                <w:sz w:val="13"/>
                <w:szCs w:val="13"/>
                <w:b w:val="1"/>
                <w:bCs w:val="1"/>
                <w:color w:val="auto"/>
              </w:rPr>
              <w:t>Balance at June 30, 2023</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75,728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760</w:t>
            </w:r>
          </w:p>
        </w:tc>
        <w:tc>
          <w:tcPr>
            <w:tcW w:w="2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348,711</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(359,194)</w:t>
            </w:r>
          </w:p>
        </w:tc>
        <w:tc>
          <w:tcPr>
            <w:tcW w:w="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(4,539)</w:t>
            </w:r>
          </w:p>
        </w:tc>
        <w:tc>
          <w:tcPr>
            <w:tcW w:w="280" w:type="dxa"/>
            <w:vAlign w:val="bottom"/>
            <w:gridSpan w:val="2"/>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(14,262)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left="2540" w:right="1659" w:hanging="2490"/>
        <w:spacing w:after="0" w:line="622" w:lineRule="auto"/>
        <w:tabs>
          <w:tab w:leader="none" w:pos="233" w:val="left"/>
        </w:tabs>
        <w:numPr>
          <w:ilvl w:val="0"/>
          <w:numId w:val="6"/>
        </w:numPr>
        <w:rPr>
          <w:rFonts w:ascii="Arial" w:cs="Arial" w:eastAsia="Arial" w:hAnsi="Arial"/>
          <w:sz w:val="12"/>
          <w:szCs w:val="12"/>
          <w:color w:val="auto"/>
        </w:rPr>
      </w:pPr>
      <w:r>
        <w:rPr>
          <w:rFonts w:ascii="Arial" w:cs="Arial" w:eastAsia="Arial" w:hAnsi="Arial"/>
          <w:sz w:val="12"/>
          <w:szCs w:val="12"/>
          <w:color w:val="auto"/>
        </w:rPr>
        <w:t>Retroactively adjusted March 31, 2022 and the three months ended June 30, 2022 for the de-SPAC merger transaction as described in Note 4. See accompanying notes to condensed consolidated financial statements.</w:t>
      </w:r>
    </w:p>
    <w:p>
      <w:pPr>
        <w:ind w:left="88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jc w:val="center"/>
        <w:ind w:right="19"/>
        <w:spacing w:after="0" w:line="196" w:lineRule="auto"/>
        <w:rPr>
          <w:sz w:val="20"/>
          <w:szCs w:val="20"/>
          <w:color w:val="auto"/>
        </w:rPr>
      </w:pPr>
      <w:r>
        <w:rPr>
          <w:rFonts w:ascii="Arial" w:cs="Arial" w:eastAsia="Arial" w:hAnsi="Arial"/>
          <w:sz w:val="18"/>
          <w:szCs w:val="18"/>
          <w:b w:val="1"/>
          <w:bCs w:val="1"/>
          <w:color w:val="auto"/>
        </w:rPr>
        <w:t>CONDENSED CONSOLIDATED STATEMENTS OF SHAREHOLDERS’ EQUITY (DEFICIT)</w:t>
      </w:r>
      <w:r>
        <w:rPr>
          <w:rFonts w:ascii="Arial" w:cs="Arial" w:eastAsia="Arial" w:hAnsi="Arial"/>
          <w:sz w:val="26"/>
          <w:szCs w:val="26"/>
          <w:b w:val="1"/>
          <w:bCs w:val="1"/>
          <w:color w:val="auto"/>
          <w:vertAlign w:val="superscript"/>
        </w:rPr>
        <w:t>(1)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(continued)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3"/>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Comprehensive</w:t>
            </w:r>
          </w:p>
        </w:tc>
        <w:tc>
          <w:tcPr>
            <w:tcW w:w="6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Non-Controlling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129"/>
        </w:trPr>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(Thousands)</w:t>
            </w:r>
          </w:p>
        </w:tc>
        <w:tc>
          <w:tcPr>
            <w:tcW w:w="76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9"/>
              </w:rPr>
              <w:t>Equity (Deficit)</w:t>
            </w:r>
          </w:p>
        </w:tc>
      </w:tr>
      <w:tr>
        <w:trPr>
          <w:trHeight w:val="128"/>
        </w:trPr>
        <w:tc>
          <w:tcPr>
            <w:tcW w:w="20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2021</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34,523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60,628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(251,725)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12,018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(175,998)</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(10,589)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(10,524)</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comprehensive income (loss)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(7,294)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(7,294)</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Net share settlement of equity awards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(13,882)</w:t>
            </w:r>
          </w:p>
        </w:tc>
      </w:tr>
      <w:tr>
        <w:trPr>
          <w:trHeight w:val="168"/>
        </w:trPr>
        <w:tc>
          <w:tcPr>
            <w:tcW w:w="220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Balance at June 30, 2022</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34,856</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60,627</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(276,196)</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4,724</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2,801</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(207,696)</w:t>
            </w:r>
          </w:p>
        </w:tc>
      </w:tr>
      <w:tr>
        <w:trPr>
          <w:trHeight w:val="115"/>
        </w:trPr>
        <w:tc>
          <w:tcPr>
            <w:tcW w:w="2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Balance at December 31, 2022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75,020</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750</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342,664</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(328,042)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(6,103)</w:t>
            </w:r>
          </w:p>
        </w:tc>
        <w:tc>
          <w:tcPr>
            <w:tcW w:w="2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2,460</w:t>
            </w:r>
          </w:p>
        </w:tc>
        <w:tc>
          <w:tcPr>
            <w:tcW w:w="60" w:type="dxa"/>
            <w:vAlign w:val="bottom"/>
          </w:tcPr>
          <w:p>
            <w:pPr>
              <w:spacing w:after="0"/>
              <w:rPr>
                <w:sz w:val="11"/>
                <w:szCs w:val="11"/>
                <w:color w:val="auto"/>
              </w:rPr>
            </w:pPr>
          </w:p>
        </w:tc>
        <w:tc>
          <w:tcPr>
            <w:tcW w:w="2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11,729</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(31,152)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(31,137)</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acquisitions</w:t>
            </w:r>
          </w:p>
        </w:tc>
        <w:tc>
          <w:tcPr>
            <w:tcW w:w="76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446</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Public Warrant exercise</w:t>
            </w:r>
          </w:p>
        </w:tc>
        <w:tc>
          <w:tcPr>
            <w:tcW w:w="760" w:type="dxa"/>
            <w:vAlign w:val="bottom"/>
          </w:tcPr>
          <w:p>
            <w:pPr>
              <w:jc w:val="right"/>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3,142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3,144</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stock options exercised</w:t>
            </w: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conversion of Series A Convertible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Preferred Shares</w:t>
            </w:r>
          </w:p>
        </w:tc>
        <w:tc>
          <w:tcPr>
            <w:tcW w:w="76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purchase of non-controlling interest</w:t>
            </w:r>
          </w:p>
        </w:tc>
        <w:tc>
          <w:tcPr>
            <w:tcW w:w="76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(2,475)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Accretion of Series A Convertible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Preferred Shares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(341)</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Other comprehensive income (loss)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1,564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1,564</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3,854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3,857</w:t>
            </w: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4"/>
              </w:rPr>
              <w:t>Net share settlement of equity awards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(1,841)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(1,841)</w:t>
            </w:r>
          </w:p>
        </w:tc>
      </w:tr>
      <w:tr>
        <w:trPr>
          <w:trHeight w:val="128"/>
        </w:trPr>
        <w:tc>
          <w:tcPr>
            <w:tcW w:w="220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Balance at June 30, 2023</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75,728</w:t>
            </w:r>
          </w:p>
        </w:tc>
        <w:tc>
          <w:tcPr>
            <w:tcW w:w="2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760</w:t>
            </w:r>
          </w:p>
        </w:tc>
        <w:tc>
          <w:tcPr>
            <w:tcW w:w="240" w:type="dxa"/>
            <w:vAlign w:val="bottom"/>
            <w:tcBorders>
              <w:top w:val="single" w:sz="8" w:color="CCEEFF"/>
            </w:tcBorders>
            <w:gridSpan w:val="2"/>
            <w:shd w:val="clear" w:color="auto" w:fill="CCEEFF"/>
          </w:tcPr>
          <w:p>
            <w:pPr>
              <w:ind w:left="14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348,711</w:t>
            </w:r>
          </w:p>
        </w:tc>
        <w:tc>
          <w:tcPr>
            <w:tcW w:w="20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(14,262)</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540" w:right="1759" w:hanging="2490"/>
        <w:spacing w:after="0" w:line="622" w:lineRule="auto"/>
        <w:tabs>
          <w:tab w:leader="none" w:pos="233" w:val="left"/>
        </w:tabs>
        <w:numPr>
          <w:ilvl w:val="0"/>
          <w:numId w:val="7"/>
        </w:numPr>
        <w:rPr>
          <w:rFonts w:ascii="Arial" w:cs="Arial" w:eastAsia="Arial" w:hAnsi="Arial"/>
          <w:sz w:val="12"/>
          <w:szCs w:val="12"/>
          <w:color w:val="auto"/>
        </w:rPr>
      </w:pPr>
      <w:r>
        <w:rPr>
          <w:rFonts w:ascii="Arial" w:cs="Arial" w:eastAsia="Arial" w:hAnsi="Arial"/>
          <w:sz w:val="12"/>
          <w:szCs w:val="12"/>
          <w:color w:val="auto"/>
        </w:rPr>
        <w:t>Retroactively adjusted December 31, 2021 and six months ended June 30, 2022 for the de-SPAC merger transaction as described in Note 4. See accompanying notes to condensed consolidated financial statements.</w:t>
      </w:r>
    </w:p>
    <w:p>
      <w:pPr>
        <w:ind w:left="88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8"/>
          <w:szCs w:val="18"/>
          <w:b w:val="1"/>
          <w:bCs w:val="1"/>
          <w:color w:val="auto"/>
        </w:rPr>
        <w:t>WESTROCK COFFEE COMPANY CONDENSED CONSOLIDATED STATEMENTS OF CASH FLOWS (Unaudited)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Arial" w:cs="Arial" w:eastAsia="Arial" w:hAnsi="Arial"/>
                <w:sz w:val="13"/>
                <w:szCs w:val="13"/>
                <w:color w:val="auto"/>
              </w:rPr>
              <w:t>(Thousands)</w:t>
            </w:r>
          </w:p>
        </w:tc>
        <w:tc>
          <w:tcPr>
            <w:tcW w:w="3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573"/>
              <w:spacing w:after="0" w:line="142" w:lineRule="exact"/>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573"/>
              <w:spacing w:after="0" w:line="142"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54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Net loss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(31,137)</w:t>
            </w:r>
          </w:p>
        </w:tc>
        <w:tc>
          <w:tcPr>
            <w:tcW w:w="560" w:type="dxa"/>
            <w:vAlign w:val="bottom"/>
            <w:gridSpan w:val="2"/>
          </w:tcPr>
          <w:p>
            <w:pPr>
              <w:jc w:val="right"/>
              <w:ind w:right="229"/>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(10,524)</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i w:val="1"/>
                <w:iCs w:val="1"/>
                <w:color w:val="auto"/>
              </w:rPr>
              <w:t>Adjustments to reconcile net loss to net cash provided by (used in) operating activities: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12,055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11,966</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Equity-based compensation</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48"/>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Paid-in-kind interest added to debt principal</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Provision for credit losses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49"/>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Amortization of deferred financing fees included in interest expense</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988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Loss on disposal of property, plant and equipment</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48"/>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Mark-to-market adjustments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(2,205)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Change in fair value of warrant liabilities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Foreign currency transactions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Deferred income tax (benefit) expense</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149"/>
        </w:trPr>
        <w:tc>
          <w:tcPr>
            <w:tcW w:w="5620" w:type="dxa"/>
            <w:vAlign w:val="bottom"/>
            <w:gridSpan w:val="2"/>
          </w:tcPr>
          <w:p>
            <w:pPr>
              <w:ind w:left="44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i w:val="1"/>
                <w:iCs w:val="1"/>
                <w:color w:val="auto"/>
              </w:rPr>
              <w:t>Change in operating assets and liabilities: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66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(11,137)</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Inventories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(53,663)</w:t>
            </w:r>
          </w:p>
        </w:tc>
        <w:tc>
          <w:tcPr>
            <w:tcW w:w="0" w:type="dxa"/>
            <w:vAlign w:val="bottom"/>
          </w:tcPr>
          <w:p>
            <w:pPr>
              <w:spacing w:after="0"/>
              <w:rPr>
                <w:sz w:val="1"/>
                <w:szCs w:val="1"/>
                <w:color w:val="auto"/>
              </w:rPr>
            </w:pPr>
          </w:p>
        </w:tc>
      </w:tr>
      <w:tr>
        <w:trPr>
          <w:trHeight w:val="148"/>
        </w:trPr>
        <w:tc>
          <w:tcPr>
            <w:tcW w:w="5620" w:type="dxa"/>
            <w:vAlign w:val="bottom"/>
            <w:gridSpan w:val="2"/>
          </w:tcPr>
          <w:p>
            <w:pPr>
              <w:ind w:left="660"/>
              <w:spacing w:after="0"/>
              <w:rPr>
                <w:sz w:val="20"/>
                <w:szCs w:val="20"/>
                <w:color w:val="auto"/>
              </w:rPr>
            </w:pPr>
            <w:r>
              <w:rPr>
                <w:rFonts w:ascii="Arial" w:cs="Arial" w:eastAsia="Arial" w:hAnsi="Arial"/>
                <w:sz w:val="13"/>
                <w:szCs w:val="13"/>
                <w:color w:val="auto"/>
              </w:rPr>
              <w:t>Derivative assets and liabilities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(10,743)</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Prepaid expense and other assets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(14,257)</w:t>
            </w:r>
          </w:p>
        </w:tc>
        <w:tc>
          <w:tcPr>
            <w:tcW w:w="0" w:type="dxa"/>
            <w:vAlign w:val="bottom"/>
          </w:tcPr>
          <w:p>
            <w:pPr>
              <w:spacing w:after="0"/>
              <w:rPr>
                <w:sz w:val="1"/>
                <w:szCs w:val="1"/>
                <w:color w:val="auto"/>
              </w:rPr>
            </w:pPr>
          </w:p>
        </w:tc>
      </w:tr>
      <w:tr>
        <w:trPr>
          <w:trHeight w:val="148"/>
        </w:trPr>
        <w:tc>
          <w:tcPr>
            <w:tcW w:w="5620" w:type="dxa"/>
            <w:vAlign w:val="bottom"/>
            <w:gridSpan w:val="2"/>
          </w:tcPr>
          <w:p>
            <w:pPr>
              <w:ind w:left="660"/>
              <w:spacing w:after="0"/>
              <w:rPr>
                <w:sz w:val="20"/>
                <w:szCs w:val="20"/>
                <w:color w:val="auto"/>
              </w:rPr>
            </w:pPr>
            <w:r>
              <w:rPr>
                <w:rFonts w:ascii="Arial" w:cs="Arial" w:eastAsia="Arial" w:hAnsi="Arial"/>
                <w:sz w:val="13"/>
                <w:szCs w:val="13"/>
                <w:color w:val="auto"/>
              </w:rPr>
              <w:t>Accounts payable</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(24,080)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37,278</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Accrued liabilities and other</w:t>
            </w: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7,314</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3,818</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3"/>
                <w:szCs w:val="13"/>
                <w:color w:val="auto"/>
              </w:rPr>
              <w:t>Net cash used in operating activities</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(35,668)</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(46,974)</w:t>
            </w:r>
          </w:p>
        </w:tc>
        <w:tc>
          <w:tcPr>
            <w:tcW w:w="0" w:type="dxa"/>
            <w:vAlign w:val="bottom"/>
          </w:tcPr>
          <w:p>
            <w:pPr>
              <w:spacing w:after="0"/>
              <w:rPr>
                <w:sz w:val="1"/>
                <w:szCs w:val="1"/>
                <w:color w:val="auto"/>
              </w:rPr>
            </w:pPr>
          </w:p>
        </w:tc>
      </w:tr>
      <w:tr>
        <w:trPr>
          <w:trHeight w:val="142"/>
        </w:trPr>
        <w:tc>
          <w:tcPr>
            <w:tcW w:w="56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Additions to property, plant and equipment</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(55,745)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(15,163)</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Additions to intangible assets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48"/>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Acquisition of business, net of cash acquired</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(2,392)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sale of property, plant and equipment</w:t>
            </w: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2,248</w:t>
            </w:r>
          </w:p>
        </w:tc>
        <w:tc>
          <w:tcPr>
            <w:tcW w:w="0" w:type="dxa"/>
            <w:vAlign w:val="bottom"/>
          </w:tcPr>
          <w:p>
            <w:pPr>
              <w:spacing w:after="0"/>
              <w:rPr>
                <w:sz w:val="1"/>
                <w:szCs w:val="1"/>
                <w:color w:val="auto"/>
              </w:rPr>
            </w:pPr>
          </w:p>
        </w:tc>
      </w:tr>
      <w:tr>
        <w:trPr>
          <w:trHeight w:val="142"/>
        </w:trPr>
        <w:tc>
          <w:tcPr>
            <w:tcW w:w="5620" w:type="dxa"/>
            <w:vAlign w:val="bottom"/>
            <w:gridSpan w:val="2"/>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34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(58,175)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(12,963)</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Payments on debt</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(79,795)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(51,665)</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debt</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156,118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107,423</w:t>
            </w:r>
          </w:p>
        </w:tc>
        <w:tc>
          <w:tcPr>
            <w:tcW w:w="0" w:type="dxa"/>
            <w:vAlign w:val="bottom"/>
          </w:tcPr>
          <w:p>
            <w:pPr>
              <w:spacing w:after="0"/>
              <w:rPr>
                <w:sz w:val="1"/>
                <w:szCs w:val="1"/>
                <w:color w:val="auto"/>
              </w:rPr>
            </w:pPr>
          </w:p>
        </w:tc>
      </w:tr>
      <w:tr>
        <w:trPr>
          <w:trHeight w:val="149"/>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Proceeds from supply chain financing program</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29,026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Payment of debt issuance costs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Net repayments from repurchase agreements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(5,236)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tcPr>
          <w:p>
            <w:pPr>
              <w:ind w:left="220"/>
              <w:spacing w:after="0"/>
              <w:rPr>
                <w:sz w:val="20"/>
                <w:szCs w:val="20"/>
                <w:color w:val="auto"/>
              </w:rPr>
            </w:pPr>
            <w:r>
              <w:rPr>
                <w:rFonts w:ascii="Arial" w:cs="Arial" w:eastAsia="Arial" w:hAnsi="Arial"/>
                <w:sz w:val="13"/>
                <w:szCs w:val="13"/>
                <w:color w:val="auto"/>
              </w:rPr>
              <w:t>Proceeds from exercise of Public Warrants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2,632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Payment for purchase of non-controlling interest</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Payment for taxes for net share settlement of equity awards</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(1,841)</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42"/>
        </w:trPr>
        <w:tc>
          <w:tcPr>
            <w:tcW w:w="56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96,385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55,281</w:t>
            </w:r>
          </w:p>
        </w:tc>
        <w:tc>
          <w:tcPr>
            <w:tcW w:w="0" w:type="dxa"/>
            <w:vAlign w:val="bottom"/>
          </w:tcPr>
          <w:p>
            <w:pPr>
              <w:spacing w:after="0"/>
              <w:rPr>
                <w:sz w:val="1"/>
                <w:szCs w:val="1"/>
                <w:color w:val="auto"/>
              </w:rPr>
            </w:pPr>
          </w:p>
        </w:tc>
      </w:tr>
      <w:tr>
        <w:trPr>
          <w:trHeight w:val="148"/>
        </w:trPr>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Effect of exchange rate changes on cash</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2"/>
        </w:trPr>
        <w:tc>
          <w:tcPr>
            <w:tcW w:w="56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increase (decrease) in cash and cash equivalents and restricted cash</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2,377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(4,685)</w:t>
            </w:r>
          </w:p>
        </w:tc>
        <w:tc>
          <w:tcPr>
            <w:tcW w:w="0" w:type="dxa"/>
            <w:vAlign w:val="bottom"/>
          </w:tcPr>
          <w:p>
            <w:pPr>
              <w:spacing w:after="0"/>
              <w:rPr>
                <w:sz w:val="1"/>
                <w:szCs w:val="1"/>
                <w:color w:val="auto"/>
              </w:rPr>
            </w:pPr>
          </w:p>
        </w:tc>
      </w:tr>
      <w:tr>
        <w:trPr>
          <w:trHeight w:val="148"/>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26,405</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and cash equivalents and restricted cash at end of period</w:t>
            </w: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28,782</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18,185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non-cash investing and financing activities: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120"/>
              <w:spacing w:after="0"/>
              <w:rPr>
                <w:sz w:val="20"/>
                <w:szCs w:val="20"/>
                <w:color w:val="auto"/>
              </w:rPr>
            </w:pPr>
            <w:r>
              <w:rPr>
                <w:rFonts w:ascii="Arial" w:cs="Arial" w:eastAsia="Arial" w:hAnsi="Arial"/>
                <w:sz w:val="13"/>
                <w:szCs w:val="13"/>
                <w:color w:val="auto"/>
              </w:rPr>
              <w:t>Property, plant and equipment acquired but not yet paid</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17,958</w:t>
            </w:r>
          </w:p>
        </w:tc>
        <w:tc>
          <w:tcPr>
            <w:tcW w:w="560" w:type="dxa"/>
            <w:vAlign w:val="bottom"/>
            <w:gridSpan w:val="2"/>
          </w:tcPr>
          <w:p>
            <w:pPr>
              <w:jc w:val="right"/>
              <w:ind w:right="229"/>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Issuance of common shares related to Public Warrant exercise</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tcPr>
          <w:p>
            <w:pPr>
              <w:ind w:left="120"/>
              <w:spacing w:after="0"/>
              <w:rPr>
                <w:sz w:val="20"/>
                <w:szCs w:val="20"/>
                <w:color w:val="auto"/>
              </w:rPr>
            </w:pPr>
            <w:r>
              <w:rPr>
                <w:rFonts w:ascii="Arial" w:cs="Arial" w:eastAsia="Arial" w:hAnsi="Arial"/>
                <w:sz w:val="13"/>
                <w:szCs w:val="13"/>
                <w:color w:val="auto"/>
              </w:rPr>
              <w:t>Issuance of common shares related to acquisitions</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Issuance of common shares related to conversion of Series A Preferred Shares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tcPr>
          <w:p>
            <w:pPr>
              <w:ind w:left="120"/>
              <w:spacing w:after="0"/>
              <w:rPr>
                <w:sz w:val="20"/>
                <w:szCs w:val="20"/>
                <w:color w:val="auto"/>
              </w:rPr>
            </w:pPr>
            <w:r>
              <w:rPr>
                <w:rFonts w:ascii="Arial" w:cs="Arial" w:eastAsia="Arial" w:hAnsi="Arial"/>
                <w:sz w:val="13"/>
                <w:szCs w:val="13"/>
                <w:color w:val="auto"/>
              </w:rPr>
              <w:t>Issuance of common shares related to purchase of non-controlling interest</w:t>
            </w: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Accretion of convertible preferred shares</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620" w:type="dxa"/>
            <w:vAlign w:val="bottom"/>
            <w:gridSpan w:val="2"/>
          </w:tcPr>
          <w:p>
            <w:pPr>
              <w:ind w:left="120"/>
              <w:spacing w:after="0"/>
              <w:rPr>
                <w:sz w:val="20"/>
                <w:szCs w:val="20"/>
                <w:color w:val="auto"/>
              </w:rPr>
            </w:pPr>
            <w:r>
              <w:rPr>
                <w:rFonts w:ascii="Arial" w:cs="Arial" w:eastAsia="Arial" w:hAnsi="Arial"/>
                <w:sz w:val="13"/>
                <w:szCs w:val="13"/>
                <w:color w:val="auto"/>
              </w:rPr>
              <w:t>Accumulating preferred dividends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13,882</w:t>
            </w:r>
          </w:p>
        </w:tc>
        <w:tc>
          <w:tcPr>
            <w:tcW w:w="0" w:type="dxa"/>
            <w:vAlign w:val="bottom"/>
          </w:tcPr>
          <w:p>
            <w:pPr>
              <w:spacing w:after="0"/>
              <w:rPr>
                <w:sz w:val="1"/>
                <w:szCs w:val="1"/>
                <w:color w:val="auto"/>
              </w:rPr>
            </w:pPr>
          </w:p>
        </w:tc>
      </w:tr>
      <w:tr>
        <w:trPr>
          <w:trHeight w:val="354"/>
        </w:trPr>
        <w:tc>
          <w:tcPr>
            <w:tcW w:w="5620" w:type="dxa"/>
            <w:vAlign w:val="bottom"/>
            <w:gridSpan w:val="2"/>
          </w:tcPr>
          <w:p>
            <w:pPr>
              <w:ind w:left="20"/>
              <w:spacing w:after="0"/>
              <w:rPr>
                <w:sz w:val="20"/>
                <w:szCs w:val="20"/>
                <w:color w:val="auto"/>
              </w:rPr>
            </w:pPr>
            <w:r>
              <w:rPr>
                <w:rFonts w:ascii="Arial" w:cs="Arial" w:eastAsia="Arial" w:hAnsi="Arial"/>
                <w:sz w:val="13"/>
                <w:szCs w:val="13"/>
                <w:color w:val="auto"/>
              </w:rPr>
              <w:t>The total cash and cash equivalents and restricted cash is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June 30, 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June 30, 2022</w:t>
            </w:r>
          </w:p>
        </w:tc>
      </w:tr>
      <w:tr>
        <w:trPr>
          <w:trHeight w:val="142"/>
        </w:trPr>
        <w:tc>
          <w:tcPr>
            <w:tcW w:w="59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and cash equivalents</w:t>
            </w:r>
          </w:p>
        </w:tc>
        <w:tc>
          <w:tcPr>
            <w:tcW w:w="3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25,245</w:t>
            </w:r>
          </w:p>
        </w:tc>
        <w:tc>
          <w:tcPr>
            <w:tcW w:w="3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14,343</w:t>
            </w:r>
          </w:p>
        </w:tc>
      </w:tr>
      <w:tr>
        <w:trPr>
          <w:trHeight w:val="148"/>
        </w:trPr>
        <w:tc>
          <w:tcPr>
            <w:tcW w:w="596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3,842</w:t>
            </w:r>
          </w:p>
        </w:tc>
      </w:tr>
      <w:tr>
        <w:trPr>
          <w:trHeight w:val="162"/>
        </w:trPr>
        <w:tc>
          <w:tcPr>
            <w:tcW w:w="5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w:t>
            </w:r>
          </w:p>
        </w:tc>
        <w:tc>
          <w:tcPr>
            <w:tcW w:w="3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28,782</w:t>
            </w:r>
          </w:p>
        </w:tc>
        <w:tc>
          <w:tcPr>
            <w:tcW w:w="3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18,185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ind w:left="4040" w:right="1259" w:hanging="214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61"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u w:val="single" w:color="auto"/>
          <w:color w:val="auto"/>
        </w:rPr>
        <w:t>Beverage Solutions:</w:t>
      </w:r>
      <w:r>
        <w:rPr>
          <w:rFonts w:ascii="Arial" w:cs="Arial" w:eastAsia="Arial" w:hAnsi="Arial"/>
          <w:sz w:val="17"/>
          <w:szCs w:val="17"/>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78"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8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Westrock (such merger, the “SPAC Merger”) and immediately following the consummation of the SPAC Merger, Riverview merged with and into Merger Sub II, with Merger Sub II surviving the merger as a direct wholly owned subsidiary of Westrock (the “LLC Merger”, and together with the SPAC Merger, the “Mergers”). See Note 4 for additional disclosures related to the Transaction.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9"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2022 was derived from the audited financial statements, but does not include all disclosures required by GAAP.</w:t>
      </w:r>
    </w:p>
    <w:p>
      <w:pPr>
        <w:spacing w:after="0" w:line="164"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Common Shares. Due to the Company’s controlling financial interest in Falcon prior to the purchase, the transaction was accounted for as an equity transaction. For periods prior to April 3, 2023, equity interests not owned by us are reflected as non-controlling interests. In the Condensed Consolidated Statements of Operations, we allocate net income (loss) attributable to non-controlling interest to arrive at net income (loss) attributable to common shareholders based on their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proportionate share. Falcon operates our trading business and is reported within our Sustainable Sourcing &amp; Traceability segment.</w:t>
      </w:r>
    </w:p>
    <w:p>
      <w:pPr>
        <w:spacing w:after="0" w:line="170"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2022 consolidated financial statements and notes thereto included in our Annual Report on Form 10-K filed with the U.S. Securities and Exchange Commission (“SEC”) on March 21, 2023.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Unit Conversion</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In connection with the Transaction and pursuant to the Transaction Agreement, (a) each issued and outstanding common unit of the Converting Company (“Common Units”) was automatically converted into 0.1049203474320 shares of common stock, par value $0.01 per share, of the Company (each such share, a “Common Share”), (b) each issued and outstanding common equivalent preferred unit of the Converting Company (the “Common Equivalent Preferred Units”) for which the holder had not elected to convert such unit into shares of Series A convertible preferred stock, par value $0.01 per share, of the Company (the “Series A Preferred Shares”), automatically converted into 0.1086138208640 Common Shares if such Common Equivalent Preferred Unit was designated a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Series A Preferred Shares, converted into 0.1086138208740 Series A Preferred Shares if such Common Equivalent Preferred Unit was designated a Series A Common Equivalent Preferred Unit or 0.0919280171940 Series A Preferred Shares if such Common Equivalent Preferred Unit was designated a Series B Common Equivalent Preferred Unit.</w:t>
      </w:r>
    </w:p>
    <w:p>
      <w:pPr>
        <w:spacing w:after="0" w:line="186"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For the periods prior to the Closing, the number of outstanding units, weighted average number of outstanding units, loss per common unit, equity-based compensation and other financial amounts previously expressed on the basis of Common Units have been retroactively adjusted on the basis of Common Shares reflecting the common unit conversion ratio, as described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Certain reclassifications of prior years’ amounts have been made to conform with the current period financial statements presentation. These reclassifications had no impact on prior years’ net income as previously reported.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w:t>
      </w:r>
      <w:r>
        <w:rPr>
          <w:rFonts w:ascii="Arial" w:cs="Arial" w:eastAsia="Arial" w:hAnsi="Arial"/>
          <w:sz w:val="16"/>
          <w:szCs w:val="16"/>
          <w:color w:val="auto"/>
        </w:rPr>
        <w:t xml:space="preserve"> </w:t>
      </w:r>
      <w:r>
        <w:rPr>
          <w:rFonts w:ascii="Arial" w:cs="Arial" w:eastAsia="Arial" w:hAnsi="Arial"/>
          <w:sz w:val="16"/>
          <w:szCs w:val="16"/>
          <w:i w:val="1"/>
          <w:iCs w:val="1"/>
          <w:color w:val="auto"/>
        </w:rPr>
        <w:t>to Continue as a Going Concern (Subtopic 205-40)</w:t>
      </w:r>
      <w:r>
        <w:rPr>
          <w:rFonts w:ascii="Arial" w:cs="Arial" w:eastAsia="Arial" w:hAnsi="Arial"/>
          <w:sz w:val="16"/>
          <w:szCs w:val="16"/>
          <w:color w:val="auto"/>
        </w:rPr>
        <w:t>, the Company has the responsibility to evaluate whether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and/or events raise substantial doubt about its ability to meet its obligations as they become due within one year after the date that the financial statements are available to be issued. The Company is dependent on borrowings under its Credit Agreement and cash generated from operations to finance its operations, service its debt requirements, maintain compliance with its covenants, and to fund capital requirements. On June 30, 2023, the Company amended its Credit Agreement (See Note 12) to provide for greater access to available borrowings and covenant relief, and in August 2023, the Company issued approximately 11.9 million Common Shares for aggregate gross proceeds of $118.8 million (See Note 22). The Company believes that proceeds from the equity issuance, projected cash flow from operations and available borrowings under its Credit Agreement will be sufficient to fund operations for at least the next twelve months. If we are unable to meet our financial targets and generate sufficient cash flows from operations, it may restrict our liquidity and capital resources and our ability to maintain compliance with our financial covenants. As management’s ability to amend its financial covenants cannot be assured, management has committed to raise additional capital, delay growth capital expenditures and/or reduce operating expenses, as necessary, in order to have adequate liquidity and to remain in compliance with its debt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in the allowance for credit losses for the periods indicated was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w w:val="98"/>
              </w:rPr>
              <w:t>Charged to selling, general and administrative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six months ended June 30, 2023, we recognized $1.1 million of net unrealized losses and $1.1 million of net unrealized gains, respectively, on green coffee inventory associated with our forward sales and purchase contracts. For the three and six months ended June 30, 2022, we recognized $1.7 million and $7.5 million of net unrealized losses, respectively, on green coffee inventory associated with our forward sales and purchase contracts.</w:t>
      </w: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 Finance Program</w:t>
      </w:r>
    </w:p>
    <w:p>
      <w:pPr>
        <w:spacing w:after="0" w:line="22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is party to a supplier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As of June 30, 2023, there were $29.0 million obligations outstanding under the Program. There were no such obligations outstanding as of December 31, 2022.</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2023</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beginning of the year</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Invoices confirmed during the year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29,026</w:t>
            </w:r>
          </w:p>
        </w:tc>
      </w:tr>
      <w:tr>
        <w:trPr>
          <w:trHeight w:val="21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year</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Confirmed obligations outstanding at the end of the quarter</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29,026</w:t>
            </w:r>
          </w:p>
        </w:tc>
      </w:tr>
      <w:tr>
        <w:trPr>
          <w:trHeight w:val="20"/>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remeasures the fair value of the Westrock Public Warrants (as defined in Note 4) based on the quoted market price of the Westrock Public Warrants. The Westrock Private Warrants (as defined in Note 4) are valued using a binomial lattice valuation model. For the three and six months ended June 30, 2023, the Company recognized $11.8 million and $6.3 million of losses, respectively, related to the change in fair value of warrant liabilities, which is recognized in other (income) expense in the Condensed Consolidated Statements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effective income tax rates for the six months ended June 30, 2023 and 2022 were (6.4%) and 22.7%, respectively. The Company’s effective tax rate for the current period differs from the federal statutory rate primarily due to an increase in the valuation allowance against domestic deferred tax assets and permanent differences, including nondeductible expenses related to a change in the fair value of warrants. The effective tax rate for the six months ended June 30, 2023 differs from the effective tax rate for the same period in 2022 primarily due to the increase in the valuation allowance and permanent differences, including nondeductible expenses related to a change in the fair value of warrants and executive compensation.</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were no changes to uncertain tax benefits during the six months ended June 30, 2023, and the Company does not expect any significant changes to uncertain tax benefits within the next twelve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i w:val="1"/>
          <w:iCs w:val="1"/>
          <w:color w:val="auto"/>
        </w:rPr>
        <w:t>Update ASU 2022-04 - Liabilities—Supplier Finance Programs (Subtopic 405-50): Disclosure of Supplier Finance Program Obligations</w:t>
      </w:r>
    </w:p>
    <w:p>
      <w:pPr>
        <w:spacing w:after="0" w:line="170"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Early adoption is permitted. The Company adopted the applicable amendments within ASU 2022-04 on a retrospective basis effective January 1, 2023. The amendments to ASU 2022-04 do not affect the recognition, measurement or financial statement presentation of obligations covered by supplier finance programs.</w:t>
      </w:r>
    </w:p>
    <w:p>
      <w:pPr>
        <w:spacing w:after="0" w:line="16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Update ASU 2021-08 – Business Combinations (Topic 805): Accounting for Contract Assets and Contract Liabilities from Contracts with Customers</w:t>
      </w:r>
    </w:p>
    <w:p>
      <w:pPr>
        <w:spacing w:after="0" w:line="62"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In October 2021, the FASB issued ASU 2021-08, which requires an entity to recognize and measure contract assets and contract liabilities acquired in a business combination in accordance with ASC 606, Revenue from Contracts with Customers, instead of at fair value on the acquisition date as previously required by ASC 805. The amendments improve comparability after the business combination by providing consistent recognition and measurement guidance for acquired revenue contracts and revenue contracts not acquired in a business combination. ASU 2021-08 was effective for years beginning after December 15, 2022. The adoption of ASU 2021-08 did not have a significant impact on the Company’s financial position or results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De-SPAC Merger Transaction</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On the Closing Date,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7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Substantially concurrently with the Closing, the Company received $205.9 million in cash proceeds (which amount excludes contribution to the Company of certain related party notes outstanding immediately prior to Closing) from common stock PIPE investments (the “PIPE Financing”), issued 20,590,000 Common Shares to the PIPE investors (which share amount excludes the conversion of the related party notes), and entered into a credit agreement that</w:t>
      </w:r>
    </w:p>
    <w:p>
      <w:pPr>
        <w:spacing w:after="0" w:line="38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includes (a) a senior secured first lien revolving credit facility in an initial aggregate principal amount of $175.0 million and (b) a senior secured first lien term loan facility in an initial aggregate principal amount of $175.0 million.</w:t>
      </w:r>
    </w:p>
    <w:p>
      <w:pPr>
        <w:spacing w:after="0" w:line="14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Prior to the Closing, the Company’s ownership interests consisted of two classes of equity, referred to as Common Units and Common Equivalent Preferred Units. At inception, each Common Equivalent Preferred Unit has a liquidation preference of $1.00 per unit, increased by an amount accruing at the rate of 10% per annum, compounding annually, based on its liquidation preference as of the time of such accrual, and reduced by the cumulative amount of any cash dividends or distributions, if any, made by the Company in respect of such Common Equivalent Preferred Unit (the “Common Equivalent Preferred Unit Liquidation Preference”). In connection with the Closing, holders of Common Equivalent Preferred Units were paid a cash dividend totaling $4.4 million, which is equal to the accreted liquidation preference of the Common Equivalent Preferred Units from June 30, 2022 through Closing.</w:t>
      </w:r>
    </w:p>
    <w:p>
      <w:pPr>
        <w:spacing w:after="0" w:line="178"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Pursuant to the Transaction Agreement, (a) each issued and outstanding Common Unit converted into 0.1049203474320 Common Shares, (b) each issued and outstanding Common Equivalent Preferred Unit for which the holder had not elected to convert such unit into shares of Series A convertible preferred stock of Westrock (the “Westrock Series A Preferred Shares”) (see Note 13), automatically converted into 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82"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 Preferred Units into Westrock Series A Preferred Shares.</w:t>
      </w:r>
    </w:p>
    <w:p>
      <w:pPr>
        <w:spacing w:after="0" w:line="187"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stockholders, Riverview provided an opportunity for its stockholders to redeem all or a portion of their outstanding Riverview Class A Shares.</w:t>
      </w:r>
    </w:p>
    <w:p>
      <w:pPr>
        <w:spacing w:after="0" w:line="167"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 xml:space="preserve">The Transaction is a capital transaction in substance and not a business combination under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(“ASC 805”). As a result, Westrock is treated as the accounting acquirer and Riverview is treated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company for financial reporting purposes per ASC 805. Accordingly, for accounting purposes, the Transaction is treated similar to an equity contribution in exchange for the issuance of Common Shares.</w:t>
      </w:r>
    </w:p>
    <w:p>
      <w:pPr>
        <w:spacing w:after="0" w:line="171"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 holders of the Company, prior to the Closing, have been retroactively adjusted as shares reflecting the common unit conversion ratio discussed above.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184"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Company and Riverview incurred $24.0 million and $17.1 million, respectively, of expenses related to the Transaction. These expenses consist of underwriting fees, professional services (legal, accounting, advisory, etc.) and other direct expenses associated with the Transaction. Costs incurred by Westrock were initially capitalized as incurred in the other assets on the Condensed Consolidated Balance Sheets. As a result of the transaction, $24.0 million of transaction costs incurred by the Company related to the issuance of shares were recognized in additional paid-in capital as a reduction of proceeds. The $17.1 million of expenses incurred by Riverview were either paid by Riverview prior to Closing or netted against proceeds received by the Company at Closing.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Warrants</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Condensed Consolidated Balance Sheet. The Westrock Warrants entitle the holder to purchase one share of Common Share at an exercise price of $11.50 per share.</w:t>
      </w:r>
    </w:p>
    <w:p>
      <w:pPr>
        <w:spacing w:after="0" w:line="177"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The Westrock Warrants may only be exercised for a whole number of shares, and will expire on August 26, 2027 (i.e., five years following the Closing), or earlier upon redemption or liquidations.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spacing w:after="0" w:line="166"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If and when the Public Warrants become redeemable by Westrock, Westrock may exercise its redemption right even if Westrock is unable to register or qualify the underlying securities for sale under all applicable state securities laws.</w:t>
      </w:r>
    </w:p>
    <w:p>
      <w:pPr>
        <w:spacing w:after="0" w:line="124"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The Westrock Private Warrants, which became transferable, assignable and salable on September 26, 2022 (i.e., 30 days after the Closing), are currently held by the Riverview Sponsor, and are generally identical to the Westrock Public Warrants, except they cannot be redeemable by Westrock so long as they are held by the Riverview Sponsor or its permitted transferees. The Riverview Sponsor, or its permitted transferees, have the option to exercise the Westrock Private Warrants on a cashless basis. If the Westrock Private Warrants are held by holders other than the Riverview Sponsor or its permitted transferees, the Westrock Private Warrants will become redeemable by Westrock and exercisable by the holders on the same basis as the Westrock Public Warrants.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Contracts with Customers (ASC 606)</w:t>
      </w:r>
    </w:p>
    <w:p>
      <w:pPr>
        <w:spacing w:after="0" w:line="225"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36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99"/>
        <w:spacing w:after="0" w:line="255" w:lineRule="auto"/>
        <w:rPr>
          <w:sz w:val="20"/>
          <w:szCs w:val="20"/>
          <w:color w:val="auto"/>
        </w:rPr>
      </w:pPr>
      <w:r>
        <w:rPr>
          <w:rFonts w:ascii="Arial" w:cs="Arial" w:eastAsia="Arial" w:hAnsi="Arial"/>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92"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64"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June 30, 2023, the Company has $9.4 million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Forward Contracts (ASC 815)</w:t>
      </w:r>
    </w:p>
    <w:p>
      <w:pPr>
        <w:spacing w:after="0" w:line="225"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61"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six months ended June 30, 2023, we recorded $2.1 million and $1.1 million of net unrealized gains, respectively, within costs of sales. For the three and six months ended June 30, 2022, we recorded $0.3 million and $7.2 million of net unrealized gains, respectively, within costs of sales.</w:t>
      </w:r>
    </w:p>
    <w:p>
      <w:pPr>
        <w:spacing w:after="0" w:line="17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For the three and six months ended June 30, 2023, the Company recognized $34.7 million and $59.1 million in revenues under ASC 815, respectively, and for the three and six months ended June 30, 2022, the Company recognized $52.4 million and $90.5 million in revenues under ASC 815, respectively, which are reported within the Company’s Sustainable Sourcing &amp; Traceability segment.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Estimates</w:t>
      </w:r>
    </w:p>
    <w:p>
      <w:pPr>
        <w:spacing w:after="0" w:line="22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$1.4 million and $1.3 million at June 30, 2023 and December 31, 2022, respectively.</w:t>
      </w:r>
    </w:p>
    <w:p>
      <w:pPr>
        <w:spacing w:after="0" w:line="3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Contract balances relate primarily to advances received from the Company’s customers before revenue is recognized. The Company does not have any material contract liabilities as of June 30, 2023 or December 31, 2022. Receivables from contracts with customers are included in accounts receivable, net on the Company’s Condensed Consolidated Balance Sheets. At June 30, 2023 and December 31, 2022, accounts receivable, net included $103.5 million and $104.7 million in receivables from contracts with customers, respectively.</w:t>
      </w:r>
    </w:p>
    <w:p>
      <w:pPr>
        <w:spacing w:after="0" w:line="17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Contract acquisition costs for obtaining contracts that are deemed recoverable are capitalized as contract costs. Such costs result from the payment of sales incentives and are amortized over the contract life. As of June 30, 2023 and December 31, 2022, no costs were capitalized as all arrangements were less than a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84"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Further disaggregation of revenues from sales to external customers by type and geographic area, based on customer location, for the periods indicated is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Coffee &amp; tea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291,753</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262,296</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Flavors, extracts &amp; ingredients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44,396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29,397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55,063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Green coffee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34,975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52,548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90,615</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224,694</w:t>
            </w:r>
          </w:p>
        </w:tc>
        <w:tc>
          <w:tcPr>
            <w:tcW w:w="3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223,413</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430,136</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960" w:type="dxa"/>
            <w:vAlign w:val="bottom"/>
            <w:tcBorders>
              <w:top w:val="single" w:sz="8" w:color="auto"/>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193,106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378,667</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334,541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51,469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75,300</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224,694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430,136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Bixby Roasting Co.</w:t>
      </w:r>
    </w:p>
    <w:p>
      <w:pPr>
        <w:spacing w:after="0" w:line="225" w:lineRule="exact"/>
        <w:rPr>
          <w:sz w:val="20"/>
          <w:szCs w:val="20"/>
          <w:color w:val="auto"/>
        </w:rPr>
      </w:pPr>
    </w:p>
    <w:p>
      <w:pPr>
        <w:ind w:left="60" w:right="299"/>
        <w:spacing w:after="0" w:line="288" w:lineRule="auto"/>
        <w:rPr>
          <w:sz w:val="20"/>
          <w:szCs w:val="20"/>
          <w:color w:val="auto"/>
        </w:rPr>
      </w:pPr>
      <w:r>
        <w:rPr>
          <w:rFonts w:ascii="Arial" w:cs="Arial" w:eastAsia="Arial" w:hAnsi="Arial"/>
          <w:sz w:val="16"/>
          <w:szCs w:val="16"/>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w:t>
      </w:r>
    </w:p>
    <w:p>
      <w:pPr>
        <w:spacing w:after="0" w:line="38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Kohana Coffee, LLC</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On 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ready-to-drink focused business, based in Richmond, California, serving customers in the retail and CPG industries. The acquisition allows the Company to accelerate the development, production, and distribution of ready-to-drink products in cans and bottles. Aggregate consideration paid for Kohana Coffee included 1,852,608 Common Shares and approximately $15.7 million in cash, subject to customary adjustments.</w:t>
      </w:r>
    </w:p>
    <w:p>
      <w:pPr>
        <w:spacing w:after="0" w:line="17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fair value of the stock consideration was based on the closing price of the Company’s common stock on the date of acquisition. The total consideration paid in the Kohana Acquisition is summarized below:</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stock consideration</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23,435</w:t>
            </w: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39,117</w:t>
            </w:r>
          </w:p>
        </w:tc>
      </w:tr>
      <w:tr>
        <w:trPr>
          <w:trHeight w:val="20"/>
        </w:trPr>
        <w:tc>
          <w:tcPr>
            <w:tcW w:w="73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3"/>
          </w:tcPr>
          <w:p>
            <w:pPr>
              <w:ind w:left="20"/>
              <w:spacing w:after="0"/>
              <w:rPr>
                <w:sz w:val="20"/>
                <w:szCs w:val="20"/>
                <w:color w:val="auto"/>
              </w:rPr>
            </w:pPr>
            <w:r>
              <w:rPr>
                <w:rFonts w:ascii="Arial" w:cs="Arial" w:eastAsia="Arial" w:hAnsi="Arial"/>
                <w:sz w:val="18"/>
                <w:szCs w:val="18"/>
                <w:color w:val="auto"/>
                <w:w w:val="91"/>
              </w:rPr>
              <w:t>The assets and liabilities acquired in the Kohana Acquisition are recorded at their estimated fair values.</w:t>
            </w:r>
          </w:p>
        </w:tc>
        <w:tc>
          <w:tcPr>
            <w:tcW w:w="1380" w:type="dxa"/>
            <w:vAlign w:val="bottom"/>
          </w:tcPr>
          <w:p>
            <w:pPr>
              <w:spacing w:after="0"/>
              <w:rPr>
                <w:sz w:val="24"/>
                <w:szCs w:val="24"/>
                <w:color w:val="auto"/>
              </w:rPr>
            </w:pPr>
          </w:p>
        </w:tc>
      </w:tr>
      <w:tr>
        <w:trPr>
          <w:trHeight w:val="378"/>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Acquired Value</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8,387</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11,718</w:t>
            </w:r>
          </w:p>
        </w:tc>
      </w:tr>
      <w:tr>
        <w:trPr>
          <w:trHeight w:val="21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39,117</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above purchase price allocation was finalized during the second quarter of 2023. During the first six months of 2023, we recorded approximately $0.3 million of measurement period adjustments, primarily related to the settlement of post-closing working capital adjustments.</w:t>
      </w:r>
    </w:p>
    <w:p>
      <w:pPr>
        <w:spacing w:after="0" w:line="184"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The cost of the acquisition in excess of the fair market value of the tangible and intangible assets acquired less liabilities assumed represents acquired goodwill, which is deductible for tax purposes. The goodwill arising from the transaction is primarily attributable to strategic opportunities from the acquisition of Kohana, including our ability to accelerate the development, production, and distribution of ready-to-drink products in cans and bottles to our existing customers.</w:t>
      </w:r>
    </w:p>
    <w:p>
      <w:pPr>
        <w:spacing w:after="0" w:line="37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inventories as of June 30, 2023 and December 31, 2022:</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June 30, 2023</w:t>
            </w:r>
          </w:p>
        </w:tc>
        <w:tc>
          <w:tcPr>
            <w:tcW w:w="20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70,315</w:t>
            </w:r>
          </w:p>
        </w:tc>
        <w:tc>
          <w:tcPr>
            <w:tcW w:w="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66,925</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32,756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21,232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 coffee</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57,679</w:t>
            </w: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154,682</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145,836</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Green coffee inventories represent green coffee held for resale. At June 30, 2023 and December 31, 2022, all green coffee held for resale was included within our Sustainable Sourcing &amp; Traceability segment.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property, plant and equipment, net as of June 30, 2023 and December 31, 2022:</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7"/>
                <w:szCs w:val="17"/>
                <w:color w:val="auto"/>
              </w:rPr>
            </w:pPr>
          </w:p>
        </w:tc>
        <w:tc>
          <w:tcPr>
            <w:tcW w:w="1560" w:type="dxa"/>
            <w:vAlign w:val="bottom"/>
            <w:gridSpan w:val="3"/>
          </w:tcPr>
          <w:p>
            <w:pPr>
              <w:jc w:val="center"/>
              <w:ind w:right="247"/>
              <w:spacing w:after="0"/>
              <w:rPr>
                <w:sz w:val="20"/>
                <w:szCs w:val="20"/>
                <w:color w:val="auto"/>
              </w:rPr>
            </w:pPr>
            <w:r>
              <w:rPr>
                <w:rFonts w:ascii="Arial" w:cs="Arial" w:eastAsia="Arial" w:hAnsi="Arial"/>
                <w:sz w:val="14"/>
                <w:szCs w:val="14"/>
                <w:b w:val="1"/>
                <w:bCs w:val="1"/>
                <w:color w:val="auto"/>
                <w:w w:val="90"/>
              </w:rPr>
              <w:t>Depreciable Lives</w:t>
            </w: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June 30, 2023</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209"/>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r>
      <w:tr>
        <w:trPr>
          <w:trHeight w:val="216"/>
        </w:trPr>
        <w:tc>
          <w:tcPr>
            <w:tcW w:w="4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Buildings</w:t>
            </w:r>
            <w:r>
              <w:rPr>
                <w:rFonts w:ascii="Arial" w:cs="Arial" w:eastAsia="Arial" w:hAnsi="Arial"/>
                <w:sz w:val="25"/>
                <w:szCs w:val="25"/>
                <w:color w:val="auto"/>
                <w:vertAlign w:val="superscript"/>
              </w:rPr>
              <w:t>(4)</w:t>
            </w:r>
          </w:p>
        </w:tc>
        <w:tc>
          <w:tcPr>
            <w:tcW w:w="160" w:type="dxa"/>
            <w:vAlign w:val="bottom"/>
          </w:tcPr>
          <w:p>
            <w:pPr>
              <w:spacing w:after="0"/>
              <w:rPr>
                <w:sz w:val="18"/>
                <w:szCs w:val="18"/>
                <w:color w:val="auto"/>
              </w:rPr>
            </w:pPr>
          </w:p>
        </w:tc>
        <w:tc>
          <w:tcPr>
            <w:tcW w:w="1560" w:type="dxa"/>
            <w:vAlign w:val="bottom"/>
            <w:gridSpan w:val="3"/>
          </w:tcPr>
          <w:p>
            <w:pPr>
              <w:jc w:val="center"/>
              <w:ind w:right="247"/>
              <w:spacing w:after="0"/>
              <w:rPr>
                <w:sz w:val="20"/>
                <w:szCs w:val="20"/>
                <w:color w:val="auto"/>
              </w:rPr>
            </w:pPr>
            <w:r>
              <w:rPr>
                <w:rFonts w:ascii="Arial" w:cs="Arial" w:eastAsia="Arial" w:hAnsi="Arial"/>
                <w:sz w:val="18"/>
                <w:szCs w:val="18"/>
                <w:color w:val="auto"/>
                <w:w w:val="88"/>
              </w:rPr>
              <w:t>10-40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35,370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35,499</w:t>
            </w:r>
          </w:p>
        </w:tc>
      </w:tr>
      <w:tr>
        <w:trPr>
          <w:trHeight w:val="216"/>
        </w:trPr>
        <w:tc>
          <w:tcPr>
            <w:tcW w:w="4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16"/>
        </w:trPr>
        <w:tc>
          <w:tcPr>
            <w:tcW w:w="4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Plant equipment</w:t>
            </w:r>
            <w:r>
              <w:rPr>
                <w:rFonts w:ascii="Arial" w:cs="Arial" w:eastAsia="Arial" w:hAnsi="Arial"/>
                <w:sz w:val="25"/>
                <w:szCs w:val="25"/>
                <w:color w:val="auto"/>
                <w:vertAlign w:val="superscript"/>
              </w:rPr>
              <w:t>(4)</w:t>
            </w:r>
          </w:p>
        </w:tc>
        <w:tc>
          <w:tcPr>
            <w:tcW w:w="160" w:type="dxa"/>
            <w:vAlign w:val="bottom"/>
          </w:tcPr>
          <w:p>
            <w:pPr>
              <w:spacing w:after="0"/>
              <w:rPr>
                <w:sz w:val="18"/>
                <w:szCs w:val="18"/>
                <w:color w:val="auto"/>
              </w:rPr>
            </w:pPr>
          </w:p>
        </w:tc>
        <w:tc>
          <w:tcPr>
            <w:tcW w:w="1560" w:type="dxa"/>
            <w:vAlign w:val="bottom"/>
            <w:gridSpan w:val="3"/>
          </w:tcPr>
          <w:p>
            <w:pPr>
              <w:jc w:val="center"/>
              <w:ind w:right="247"/>
              <w:spacing w:after="0"/>
              <w:rPr>
                <w:sz w:val="20"/>
                <w:szCs w:val="20"/>
                <w:color w:val="auto"/>
              </w:rPr>
            </w:pPr>
            <w:r>
              <w:rPr>
                <w:rFonts w:ascii="Arial" w:cs="Arial" w:eastAsia="Arial" w:hAnsi="Arial"/>
                <w:sz w:val="18"/>
                <w:szCs w:val="18"/>
                <w:color w:val="auto"/>
                <w:w w:val="89"/>
              </w:rPr>
              <w:t>3-15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110,599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107,215</w:t>
            </w: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Vehicles and transportation equipment</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227"/>
              <w:spacing w:after="0"/>
              <w:rPr>
                <w:sz w:val="20"/>
                <w:szCs w:val="20"/>
                <w:color w:val="auto"/>
              </w:rPr>
            </w:pPr>
            <w:r>
              <w:rPr>
                <w:rFonts w:ascii="Arial" w:cs="Arial" w:eastAsia="Arial" w:hAnsi="Arial"/>
                <w:sz w:val="18"/>
                <w:szCs w:val="18"/>
                <w:color w:val="auto"/>
                <w:w w:val="87"/>
              </w:rPr>
              <w:t>3-5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IT systems</w:t>
            </w:r>
          </w:p>
        </w:tc>
        <w:tc>
          <w:tcPr>
            <w:tcW w:w="160" w:type="dxa"/>
            <w:vAlign w:val="bottom"/>
          </w:tcPr>
          <w:p>
            <w:pPr>
              <w:spacing w:after="0"/>
              <w:rPr>
                <w:sz w:val="18"/>
                <w:szCs w:val="18"/>
                <w:color w:val="auto"/>
              </w:rPr>
            </w:pPr>
          </w:p>
        </w:tc>
        <w:tc>
          <w:tcPr>
            <w:tcW w:w="1560" w:type="dxa"/>
            <w:vAlign w:val="bottom"/>
            <w:gridSpan w:val="3"/>
          </w:tcPr>
          <w:p>
            <w:pPr>
              <w:jc w:val="center"/>
              <w:ind w:right="227"/>
              <w:spacing w:after="0"/>
              <w:rPr>
                <w:sz w:val="20"/>
                <w:szCs w:val="20"/>
                <w:color w:val="auto"/>
              </w:rPr>
            </w:pPr>
            <w:r>
              <w:rPr>
                <w:rFonts w:ascii="Arial" w:cs="Arial" w:eastAsia="Arial" w:hAnsi="Arial"/>
                <w:sz w:val="18"/>
                <w:szCs w:val="18"/>
                <w:color w:val="auto"/>
                <w:w w:val="87"/>
              </w:rPr>
              <w:t>3-7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6,834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16"/>
        </w:trPr>
        <w:tc>
          <w:tcPr>
            <w:tcW w:w="4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Furniture and fixtures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247"/>
              <w:spacing w:after="0"/>
              <w:rPr>
                <w:sz w:val="20"/>
                <w:szCs w:val="20"/>
                <w:color w:val="auto"/>
              </w:rPr>
            </w:pPr>
            <w:r>
              <w:rPr>
                <w:rFonts w:ascii="Arial" w:cs="Arial" w:eastAsia="Arial" w:hAnsi="Arial"/>
                <w:sz w:val="18"/>
                <w:szCs w:val="18"/>
                <w:color w:val="auto"/>
                <w:w w:val="89"/>
              </w:rPr>
              <w:t>3-10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r>
      <w:tr>
        <w:trPr>
          <w:trHeight w:val="216"/>
        </w:trPr>
        <w:tc>
          <w:tcPr>
            <w:tcW w:w="4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Customer beverage equipment</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560" w:type="dxa"/>
            <w:vAlign w:val="bottom"/>
            <w:gridSpan w:val="3"/>
          </w:tcPr>
          <w:p>
            <w:pPr>
              <w:jc w:val="center"/>
              <w:ind w:right="227"/>
              <w:spacing w:after="0"/>
              <w:rPr>
                <w:sz w:val="20"/>
                <w:szCs w:val="20"/>
                <w:color w:val="auto"/>
              </w:rPr>
            </w:pPr>
            <w:r>
              <w:rPr>
                <w:rFonts w:ascii="Arial" w:cs="Arial" w:eastAsia="Arial" w:hAnsi="Arial"/>
                <w:sz w:val="18"/>
                <w:szCs w:val="18"/>
                <w:color w:val="auto"/>
                <w:w w:val="87"/>
              </w:rPr>
              <w:t>3-5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22,674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21,930</w:t>
            </w:r>
          </w:p>
        </w:tc>
      </w:tr>
      <w:tr>
        <w:trPr>
          <w:trHeight w:val="230"/>
        </w:trPr>
        <w:tc>
          <w:tcPr>
            <w:tcW w:w="4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Lease right-of-use assets</w:t>
            </w:r>
            <w:r>
              <w:rPr>
                <w:rFonts w:ascii="Arial" w:cs="Arial" w:eastAsia="Arial" w:hAnsi="Arial"/>
                <w:sz w:val="26"/>
                <w:szCs w:val="26"/>
                <w:color w:val="auto"/>
                <w:vertAlign w:val="superscript"/>
              </w:rPr>
              <w:t>(3)</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6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7"/>
                <w:szCs w:val="17"/>
                <w:color w:val="auto"/>
              </w:rPr>
              <w:t>Construction in progress and equipment deposits</w:t>
            </w:r>
            <w:r>
              <w:rPr>
                <w:rFonts w:ascii="Arial" w:cs="Arial" w:eastAsia="Arial" w:hAnsi="Arial"/>
                <w:sz w:val="25"/>
                <w:szCs w:val="25"/>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70,004</w:t>
            </w:r>
          </w:p>
        </w:tc>
      </w:tr>
      <w:tr>
        <w:trPr>
          <w:trHeight w:val="210"/>
        </w:trPr>
        <w:tc>
          <w:tcPr>
            <w:tcW w:w="22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252,208</w:t>
            </w:r>
          </w:p>
        </w:tc>
      </w:tr>
      <w:tr>
        <w:trPr>
          <w:trHeight w:val="216"/>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(73,684)</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(67,002)</w:t>
            </w:r>
          </w:p>
        </w:tc>
      </w:tr>
      <w:tr>
        <w:trPr>
          <w:trHeight w:val="21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240,349</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185,206</w:t>
            </w: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Leasehold improvements are amortized over the shorter of their estimated useful lives or the related lease life.</w:t>
      </w:r>
    </w:p>
    <w:p>
      <w:pPr>
        <w:ind w:left="60"/>
        <w:spacing w:after="0" w:line="221" w:lineRule="auto"/>
        <w:rPr>
          <w:sz w:val="20"/>
          <w:szCs w:val="20"/>
          <w:color w:val="auto"/>
        </w:rPr>
      </w:pPr>
      <w:r>
        <w:rPr>
          <w:rFonts w:ascii="Arial" w:cs="Arial" w:eastAsia="Arial" w:hAnsi="Arial"/>
          <w:sz w:val="14"/>
          <w:szCs w:val="14"/>
          <w:color w:val="auto"/>
        </w:rPr>
        <w:t>2 - Customer beverage equipment consists of brewers held on site at customer locations.</w:t>
      </w:r>
    </w:p>
    <w:p>
      <w:pPr>
        <w:ind w:left="60"/>
        <w:spacing w:after="0" w:line="221" w:lineRule="auto"/>
        <w:rPr>
          <w:sz w:val="20"/>
          <w:szCs w:val="20"/>
          <w:color w:val="auto"/>
        </w:rPr>
      </w:pPr>
      <w:r>
        <w:rPr>
          <w:rFonts w:ascii="Arial" w:cs="Arial" w:eastAsia="Arial" w:hAnsi="Arial"/>
          <w:sz w:val="14"/>
          <w:szCs w:val="14"/>
          <w:color w:val="auto"/>
        </w:rPr>
        <w:t>3 - Lease right-of-use assets are amortized over the shorter of the useful life of the asset or the lease term.</w:t>
      </w:r>
    </w:p>
    <w:p>
      <w:pPr>
        <w:spacing w:after="0" w:line="1" w:lineRule="exact"/>
        <w:rPr>
          <w:sz w:val="20"/>
          <w:szCs w:val="20"/>
          <w:color w:val="auto"/>
        </w:rPr>
      </w:pPr>
    </w:p>
    <w:p>
      <w:pPr>
        <w:ind w:left="60" w:right="279"/>
        <w:spacing w:after="0" w:line="237" w:lineRule="auto"/>
        <w:rPr>
          <w:sz w:val="20"/>
          <w:szCs w:val="20"/>
          <w:color w:val="auto"/>
        </w:rPr>
      </w:pPr>
      <w:r>
        <w:rPr>
          <w:rFonts w:ascii="Arial" w:cs="Arial" w:eastAsia="Arial" w:hAnsi="Arial"/>
          <w:sz w:val="14"/>
          <w:szCs w:val="14"/>
          <w:color w:val="auto"/>
        </w:rPr>
        <w:t>4 - We identified a $10.1 million classification error in the disclosure of buildings, plant equipment, furniture and fixtures, and construction in progress and equipment deposits for the year ended December 31, 2022. Amounts presented above reflect the corrected amounts.</w:t>
      </w:r>
    </w:p>
    <w:p>
      <w:pPr>
        <w:spacing w:after="0" w:line="120"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Depreciation expense for the three and six months ended June 30, 2023 was $4.1 million and $8.0 million, respectively, and depreciation expense for the three and six months ended June 30, 2022 was $4.3 million and $8.5 million, respectively. Assets classified as construction in progress and equipment deposits are not depreciated, as they are not ready for production use. All assets classified as construction in progress and equipment deposits at June 30, 2023 are expected to be in production use.</w:t>
      </w: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carrying amount of goodwill as of June 30, 2023 and December 31, 2022:</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Beverage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61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190,882</w:t>
            </w:r>
          </w:p>
        </w:tc>
        <w:tc>
          <w:tcPr>
            <w:tcW w:w="8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190,882</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(76,883)</w:t>
            </w: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113,999</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Changes during the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period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193,236</w:t>
            </w:r>
          </w:p>
        </w:tc>
      </w:tr>
      <w:tr>
        <w:trPr>
          <w:trHeight w:val="216"/>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impairment loss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(76,883)</w:t>
            </w:r>
          </w:p>
        </w:tc>
      </w:tr>
      <w:tr>
        <w:trPr>
          <w:trHeight w:val="210"/>
        </w:trPr>
        <w:tc>
          <w:tcPr>
            <w:tcW w:w="6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116,353</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116,353</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Note 10. Intangible Assets, Net</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intangible assets, net as of June 30, 2023 and December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33"/>
        </w:trPr>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1"/>
        </w:trPr>
        <w:tc>
          <w:tcPr>
            <w:tcW w:w="590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Net</w:t>
            </w:r>
          </w:p>
        </w:tc>
      </w:tr>
      <w:tr>
        <w:trPr>
          <w:trHeight w:val="20"/>
        </w:trPr>
        <w:tc>
          <w:tcPr>
            <w:tcW w:w="5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148,648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(22,634)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126,014</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Favorable lease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0"/>
        </w:trPr>
        <w:tc>
          <w:tcPr>
            <w:tcW w:w="59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150,444</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(23,422)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127,022</w:t>
            </w: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33"/>
        </w:trPr>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1"/>
        </w:trPr>
        <w:tc>
          <w:tcPr>
            <w:tcW w:w="590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Net</w:t>
            </w:r>
          </w:p>
        </w:tc>
      </w:tr>
      <w:tr>
        <w:trPr>
          <w:trHeight w:val="20"/>
        </w:trPr>
        <w:tc>
          <w:tcPr>
            <w:tcW w:w="5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148,648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(18,778)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129,870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Favorable lease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150,277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(19,391)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130,886</w:t>
            </w: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Amortization expense of intangible assets was $2.0 million and $4.0 million for the three and six months ended June 30, 2023, respectively, and amortization expense of intangible assets was $1.7 million and $3.4 million for the three and six months ended June 30, 2022, respectively. As of June 30, 2023, the weighted average useful life for definite-lived intangibles is approximately 20 years.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We have operating leases for manufacturing and production facilities, distribution and warehousing facilities, vehicles and machinery and equipment. Some of our lease agreements have renewal options, tenant improvement allowances, rent holidays and rent escalation clauses. The remaining terms on our leases range from 1 year to 7 years, some of which may include options to extend the leases and some of which may include options to terminate the leases within 1 year.</w:t>
      </w:r>
    </w:p>
    <w:p>
      <w:pPr>
        <w:spacing w:after="0" w:line="15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summarizes the amount of right-of-use lease assets and lease liabilities included in each respective line item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14"/>
                <w:szCs w:val="14"/>
                <w:color w:val="auto"/>
              </w:rPr>
            </w:pPr>
          </w:p>
        </w:tc>
        <w:tc>
          <w:tcPr>
            <w:tcW w:w="23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 2023   December 31, 2022</w:t>
            </w: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Right-of-use operating lease assets</w:t>
            </w:r>
          </w:p>
        </w:tc>
        <w:tc>
          <w:tcPr>
            <w:tcW w:w="120" w:type="dxa"/>
            <w:vAlign w:val="bottom"/>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Operating lease right-of-use assets</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1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1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Accrued expenses and other 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Operating lease liabilities - noncurrent</w:t>
            </w: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long-term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r>
    </w:tbl>
    <w:p>
      <w:pPr>
        <w:spacing w:after="0" w:line="202"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Depending on the nature of the lease, lease costs are classified within costs of sales or selling, general and administrative expense on the Company’s Condensed Consolidated Statements of Operations. The components of lease costs for the three and six months ended June 30, 2023 and 2022, respectively, are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r>
      <w:tr>
        <w:trPr>
          <w:trHeight w:val="21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49"/>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The following table presents information about the Company’s weighted average discount rate and remaining lease term as of June 30, 2023 and June 30, 2022:</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 years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 years</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cash flow information about the Company’s leases as of June 30, 2023 and 2022, respectively, is as follows: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bl>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During the six months ended June 30, 2023, the Company obtained $6.0 million of right-of-use operating lease assets in exchange for lease obligations.</w:t>
      </w:r>
    </w:p>
    <w:p>
      <w:pPr>
        <w:spacing w:after="0" w:line="170"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June 30,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non-cancellable operating leases as of June 30, 2023 are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8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4,382</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r>
      <w:tr>
        <w:trPr>
          <w:trHeight w:val="210"/>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r>
      <w:tr>
        <w:trPr>
          <w:trHeight w:val="209"/>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2"/>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47"/>
        </w:trPr>
        <w:tc>
          <w:tcPr>
            <w:tcW w:w="6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long-term debt at June 30, 2023 and December 31, 2022 is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June 30, 2023</w:t>
            </w:r>
          </w:p>
        </w:tc>
        <w:tc>
          <w:tcPr>
            <w:tcW w:w="18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34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168,438</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42,905</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International notes payable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loans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296,003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219,680</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costs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(11,504)</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(42,905)</w:t>
            </w: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237,769</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162,502</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August 29, 2022, we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85"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Credit Agreement contains two financial covenants requiring the maintenance of a total net leverage ratio and an interest coverage ratio (the “Financial Covenants”). Commitment fees on the daily unused amount of commitments under the Revolving Credit Facility range from 0.20% to 0.35% depending on the total net leverage ratio. At June 30, 2023, we had $80.0 million of outstanding borrowings under the Revolving Credit Facility, with a weighted average interest rate of 7.3%, and the interest rate applicable to our Term Loan Facility was 7.4%, and we had $2.6 million of standby letters of credit outstanding.</w:t>
      </w:r>
    </w:p>
    <w:p>
      <w:pPr>
        <w:spacing w:after="0" w:line="111"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On February 14, 2023, we entered into an Incremental Assumption Agreement and Amendment No. 1 (the “Amendment”) to the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8" w:lineRule="exact"/>
        <w:rPr>
          <w:sz w:val="20"/>
          <w:szCs w:val="20"/>
          <w:color w:val="auto"/>
        </w:rPr>
      </w:pPr>
    </w:p>
    <w:p>
      <w:pPr>
        <w:jc w:val="both"/>
        <w:ind w:left="60" w:right="199"/>
        <w:spacing w:after="0" w:line="296" w:lineRule="auto"/>
        <w:rPr>
          <w:sz w:val="20"/>
          <w:szCs w:val="20"/>
          <w:color w:val="auto"/>
        </w:rPr>
      </w:pPr>
      <w:r>
        <w:rPr>
          <w:rFonts w:ascii="Arial" w:cs="Arial" w:eastAsia="Arial" w:hAnsi="Arial"/>
          <w:sz w:val="16"/>
          <w:szCs w:val="16"/>
          <w:color w:val="auto"/>
        </w:rPr>
        <w:t>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spacing w:after="0" w:line="37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3.75x and (c) attaching projections demonstrating compliance with the total net leverage ratio financial covenant (as in effect prior to giving effect to the Covenant Relief Period) until the then-existing latest maturity date.</w:t>
      </w:r>
    </w:p>
    <w:p>
      <w:pPr>
        <w:spacing w:after="0" w:line="195"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During the Covenant Relief Period, (i) the total net leverage ratio financial covenant will be (a) 5.00x for the test period ending June 30, 2023, (b) 5.25x for the test period ending September 30, 2023, (c) 5.50x for the test periods ending on or after December 31, 2023 to and including September 30, 2024, (d) 5.00x for the test period ending December 31, 2024 and</w:t>
      </w:r>
    </w:p>
    <w:p>
      <w:pPr>
        <w:spacing w:after="0" w:line="2" w:lineRule="exact"/>
        <w:rPr>
          <w:sz w:val="20"/>
          <w:szCs w:val="20"/>
          <w:color w:val="auto"/>
        </w:rPr>
      </w:pPr>
    </w:p>
    <w:p>
      <w:pPr>
        <w:ind w:left="60" w:right="99" w:hanging="10"/>
        <w:spacing w:after="0" w:line="252"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4.50x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2.00x. As of June 30, 2023, we were in compliance with the Financial Covenants.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(1.25% of the original principal balance). Quarterly payments increase to approximately $3.3 million and $4.4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(1.875% and 2.5% of the original principal balance) during the fourth and fifth years, respectively.</w:t>
      </w:r>
    </w:p>
    <w:p>
      <w:pPr>
        <w:spacing w:after="0" w:line="211" w:lineRule="exact"/>
        <w:rPr>
          <w:sz w:val="20"/>
          <w:szCs w:val="20"/>
          <w:color w:val="auto"/>
        </w:rPr>
      </w:pPr>
    </w:p>
    <w:p>
      <w:pPr>
        <w:ind w:left="60" w:right="399"/>
        <w:spacing w:after="0" w:line="296" w:lineRule="auto"/>
        <w:rPr>
          <w:sz w:val="20"/>
          <w:szCs w:val="20"/>
          <w:color w:val="auto"/>
        </w:rPr>
      </w:pPr>
      <w:r>
        <w:rPr>
          <w:rFonts w:ascii="Arial" w:cs="Arial" w:eastAsia="Arial" w:hAnsi="Arial"/>
          <w:sz w:val="16"/>
          <w:szCs w:val="16"/>
          <w:color w:val="auto"/>
        </w:rPr>
        <w:t>We incurred a total of $6.6 million of financing fees in connection with the Credit Agreement and related amendments. $3.3 million of the fees were allocated to the Term Loan Facility and are being amortized utilizing the frozen effective yield method based on the interest rate in place at the issuance of the Term Loan Facility. $3.3 million of the fees were allocated to the Revolving Credit Facility, are reported within other long-term assets on the Condensed Consolidated Balance Sheets and are being amortized ratably over the term of the Revolving Credit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International Debt and Lending Facilities</w:t>
      </w:r>
    </w:p>
    <w:p>
      <w:pPr>
        <w:spacing w:after="0" w:line="225" w:lineRule="exact"/>
        <w:rPr>
          <w:sz w:val="20"/>
          <w:szCs w:val="20"/>
          <w:color w:val="auto"/>
        </w:rPr>
      </w:pPr>
    </w:p>
    <w:p>
      <w:pPr>
        <w:jc w:val="both"/>
        <w:ind w:left="60" w:right="119"/>
        <w:spacing w:after="0" w:line="287" w:lineRule="auto"/>
        <w:rPr>
          <w:sz w:val="20"/>
          <w:szCs w:val="20"/>
          <w:color w:val="auto"/>
        </w:rPr>
      </w:pPr>
      <w:r>
        <w:rPr>
          <w:rFonts w:ascii="Arial" w:cs="Arial" w:eastAsia="Arial" w:hAnsi="Arial"/>
          <w:sz w:val="16"/>
          <w:szCs w:val="16"/>
          <w:color w:val="auto"/>
        </w:rPr>
        <w:t>On March 21, 2023, we entered into a $70 million working capital trade finance facility with multiple financial institutions through our subsidiary, Falcon. The facility replaced Falcon’s then existing working capital trade finance facility. The new facility is uncommitted and repayable on demand, with certain of Falcon’s assets pledged as collateral against the facility.</w:t>
      </w:r>
    </w:p>
    <w:p>
      <w:pPr>
        <w:spacing w:after="0" w:line="2"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The new facility will mature one year from inception. Borrowings under the new facility will bear interest at the borrower’s option at a rate equal to (a) Term SOFR, as defined in the new facility, plus a margin of 4.00% plus a liquidity premium set by the lender at the time of borrowing or (b) the Base Rate (determined by reference to the greatest of (i) the Prime Rate, as defined in the new facility, at such time, (ii) one-half of 1.00% in excess of the Federal Funds Effective Rate, as defined in the new facility, at such time, and (iii) Term SOFR for a one-month tenor in effect at such time plus 1.00%). At June 30, 2023, there was $32.8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June 30, 2023.</w:t>
      </w:r>
    </w:p>
    <w:p>
      <w:pPr>
        <w:spacing w:after="0" w:line="181" w:lineRule="exact"/>
        <w:rPr>
          <w:sz w:val="20"/>
          <w:szCs w:val="20"/>
          <w:color w:val="auto"/>
        </w:rPr>
      </w:pPr>
    </w:p>
    <w:p>
      <w:pPr>
        <w:ind w:left="60" w:right="339"/>
        <w:spacing w:after="0" w:line="296" w:lineRule="auto"/>
        <w:rPr>
          <w:sz w:val="20"/>
          <w:szCs w:val="20"/>
          <w:color w:val="auto"/>
        </w:rPr>
      </w:pPr>
      <w:r>
        <w:rPr>
          <w:rFonts w:ascii="Arial" w:cs="Arial" w:eastAsia="Arial" w:hAnsi="Arial"/>
          <w:sz w:val="16"/>
          <w:szCs w:val="16"/>
          <w:color w:val="auto"/>
        </w:rPr>
        <w:t>Westrock Coffee International, LLC, through its subsidiary Rwanda Trading Company, maintains two mortgage and inventory-backed lending facilities with a local bank in Rwanda: (a) a short-term trade finance facility with a balance of $8.8 million at June 30, 2023 and (b) a long-term note payable with a balance of $1.4 million at June 30, 2023. Additionally, Rwanda Trading Company maintains three short-term futures contract-backed lending facilities from international institutions with outstanding balances of $2.5 million, $1.2 million and $0.9 million at June 30,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Series A Preferred Shares</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In connection with the Transaction, the Company issued 23,587,952 Westrock Series A Preferred Shares, which rank senior to the Common Shares with respect to dividend rights and/or distribution rights upon the liquidation, winding up</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initial liquidation preference of Westrock Series A Preferred Shares is $11.50 per share, plus any declared but unpaid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and subject to accretion under certain circumstances. In the event of our liquidation, dissolution or winding up,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holders of Westrock Series A Preferred Shares are entitled to receive, per Westrock Series A Preferred Share, the greater of</w:t>
      </w:r>
    </w:p>
    <w:p>
      <w:pPr>
        <w:spacing w:after="0" w:line="32" w:lineRule="exact"/>
        <w:rPr>
          <w:sz w:val="20"/>
          <w:szCs w:val="20"/>
          <w:color w:val="auto"/>
        </w:rPr>
      </w:pPr>
    </w:p>
    <w:p>
      <w:pPr>
        <w:ind w:left="60" w:right="59" w:hanging="10"/>
        <w:spacing w:after="0" w:line="260"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Holders of Westrock Series A Preferred Shares may voluntarily convert their Westrock Series A Preferred Shares into 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whole number of Common Shares at any time at a rate equal to the quotient of (a) the liquidation preference as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applicable conversion date, divided by (b) the conversion price as of the applicable conversion date, which is currently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$11.50 per Westrock Series A Preferred Share, plus cash in lieu of fractional shares. The initial conversion price of $11.50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 Westrock Series A Preferred Share is subject to customary adjustments for the issuance of Common Shares as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reclassification of the Common Shares into a greater or lesser number of Common Shares, certain tender or exchange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offers for the Common Shares, and issuances of Common Shares below a specified price.</w:t>
      </w:r>
    </w:p>
    <w:p>
      <w:pPr>
        <w:spacing w:after="0" w:line="211"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After February 26, 2028 (i.e., the five-and-a-half-year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w:t>
      </w:r>
    </w:p>
    <w:p>
      <w:pPr>
        <w:spacing w:after="0" w:line="178" w:lineRule="exact"/>
        <w:rPr>
          <w:sz w:val="20"/>
          <w:szCs w:val="20"/>
          <w:color w:val="auto"/>
        </w:rPr>
      </w:pPr>
    </w:p>
    <w:p>
      <w:pPr>
        <w:ind w:left="60" w:right="479"/>
        <w:spacing w:after="0" w:line="287" w:lineRule="auto"/>
        <w:rPr>
          <w:sz w:val="20"/>
          <w:szCs w:val="20"/>
          <w:color w:val="auto"/>
        </w:rPr>
      </w:pPr>
      <w:r>
        <w:rPr>
          <w:rFonts w:ascii="Arial" w:cs="Arial" w:eastAsia="Arial" w:hAnsi="Arial"/>
          <w:sz w:val="16"/>
          <w:szCs w:val="16"/>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w:t>
      </w:r>
    </w:p>
    <w:p>
      <w:pPr>
        <w:spacing w:after="0" w:line="2" w:lineRule="exact"/>
        <w:rPr>
          <w:sz w:val="20"/>
          <w:szCs w:val="20"/>
          <w:color w:val="auto"/>
        </w:rPr>
      </w:pPr>
    </w:p>
    <w:p>
      <w:pPr>
        <w:ind w:left="60" w:right="179" w:hanging="10"/>
        <w:spacing w:after="0" w:line="287"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1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Upon issuance, the Westrock Series A Preferred Shares were recorded on our Condensed Consolidated Balance Sheets at fair value. Subsequently, the Company will accrete changes in the redemption value from the date of issuance to the earliest redemption date (i.e., the five-and-a-half-year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six months ended June 30, 2023, the Company recorded $0.1 million of amortization and $0.3 million of accretion, respectively, with respect to the Westrock Series A Preferred Shares.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Derivatives</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We record all derivatives, whether designated in a hedging relationship or not, at fair value on the Condensed Consolidated Balance Sheets. We use various types of derivative instruments including, but not limited to, forward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71"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66"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six months ended June 30, 2023 or 2022.</w:t>
      </w:r>
    </w:p>
    <w:p>
      <w:pPr>
        <w:spacing w:after="0" w:line="187"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5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notional amount for the coffee futures contracts that were designated and qualified for our commodity cash flow hedging program was 10.8 million pounds and 29.2 million pounds as of June 30, 2023 and December 31, 2022, respectively. During the three and six months ended June 30, 2023, the Company purchased coffee futures contracts and coffee options contracts under our cash flow hedging program with aggregate notional amounts of 15.2 million pounds and 23.6 million pounds, respectively. During the three and six months ended June 30, 2022, the Company purchased coffee futures contracts and coffee options contracts under our cash flow hedging program with aggregate notional amounts of 6.9 million pounds and 48.2 million pounds, respectively.</w:t>
      </w:r>
    </w:p>
    <w:p>
      <w:pPr>
        <w:spacing w:after="0" w:line="177" w:lineRule="exact"/>
        <w:rPr>
          <w:sz w:val="20"/>
          <w:szCs w:val="20"/>
          <w:color w:val="auto"/>
        </w:rPr>
      </w:pPr>
    </w:p>
    <w:p>
      <w:pPr>
        <w:ind w:left="60" w:right="459"/>
        <w:spacing w:after="0" w:line="290" w:lineRule="auto"/>
        <w:rPr>
          <w:sz w:val="20"/>
          <w:szCs w:val="20"/>
          <w:color w:val="auto"/>
        </w:rPr>
      </w:pPr>
      <w:r>
        <w:rPr>
          <w:rFonts w:ascii="Arial" w:cs="Arial" w:eastAsia="Arial" w:hAnsi="Arial"/>
          <w:sz w:val="16"/>
          <w:szCs w:val="16"/>
          <w:color w:val="auto"/>
        </w:rPr>
        <w:t>Approximately $1.4 million and $2.1 million of net realized losses, representing the effective portion of the cash flow hedge, were subsequently reclassified from AOCI to earnings and recognized in costs of sales in the Condensed Consolidated Statements of Operations for the three and six months ended June 30, 2023, respectively. Approximately $2.7 million and $6.8 million of net realized gains, representing the effective portion of the cash flow hedge, were subsequently reclassified from AOCI to earnings and recognized in costs of sales in the Condensed Consolidated Statements of Operations for the three and six months ended June 30, 2022, respectively. As of June 30, 2023, the estimated amount of net losses reported in AOCI that is expected to be reclassified to the Condensed Consolidated Statements of Operations within the next twelve months is $3.1 million.</w:t>
      </w:r>
    </w:p>
    <w:p>
      <w:pPr>
        <w:spacing w:after="0" w:line="165"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fair value of our derivative assets and liabilities included in the Condensed Consolidated Balance Sheets are set forth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 Sheet Location</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June 30, 2023</w:t>
            </w:r>
          </w:p>
        </w:tc>
        <w:tc>
          <w:tcPr>
            <w:tcW w:w="18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191"/>
        </w:trPr>
        <w:tc>
          <w:tcPr>
            <w:tcW w:w="342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6"/>
              </w:rPr>
              <w:t>Derivative assets not designated as cash</w:t>
            </w:r>
          </w:p>
        </w:tc>
        <w:tc>
          <w:tcPr>
            <w:tcW w:w="1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4"/>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flow 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Forward purchase and sales contracts</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Derivative assets</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r>
      <w:tr>
        <w:trPr>
          <w:trHeight w:val="223"/>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 assets</w:t>
            </w:r>
          </w:p>
        </w:tc>
        <w:tc>
          <w:tcPr>
            <w:tcW w:w="1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60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342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88"/>
              </w:rPr>
              <w:t>Derivative liabilities designated as cash flow</w:t>
            </w: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42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Coffee futures contracts</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5"/>
              </w:rPr>
              <w:t>Derivative liabilities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1,298</w:t>
            </w:r>
          </w:p>
        </w:tc>
        <w:tc>
          <w:tcPr>
            <w:tcW w:w="60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10"/>
        </w:trPr>
        <w:tc>
          <w:tcPr>
            <w:tcW w:w="34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8"/>
        </w:trPr>
        <w:tc>
          <w:tcPr>
            <w:tcW w:w="342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0"/>
              </w:rPr>
              <w:t>Derivative liabilities not designated as cash</w:t>
            </w: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flow 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6"/>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Forward purchase and sales contracts</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5"/>
              </w:rPr>
              <w:t>Derivative liabilities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5,984</w:t>
            </w:r>
          </w:p>
        </w:tc>
        <w:tc>
          <w:tcPr>
            <w:tcW w:w="60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4,258</w:t>
            </w:r>
          </w:p>
        </w:tc>
      </w:tr>
      <w:tr>
        <w:trPr>
          <w:trHeight w:val="249"/>
        </w:trPr>
        <w:tc>
          <w:tcPr>
            <w:tcW w:w="34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 liabilities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r>
      <w:tr>
        <w:trPr>
          <w:trHeight w:val="96"/>
        </w:trPr>
        <w:tc>
          <w:tcPr>
            <w:tcW w:w="224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The fair value of coffee futures excludes amounts related to margin accounts.</w:t>
      </w:r>
    </w:p>
    <w:p>
      <w:pPr>
        <w:spacing w:after="0" w:line="208"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following table presents the pre-tax net gains and losses for our derivative instruments for the three and six months ended June 30, 2023 and 2022, respectively: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Statement of</w:t>
            </w: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82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2"/>
                <w:szCs w:val="12"/>
                <w:color w:val="auto"/>
              </w:rPr>
            </w:pPr>
          </w:p>
        </w:tc>
        <w:tc>
          <w:tcPr>
            <w:tcW w:w="7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Derivative assets designated as cash flow</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w w:val="91"/>
              </w:rPr>
              <w:t>Net realized gains (losses) on coffee derivatives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Costs of sales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2,701</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(2,087)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9"/>
              </w:rPr>
              <w:t>Derivative assets and liabilities not designated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as cash flow hedging instruments: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Net unrealized gains (losses) on forward sales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purchase contracts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Costs of sales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Fair Value Measurements</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8"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24"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1—Valuation is based upon quoted prices for identical instruments traded in active markets.</w:t>
      </w:r>
    </w:p>
    <w:p>
      <w:pPr>
        <w:spacing w:after="0" w:line="225" w:lineRule="exact"/>
        <w:rPr>
          <w:rFonts w:ascii="Arial" w:cs="Arial" w:eastAsia="Arial" w:hAnsi="Arial"/>
          <w:sz w:val="18"/>
          <w:szCs w:val="18"/>
          <w:color w:val="auto"/>
        </w:rPr>
      </w:pPr>
    </w:p>
    <w:p>
      <w:pPr>
        <w:ind w:left="720" w:right="79" w:hanging="319"/>
        <w:spacing w:after="0" w:line="279"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w:t>
      </w:r>
    </w:p>
    <w:p>
      <w:pPr>
        <w:spacing w:after="0" w:line="38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199"/>
        <w:spacing w:after="0" w:line="286" w:lineRule="auto"/>
        <w:rPr>
          <w:sz w:val="20"/>
          <w:szCs w:val="20"/>
          <w:color w:val="auto"/>
        </w:rPr>
      </w:pPr>
      <w:r>
        <w:rPr>
          <w:rFonts w:ascii="Arial" w:cs="Arial" w:eastAsia="Arial" w:hAnsi="Arial"/>
          <w:sz w:val="17"/>
          <w:szCs w:val="17"/>
          <w:color w:val="auto"/>
        </w:rPr>
        <w:t>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65" w:lineRule="exact"/>
        <w:rPr>
          <w:sz w:val="20"/>
          <w:szCs w:val="20"/>
          <w:color w:val="auto"/>
        </w:rPr>
      </w:pPr>
    </w:p>
    <w:p>
      <w:pPr>
        <w:ind w:left="720" w:right="119" w:hanging="319"/>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fair value of financial instruments at June 30, 2023:</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purchase and sales contracts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53,439</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Coffee futures contracts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Forward purchase and sales contracts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Westrock Public Warrants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Westrock Private Warrants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change in fair value of Level 3 Westrock Private Warrant liabilities: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Westrock Private</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June 30, 2023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0" w:type="dxa"/>
            <w:vAlign w:val="bottom"/>
          </w:tcPr>
          <w:p>
            <w:pPr>
              <w:spacing w:after="0"/>
              <w:rPr>
                <w:sz w:val="1"/>
                <w:szCs w:val="1"/>
                <w:color w:val="auto"/>
              </w:rPr>
            </w:pPr>
          </w:p>
        </w:tc>
      </w:tr>
      <w:tr>
        <w:trPr>
          <w:trHeight w:val="20"/>
        </w:trPr>
        <w:tc>
          <w:tcPr>
            <w:tcW w:w="6820" w:type="dxa"/>
            <w:vAlign w:val="bottom"/>
            <w:gridSpan w:val="8"/>
            <w:vMerge w:val="restart"/>
          </w:tcPr>
          <w:p>
            <w:pPr>
              <w:ind w:left="20"/>
              <w:spacing w:after="0"/>
              <w:rPr>
                <w:sz w:val="20"/>
                <w:szCs w:val="20"/>
                <w:color w:val="auto"/>
              </w:rPr>
            </w:pPr>
            <w:r>
              <w:rPr>
                <w:rFonts w:ascii="Arial" w:cs="Arial" w:eastAsia="Arial" w:hAnsi="Arial"/>
                <w:sz w:val="18"/>
                <w:szCs w:val="18"/>
                <w:color w:val="auto"/>
                <w:w w:val="91"/>
              </w:rPr>
              <w:t>The following table summarizes the fair value of financial instruments at December 31, 2022:</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8"/>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374"/>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39,928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39,928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purchase and sales contracts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54,981</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54,981</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Coffee futures contracts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Forward purchase and sales contracts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Westrock Public Warrants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Westrock Private Warrants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28,342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w:t>
      </w:r>
    </w:p>
    <w:p>
      <w:pPr>
        <w:spacing w:after="0" w:line="37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dealer quotes or based upon observable market transactions. As a result, green coffee associated with forward contracts and forward sales and purchase contracts are classified within Level 2 of the fair value hierarchy.</w:t>
      </w:r>
    </w:p>
    <w:p>
      <w:pPr>
        <w:spacing w:after="0" w:line="14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Westrock Public Warrants are valued based on their quoted market price of $3.00 and $2.27 per warrant as of June 30, 2023 and December 31, 2022, respectively. Westrock Private Warrants price of $3.52 and $3.83 per warrant as of June 30, 2023 and December 31, 2022, respectively, are valued using a binomial lattice valuation model, which is considered to be a Level 3 fair value measurement. The primary unobservable inputs were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June 30, 2023</w:t>
            </w:r>
          </w:p>
        </w:tc>
        <w:tc>
          <w:tcPr>
            <w:tcW w:w="18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6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24"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Financial instruments consist primarily of cash, accounts receivable, accounts payable, a supply chain finance program and long-term debt. The carrying amount of cash, accounts receivable, accounts payable and the supply chain finance program was estimated by management to approximate fair value due to the relatively short period of time to maturity for those instruments. On June 30, 2023, the Company amended its Credit Agreement, which includes the Term Loan Facility and the Revolving Credit Facility. The Term Loan Facility and the Revolving Credit Facility are carried on the Condensed Consolidated Balance Sheets at amortized cost and are estimated by management to approximate fair value as of June 30, 2023 as the interest rate on these facilities is adjusted for changes in the market rates. The fair value of the Term Loan Facility and the Revolving Credit Facility was determined based on Level 2 inputs under the fair value hierarchy.</w:t>
      </w:r>
    </w:p>
    <w:p>
      <w:pPr>
        <w:spacing w:after="0" w:line="165"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Non-financial assets and liabilities, including property, plant and equipment, goodwill and intangible assets are measured at fair value on a non-recurring basis. No events occurred during the three and six months ended June 30, 2023 or 2022, requiring these non-financial assets and liabilities to be subsequently recognized at fair value.</w:t>
      </w:r>
    </w:p>
    <w:p>
      <w:pPr>
        <w:spacing w:after="0" w:line="38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Accumulated Other Comprehensive Income (Loss)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net of tax by component for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June 30, 2022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2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vMerge w:val="restart"/>
          </w:tcPr>
          <w:p>
            <w:pPr>
              <w:spacing w:after="0"/>
              <w:rPr>
                <w:sz w:val="14"/>
                <w:szCs w:val="14"/>
                <w:color w:val="auto"/>
              </w:rPr>
            </w:pPr>
          </w:p>
        </w:tc>
        <w:tc>
          <w:tcPr>
            <w:tcW w:w="21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20" w:type="dxa"/>
            <w:vAlign w:val="bottom"/>
            <w:gridSpan w:val="5"/>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 gain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6,899</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(6,355)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09"/>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Net other comprehensive income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(4,832)</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Less: Other comprehensive income attributable to non-controlling interests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(4,832)</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Net other comprehensive income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Less: Other comprehensive income attributable to non-controlling interests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Equity-Based Compensation</w:t>
      </w:r>
    </w:p>
    <w:p>
      <w:pPr>
        <w:spacing w:after="0" w:line="229" w:lineRule="exact"/>
        <w:rPr>
          <w:sz w:val="20"/>
          <w:szCs w:val="20"/>
          <w:color w:val="auto"/>
        </w:rPr>
      </w:pPr>
    </w:p>
    <w:p>
      <w:pPr>
        <w:ind w:left="60" w:right="660"/>
        <w:spacing w:after="0" w:line="273" w:lineRule="auto"/>
        <w:rPr>
          <w:sz w:val="20"/>
          <w:szCs w:val="20"/>
          <w:color w:val="auto"/>
        </w:rPr>
      </w:pPr>
      <w:r>
        <w:rPr>
          <w:rFonts w:ascii="Arial" w:cs="Arial" w:eastAsia="Arial" w:hAnsi="Arial"/>
          <w:sz w:val="17"/>
          <w:szCs w:val="17"/>
          <w:color w:val="auto"/>
        </w:rPr>
        <w:t>During the three and six months ended June 30, 2023, the Company granted 0.1 million and 1.2 million restricted stock units (“RSUs”), respectively, under the Westrock Coffee Company 2022 Equity Incentive Plan (the “2022 Equity Plan”). The RSUs had a grant date fair value of $0.9 million and $13.9 million, respectively, which was calculated using the closing price of the Company’s Common Shares on the applicable date of grant. The RSUs are amortized on a straight-line basis to expense over the vesting period, which is generally three years. As of June 30, 2023, there were 2.3 million shares available for future issuance under the 2022 Equity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RSU activity under the 2022 Equity Plan for the six months ended June 30, 2023.</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92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Average Fair</w:t>
            </w:r>
          </w:p>
        </w:tc>
        <w:tc>
          <w:tcPr>
            <w:tcW w:w="0" w:type="dxa"/>
            <w:vAlign w:val="bottom"/>
          </w:tcPr>
          <w:p>
            <w:pPr>
              <w:spacing w:after="0"/>
              <w:rPr>
                <w:sz w:val="1"/>
                <w:szCs w:val="1"/>
                <w:color w:val="auto"/>
              </w:rPr>
            </w:pPr>
          </w:p>
        </w:tc>
      </w:tr>
      <w:tr>
        <w:trPr>
          <w:trHeight w:val="171"/>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Outstanding at December 31, 2022</w:t>
            </w:r>
          </w:p>
        </w:tc>
        <w:tc>
          <w:tcPr>
            <w:tcW w:w="1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1,127,000</w:t>
            </w:r>
          </w:p>
        </w:tc>
        <w:tc>
          <w:tcPr>
            <w:tcW w:w="3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1,169,243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(42,515)</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2,253,728</w:t>
            </w:r>
          </w:p>
        </w:tc>
        <w:tc>
          <w:tcPr>
            <w:tcW w:w="3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Earnings per Share</w:t>
      </w:r>
    </w:p>
    <w:p>
      <w:pPr>
        <w:spacing w:after="0" w:line="229" w:lineRule="exact"/>
        <w:rPr>
          <w:sz w:val="20"/>
          <w:szCs w:val="20"/>
          <w:color w:val="auto"/>
        </w:rPr>
      </w:pPr>
    </w:p>
    <w:p>
      <w:pPr>
        <w:ind w:left="60" w:right="640"/>
        <w:spacing w:after="0" w:line="263" w:lineRule="auto"/>
        <w:rPr>
          <w:sz w:val="20"/>
          <w:szCs w:val="20"/>
          <w:color w:val="auto"/>
        </w:rPr>
      </w:pPr>
      <w:r>
        <w:rPr>
          <w:rFonts w:ascii="Arial" w:cs="Arial" w:eastAsia="Arial" w:hAnsi="Arial"/>
          <w:sz w:val="18"/>
          <w:szCs w:val="18"/>
          <w:color w:val="auto"/>
        </w:rPr>
        <w:t>Prior to the Conversion, the Company’s ownership interests consisted of two classes of equity units, referred to as Common Units and Common Equivalent Preferred Units (“CEP Units”), which have been retroactively adjusted as shares reflecting the conversion ratios discussed in Note 4.</w:t>
      </w:r>
    </w:p>
    <w:p>
      <w:pPr>
        <w:spacing w:after="0" w:line="40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600"/>
          </w:cols>
          <w:pgMar w:left="1440" w:top="517" w:right="859"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 xml:space="preserve">Our Series A Preferred Shares and RSUs issued under our 2022 Equity Incentive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Arial" w:cs="Arial" w:eastAsia="Arial" w:hAnsi="Arial"/>
          <w:sz w:val="18"/>
          <w:szCs w:val="18"/>
          <w:i w:val="1"/>
          <w:iCs w:val="1"/>
          <w:color w:val="auto"/>
        </w:rPr>
        <w:t>Earnings per Share.</w:t>
      </w:r>
    </w:p>
    <w:p>
      <w:pPr>
        <w:spacing w:after="0" w:line="187"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Prior to the Conversion, the dilutive effect of CEP Units was calculated by using the “if-converted” method. This assumed an add-back of dividends on the CEP Units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spacing w:after="0" w:line="171"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dilutive effect of Westrock Series A Preferred Shares is calculated using the if-converted method, which assumes an add-back of any accretion on preferred shares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71"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color w:val="auto"/>
        </w:rPr>
        <w:t>The dilutive effect of time-based option awards and RSUs is calculated using the treasury stock method, while performance-based awards are treated as contingently issuable.</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shares for the periods indicated because their inclusion would have an anti-dilutive effect due to our reported loss.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r>
      <w:tr>
        <w:trPr>
          <w:trHeight w:val="20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2,242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If-converted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23,566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25,092</w:t>
            </w:r>
          </w:p>
        </w:tc>
      </w:tr>
    </w:tbl>
    <w:p>
      <w:pPr>
        <w:spacing w:after="0" w:line="201"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under the two-class method for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vMerge w:val="restart"/>
          </w:tcPr>
          <w:p>
            <w:pPr>
              <w:ind w:left="20"/>
              <w:spacing w:after="0"/>
              <w:rPr>
                <w:sz w:val="20"/>
                <w:szCs w:val="20"/>
                <w:color w:val="auto"/>
              </w:rPr>
            </w:pPr>
            <w:r>
              <w:rPr>
                <w:rFonts w:ascii="Arial" w:cs="Arial" w:eastAsia="Arial" w:hAnsi="Arial"/>
                <w:sz w:val="14"/>
                <w:szCs w:val="14"/>
                <w:color w:val="auto"/>
              </w:rPr>
              <w:t>(Thousands, except per share data)</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Weighted-average common shares outstanding - basic</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34,749</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Basic loss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w w:val="99"/>
              </w:rPr>
              <w:t>Net loss attributable to common shareholders -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(26,724)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(31,493)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non-participating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Net loss attributable to common shareholders - diluted</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w w:val="95"/>
              </w:rPr>
              <w:t>Weighted-average common shares outstanding - basic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Impact of if-converted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Effect of other dilutive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Weighted-average common shares outstanding - diluted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loss per common share</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61"/>
        </w:trPr>
        <w:tc>
          <w:tcPr>
            <w:tcW w:w="4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Our two operating segments, Beverage Solutions and Sustainable Sourcing &amp; Traceability, are evaluated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(“S&amp;D”),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Selected financial data related to our segments is presented below for the periods indicated: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w w:val="99"/>
              </w:rPr>
              <w:t>Three Months Ended June 30, 2023</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7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4"/>
          </w:tcPr>
          <w:p>
            <w:pPr>
              <w:ind w:left="120"/>
              <w:spacing w:after="0"/>
              <w:rPr>
                <w:sz w:val="20"/>
                <w:szCs w:val="20"/>
                <w:color w:val="auto"/>
              </w:rPr>
            </w:pPr>
            <w:r>
              <w:rPr>
                <w:rFonts w:ascii="Arial" w:cs="Arial" w:eastAsia="Arial" w:hAnsi="Arial"/>
                <w:sz w:val="14"/>
                <w:szCs w:val="14"/>
                <w:b w:val="1"/>
                <w:bCs w:val="1"/>
                <w:color w:val="auto"/>
              </w:rPr>
              <w:t>Sustainable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Total of</w:t>
            </w:r>
          </w:p>
        </w:tc>
      </w:tr>
      <w:tr>
        <w:trPr>
          <w:trHeight w:val="162"/>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Beverage</w:t>
            </w:r>
          </w:p>
        </w:tc>
        <w:tc>
          <w:tcPr>
            <w:tcW w:w="220" w:type="dxa"/>
            <w:vAlign w:val="bottom"/>
          </w:tcPr>
          <w:p>
            <w:pPr>
              <w:spacing w:after="0"/>
              <w:rPr>
                <w:sz w:val="14"/>
                <w:szCs w:val="14"/>
                <w:color w:val="auto"/>
              </w:rPr>
            </w:pP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Sourcing &amp;</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Intersegment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w w:val="95"/>
              </w:rPr>
              <w:t>Reportable</w:t>
            </w:r>
          </w:p>
        </w:tc>
      </w:tr>
      <w:tr>
        <w:trPr>
          <w:trHeight w:val="185"/>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9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6"/>
                <w:szCs w:val="16"/>
                <w:color w:val="auto"/>
              </w:rPr>
            </w:pPr>
          </w:p>
        </w:tc>
        <w:tc>
          <w:tcPr>
            <w:tcW w:w="940" w:type="dxa"/>
            <w:vAlign w:val="bottom"/>
            <w:gridSpan w:val="4"/>
          </w:tcPr>
          <w:p>
            <w:pPr>
              <w:ind w:left="120"/>
              <w:spacing w:after="0"/>
              <w:rPr>
                <w:sz w:val="20"/>
                <w:szCs w:val="20"/>
                <w:color w:val="auto"/>
              </w:rPr>
            </w:pPr>
            <w:r>
              <w:rPr>
                <w:rFonts w:ascii="Arial" w:cs="Arial" w:eastAsia="Arial" w:hAnsi="Arial"/>
                <w:sz w:val="14"/>
                <w:szCs w:val="14"/>
                <w:b w:val="1"/>
                <w:bCs w:val="1"/>
                <w:color w:val="auto"/>
              </w:rPr>
              <w:t>Traceability</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w w:val="83"/>
              </w:rPr>
              <w:t>Segments</w:t>
            </w:r>
          </w:p>
        </w:tc>
      </w:tr>
      <w:tr>
        <w:trPr>
          <w:trHeight w:val="210"/>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189,719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36,048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(1,073)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r>
      <w:tr>
        <w:trPr>
          <w:trHeight w:val="216"/>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6,240</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02"/>
        </w:trPr>
        <w:tc>
          <w:tcPr>
            <w:tcW w:w="43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Conway extract and ready-to-drink facility start-up</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Mark-to-market adjustments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4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(26,811)</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9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727,471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94,837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822,308</w:t>
            </w:r>
          </w:p>
        </w:tc>
      </w:tr>
      <w:tr>
        <w:trPr>
          <w:trHeight w:val="392"/>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3"/>
              </w:rPr>
              <w:t>Three Months Ended June 30, 2022</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7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Sustainable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 of</w:t>
            </w:r>
          </w:p>
        </w:tc>
      </w:tr>
      <w:tr>
        <w:trPr>
          <w:trHeight w:val="162"/>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Beverage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Sourcing &amp;</w:t>
            </w:r>
          </w:p>
        </w:tc>
        <w:tc>
          <w:tcPr>
            <w:tcW w:w="14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Intersegment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Reportable</w:t>
            </w:r>
          </w:p>
        </w:tc>
      </w:tr>
      <w:tr>
        <w:trPr>
          <w:trHeight w:val="171"/>
        </w:trPr>
        <w:tc>
          <w:tcPr>
            <w:tcW w:w="4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(Thousands)</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Solutions</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Traceability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Segments</w:t>
            </w:r>
          </w:p>
        </w:tc>
      </w:tr>
      <w:tr>
        <w:trPr>
          <w:trHeight w:val="21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170,865</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58,459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7"/>
              </w:rPr>
              <w:t>(5,911)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223,413</w:t>
            </w:r>
          </w:p>
        </w:tc>
      </w:tr>
      <w:tr>
        <w:trPr>
          <w:trHeight w:val="216"/>
        </w:trPr>
        <w:tc>
          <w:tcPr>
            <w:tcW w:w="438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822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16"/>
        </w:trPr>
        <w:tc>
          <w:tcPr>
            <w:tcW w:w="53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Management and consulting fees (S&amp;D Coffee, Inc. acquisition)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4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4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46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546,449</w:t>
            </w:r>
          </w:p>
        </w:tc>
        <w:tc>
          <w:tcPr>
            <w:tcW w:w="1040" w:type="dxa"/>
            <w:vAlign w:val="bottom"/>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114,997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w w:val="95"/>
              </w:rPr>
              <w:t>n/a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661,446</w:t>
            </w:r>
          </w:p>
        </w:tc>
      </w:tr>
      <w:tr>
        <w:trPr>
          <w:trHeight w:val="86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60"/>
        </w:trPr>
        <w:tc>
          <w:tcPr>
            <w:tcW w:w="4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Six Months Ended June 30, 2023</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Sustainable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Total of</w:t>
            </w:r>
          </w:p>
        </w:tc>
      </w:t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Beverage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Sourcing &amp;</w:t>
            </w:r>
          </w:p>
        </w:tc>
        <w:tc>
          <w:tcPr>
            <w:tcW w:w="14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Intersegment</w:t>
            </w:r>
          </w:p>
        </w:tc>
        <w:tc>
          <w:tcPr>
            <w:tcW w:w="10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Traceability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Segments</w:t>
            </w: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430,136</w:t>
            </w:r>
          </w:p>
        </w:tc>
      </w:t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w:t>
            </w: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13,414</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9,545</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w w:val="95"/>
              </w:rPr>
              <w:t>Management and consulting fees (S&amp;D Coffee, Inc. acquisition)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Conway extract and ready-to-drink facility start-up costs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3,580</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5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0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(31,137)</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50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727,471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94,837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822,308</w:t>
            </w:r>
          </w:p>
        </w:tc>
      </w:tr>
      <w:tr>
        <w:trPr>
          <w:trHeight w:val="189"/>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Six Months Ended June 30, 2022</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Sustainable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Total of</w:t>
            </w:r>
          </w:p>
        </w:tc>
      </w:t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Beverage</w:t>
            </w:r>
          </w:p>
        </w:tc>
        <w:tc>
          <w:tcPr>
            <w:tcW w:w="1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Sourcing &amp;</w:t>
            </w:r>
          </w:p>
        </w:tc>
        <w:tc>
          <w:tcPr>
            <w:tcW w:w="14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Intersegment</w:t>
            </w:r>
          </w:p>
        </w:tc>
        <w:tc>
          <w:tcPr>
            <w:tcW w:w="10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Traceability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Segments</w:t>
            </w: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106,232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409,841</w:t>
            </w:r>
          </w:p>
        </w:tc>
      </w:tr>
      <w:tr>
        <w:trPr>
          <w:trHeight w:val="216"/>
        </w:trPr>
        <w:tc>
          <w:tcPr>
            <w:tcW w:w="5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w:t>
            </w: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4,787</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Management and consulting fees (S&amp;D Coffee, Inc. acquisition)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50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546,449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114,997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661,446</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229"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have future purchase obligations of $193.3 million as of June 30, 2023 that consist of commitments for the purchase of inventory over the next 12 months. These obligations represent the minimum contractual obligations expected under the normal course of business.</w:t>
      </w:r>
    </w:p>
    <w:p>
      <w:pPr>
        <w:spacing w:after="0" w:line="184"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In addition, at June 30, 2023, we had an obligation to repurchase $9.4 million of inventory associated with repurchase agreements in which the Company’s Sustainable Sourcing &amp; Traceability segment has sold inventory to a third party and from whom the Company’s Beverage Solutions segment has an obligation to repurchase. The liability for these</w:t>
      </w:r>
    </w:p>
    <w:p>
      <w:pPr>
        <w:spacing w:after="0" w:line="365"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obligations is recorded within accrued expenses and other current liabilities on the Company’s Condensed Consolidated Balance Sheet.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21. Related Party Transactions</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Prior to the Conversion, the Company had subordinated debt issued to Wooster Capital, LLC, which is owned and controlled by our co-founder and Chairman, Joe T. Ford, and Jo Ellen Ford, who have ownership in the Company. During 2022, Brown Brothers Harriman, who is a holder of Series A Preferred Shares, and prior to the Conversion was holder of Westrock Series A and Series B Preferred Units, participated in Falcon’s working capital trade finance facility. As such, these persons and entities are deemed related parties.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consolidated financial statements reflect the following transactions with related parties: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5"/>
        </w:trPr>
        <w:tc>
          <w:tcPr>
            <w:tcW w:w="42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Arial" w:cs="Arial" w:eastAsia="Arial" w:hAnsi="Arial"/>
                <w:sz w:val="18"/>
                <w:szCs w:val="18"/>
                <w:color w:val="auto"/>
              </w:rPr>
              <w:t>Brown Brothers Harriman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Wooster Capital, LLC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Jo Ellen Ford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In connection with the acquisition of S&amp;D Coffee, Inc. in February 2020, the Company entered into a Management Services Agreement with Westrock Group, LLC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no expenses and $0.6 million of such expenses during the three and six months ended June 30, 2023, respectively, and $0.8 million and $1.7 million of such expenses during the three and six months ended June 30, 2022, respectively. In addition, the Company reimburses Westrock Group for the usage of a corporate aircraft, and its portion of shared administrative expenses. For the three and six months ended June 30, 2023, the Company recognized expenses of $0.5 million and $0.8 million, respectively, for such items, which are recorded in selling, general and administrative expenses in our Condensed Consolidated Statements of Operations. For the three and six months ended June 30, 2022, the Company recognized expenses of $0.2 million and $0.5 million, respectively, for such items. At June 30, 2023 and December 31, 2022, we had $0.5 million and no amounts payable to Westrock Group.</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22. Subsequent Events</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Shares of the Company at a purchase price per share of $10.00 for aggregate gross proceeds to the Company of $50.0 million (such transaction, the “HF Investment”). On August 3, 2023, the HF Investment closed after the expiration of the applicable waiting period under the Hart-Scott-Rodino Antitrust Improvements Act of 1976, as amended.</w:t>
      </w:r>
    </w:p>
    <w:p>
      <w:pPr>
        <w:spacing w:after="0" w:line="19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 On August 3, 2023, the Company closed on the PIPE Investments.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On July 24, 2023, affiliates of Brown Brothers Harriman &amp; Co. (the “BBH Investors”) exercised preemptive rights (the “BBH Preemptive Rights”) to purchase approximately 1.9 million Common Shares at a purchase price per share of $10.00, under the terms of that certain Investor Rights Agreement, dated April 4, 2022, by and among the Company, the BBH Investors, and the other parties thereto. On August 7, 2023, the Company sold and issued the Common Shares to the BBH Investors, receiving aggregate gross proceeds of approximately $18.8 million.</w:t>
      </w:r>
    </w:p>
    <w:p>
      <w:pPr>
        <w:spacing w:after="0" w:line="176"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The issuance of Common Shares pursuant to the HF Investment, PIPE Investments and BBH Preemptive Rights, is intended to be exempt from registration under the Securities Act of 1933, as amended (the “Securities Act”), by virtue of the exemption provided by Rule 506(b) of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and six months ended June 30, 2023. This discussion should be read in conjunction with the accompanying Condensed Consolidated Financial Statements, and the notes thereto set forth in Part I, Item 1 of this Quarterly Report on Form 10-Q and our December 31, 2022 Audited Consolidated Financial Statements and notes thereto included in our Annual Report on Form 10-K filed with the U.S. Securities and Exchange Commission (“SEC”) on March 21, 2023.</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8"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operate our business in two segments: Beverage Solutions and Sustainable Sourcing &amp; Traceability (“SS&amp;T”).</w:t>
      </w:r>
    </w:p>
    <w:p>
      <w:pPr>
        <w:spacing w:after="0" w:line="237"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u w:val="single" w:color="auto"/>
          <w:color w:val="auto"/>
        </w:rPr>
        <w:t>Beverage Solutions</w:t>
      </w:r>
      <w:r>
        <w:rPr>
          <w:rFonts w:ascii="Arial" w:cs="Arial" w:eastAsia="Arial" w:hAnsi="Arial"/>
          <w:sz w:val="17"/>
          <w:szCs w:val="17"/>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78"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We use Adjusted EBITDA to evaluate our performance, identify trends, formulate financial projections, and to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87"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7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187"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reconciliation of our net loss to EBITDA and Adjusted EBITDA for the three and six months ended June 30, 2023 and 2022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color w:val="auto"/>
              </w:rPr>
              <w:t>(Thousands)</w:t>
            </w:r>
          </w:p>
        </w:tc>
        <w:tc>
          <w:tcPr>
            <w:tcW w:w="19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 June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16,861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Management and consulting fees (S&amp;D Coffee, Inc.</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acquisition)</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Conway extract and ready-to-drink facility start-up costs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Beverage Solutions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Sustainable Sourcing &amp; Traceability</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of Reportable Segments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47"/>
        </w:trPr>
        <w:tc>
          <w:tcPr>
            <w:tcW w:w="4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 Amendment</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3.75x and (c) attaching projections demonstrating compliance with the total net leverage ratio financial covenant (as in effect prior to giving effect to the Covenant Relief Period) until the then-existing latest maturity date.</w:t>
      </w:r>
    </w:p>
    <w:p>
      <w:pPr>
        <w:spacing w:after="0" w:line="195"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During the Covenant Relief Period, (i) the total net leverage ratio financial covenant will be (a) 5.00x for the test period ending June 30, 2023, (b) 5.25x for the test period ending September 30, 2023, (c) 5.50x for the test periods ending on or after December 31, 2023 to and including September 30, 2024, (d) 5.00x for the test period ending December 31, 2024 and</w:t>
      </w:r>
    </w:p>
    <w:p>
      <w:pPr>
        <w:spacing w:after="0" w:line="2" w:lineRule="exact"/>
        <w:rPr>
          <w:sz w:val="20"/>
          <w:szCs w:val="20"/>
          <w:color w:val="auto"/>
        </w:rPr>
      </w:pPr>
    </w:p>
    <w:p>
      <w:pPr>
        <w:ind w:left="60" w:right="99" w:hanging="10"/>
        <w:spacing w:after="0" w:line="290"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4.50x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2.00x. As of the date of this Quarterly Report on Form 10-Q, the Company was in compliance with its financial covenants.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PIPE Investment &amp; Amended and Restated Investor Rights Agreement</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(the “Common Shares”), of the Company at a purchase price per share of $10.00 for aggregate gross proceeds to the Company of $50 million (such transaction, the “HF Investment”).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Subscription Agreement also provides that following the Closing, the HF Investor shall have the right to designate one</w:t>
      </w:r>
    </w:p>
    <w:p>
      <w:pPr>
        <w:spacing w:after="0" w:line="46" w:lineRule="exact"/>
        <w:rPr>
          <w:sz w:val="20"/>
          <w:szCs w:val="20"/>
          <w:color w:val="auto"/>
        </w:rPr>
      </w:pPr>
    </w:p>
    <w:p>
      <w:pPr>
        <w:ind w:left="60" w:right="159" w:hanging="10"/>
        <w:spacing w:after="0" w:line="255"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to the board of directors of the Company (the “Board”), subject to the terms and conditions of the Amended and Restated Investor Rights Agreement (as defined below). As of the date of this Quarterly Report on Form 10-Q, the HF Investor has not exercised the right to designate a director to the Board.</w:t>
      </w:r>
    </w:p>
    <w:p>
      <w:pPr>
        <w:spacing w:after="0" w:line="190"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w:t>
      </w:r>
    </w:p>
    <w:p>
      <w:pPr>
        <w:spacing w:after="0" w:line="19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On August 3, 2023, the Company closed the HF Investment and PIPE Investments, issuing 10.0 million Common Shares, receiving aggregate gross proceeds of $100.0 million.</w:t>
      </w:r>
    </w:p>
    <w:p>
      <w:pPr>
        <w:spacing w:after="0" w:line="170"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In connection with the HF Investment, the HF Investor and the current parties to that certain Investor Rights Agreement, dated April 4, 2022 (the “Investor Rights Agreement”), by and among the Company, affiliates of Brown Brothers Harriman &amp; Co. (the “BBH Investors”), and the other parties thereto entered into an amendment and restatement of the Investor Rights Agreement (the “Amended and Restated Investor Rights Agreement”), which became effective upon closing of the HF Investment. Among other things, the Amended and Restated Investor Rights Agreement amended the Investor Rights Agreement to provide the HF Investor with the right to designate one (1) director to Class II of the Board, subject to the HF Investor (together with certain affiliates) owning at least 5% of the capital stock of the Company and the other terms and conditions set forth therein.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80" w:lineRule="auto"/>
        <w:rPr>
          <w:sz w:val="20"/>
          <w:szCs w:val="20"/>
          <w:color w:val="auto"/>
        </w:rPr>
      </w:pPr>
      <w:r>
        <w:rPr>
          <w:rFonts w:ascii="Arial" w:cs="Arial" w:eastAsia="Arial" w:hAnsi="Arial"/>
          <w:sz w:val="17"/>
          <w:szCs w:val="17"/>
          <w:color w:val="auto"/>
        </w:rPr>
        <w:t>The HF Investment and PIPE Investments were subject to the potential exercise of preemptive rights (the “BBH Preemptive Rights”) of the BBH Investors to subscribe up to their pro-rata ownership of the capital stock of the Company, under the terms of that certain Investor Rights Agreement. On July 24, 2023, the BBH Investors exercised the BBH Preemptive Rights to purchase approximately 1.9 million Common Shares at a purchase price per share of $10.00, under the terms of the Investor Rights Agreement. On August 7, 2023, the Company sold and issued the Common Shares to the BBH Investors, receiving aggregate gross proceeds of approximately $18.8 million.</w:t>
      </w:r>
    </w:p>
    <w:p>
      <w:pPr>
        <w:spacing w:after="0" w:line="171"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The issuance of Common Shares pursuant to the HF Investment, PIPE Investments and BBH Preemptive Rights, is intended to be exempt from registration under the Securities Act of 1933, as amended (the “Securities Act”), by virtue of the exemption provided by Rule 506(b) of Regulation D promulgated under the Securities Act.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Ended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2023</w:t>
            </w:r>
          </w:p>
        </w:tc>
        <w:tc>
          <w:tcPr>
            <w:tcW w:w="8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9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Costs of sales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189,018</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184,515</w:t>
            </w: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2,304</w:t>
            </w: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47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37,071</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37,536</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7,385</w:t>
            </w: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8,813</w:t>
            </w:r>
          </w:p>
        </w:tc>
        <w:tc>
          <w:tcPr>
            <w:tcW w:w="140" w:type="dxa"/>
            <w:vAlign w:val="bottom"/>
          </w:tcPr>
          <w:p>
            <w:pPr>
              <w:spacing w:after="0"/>
              <w:rPr>
                <w:sz w:val="21"/>
                <w:szCs w:val="21"/>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(1,499)</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Accretion of Series A Convertible Preferred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Accumulating preferred dividends</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(7,145)</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(26,724)</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(12,858)</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following table sets forth selected financial information of our reportable segments for the three months ended June 30, 2023 and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Beverage</w:t>
            </w:r>
          </w:p>
        </w:tc>
        <w:tc>
          <w:tcPr>
            <w:tcW w:w="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Sustainable</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Intersegment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Sourcing &amp;</w:t>
            </w:r>
          </w:p>
        </w:tc>
        <w:tc>
          <w:tcPr>
            <w:tcW w:w="10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5"/>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Solutions</w:t>
            </w:r>
          </w:p>
        </w:tc>
        <w:tc>
          <w:tcPr>
            <w:tcW w:w="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Traceability</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4"/>
                <w:szCs w:val="14"/>
                <w:b w:val="1"/>
                <w:bCs w:val="1"/>
                <w:color w:val="auto"/>
                <w:w w:val="92"/>
              </w:rPr>
              <w:t>Revenues</w:t>
            </w:r>
            <w:r>
              <w:rPr>
                <w:rFonts w:ascii="Arial" w:cs="Arial" w:eastAsia="Arial" w:hAnsi="Arial"/>
                <w:sz w:val="20"/>
                <w:szCs w:val="20"/>
                <w:b w:val="1"/>
                <w:bCs w:val="1"/>
                <w:color w:val="auto"/>
                <w:w w:val="92"/>
                <w:vertAlign w:val="superscript"/>
              </w:rPr>
              <w:t>(1)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$ 189,719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36,048</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   (1,073)</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$ 224,694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Costs of Sales: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133,685</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50,830</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184,515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32,475</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35,676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12,471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13,293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 Margin: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6.1 %</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7.3 %</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Net Sales from our Beverage Solutions segment were $189.7 million for the three months ended June 30, 2023, compared to $170.9 million for the three months ended June 30, 2022, an increase of approximately 11.0%. The increase was primarily due to a $15.0 million increase in the sale of flavors, extracts and ingredients products, which was primarily driven by an increase in sales related to the Kohana extract business and the pass through of higher underlying green coffee costs, compared to the three months ended June 30, 2022.</w:t>
      </w:r>
    </w:p>
    <w:p>
      <w:pPr>
        <w:spacing w:after="0" w:line="17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Net Sales from our SS&amp;T segment, net of intersegment revenues, totaled $35.0 million for the three months ended June 30, 2023, decreasing 33.4% compared to $52.5 million for the three months ended June 30, 2022. The decrease is driven by a decrease in sales volume, as a result of a decrease in customer demand, which decreased 31% for the three months ended June 30, 2023 compared to the three months ended June 30,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In our Beverage Solutions segment, costs of sales increased to $157.2 million for the three months ended June 30, 2023, from $133.7 million for the three months ended June 30, 2022. The increase in costs of sales was primarily driven by inflationary increases in materials and production costs, an increase in flavors, extracts and ingredients volume, and an increase in green coffee costs driven by an increase in underlying commodities pricings for the three months ended June 30, 2023 compared to the three months ended June 30, 2022.</w:t>
      </w:r>
    </w:p>
    <w:p>
      <w:pPr>
        <w:spacing w:after="0" w:line="176" w:lineRule="exact"/>
        <w:rPr>
          <w:sz w:val="20"/>
          <w:szCs w:val="20"/>
          <w:color w:val="auto"/>
        </w:rPr>
      </w:pPr>
    </w:p>
    <w:p>
      <w:pPr>
        <w:ind w:left="60" w:right="359"/>
        <w:spacing w:after="0" w:line="275" w:lineRule="auto"/>
        <w:rPr>
          <w:sz w:val="20"/>
          <w:szCs w:val="20"/>
          <w:color w:val="auto"/>
        </w:rPr>
      </w:pPr>
      <w:r>
        <w:rPr>
          <w:rFonts w:ascii="Arial" w:cs="Arial" w:eastAsia="Arial" w:hAnsi="Arial"/>
          <w:sz w:val="17"/>
          <w:szCs w:val="17"/>
          <w:color w:val="auto"/>
        </w:rPr>
        <w:t>In our SS&amp;T segment, costs of sales decreased $19.1 million to $31.8 million for the three months ended June 30, 2023 compared to the three months ended June 30, 2022. This decrease is primarily due to a decrease in green coffee sales volume. Costs of sales in our SS&amp;T segment for the three months ended June 30, 2023 included $1.0 million of net unrealized gains on forward sales and purchase contracts and mark-to-market adjustments on green coffee inventory compared to $1.4 million of net unrealized losses for the three months ended June 30, 2022.</w:t>
      </w:r>
    </w:p>
    <w:p>
      <w:pPr>
        <w:spacing w:after="0" w:line="39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1010"/>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22"/>
              <w:spacing w:after="0" w:line="142" w:lineRule="exact"/>
              <w:rPr>
                <w:sz w:val="20"/>
                <w:szCs w:val="20"/>
                <w:color w:val="auto"/>
              </w:rPr>
            </w:pPr>
            <w:r>
              <w:rPr>
                <w:rFonts w:ascii="Arial" w:cs="Arial" w:eastAsia="Arial" w:hAnsi="Arial"/>
                <w:sz w:val="14"/>
                <w:szCs w:val="14"/>
                <w:b w:val="1"/>
                <w:bCs w:val="1"/>
                <w:color w:val="auto"/>
                <w:w w:val="96"/>
              </w:rPr>
              <w:t>2023</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 of Segment</w:t>
            </w:r>
          </w:p>
        </w:tc>
        <w:tc>
          <w:tcPr>
            <w:tcW w:w="240" w:type="dxa"/>
            <w:vAlign w:val="bottom"/>
          </w:tcPr>
          <w:p>
            <w:pPr>
              <w:spacing w:after="0"/>
              <w:rPr>
                <w:sz w:val="10"/>
                <w:szCs w:val="10"/>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Revenues</w:t>
            </w: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$ 31,485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$ 32,673</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Arial" w:cs="Arial" w:eastAsia="Arial" w:hAnsi="Arial"/>
                <w:sz w:val="18"/>
                <w:szCs w:val="18"/>
                <w:color w:val="auto"/>
              </w:rPr>
              <w:t>Sustainable Sourcing &amp; Traceability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7.7 %</w:t>
            </w:r>
          </w:p>
        </w:tc>
        <w:tc>
          <w:tcPr>
            <w:tcW w:w="720" w:type="dxa"/>
            <w:vAlign w:val="bottom"/>
          </w:tcPr>
          <w:p>
            <w:pPr>
              <w:jc w:val="right"/>
              <w:spacing w:after="0"/>
              <w:rPr>
                <w:sz w:val="20"/>
                <w:szCs w:val="20"/>
                <w:color w:val="auto"/>
              </w:rPr>
            </w:pPr>
            <w:r>
              <w:rPr>
                <w:rFonts w:ascii="Arial" w:cs="Arial" w:eastAsia="Arial" w:hAnsi="Arial"/>
                <w:sz w:val="18"/>
                <w:szCs w:val="18"/>
                <w:color w:val="auto"/>
              </w:rPr>
              <w:t>2,375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$ 34,170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$ 35,048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Total selling, general and administrative expenses in our Beverage Solutions segment decreased $1.2 million to $31.5 million for the three months ended June 30, 2023, compared to the three months ended June 30, 2022. The decrease is primarily due to a $0.7 million decrease in freight costs. In our SS&amp;T segment, selling, general and administrative costs increased $0.3 million, primarily due to a $0.2 million increase in bad debt expense compared to the three months ended June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Acquisition, restructuring and integration expenses for the three months ended June 30, 2023 were $2.9 million, approximately $2.2 million of which related to the costs associated with the integration of our new enterprise resource planning system, including internal and external costs related to post go-live system support and duplicative systems costs. During the three months ended June 30, 2022, we incurred $2.3 million of acquisition, restructuring and integration expenses, of which approximately $0.9 million related to public-company preparedness costs and $0.8 million related to the integration of our new enterprise resource planning system.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2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Arial" w:cs="Arial" w:eastAsia="Arial" w:hAnsi="Arial"/>
                <w:sz w:val="18"/>
                <w:szCs w:val="18"/>
                <w:b w:val="1"/>
                <w:bCs w:val="1"/>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 facility</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Prior term loan facility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Supply chain finance program</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ABL facility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Subordinated related party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International notes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8"/>
                <w:szCs w:val="18"/>
                <w:b w:val="1"/>
                <w:bCs w:val="1"/>
                <w:color w:val="auto"/>
              </w:rPr>
              <w:t>Total cash interest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Payments-in-kind interest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8"/>
                <w:szCs w:val="18"/>
                <w:b w:val="1"/>
                <w:bCs w:val="1"/>
                <w:color w:val="auto"/>
              </w:rPr>
              <w:t>Total non-cash interest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expense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159"/>
        <w:spacing w:after="0" w:line="287" w:lineRule="auto"/>
        <w:rPr>
          <w:sz w:val="20"/>
          <w:szCs w:val="20"/>
          <w:color w:val="auto"/>
        </w:rPr>
      </w:pPr>
      <w:r>
        <w:rPr>
          <w:rFonts w:ascii="Arial" w:cs="Arial" w:eastAsia="Arial" w:hAnsi="Arial"/>
          <w:sz w:val="16"/>
          <w:szCs w:val="16"/>
          <w:color w:val="auto"/>
        </w:rPr>
        <w:t>Interest expense for the three months ended June 30, 2023 was $7.4 million compared to $8.8 million for the three months ended June 30, 2022. The decrease is primarily due to a decrease in the amount of outstanding term loans under the Term Loan Facility (as defined below) compared to the prior term loan facility that was in place during the prior year.</w:t>
      </w:r>
    </w:p>
    <w:p>
      <w:pPr>
        <w:spacing w:after="0" w:line="2" w:lineRule="exact"/>
        <w:rPr>
          <w:sz w:val="20"/>
          <w:szCs w:val="20"/>
          <w:color w:val="auto"/>
        </w:rPr>
      </w:pPr>
    </w:p>
    <w:p>
      <w:pPr>
        <w:jc w:val="both"/>
        <w:ind w:left="60" w:right="179"/>
        <w:spacing w:after="0" w:line="260" w:lineRule="auto"/>
        <w:rPr>
          <w:sz w:val="20"/>
          <w:szCs w:val="20"/>
          <w:color w:val="auto"/>
        </w:rPr>
      </w:pPr>
      <w:r>
        <w:rPr>
          <w:rFonts w:ascii="Arial" w:cs="Arial" w:eastAsia="Arial" w:hAnsi="Arial"/>
          <w:sz w:val="18"/>
          <w:szCs w:val="18"/>
          <w:color w:val="auto"/>
        </w:rPr>
        <w:t>Additionally, the interest rate applicable to our Term Loan Facility was 7.4% at June 30, 2023 compared to an interest rate of 9.75% on the prior term loan facility that was in place at June 30, 2022.</w:t>
      </w:r>
    </w:p>
    <w:p>
      <w:pPr>
        <w:spacing w:after="0" w:line="200" w:lineRule="exact"/>
        <w:rPr>
          <w:sz w:val="20"/>
          <w:szCs w:val="20"/>
          <w:color w:val="auto"/>
        </w:rPr>
      </w:pPr>
    </w:p>
    <w:p>
      <w:pPr>
        <w:spacing w:after="0" w:line="20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tax expense for the three months ended June 30, 2023 was $6.2 million, resulting in an effective tax rate of</w:t>
      </w:r>
    </w:p>
    <w:p>
      <w:pPr>
        <w:spacing w:after="0" w:line="3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(30.3%). The effective tax rate for the current period differs from the federal statutory rate primarily due to an increase in the valuation allowance against domestic deferred tax assets and permanent differences, including nondeductible expenses related to a change in the fair value of warrants. Income tax benefit for the three months ended June 30, 2022 was $1.5 million, resulting in an effective tax rate of 20.5%.</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7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46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June 30, 2022</w:t>
            </w:r>
          </w:p>
        </w:tc>
        <w:tc>
          <w:tcPr>
            <w:tcW w:w="9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430,136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Costs of sales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360,162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83.7 %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332,512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81.1 %</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68,292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78,733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75,185</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(29,256)</w:t>
            </w:r>
          </w:p>
        </w:tc>
        <w:tc>
          <w:tcPr>
            <w:tcW w:w="1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140" w:type="dxa"/>
            <w:vAlign w:val="bottom"/>
            <w:vMerge w:val="continue"/>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Net (loss) income attributable to non-controlling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(31,152)</w:t>
            </w:r>
          </w:p>
        </w:tc>
        <w:tc>
          <w:tcPr>
            <w:tcW w:w="1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Accretion of Series A Convertible Preferred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Accumulating preferred dividends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sets forth selected financial information of our reportable segments for the six months ended June 30, 2023 and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Beverage</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Sustainable</w:t>
            </w:r>
          </w:p>
        </w:tc>
        <w:tc>
          <w:tcPr>
            <w:tcW w:w="6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Intersegment</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Sourcing &amp;</w:t>
            </w: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5"/>
        </w:trPr>
        <w:tc>
          <w:tcPr>
            <w:tcW w:w="47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Solutions</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Traceability</w:t>
            </w:r>
          </w:p>
        </w:tc>
        <w:tc>
          <w:tcPr>
            <w:tcW w:w="60" w:type="dxa"/>
            <w:vAlign w:val="bottom"/>
          </w:tcPr>
          <w:p>
            <w:pPr>
              <w:spacing w:after="0"/>
              <w:rPr>
                <w:sz w:val="15"/>
                <w:szCs w:val="15"/>
                <w:color w:val="auto"/>
              </w:rPr>
            </w:pPr>
          </w:p>
        </w:tc>
        <w:tc>
          <w:tcPr>
            <w:tcW w:w="900" w:type="dxa"/>
            <w:vAlign w:val="bottom"/>
            <w:gridSpan w:val="2"/>
          </w:tcPr>
          <w:p>
            <w:pPr>
              <w:jc w:val="right"/>
              <w:ind w:right="140"/>
              <w:spacing w:after="0" w:line="176" w:lineRule="exact"/>
              <w:rPr>
                <w:sz w:val="20"/>
                <w:szCs w:val="20"/>
                <w:color w:val="auto"/>
              </w:rPr>
            </w:pPr>
            <w:r>
              <w:rPr>
                <w:rFonts w:ascii="Arial" w:cs="Arial" w:eastAsia="Arial" w:hAnsi="Arial"/>
                <w:sz w:val="14"/>
                <w:szCs w:val="14"/>
                <w:b w:val="1"/>
                <w:bCs w:val="1"/>
                <w:color w:val="auto"/>
                <w:w w:val="89"/>
              </w:rPr>
              <w:t>Revenues</w:t>
            </w:r>
            <w:r>
              <w:rPr>
                <w:rFonts w:ascii="Arial" w:cs="Arial" w:eastAsia="Arial" w:hAnsi="Arial"/>
                <w:sz w:val="20"/>
                <w:szCs w:val="20"/>
                <w:b w:val="1"/>
                <w:bCs w:val="1"/>
                <w:color w:val="auto"/>
                <w:w w:val="89"/>
                <w:vertAlign w:val="superscript"/>
              </w:rPr>
              <w:t>(1)</w:t>
            </w:r>
          </w:p>
        </w:tc>
        <w:tc>
          <w:tcPr>
            <w:tcW w:w="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$ 370,928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  61,439</w:t>
            </w:r>
          </w:p>
        </w:tc>
        <w:tc>
          <w:tcPr>
            <w:tcW w:w="2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(2,231)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$ 430,136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106,232</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Costs of Sales: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307,958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248,131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84,381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332,512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62,970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71,095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22,891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 Margin: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5.4 %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Net Sales from our Beverage Solutions segment were $370.9 million for the six months ended June 30, 2023, compared to $319.2 million for the six months ended June 30, 2022, an increase of approximately 16.2%. The increase was primarily due to a $29.5 million increase in the sale of coffee and tea products, driven by a 21% increase in single serve cup volumes, a $22.6 million increase in the sale of flavors, extracts and ingredients products, which was primarily driven by an increase in sales related to the Kohana extract business, and increased pricing from the pass through of higher underlying green coffee prices during the six months ended June 30, 2023 compared to the six months ended June 30, 2022.</w:t>
      </w:r>
    </w:p>
    <w:p>
      <w:pPr>
        <w:spacing w:after="0" w:line="164"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Net Sales from our SS&amp;T segment, net of intersegment revenues, totaled $59.2 million during the six months ended June 30, 2023, decreasing 34.7% compared to $90.6 million during the six months ended June 30, 2022. The decrease is driven by a 38% decrease in sales volume, as a result of a decrease in customer demand, for the six months ended June 30, 2023 compared to the six months ended June 30,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In our Beverage Solutions segment, costs of sales increased to $308.0 million for the six months ended June 30, 2023, compared to $248.1 million for the six months ended June 30, 2022. The increase in costs of sales was primarily driven by inflationary increases in materials and production costs in our roast and ground coffee products, an increase in flavors, extracts and ingredients volume, and an increase in green coffee costs driven by an increase in underlying commodities pricings for the six months ended June 30, 2023 compared to the six months ended June 30, 2022.</w:t>
      </w:r>
    </w:p>
    <w:p>
      <w:pPr>
        <w:spacing w:after="0" w:line="161" w:lineRule="exact"/>
        <w:rPr>
          <w:sz w:val="20"/>
          <w:szCs w:val="20"/>
          <w:color w:val="auto"/>
        </w:rPr>
      </w:pPr>
    </w:p>
    <w:p>
      <w:pPr>
        <w:ind w:left="60" w:right="519"/>
        <w:spacing w:after="0" w:line="296" w:lineRule="auto"/>
        <w:rPr>
          <w:sz w:val="20"/>
          <w:szCs w:val="20"/>
          <w:color w:val="auto"/>
        </w:rPr>
      </w:pPr>
      <w:r>
        <w:rPr>
          <w:rFonts w:ascii="Arial" w:cs="Arial" w:eastAsia="Arial" w:hAnsi="Arial"/>
          <w:sz w:val="16"/>
          <w:szCs w:val="16"/>
          <w:color w:val="auto"/>
        </w:rPr>
        <w:t>In our SS&amp;T segment, costs of sales decreased $32.2 million to $52.2 million for the six months ended June 30, 2023 compared to the six months ended June 30, 2022. This decrease is primarily due to a decrease in green coffee sales volume. Costs of sales in our SS&amp;T segment for the six months ended June 30, 2023 included $2.2 million of net unrealized gains on forward sales and purchase contracts and mark-to-market adjustments on green coffee inventory compared to $0.3 million of net unrealized losses for the six months ended June 30, 2022.</w:t>
      </w:r>
    </w:p>
    <w:p>
      <w:pPr>
        <w:spacing w:after="0" w:line="37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1"/>
              </w:rPr>
              <w:t>Six Months Ended June 30,</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2"/>
              <w:spacing w:after="0" w:line="142" w:lineRule="exact"/>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240" w:type="dxa"/>
            <w:vAlign w:val="bottom"/>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Revenues</w:t>
            </w: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Beverage Solutions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$ 63,287</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$ 64,931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Sustainable Sourcing &amp; Traceability</w:t>
            </w:r>
          </w:p>
        </w:tc>
        <w:tc>
          <w:tcPr>
            <w:tcW w:w="700" w:type="dxa"/>
            <w:vAlign w:val="bottom"/>
          </w:tcPr>
          <w:p>
            <w:pPr>
              <w:jc w:val="right"/>
              <w:spacing w:after="0"/>
              <w:rPr>
                <w:sz w:val="20"/>
                <w:szCs w:val="20"/>
                <w:color w:val="auto"/>
              </w:rPr>
            </w:pPr>
            <w:r>
              <w:rPr>
                <w:rFonts w:ascii="Arial" w:cs="Arial" w:eastAsia="Arial" w:hAnsi="Arial"/>
                <w:sz w:val="18"/>
                <w:szCs w:val="18"/>
                <w:color w:val="auto"/>
              </w:rPr>
              <w:t>5,005</w:t>
            </w: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8.5 %</w:t>
            </w:r>
          </w:p>
        </w:tc>
        <w:tc>
          <w:tcPr>
            <w:tcW w:w="700" w:type="dxa"/>
            <w:vAlign w:val="bottom"/>
          </w:tcPr>
          <w:p>
            <w:pPr>
              <w:jc w:val="right"/>
              <w:spacing w:after="0"/>
              <w:rPr>
                <w:sz w:val="20"/>
                <w:szCs w:val="20"/>
                <w:color w:val="auto"/>
              </w:rPr>
            </w:pPr>
            <w:r>
              <w:rPr>
                <w:rFonts w:ascii="Arial" w:cs="Arial" w:eastAsia="Arial" w:hAnsi="Arial"/>
                <w:sz w:val="18"/>
                <w:szCs w:val="18"/>
                <w:color w:val="auto"/>
              </w:rPr>
              <w:t>5,178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selling, general and administrative expense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$ 70,109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Total selling, general and administrative expenses in our Beverage Solutions segment decreased $1.6 million to $63.3 million for the six months ended June 30, 2023, compared to the six months ended June 30, 2022. The decrease is primarily due to a $2.0 million decrease in freight costs. In our SS&amp;T segment, selling, general and administrative costs decreased $0.2 million, primarily due to a $0.3 million decrease in professional fees compared to the six months ended June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Acquisition, restructuring and integration expenses for the six months ended June 30, 2023 were $9.5 million, approximately $8.3 million of which related to the costs associated with the integration of our new enterprise resource planning system, including internal and external costs related to post go-live system support and duplicative systems costs and $0.5 million of which related to the acquisition of Bixby Roasting Co. During the six months ended June 30, 2022, we incurred $4.8 million of acquisition, restructuring and integration expenses, of which approximately $2.5 million related to public-company preparedness costs and $1.4 million related to the integration of our new enterprise resource planning system.</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 facility</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Prior term loan facility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Supply chain finance program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ABL facility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Short-term related party 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related party debt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cash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Non-cash: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Payments-in-kind interest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non-cash interest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Total interest expense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13,414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199"/>
        <w:spacing w:after="0" w:line="287" w:lineRule="auto"/>
        <w:rPr>
          <w:sz w:val="20"/>
          <w:szCs w:val="20"/>
          <w:color w:val="auto"/>
        </w:rPr>
      </w:pPr>
      <w:r>
        <w:rPr>
          <w:rFonts w:ascii="Arial" w:cs="Arial" w:eastAsia="Arial" w:hAnsi="Arial"/>
          <w:sz w:val="16"/>
          <w:szCs w:val="16"/>
          <w:color w:val="auto"/>
        </w:rPr>
        <w:t>Interest expense for the six months ended June 30, 2023 was $13.4 million compared to $16.9 million for the six months ended June 30, 2022. The decrease is primarily due to a decrease in the amount of outstanding term loans under the Term Loan Facility (as defined below) compared to the prior term loan facility that was in place during the prior year.</w:t>
      </w:r>
    </w:p>
    <w:p>
      <w:pPr>
        <w:spacing w:after="0" w:line="2"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Additionally, the interest rate applicable to our Term Loan Facility was 7.4% at June 30, 2023 compared to an interest rate of 9.75% on the prior term loan facility that was in place at June 30, 2022.</w:t>
      </w:r>
    </w:p>
    <w:p>
      <w:pPr>
        <w:spacing w:after="0" w:line="200" w:lineRule="exact"/>
        <w:rPr>
          <w:sz w:val="20"/>
          <w:szCs w:val="20"/>
          <w:color w:val="auto"/>
        </w:rPr>
      </w:pPr>
    </w:p>
    <w:p>
      <w:pPr>
        <w:spacing w:after="0" w:line="20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Income tax expense for the six months ended June 30, 2023 was $1.9 million, resulting in an effective tax rate of (6.4%). The effective tax rate for the current period differs from the federal statutory rate primarily due to an increase in the valuation allowance against domestic deferred tax assets and permanent differences, including nondeductible expenses related to a change in the fair value of warrants. Income tax benefit for the six months ended June 30, 2022 was $3.1 million, resulting in an effective tax rate of 22.7%.</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49"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57"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21, 2023. As of June 30, 2023, there have been no material changes to these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Revolving Credit Facility.</w:t>
      </w:r>
    </w:p>
    <w:p>
      <w:pPr>
        <w:spacing w:after="0" w:line="16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On June 30, 2023, we amended the Credit Agreement to provide greater access to available borrowings and covenant relief, and in August 2023, the Company sold and issued approximately 11.9 million Common Shares pursuant to the terms of the HF Investment, PIPE Investments and BBH Preemptive Rights, receiving aggregate gross proceeds of approximately $118.8 million. The proceeds from this equity issuance will be used for capital expenditures related to our extract and ready-to-drink facility in Conway, Arkansas.</w:t>
      </w:r>
    </w:p>
    <w:p>
      <w:pPr>
        <w:spacing w:after="0" w:line="188"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Our ability to generate cash provided by operating activities is dependent on several factors, including our ability to generate net sales and manage costs in-line with our expectations. Failure to meet our financial targets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On August 29, 2022, we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w:t>
      </w:r>
    </w:p>
    <w:p>
      <w:pPr>
        <w:spacing w:after="0" w:line="37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88"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Credit Agreement contains two financial covenants requiring the maintenance of a total net leverage ratio and an interest coverage ratio (the “Financial Covenants”). Commitment fees on the daily unused amount of commitments under the Revolving Credit Facility range from 0.20% to 0.35% depending on the total net leverage ratio. At June 30, 2023, we had $80.0 million of outstanding borrowings under the Revolving Credit Facility, with a weighted average interest rate of 7.3%, and the interest rate applicable to our Term Loan Facility was 7.4%, and we had $2.6 million of standby letters of credit outstanding.</w:t>
      </w:r>
    </w:p>
    <w:p>
      <w:pPr>
        <w:spacing w:after="0" w:line="111"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On February 14, 2023, we entered into an Incremental Assumption Agreement and Amendment No. 1 (the “Amendment”) to the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8" w:lineRule="exact"/>
        <w:rPr>
          <w:sz w:val="20"/>
          <w:szCs w:val="20"/>
          <w:color w:val="auto"/>
        </w:rPr>
      </w:pPr>
    </w:p>
    <w:p>
      <w:pPr>
        <w:jc w:val="both"/>
        <w:ind w:left="60" w:right="199"/>
        <w:spacing w:after="0" w:line="296" w:lineRule="auto"/>
        <w:rPr>
          <w:sz w:val="20"/>
          <w:szCs w:val="20"/>
          <w:color w:val="auto"/>
        </w:rPr>
      </w:pPr>
      <w:r>
        <w:rPr>
          <w:rFonts w:ascii="Arial" w:cs="Arial" w:eastAsia="Arial" w:hAnsi="Arial"/>
          <w:sz w:val="16"/>
          <w:szCs w:val="16"/>
          <w:color w:val="auto"/>
        </w:rPr>
        <w:t>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spacing w:after="0" w:line="16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3.75x and (c) attaching projections demonstrating compliance with the total net leverage ratio financial covenant (as in effect prior to giving effect to the Covenant Relief Period) until the then-existing latest maturity date.</w:t>
      </w:r>
    </w:p>
    <w:p>
      <w:pPr>
        <w:spacing w:after="0" w:line="195"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During the Covenant Relief Period, (i) the total net leverage ratio financial covenant will be (a) 5.00x for the test period ending June 30, 2023, (b) 5.25x for the test period ending September 30, 2023, (c) 5.50x for the test periods ending on or after December 31, 2023 to and including September 30, 2024, (d) 5.00x for the test period ending December 31, 2024 and</w:t>
      </w:r>
    </w:p>
    <w:p>
      <w:pPr>
        <w:spacing w:after="0" w:line="2" w:lineRule="exact"/>
        <w:rPr>
          <w:sz w:val="20"/>
          <w:szCs w:val="20"/>
          <w:color w:val="auto"/>
        </w:rPr>
      </w:pPr>
    </w:p>
    <w:p>
      <w:pPr>
        <w:ind w:left="60" w:right="99" w:hanging="10"/>
        <w:spacing w:after="0" w:line="252"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4.50x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2.00x. As of June 30, 2023, we were in compliance with the Financial Covenants.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(1.25% of the original principal balance). Quarterly payments increase to approximately $3.3 million and $4.4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(1.875% and 2.5% of the original principal balance) during the fourth and fifth years,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Debt and Lending Facilities</w:t>
      </w:r>
    </w:p>
    <w:p>
      <w:pPr>
        <w:spacing w:after="0" w:line="225" w:lineRule="exact"/>
        <w:rPr>
          <w:sz w:val="20"/>
          <w:szCs w:val="20"/>
          <w:color w:val="auto"/>
        </w:rPr>
      </w:pPr>
    </w:p>
    <w:p>
      <w:pPr>
        <w:jc w:val="both"/>
        <w:ind w:left="60" w:right="119"/>
        <w:spacing w:after="0" w:line="287" w:lineRule="auto"/>
        <w:rPr>
          <w:sz w:val="20"/>
          <w:szCs w:val="20"/>
          <w:color w:val="auto"/>
        </w:rPr>
      </w:pPr>
      <w:r>
        <w:rPr>
          <w:rFonts w:ascii="Arial" w:cs="Arial" w:eastAsia="Arial" w:hAnsi="Arial"/>
          <w:sz w:val="16"/>
          <w:szCs w:val="16"/>
          <w:color w:val="auto"/>
        </w:rPr>
        <w:t>On March 21, 2023, we entered into a $70 million working capital trade finance facility with multiple financial institutions through our subsidiary, Falcon. The facility replaced Falcon’s then existing working capital trade finance facility. The new facility is uncommitted and repayable on demand, with certain of Falcon’s assets pledged as collateral against the facility.</w:t>
      </w:r>
    </w:p>
    <w:p>
      <w:pPr>
        <w:spacing w:after="0" w:line="2" w:lineRule="exact"/>
        <w:rPr>
          <w:sz w:val="20"/>
          <w:szCs w:val="20"/>
          <w:color w:val="auto"/>
        </w:rPr>
      </w:pPr>
    </w:p>
    <w:p>
      <w:pPr>
        <w:ind w:left="60" w:right="59"/>
        <w:spacing w:after="0" w:line="281" w:lineRule="auto"/>
        <w:rPr>
          <w:sz w:val="20"/>
          <w:szCs w:val="20"/>
          <w:color w:val="auto"/>
        </w:rPr>
      </w:pPr>
      <w:r>
        <w:rPr>
          <w:rFonts w:ascii="Arial" w:cs="Arial" w:eastAsia="Arial" w:hAnsi="Arial"/>
          <w:sz w:val="16"/>
          <w:szCs w:val="16"/>
          <w:color w:val="auto"/>
        </w:rPr>
        <w:t>The new facility will mature one year from inception. Borrowings under the new facility will bear interest at the borrower’s option at a rate equal to (a) Term SOFR plus a margin of 4.00% plus a liquidity premium set by the lender at the time of borrowing or (b) the Base Rate (determined by reference to the greatest of (i) the Prime Rate at such time, (ii) one-half</w:t>
      </w:r>
    </w:p>
    <w:p>
      <w:pPr>
        <w:spacing w:after="0" w:line="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of 1.00% in excess of the Federal Funds Effective Rate at such time, and (iii) Term SOFR for a one-month tenor in effect at such time plus 1.00%). At June 30, 2023, there was $32.8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June 30, 2023.</w:t>
      </w:r>
    </w:p>
    <w:p>
      <w:pPr>
        <w:spacing w:after="0" w:line="178" w:lineRule="exact"/>
        <w:rPr>
          <w:sz w:val="20"/>
          <w:szCs w:val="20"/>
          <w:color w:val="auto"/>
        </w:rPr>
      </w:pPr>
    </w:p>
    <w:p>
      <w:pPr>
        <w:ind w:left="60" w:right="339"/>
        <w:spacing w:after="0" w:line="296" w:lineRule="auto"/>
        <w:rPr>
          <w:sz w:val="20"/>
          <w:szCs w:val="20"/>
          <w:color w:val="auto"/>
        </w:rPr>
      </w:pPr>
      <w:r>
        <w:rPr>
          <w:rFonts w:ascii="Arial" w:cs="Arial" w:eastAsia="Arial" w:hAnsi="Arial"/>
          <w:sz w:val="16"/>
          <w:szCs w:val="16"/>
          <w:color w:val="auto"/>
        </w:rPr>
        <w:t>Westrock Coffee International, LLC, through its subsidiary Rwanda Trading Company, maintains two mortgage and inventory-backed lending facilities with a local bank in Rwanda: (a) a short-term trade finance facility with a balance of $8.8 million at June 30, 2023 and (b) a long-term note payable with a balance of $1.4 million at June 30, 2023. Additionally, Rwanda Trading Company maintains three short-term futures contract-backed lending facilities from international institutions with outstanding balances of $2.5 million, $1.2 million and $0.9 million at June 30,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and Long-Term Liquidity</w:t>
      </w:r>
    </w:p>
    <w:p>
      <w:pPr>
        <w:spacing w:after="0" w:line="225"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Our liquidity needs are to fund operating expenses, meet debt service obligations, and fund both current and long-term investment activities, which include capital expenditures. We expect to use cash from operations and borrowings available under the Credit Agreement, as amended, to fund our near-term growth strategies, which include, (i) extending and enhancing product offerings through innovation, (ii) expanding our customer base, (iii) expanding geographically, (iv) funding accretive acquisitions, and (v) continuing to drive margin expansion.</w:t>
      </w:r>
    </w:p>
    <w:p>
      <w:pPr>
        <w:spacing w:after="0" w:line="176" w:lineRule="exact"/>
        <w:rPr>
          <w:sz w:val="20"/>
          <w:szCs w:val="20"/>
          <w:color w:val="auto"/>
        </w:rPr>
      </w:pPr>
    </w:p>
    <w:p>
      <w:pPr>
        <w:ind w:left="60" w:right="499"/>
        <w:spacing w:after="0" w:line="259" w:lineRule="auto"/>
        <w:rPr>
          <w:sz w:val="20"/>
          <w:szCs w:val="20"/>
          <w:color w:val="auto"/>
        </w:rPr>
      </w:pPr>
      <w:r>
        <w:rPr>
          <w:rFonts w:ascii="Arial" w:cs="Arial" w:eastAsia="Arial" w:hAnsi="Arial"/>
          <w:sz w:val="18"/>
          <w:szCs w:val="18"/>
          <w:color w:val="auto"/>
        </w:rPr>
        <w:t>A key component of our long-term growth strategy will be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w:t>
      </w:r>
    </w:p>
    <w:p>
      <w:pPr>
        <w:spacing w:after="0" w:line="187"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We believe proceeds from the HF Investment, PIPE Investments and BBH Preemptive Rights, cash from operations and available borrowings under our Revolving Credit Facility and Delayed Draw Down Term Loan Facility will provide sufficient cash on-hand to complete the build-out. However, the Company will continuously evaluate its liquidity needs, and may seek to opportunistically access additional liquidity, including through either the debt or equity capital markets. If it is determined that we have insufficient liquidity to fund the Conway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Proceeds</w:t>
      </w:r>
    </w:p>
    <w:p>
      <w:pPr>
        <w:spacing w:after="0" w:line="225"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As of June 30, 2023, we had 19,144,120 outstanding Warrants to purchase 19,144,120 Common Shares,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Public Warrants under certain conditions, as described in their warrant agreement, are redeemable by the Company at a price of $0.01 per warrant or on a cashless basis. Our Private Placement Warrants</w:t>
      </w:r>
    </w:p>
    <w:p>
      <w:pPr>
        <w:spacing w:after="0" w:line="38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are not redeemable so long as they are held by the Riverview Sponsor or its permitted transferees (except as otherwise set forth herein). As such, it is possible that we may never generate any or only very limited cash proceeds from the exercise of our Warrants.</w:t>
      </w:r>
    </w:p>
    <w:p>
      <w:pPr>
        <w:spacing w:after="0" w:line="184"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As of the date of this Quarterly Report on Form 10-Q,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w:t>
      </w:r>
    </w:p>
    <w:p>
      <w:pPr>
        <w:spacing w:after="0" w:line="177"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Redemptions of Series A Preferred Shares</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23,566,229 Series A Preferred Shares remain outstanding after February 26, 2028, we estimate an aggregate redemption payment of at least approximately $271.0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and Other Obligations</w:t>
      </w:r>
    </w:p>
    <w:p>
      <w:pPr>
        <w:spacing w:after="0" w:line="22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Our material contractual and other obligations include the payment of principal and interest under our debt obligations and future purchase of inventory obligations. Our Term Loan Facility requires quarterly principal payments during the first three years of approximately $2.2 million (1.25% of the original principal balance).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spacing w:after="0" w:line="192"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Future purchase obligations of $193.3 million as of June 30, 2023 consist of commitments for the purchase of inventory over the next 12 months. These obligations represent the minimum contractual obligations expected under the normal course of business. There are no material purchase obligations beyond 12 months.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We have future obligations to repurchase $9.4 million of inventory associated with repurchase agreements in which the Company’s SS&amp;T segment has sold inventory to a third party and from whom the Company’s Beverage Solution segment has an obligation to repurchase.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categorize our capital expenditures as (i) growth, (ii) maintenance, (iii) customer beverage equipment or (iv) other.</w:t>
      </w:r>
    </w:p>
    <w:p>
      <w:pPr>
        <w:spacing w:after="0" w:line="237"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expenditures for the six months ended June 30, 2023 and 2022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7"/>
              </w:rPr>
              <w:t>Growth</w:t>
            </w:r>
          </w:p>
        </w:tc>
        <w:tc>
          <w:tcPr>
            <w:tcW w:w="1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Maintenance</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55,745</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10,393</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1,151</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15,163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color w:val="auto"/>
        </w:rPr>
        <w:t>We expect to continue to invest to expand our extract and ready-to-drink product manufacturing capacity in Conway, Arkansas. As of June 30, 2023, approximately $78.0 million has been spent towards the facility.</w:t>
      </w:r>
    </w:p>
    <w:p>
      <w:pPr>
        <w:spacing w:after="0" w:line="14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There have been no material changes in the market risks discussed in Item 7A “Quantitative and Qualitative Disclosures Regarding Market Risk” in our Annual Report on Form 10-K filed with the SEC on March 21,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7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2023, the end of the period covered by this Quarterly Report. Based on this evaluation, our Principal Executive Officer and Principal Financial Officer concluded that our disclosure controls and procedures were not effective as of June 30, 2023 due to the material weaknesses in our internal control over financial reporting, described below.</w:t>
      </w:r>
    </w:p>
    <w:p>
      <w:pPr>
        <w:spacing w:after="0" w:line="188"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June 30, 2023.</w:t>
      </w:r>
    </w:p>
    <w:p>
      <w:pPr>
        <w:spacing w:after="0" w:line="171"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214" w:lineRule="exact"/>
        <w:rPr>
          <w:sz w:val="20"/>
          <w:szCs w:val="20"/>
          <w:color w:val="auto"/>
        </w:rPr>
      </w:pPr>
    </w:p>
    <w:p>
      <w:pPr>
        <w:ind w:left="720" w:right="79" w:hanging="319"/>
        <w:spacing w:after="0" w:line="269"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 property, plant and equipment; other (income) expense, net; accounts receivable, net, inventories; derivative assets, net; prepaid expenses and other current assets; property, plant, and equipment, net; goodwill; intangible assets, net; other long term assets; accounts payable; accrued expenses and other current liabilities and the cash flow presentation of debt payments and proceeds within financing activities within the consolidated financial statements as of and for the year ended December 31, 2020, and adjustments to the cash flow presentation of net repayments from repurchase agreements within financing activities within the consolidated financial statements as of and for the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139" w:hanging="319"/>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97" w:lineRule="exact"/>
        <w:rPr>
          <w:rFonts w:ascii="Arial" w:cs="Arial" w:eastAsia="Arial" w:hAnsi="Arial"/>
          <w:sz w:val="18"/>
          <w:szCs w:val="18"/>
          <w:color w:val="auto"/>
        </w:rPr>
      </w:pPr>
    </w:p>
    <w:p>
      <w:pPr>
        <w:ind w:left="720" w:right="59" w:hanging="319"/>
        <w:spacing w:after="0" w:line="285"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p>
      <w:pPr>
        <w:spacing w:after="0" w:line="176"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Plans</w:t>
      </w:r>
    </w:p>
    <w:p>
      <w:pPr>
        <w:spacing w:after="0" w:line="2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Westrock has taken and is taking certain measures to remediate the material weaknesses described above, including the following:</w:t>
      </w:r>
    </w:p>
    <w:p>
      <w:pPr>
        <w:spacing w:after="0" w:line="170" w:lineRule="exact"/>
        <w:rPr>
          <w:sz w:val="20"/>
          <w:szCs w:val="20"/>
          <w:color w:val="auto"/>
        </w:rPr>
      </w:pPr>
    </w:p>
    <w:p>
      <w:pPr>
        <w:jc w:val="both"/>
        <w:ind w:left="720" w:right="119" w:hanging="319"/>
        <w:spacing w:after="0" w:line="27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Hired additional accounting and IT personnel, including a new chief accounting officer hired in May 2021, a new technical accounting resource hired in April 2022, a new IT compliance resource hired in March 2023, and a new internal controls resource hired in April 2023 with the appropriate level of knowledge, training, and experience to improve our internal control over financial reporting and IT capabilities.</w:t>
      </w:r>
    </w:p>
    <w:p>
      <w:pPr>
        <w:spacing w:after="0" w:line="171" w:lineRule="exact"/>
        <w:rPr>
          <w:rFonts w:ascii="Arial" w:cs="Arial" w:eastAsia="Arial" w:hAnsi="Arial"/>
          <w:sz w:val="17"/>
          <w:szCs w:val="17"/>
          <w:color w:val="auto"/>
        </w:rPr>
      </w:pPr>
    </w:p>
    <w:p>
      <w:pPr>
        <w:ind w:left="720" w:right="239" w:hanging="319"/>
        <w:spacing w:after="0" w:line="27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Developing and formalizing a risk assessment process across the organization to identify risks and design new controls or enhance existing controls responsive to such risks to ensure timely and accurate financial reporting based on criteria established in Internal Control - Integrated Framework issued by the Committee of Sponsoring Organizations of the Treadway Commission (2013 framework).</w:t>
      </w:r>
    </w:p>
    <w:p>
      <w:pPr>
        <w:spacing w:after="0" w:line="184" w:lineRule="exact"/>
        <w:rPr>
          <w:rFonts w:ascii="Arial" w:cs="Arial" w:eastAsia="Arial" w:hAnsi="Arial"/>
          <w:sz w:val="17"/>
          <w:szCs w:val="17"/>
          <w:color w:val="auto"/>
        </w:rPr>
      </w:pPr>
    </w:p>
    <w:p>
      <w:pPr>
        <w:ind w:left="720" w:right="63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Engaged a third party to assist in designing and implementing controls related to period-end financial reporting, segregation of duties and IT general controls.</w:t>
      </w:r>
    </w:p>
    <w:p>
      <w:pPr>
        <w:spacing w:after="0" w:line="183" w:lineRule="exact"/>
        <w:rPr>
          <w:rFonts w:ascii="Arial" w:cs="Arial" w:eastAsia="Arial" w:hAnsi="Arial"/>
          <w:sz w:val="18"/>
          <w:szCs w:val="18"/>
          <w:color w:val="auto"/>
        </w:rPr>
      </w:pPr>
    </w:p>
    <w:p>
      <w:pPr>
        <w:ind w:left="720" w:right="239" w:hanging="319"/>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Designed and implemented controls to formalize roles and review responsibilities to align with Westrock’s team’s skills and experience and designing and implementing controls over segregation of duties.</w:t>
      </w:r>
    </w:p>
    <w:p>
      <w:pPr>
        <w:spacing w:after="0" w:line="159" w:lineRule="exact"/>
        <w:rPr>
          <w:rFonts w:ascii="Arial" w:cs="Arial" w:eastAsia="Arial" w:hAnsi="Arial"/>
          <w:sz w:val="17"/>
          <w:szCs w:val="17"/>
          <w:color w:val="auto"/>
        </w:rPr>
      </w:pPr>
    </w:p>
    <w:p>
      <w:pPr>
        <w:ind w:left="720" w:right="239" w:hanging="319"/>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Designing and implementing formal accounting procedures and controls supporting Westrock’s period-end financial reporting process, including controls over the preparation and review of account reconciliations and journal entries.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79" w:hanging="319"/>
        <w:spacing w:after="0" w:line="25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Enhancing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p>
      <w:pPr>
        <w:spacing w:after="0" w:line="208" w:lineRule="exact"/>
        <w:rPr>
          <w:rFonts w:ascii="Arial" w:cs="Arial" w:eastAsia="Arial" w:hAnsi="Arial"/>
          <w:sz w:val="18"/>
          <w:szCs w:val="18"/>
          <w:color w:val="auto"/>
        </w:rPr>
      </w:pPr>
    </w:p>
    <w:p>
      <w:pPr>
        <w:ind w:left="720" w:right="31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Designing and implementing IT general controls, including controls over change management, the review and update of user access rights and privileges, controls over batch jobs and data backups, and program development approvals and testing.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as such term is defined in Rules 13a-15(f) and 15d-15(f)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auto"/>
        </w:rPr>
        <w:t>There have been no material changes to the risk factors affecting our business that were described under Item 1A “Risk Factors” discussed in our Annual Report on Form 10-K filed with the SEC on March 21,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hanging="65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700" w:right="139" w:hanging="650"/>
        <w:spacing w:after="0" w:line="340" w:lineRule="auto"/>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Except as set forth below, during the three months ended June 30, 2023, none of the Company’s directors or officers (as defined in Rule 16a-1(f) of the Securities Exchange Act of 1934) adopted or terminated a Rule 10b5-1 trading arrangement or non-Rule 10b5-1 trading arrangement (as such terms are defined in Item 408 of Regulation S-K).</w:t>
      </w:r>
    </w:p>
    <w:p>
      <w:pPr>
        <w:spacing w:after="0" w:line="130" w:lineRule="exact"/>
        <w:rPr>
          <w:rFonts w:ascii="Arial" w:cs="Arial" w:eastAsia="Arial" w:hAnsi="Arial"/>
          <w:sz w:val="15"/>
          <w:szCs w:val="15"/>
          <w:color w:val="auto"/>
        </w:rPr>
      </w:pPr>
    </w:p>
    <w:p>
      <w:pPr>
        <w:ind w:left="700" w:right="139"/>
        <w:spacing w:after="0" w:line="257" w:lineRule="auto"/>
        <w:rPr>
          <w:rFonts w:ascii="Arial" w:cs="Arial" w:eastAsia="Arial" w:hAnsi="Arial"/>
          <w:sz w:val="15"/>
          <w:szCs w:val="15"/>
          <w:color w:val="auto"/>
        </w:rPr>
      </w:pPr>
      <w:r>
        <w:rPr>
          <w:rFonts w:ascii="Arial" w:cs="Arial" w:eastAsia="Arial" w:hAnsi="Arial"/>
          <w:sz w:val="18"/>
          <w:szCs w:val="18"/>
          <w:color w:val="auto"/>
        </w:rPr>
        <w:t>On March 17, 2023, Mr. T. Christopher Pledger, the Company’s Chief Financial Officer, entered into a Rule 10b5-1 trading arrangement (the “10b5-1 Plan”) to sell up to 28,750 shares of the Company’s common stock during the period starting 90 days after the date of the 10b5-1 Plan and ending on March 31, 2024, subject to certain conditions. On June 15, 2023, all shares covered by the 10b5-1 Plan were sold and, accordingly, the 10b5-1 Plan expired pursuant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Index</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80" w:type="dxa"/>
            <w:vAlign w:val="bottom"/>
          </w:tcPr>
          <w:p>
            <w:pPr>
              <w:spacing w:after="0"/>
              <w:rPr>
                <w:sz w:val="11"/>
                <w:szCs w:val="11"/>
                <w:color w:val="auto"/>
              </w:rPr>
            </w:pPr>
          </w:p>
        </w:tc>
        <w:tc>
          <w:tcPr>
            <w:tcW w:w="72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2"/>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6"/>
                <w:szCs w:val="16"/>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File No.</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493"/>
        </w:trPr>
        <w:tc>
          <w:tcPr>
            <w:tcW w:w="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Certificate of Incorporation of Westrock Coffee</w:t>
              </w:r>
            </w:hyperlink>
          </w:p>
        </w:tc>
        <w:tc>
          <w:tcPr>
            <w:tcW w:w="500" w:type="dxa"/>
            <w:vAlign w:val="bottom"/>
            <w:gridSpan w:val="14"/>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001-</w:t>
            </w:r>
          </w:p>
        </w:tc>
        <w:tc>
          <w:tcPr>
            <w:tcW w:w="860" w:type="dxa"/>
            <w:vAlign w:val="bottom"/>
            <w:gridSpan w:val="3"/>
          </w:tcPr>
          <w:p>
            <w:pPr>
              <w:jc w:val="center"/>
              <w:ind w:left="133"/>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August 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Company</w:t>
              </w:r>
            </w:hyperlink>
          </w:p>
        </w:tc>
        <w:tc>
          <w:tcPr>
            <w:tcW w:w="3220" w:type="dxa"/>
            <w:vAlign w:val="bottom"/>
            <w:gridSpan w:val="23"/>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3920" w:type="dxa"/>
            <w:vAlign w:val="bottom"/>
            <w:gridSpan w:val="24"/>
          </w:tcPr>
          <w:p>
            <w:pPr>
              <w:spacing w:after="0"/>
              <w:rPr>
                <w:rFonts w:ascii="Arial" w:cs="Arial" w:eastAsia="Arial" w:hAnsi="Arial"/>
                <w:sz w:val="18"/>
                <w:szCs w:val="18"/>
                <w:color w:val="0000EE"/>
              </w:rPr>
            </w:pPr>
            <w:hyperlink r:id="rId64">
              <w:r>
                <w:rPr>
                  <w:rFonts w:ascii="Arial" w:cs="Arial" w:eastAsia="Arial" w:hAnsi="Arial"/>
                  <w:sz w:val="18"/>
                  <w:szCs w:val="18"/>
                  <w:color w:val="0000EE"/>
                </w:rPr>
                <w:t>Bylaws of Westrock Coffee Company</w:t>
              </w:r>
            </w:hyperlink>
          </w:p>
        </w:tc>
        <w:tc>
          <w:tcPr>
            <w:tcW w:w="4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001-</w:t>
            </w:r>
          </w:p>
        </w:tc>
        <w:tc>
          <w:tcPr>
            <w:tcW w:w="860" w:type="dxa"/>
            <w:vAlign w:val="bottom"/>
            <w:gridSpan w:val="3"/>
          </w:tcPr>
          <w:p>
            <w:pPr>
              <w:jc w:val="center"/>
              <w:ind w:left="133"/>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August 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41485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3920" w:type="dxa"/>
            <w:vAlign w:val="bottom"/>
            <w:gridSpan w:val="24"/>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Amended and Restated Investor Rights Agreement,</w:t>
              </w:r>
            </w:hyperlink>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001-</w:t>
            </w:r>
          </w:p>
        </w:tc>
        <w:tc>
          <w:tcPr>
            <w:tcW w:w="860" w:type="dxa"/>
            <w:vAlign w:val="bottom"/>
            <w:gridSpan w:val="3"/>
          </w:tcPr>
          <w:p>
            <w:pPr>
              <w:jc w:val="center"/>
              <w:ind w:left="133"/>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dated as of June 29, 2023, by and among Westrock</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Coffee Company, Westrock Group, LLC, The</w:t>
              </w:r>
            </w:hyperlink>
          </w:p>
        </w:tc>
        <w:tc>
          <w:tcPr>
            <w:tcW w:w="640" w:type="dxa"/>
            <w:vAlign w:val="bottom"/>
            <w:gridSpan w:val="16"/>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Stephens Group, LLC, Sowell Westrock, L.P., BBH</w:t>
              </w:r>
            </w:hyperlink>
          </w:p>
        </w:tc>
        <w:tc>
          <w:tcPr>
            <w:tcW w:w="20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Capital Partners V, L.P., BBH Capital Partners V-A,</w:t>
              </w:r>
            </w:hyperlink>
          </w:p>
        </w:tc>
        <w:tc>
          <w:tcPr>
            <w:tcW w:w="20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L.P., BBH CPV WCC Co-Investment LLC,</w:t>
              </w:r>
            </w:hyperlink>
          </w:p>
        </w:tc>
        <w:tc>
          <w:tcPr>
            <w:tcW w:w="800" w:type="dxa"/>
            <w:vAlign w:val="bottom"/>
            <w:gridSpan w:val="17"/>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Riverview Sponsor Partners, LLC and HF Direct</w:t>
              </w:r>
            </w:hyperlink>
          </w:p>
        </w:tc>
        <w:tc>
          <w:tcPr>
            <w:tcW w:w="40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Investments Pool, LLC</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3540" w:type="dxa"/>
            <w:vAlign w:val="bottom"/>
            <w:tcBorders>
              <w:bottom w:val="single" w:sz="8" w:color="0000EE"/>
            </w:tcBorders>
            <w:gridSpan w:val="14"/>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Subscription Agreement, dated June 29, 2023, by</w:t>
              </w:r>
            </w:hyperlink>
          </w:p>
        </w:tc>
        <w:tc>
          <w:tcPr>
            <w:tcW w:w="380" w:type="dxa"/>
            <w:vAlign w:val="bottom"/>
            <w:gridSpan w:val="10"/>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001-</w:t>
            </w:r>
          </w:p>
        </w:tc>
        <w:tc>
          <w:tcPr>
            <w:tcW w:w="860" w:type="dxa"/>
            <w:vAlign w:val="bottom"/>
            <w:gridSpan w:val="3"/>
          </w:tcPr>
          <w:p>
            <w:pPr>
              <w:jc w:val="center"/>
              <w:ind w:left="133"/>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and between Westrock Coffee Company and HF</w:t>
              </w:r>
            </w:hyperlink>
          </w:p>
        </w:tc>
        <w:tc>
          <w:tcPr>
            <w:tcW w:w="420" w:type="dxa"/>
            <w:vAlign w:val="bottom"/>
          </w:tcPr>
          <w:p>
            <w:pPr>
              <w:spacing w:after="0"/>
              <w:rPr>
                <w:sz w:val="17"/>
                <w:szCs w:val="17"/>
                <w:color w:val="auto"/>
              </w:rPr>
            </w:pPr>
          </w:p>
        </w:tc>
        <w:tc>
          <w:tcPr>
            <w:tcW w:w="8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Direct Investments Pool, LLC</w:t>
              </w:r>
            </w:hyperlink>
          </w:p>
        </w:tc>
        <w:tc>
          <w:tcPr>
            <w:tcW w:w="1300" w:type="dxa"/>
            <w:vAlign w:val="bottom"/>
            <w:tcBorders>
              <w:top w:val="single" w:sz="8" w:color="0000EE"/>
            </w:tcBorders>
            <w:gridSpan w:val="7"/>
          </w:tcPr>
          <w:p>
            <w:pPr>
              <w:spacing w:after="0"/>
              <w:rPr>
                <w:sz w:val="17"/>
                <w:szCs w:val="17"/>
                <w:color w:val="auto"/>
              </w:rPr>
            </w:pPr>
          </w:p>
        </w:tc>
        <w:tc>
          <w:tcPr>
            <w:tcW w:w="46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3920" w:type="dxa"/>
            <w:vAlign w:val="bottom"/>
            <w:gridSpan w:val="24"/>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Amendment No. 2, dated as of June 30, 2023, among</w:t>
              </w:r>
            </w:hyperlink>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001-</w:t>
            </w:r>
          </w:p>
        </w:tc>
        <w:tc>
          <w:tcPr>
            <w:tcW w:w="860" w:type="dxa"/>
            <w:vAlign w:val="bottom"/>
            <w:gridSpan w:val="3"/>
          </w:tcPr>
          <w:p>
            <w:pPr>
              <w:jc w:val="center"/>
              <w:ind w:left="133"/>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Westrock Beverage Solutions, LLC, as the borrower,</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the lenders party thereto and Wells Fargo Bank,</w:t>
              </w:r>
            </w:hyperlink>
          </w:p>
        </w:tc>
        <w:tc>
          <w:tcPr>
            <w:tcW w:w="50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N.A., as administrative agent.</w:t>
              </w:r>
            </w:hyperlink>
          </w:p>
        </w:tc>
        <w:tc>
          <w:tcPr>
            <w:tcW w:w="1780" w:type="dxa"/>
            <w:vAlign w:val="bottom"/>
            <w:gridSpan w:val="20"/>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36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3"/>
              </w:rPr>
              <w:t>Chief Executive Officer—Certification pursuant to</w:t>
            </w:r>
          </w:p>
        </w:tc>
        <w:tc>
          <w:tcPr>
            <w:tcW w:w="26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Rule 13a-14(a) or Rule 15d-14(a) of the Securities</w:t>
            </w:r>
          </w:p>
        </w:tc>
        <w:tc>
          <w:tcPr>
            <w:tcW w:w="2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Exchange Act of 1934, as adopted pursuant to</w:t>
            </w:r>
          </w:p>
        </w:tc>
        <w:tc>
          <w:tcPr>
            <w:tcW w:w="62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Section 302 of the Sarbanes-Oxley Act of 2002.</w:t>
            </w:r>
          </w:p>
        </w:tc>
        <w:tc>
          <w:tcPr>
            <w:tcW w:w="4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36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3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Rule 13a-14(a) or Rule 15d-14(a) of the Securities</w:t>
            </w:r>
          </w:p>
        </w:tc>
        <w:tc>
          <w:tcPr>
            <w:tcW w:w="2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Exchange Act of 1934, as adopted pursuant to</w:t>
            </w:r>
          </w:p>
        </w:tc>
        <w:tc>
          <w:tcPr>
            <w:tcW w:w="62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Section 302 of the Sarbanes-Oxley Act of 2002.</w:t>
            </w:r>
          </w:p>
        </w:tc>
        <w:tc>
          <w:tcPr>
            <w:tcW w:w="4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4"/>
                <w:szCs w:val="24"/>
                <w:color w:val="auto"/>
              </w:rPr>
            </w:pPr>
          </w:p>
        </w:tc>
        <w:tc>
          <w:tcPr>
            <w:tcW w:w="36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3"/>
              </w:rPr>
              <w:t>Chief Executive Officer—Certification pursuant to</w:t>
            </w:r>
          </w:p>
        </w:tc>
        <w:tc>
          <w:tcPr>
            <w:tcW w:w="26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Rule13a-14(b) or Rule 15d-14(b) of the Securities</w:t>
            </w:r>
          </w:p>
        </w:tc>
        <w:tc>
          <w:tcPr>
            <w:tcW w:w="32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sz w:val="20"/>
                <w:szCs w:val="20"/>
                <w:color w:val="auto"/>
              </w:rPr>
            </w:pPr>
            <w:r>
              <w:rPr>
                <w:rFonts w:ascii="Arial" w:cs="Arial" w:eastAsia="Arial" w:hAnsi="Arial"/>
                <w:sz w:val="18"/>
                <w:szCs w:val="18"/>
                <w:color w:val="0000EE"/>
                <w:w w:val="95"/>
              </w:rPr>
              <w:t>Exchange Act of 1934 and 18 U.S.C. Section 1350,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80" w:type="dxa"/>
            <w:vAlign w:val="bottom"/>
            <w:gridSpan w:val="1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7"/>
              </w:rPr>
              <w:t>as adopted pursuant to Section 906 of the Sarbanes-</w:t>
            </w:r>
          </w:p>
        </w:tc>
        <w:tc>
          <w:tcPr>
            <w:tcW w:w="20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sz w:val="20"/>
                <w:szCs w:val="20"/>
                <w:color w:val="auto"/>
              </w:rPr>
            </w:pPr>
            <w:r>
              <w:rPr>
                <w:rFonts w:ascii="Arial" w:cs="Arial" w:eastAsia="Arial" w:hAnsi="Arial"/>
                <w:sz w:val="18"/>
                <w:szCs w:val="18"/>
                <w:color w:val="0000EE"/>
              </w:rPr>
              <w:t>Oxley Act of 2002.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4"/>
                <w:szCs w:val="24"/>
                <w:color w:val="auto"/>
              </w:rPr>
            </w:pPr>
          </w:p>
        </w:tc>
        <w:tc>
          <w:tcPr>
            <w:tcW w:w="36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3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sz w:val="20"/>
                <w:szCs w:val="20"/>
                <w:color w:val="auto"/>
              </w:rPr>
            </w:pPr>
            <w:r>
              <w:rPr>
                <w:rFonts w:ascii="Arial" w:cs="Arial" w:eastAsia="Arial" w:hAnsi="Arial"/>
                <w:sz w:val="18"/>
                <w:szCs w:val="18"/>
                <w:color w:val="0000EE"/>
                <w:w w:val="97"/>
              </w:rPr>
              <w:t>Rule 13a-14(b) or Rule 15d-14(b) of the Securities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17"/>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sz w:val="20"/>
                <w:szCs w:val="20"/>
                <w:color w:val="auto"/>
              </w:rPr>
            </w:pPr>
            <w:r>
              <w:rPr>
                <w:rFonts w:ascii="Arial" w:cs="Arial" w:eastAsia="Arial" w:hAnsi="Arial"/>
                <w:sz w:val="18"/>
                <w:szCs w:val="18"/>
                <w:color w:val="0000EE"/>
                <w:w w:val="95"/>
              </w:rPr>
              <w:t>Exchange Act of 1934 and 18 U.S.C. Section 1350,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19"/>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7"/>
              </w:rPr>
              <w:t>as adopted pursuant to Section 906 of the Sarbanes-</w:t>
            </w:r>
          </w:p>
        </w:tc>
        <w:tc>
          <w:tcPr>
            <w:tcW w:w="20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4"/>
          </w:tcPr>
          <w:p>
            <w:pPr>
              <w:spacing w:after="0" w:line="196" w:lineRule="exact"/>
              <w:rPr>
                <w:sz w:val="20"/>
                <w:szCs w:val="20"/>
                <w:color w:val="auto"/>
              </w:rPr>
            </w:pPr>
            <w:r>
              <w:rPr>
                <w:rFonts w:ascii="Arial" w:cs="Arial" w:eastAsia="Arial" w:hAnsi="Arial"/>
                <w:sz w:val="18"/>
                <w:szCs w:val="18"/>
                <w:color w:val="0000EE"/>
              </w:rPr>
              <w:t>Oxley Act of 2002.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547"/>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5" w:name="page56"/>
    <w:bookmarkEnd w:id="5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7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18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49"/>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Instance Document - the instance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does not appear in the Interactive Data File because</w:t>
            </w:r>
          </w:p>
        </w:tc>
        <w:tc>
          <w:tcPr>
            <w:tcW w:w="21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its XBRL tags are embedded within the Inline XBRL</w:t>
            </w:r>
          </w:p>
        </w:tc>
        <w:tc>
          <w:tcPr>
            <w:tcW w:w="218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document.</w:t>
            </w:r>
          </w:p>
        </w:tc>
        <w:tc>
          <w:tcPr>
            <w:tcW w:w="2180" w:type="dxa"/>
            <w:vAlign w:val="bottom"/>
          </w:tcPr>
          <w:p>
            <w:pPr>
              <w:spacing w:after="0"/>
              <w:rPr>
                <w:sz w:val="20"/>
                <w:szCs w:val="20"/>
                <w:color w:val="auto"/>
              </w:rPr>
            </w:pP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Taxonomy Calculation Linkbase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Definition Linkbase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Taxonomy Label Linkbase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XBRL Taxonomy Presentation Linkbase Document.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ind w:left="880" w:right="4319" w:hanging="593"/>
        <w:spacing w:after="0" w:line="259"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86"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1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7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3"/>
          </w:tcPr>
          <w:p>
            <w:pPr>
              <w:ind w:left="1420"/>
              <w:spacing w:after="0"/>
              <w:rPr>
                <w:sz w:val="20"/>
                <w:szCs w:val="20"/>
                <w:color w:val="auto"/>
              </w:rPr>
            </w:pPr>
            <w:r>
              <w:rPr>
                <w:rFonts w:ascii="Arial" w:cs="Arial" w:eastAsia="Arial" w:hAnsi="Arial"/>
                <w:sz w:val="18"/>
                <w:szCs w:val="18"/>
                <w:b w:val="1"/>
                <w:bCs w:val="1"/>
                <w:color w:val="auto"/>
              </w:rPr>
              <w:t>Westrock Coffee Company</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0"/>
                <w:szCs w:val="20"/>
                <w:color w:val="auto"/>
              </w:rPr>
            </w:pPr>
            <w:r>
              <w:rPr>
                <w:rFonts w:ascii="Arial" w:cs="Arial" w:eastAsia="Arial" w:hAnsi="Arial"/>
                <w:sz w:val="18"/>
                <w:szCs w:val="18"/>
                <w:color w:val="auto"/>
              </w:rPr>
              <w:t>Date: August 10, 2023</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2"/>
                <w:szCs w:val="22"/>
                <w:color w:val="auto"/>
              </w:rPr>
            </w:pP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 Christopher Pledger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960" w:type="dxa"/>
            <w:vAlign w:val="bottom"/>
          </w:tcPr>
          <w:p>
            <w:pPr>
              <w:ind w:left="142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 Christopher Pledger</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960" w:type="dxa"/>
            <w:vAlign w:val="bottom"/>
          </w:tcPr>
          <w:p>
            <w:pPr>
              <w:ind w:left="14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86"/>
        </w:trPr>
        <w:tc>
          <w:tcPr>
            <w:tcW w:w="3020" w:type="dxa"/>
            <w:vAlign w:val="bottom"/>
          </w:tcPr>
          <w:p>
            <w:pPr>
              <w:spacing w:after="0"/>
              <w:rPr>
                <w:sz w:val="20"/>
                <w:szCs w:val="20"/>
                <w:color w:val="auto"/>
              </w:rPr>
            </w:pPr>
            <w:r>
              <w:rPr>
                <w:rFonts w:ascii="Arial" w:cs="Arial" w:eastAsia="Arial" w:hAnsi="Arial"/>
                <w:sz w:val="18"/>
                <w:szCs w:val="18"/>
                <w:color w:val="auto"/>
              </w:rPr>
              <w:t>Date: August 10, 2023</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 Blake Schuhmacher</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960" w:type="dxa"/>
            <w:vAlign w:val="bottom"/>
            <w:vMerge w:val="restart"/>
          </w:tcPr>
          <w:p>
            <w:pPr>
              <w:ind w:left="1420"/>
              <w:spacing w:after="0"/>
              <w:rPr>
                <w:sz w:val="20"/>
                <w:szCs w:val="20"/>
                <w:color w:val="auto"/>
              </w:rPr>
            </w:pPr>
            <w:r>
              <w:rPr>
                <w:rFonts w:ascii="Arial" w:cs="Arial" w:eastAsia="Arial" w:hAnsi="Arial"/>
                <w:sz w:val="18"/>
                <w:szCs w:val="18"/>
                <w:color w:val="auto"/>
                <w:w w:val="98"/>
              </w:rPr>
              <w:t>Name:</w:t>
            </w:r>
          </w:p>
        </w:tc>
        <w:tc>
          <w:tcPr>
            <w:tcW w:w="60" w:type="dxa"/>
            <w:vAlign w:val="bottom"/>
            <w:vMerge w:val="restart"/>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Blake Schuhmacher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960" w:type="dxa"/>
            <w:vAlign w:val="bottom"/>
          </w:tcPr>
          <w:p>
            <w:pPr>
              <w:ind w:left="14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w w:val="99"/>
              </w:rPr>
              <w:t>Senior Vice President – Chief Accounting Officer</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40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100" w:hanging="344"/>
        <w:spacing w:after="0" w:line="311"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1000" w:hanging="344"/>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03" w:lineRule="auto"/>
        <w:tabs>
          <w:tab w:leader="none" w:pos="10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56" w:lineRule="auto"/>
        <w:tabs>
          <w:tab w:leader="none" w:pos="9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60" w:hanging="324"/>
        <w:spacing w:after="0" w:line="277" w:lineRule="auto"/>
        <w:tabs>
          <w:tab w:leader="none" w:pos="100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40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100" w:hanging="344"/>
        <w:spacing w:after="0" w:line="311"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1000" w:hanging="344"/>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03" w:lineRule="auto"/>
        <w:tabs>
          <w:tab w:leader="none" w:pos="100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56" w:lineRule="auto"/>
        <w:tabs>
          <w:tab w:leader="none" w:pos="9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60" w:hanging="324"/>
        <w:spacing w:after="0" w:line="277" w:lineRule="auto"/>
        <w:tabs>
          <w:tab w:leader="none" w:pos="100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June 30, 2023,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June 30, 2023,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lowerLetter"/>
      <w:start w:val="5"/>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Roman"/>
      <w:start w:val="10"/>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5"/>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Letter"/>
      <w:start w:val="5"/>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3" Type="http://schemas.openxmlformats.org/officeDocument/2006/relationships/hyperlink" Target="https://www.sec.gov/Archives/edgar/data/1806347/000155837022014048/west-20220630xex3d1.htm" TargetMode="External"/><Relationship Id="rId64" Type="http://schemas.openxmlformats.org/officeDocument/2006/relationships/hyperlink" Target="https://www.sec.gov/Archives/edgar/data/1806347/000155837022014048/west-20220630xex3d2.htm" TargetMode="External"/><Relationship Id="rId65" Type="http://schemas.openxmlformats.org/officeDocument/2006/relationships/hyperlink" Target="https://www.sec.gov/Archives/edgar/data/1806347/000110465923077081/tm2320195d1_ex4-2.htm" TargetMode="External"/><Relationship Id="rId66" Type="http://schemas.openxmlformats.org/officeDocument/2006/relationships/hyperlink" Target="https://www.sec.gov/Archives/edgar/data/1806347/000110465923077081/tm2320195d1_ex10-1.htm" TargetMode="External"/><Relationship Id="rId67" Type="http://schemas.openxmlformats.org/officeDocument/2006/relationships/hyperlink" Target="https://www.sec.gov/Archives/edgar/data/1806347/000110465923077081/tm232019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2023-08-10T16:25:40Z</dcterms:created>
  <dcterms:modified xsi:type="dcterms:W3CDTF">2023-08-10T16:25:40Z</dcterms:modified>
</cp:coreProperties>
</file>