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348615</wp:posOffset>
            </wp:positionV>
            <wp:extent cx="64998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98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415925</wp:posOffset>
            </wp:positionV>
            <wp:extent cx="6499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9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2438400</wp:posOffset>
            </wp:positionH>
            <wp:positionV relativeFrom="paragraph">
              <wp:posOffset>103505</wp:posOffset>
            </wp:positionV>
            <wp:extent cx="1631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1315" cy="8255"/>
                    </a:xfrm>
                    <a:prstGeom prst="rect">
                      <a:avLst/>
                    </a:prstGeom>
                    <a:noFill/>
                  </pic:spPr>
                </pic:pic>
              </a:graphicData>
            </a:graphic>
          </wp:anchor>
        </w:drawing>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93" w:lineRule="exact"/>
        <w:rPr>
          <w:sz w:val="24"/>
          <w:szCs w:val="24"/>
          <w:color w:val="auto"/>
        </w:rPr>
      </w:pPr>
    </w:p>
    <w:p>
      <w:pPr>
        <w:ind w:left="3780" w:right="1560" w:hanging="3456"/>
        <w:spacing w:after="0" w:line="360" w:lineRule="auto"/>
        <w:tabs>
          <w:tab w:leader="none" w:pos="648"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September 30, 2024</w:t>
      </w:r>
    </w:p>
    <w:p>
      <w:pPr>
        <w:spacing w:after="0" w:line="1" w:lineRule="exact"/>
        <w:rPr>
          <w:rFonts w:ascii="MS PGothic" w:cs="MS PGothic" w:eastAsia="MS PGothic" w:hAnsi="MS PGothic"/>
          <w:sz w:val="16"/>
          <w:szCs w:val="16"/>
          <w:color w:val="auto"/>
          <w:highlight w:val="black"/>
        </w:rPr>
      </w:pPr>
    </w:p>
    <w:p>
      <w:pPr>
        <w:ind w:left="50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93" w:lineRule="exact"/>
        <w:rPr>
          <w:sz w:val="24"/>
          <w:szCs w:val="24"/>
          <w:color w:val="auto"/>
        </w:rPr>
      </w:pPr>
    </w:p>
    <w:p>
      <w:pPr>
        <w:ind w:left="3940" w:right="1560" w:hanging="3616"/>
        <w:spacing w:after="0" w:line="360" w:lineRule="auto"/>
        <w:tabs>
          <w:tab w:leader="none" w:pos="641"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2747645</wp:posOffset>
            </wp:positionH>
            <wp:positionV relativeFrom="paragraph">
              <wp:posOffset>102235</wp:posOffset>
            </wp:positionV>
            <wp:extent cx="1012190" cy="669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2190" cy="669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6920" w:type="dxa"/>
            <w:vAlign w:val="bottom"/>
            <w:gridSpan w:val="6"/>
          </w:tcPr>
          <w:p>
            <w:pPr>
              <w:jc w:val="center"/>
              <w:ind w:left="3254"/>
              <w:spacing w:after="0"/>
              <w:rPr>
                <w:sz w:val="20"/>
                <w:szCs w:val="20"/>
                <w:color w:val="auto"/>
              </w:rPr>
            </w:pPr>
            <w:r>
              <w:rPr>
                <w:rFonts w:ascii="Times New Roman" w:cs="Times New Roman" w:eastAsia="Times New Roman" w:hAnsi="Times New Roman"/>
                <w:sz w:val="21"/>
                <w:szCs w:val="21"/>
                <w:b w:val="1"/>
                <w:bCs w:val="1"/>
                <w:color w:val="auto"/>
                <w:w w:val="99"/>
              </w:rPr>
              <w:t>WESTROCK COFFEE COMPANY</w:t>
            </w:r>
          </w:p>
        </w:tc>
        <w:tc>
          <w:tcPr>
            <w:tcW w:w="3320" w:type="dxa"/>
            <w:vAlign w:val="bottom"/>
          </w:tcPr>
          <w:p>
            <w:pPr>
              <w:spacing w:after="0"/>
              <w:rPr>
                <w:sz w:val="21"/>
                <w:szCs w:val="21"/>
                <w:color w:val="auto"/>
              </w:rPr>
            </w:pPr>
          </w:p>
        </w:tc>
      </w:tr>
      <w:tr>
        <w:trPr>
          <w:trHeight w:val="160"/>
        </w:trPr>
        <w:tc>
          <w:tcPr>
            <w:tcW w:w="3700" w:type="dxa"/>
            <w:vAlign w:val="bottom"/>
          </w:tcPr>
          <w:p>
            <w:pPr>
              <w:spacing w:after="0"/>
              <w:rPr>
                <w:sz w:val="13"/>
                <w:szCs w:val="13"/>
                <w:color w:val="auto"/>
              </w:rPr>
            </w:pPr>
          </w:p>
        </w:tc>
        <w:tc>
          <w:tcPr>
            <w:tcW w:w="3220" w:type="dxa"/>
            <w:vAlign w:val="bottom"/>
            <w:gridSpan w:val="5"/>
          </w:tcPr>
          <w:p>
            <w:pPr>
              <w:jc w:val="center"/>
              <w:ind w:right="36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320" w:type="dxa"/>
            <w:vAlign w:val="bottom"/>
          </w:tcPr>
          <w:p>
            <w:pPr>
              <w:spacing w:after="0"/>
              <w:rPr>
                <w:sz w:val="13"/>
                <w:szCs w:val="13"/>
                <w:color w:val="auto"/>
              </w:rPr>
            </w:pPr>
          </w:p>
        </w:tc>
      </w:tr>
      <w:tr>
        <w:trPr>
          <w:trHeight w:val="224"/>
        </w:trPr>
        <w:tc>
          <w:tcPr>
            <w:tcW w:w="3700" w:type="dxa"/>
            <w:vAlign w:val="bottom"/>
          </w:tcPr>
          <w:p>
            <w:pPr>
              <w:jc w:val="center"/>
              <w:ind w:left="1474"/>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20" w:type="dxa"/>
            <w:vAlign w:val="bottom"/>
          </w:tcPr>
          <w:p>
            <w:pPr>
              <w:jc w:val="right"/>
              <w:ind w:right="2259"/>
              <w:spacing w:after="0"/>
              <w:rPr>
                <w:sz w:val="20"/>
                <w:szCs w:val="20"/>
                <w:color w:val="auto"/>
              </w:rPr>
            </w:pPr>
            <w:r>
              <w:rPr>
                <w:rFonts w:ascii="Times New Roman" w:cs="Times New Roman" w:eastAsia="Times New Roman" w:hAnsi="Times New Roman"/>
                <w:sz w:val="12"/>
                <w:szCs w:val="12"/>
                <w:b w:val="1"/>
                <w:bCs w:val="1"/>
                <w:color w:val="auto"/>
              </w:rPr>
              <w:t>80-0977200</w:t>
            </w:r>
          </w:p>
        </w:tc>
      </w:tr>
      <w:tr>
        <w:trPr>
          <w:trHeight w:val="171"/>
        </w:trPr>
        <w:tc>
          <w:tcPr>
            <w:tcW w:w="3700" w:type="dxa"/>
            <w:vAlign w:val="bottom"/>
          </w:tcPr>
          <w:p>
            <w:pPr>
              <w:jc w:val="center"/>
              <w:ind w:left="1474"/>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20" w:type="dxa"/>
            <w:vAlign w:val="bottom"/>
          </w:tcPr>
          <w:p>
            <w:pPr>
              <w:jc w:val="center"/>
              <w:ind w:right="1859"/>
              <w:spacing w:after="0"/>
              <w:rPr>
                <w:sz w:val="20"/>
                <w:szCs w:val="20"/>
                <w:color w:val="auto"/>
              </w:rPr>
            </w:pPr>
            <w:r>
              <w:rPr>
                <w:rFonts w:ascii="Times New Roman" w:cs="Times New Roman" w:eastAsia="Times New Roman" w:hAnsi="Times New Roman"/>
                <w:sz w:val="12"/>
                <w:szCs w:val="12"/>
                <w:color w:val="auto"/>
              </w:rPr>
              <w:t>(I.R.S. Employer</w:t>
            </w:r>
          </w:p>
        </w:tc>
      </w:tr>
      <w:tr>
        <w:trPr>
          <w:trHeight w:val="171"/>
        </w:trPr>
        <w:tc>
          <w:tcPr>
            <w:tcW w:w="3700" w:type="dxa"/>
            <w:vAlign w:val="bottom"/>
          </w:tcPr>
          <w:p>
            <w:pPr>
              <w:jc w:val="center"/>
              <w:ind w:left="1474"/>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20" w:type="dxa"/>
            <w:vAlign w:val="bottom"/>
          </w:tcPr>
          <w:p>
            <w:pPr>
              <w:jc w:val="center"/>
              <w:ind w:right="1839"/>
              <w:spacing w:after="0"/>
              <w:rPr>
                <w:sz w:val="20"/>
                <w:szCs w:val="20"/>
                <w:color w:val="auto"/>
              </w:rPr>
            </w:pPr>
            <w:r>
              <w:rPr>
                <w:rFonts w:ascii="Times New Roman" w:cs="Times New Roman" w:eastAsia="Times New Roman" w:hAnsi="Times New Roman"/>
                <w:sz w:val="12"/>
                <w:szCs w:val="12"/>
                <w:color w:val="auto"/>
              </w:rPr>
              <w:t>Identification Number)</w:t>
            </w:r>
          </w:p>
        </w:tc>
      </w:tr>
      <w:tr>
        <w:trPr>
          <w:trHeight w:val="343"/>
        </w:trPr>
        <w:tc>
          <w:tcPr>
            <w:tcW w:w="3700" w:type="dxa"/>
            <w:vAlign w:val="bottom"/>
          </w:tcPr>
          <w:p>
            <w:pPr>
              <w:jc w:val="center"/>
              <w:ind w:left="1474"/>
              <w:spacing w:after="0"/>
              <w:rPr>
                <w:sz w:val="20"/>
                <w:szCs w:val="20"/>
                <w:color w:val="auto"/>
              </w:rPr>
            </w:pPr>
            <w:r>
              <w:rPr>
                <w:rFonts w:ascii="Times New Roman" w:cs="Times New Roman" w:eastAsia="Times New Roman" w:hAnsi="Times New Roman"/>
                <w:sz w:val="12"/>
                <w:szCs w:val="12"/>
                <w:b w:val="1"/>
                <w:bCs w:val="1"/>
                <w:color w:val="auto"/>
              </w:rPr>
              <w:t>4009 N. Rodney Parham Road, 4th Floor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171"/>
        </w:trPr>
        <w:tc>
          <w:tcPr>
            <w:tcW w:w="3700" w:type="dxa"/>
            <w:vAlign w:val="bottom"/>
          </w:tcPr>
          <w:p>
            <w:pPr>
              <w:jc w:val="center"/>
              <w:ind w:left="1474"/>
              <w:spacing w:after="0"/>
              <w:rPr>
                <w:sz w:val="20"/>
                <w:szCs w:val="20"/>
                <w:color w:val="auto"/>
              </w:rPr>
            </w:pPr>
            <w:r>
              <w:rPr>
                <w:rFonts w:ascii="Times New Roman" w:cs="Times New Roman" w:eastAsia="Times New Roman" w:hAnsi="Times New Roman"/>
                <w:sz w:val="12"/>
                <w:szCs w:val="12"/>
                <w:b w:val="1"/>
                <w:bCs w:val="1"/>
                <w:color w:val="auto"/>
              </w:rPr>
              <w:t>Little Rock, Arkansas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20" w:type="dxa"/>
            <w:vAlign w:val="bottom"/>
          </w:tcPr>
          <w:p>
            <w:pPr>
              <w:jc w:val="right"/>
              <w:ind w:right="2399"/>
              <w:spacing w:after="0"/>
              <w:rPr>
                <w:sz w:val="20"/>
                <w:szCs w:val="20"/>
                <w:color w:val="auto"/>
              </w:rPr>
            </w:pPr>
            <w:r>
              <w:rPr>
                <w:rFonts w:ascii="Times New Roman" w:cs="Times New Roman" w:eastAsia="Times New Roman" w:hAnsi="Times New Roman"/>
                <w:sz w:val="12"/>
                <w:szCs w:val="12"/>
                <w:b w:val="1"/>
                <w:bCs w:val="1"/>
                <w:color w:val="auto"/>
              </w:rPr>
              <w:t>72212</w:t>
            </w:r>
          </w:p>
        </w:tc>
      </w:tr>
      <w:tr>
        <w:trPr>
          <w:trHeight w:val="171"/>
        </w:trPr>
        <w:tc>
          <w:tcPr>
            <w:tcW w:w="3700" w:type="dxa"/>
            <w:vAlign w:val="bottom"/>
          </w:tcPr>
          <w:p>
            <w:pPr>
              <w:jc w:val="center"/>
              <w:ind w:left="1474"/>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20" w:type="dxa"/>
            <w:vAlign w:val="bottom"/>
          </w:tcPr>
          <w:p>
            <w:pPr>
              <w:jc w:val="center"/>
              <w:ind w:right="1839"/>
              <w:spacing w:after="0"/>
              <w:rPr>
                <w:sz w:val="20"/>
                <w:szCs w:val="20"/>
                <w:color w:val="auto"/>
              </w:rPr>
            </w:pPr>
            <w:r>
              <w:rPr>
                <w:rFonts w:ascii="Times New Roman" w:cs="Times New Roman" w:eastAsia="Times New Roman" w:hAnsi="Times New Roman"/>
                <w:sz w:val="12"/>
                <w:szCs w:val="12"/>
                <w:color w:val="auto"/>
              </w:rPr>
              <w:t>(Zip Code)</w:t>
            </w:r>
          </w:p>
        </w:tc>
      </w:tr>
      <w:tr>
        <w:trPr>
          <w:trHeight w:val="209"/>
        </w:trPr>
        <w:tc>
          <w:tcPr>
            <w:tcW w:w="3700" w:type="dxa"/>
            <w:vAlign w:val="bottom"/>
          </w:tcPr>
          <w:p>
            <w:pPr>
              <w:spacing w:after="0"/>
              <w:rPr>
                <w:sz w:val="18"/>
                <w:szCs w:val="18"/>
                <w:color w:val="auto"/>
              </w:rPr>
            </w:pPr>
          </w:p>
        </w:tc>
        <w:tc>
          <w:tcPr>
            <w:tcW w:w="2680" w:type="dxa"/>
            <w:vAlign w:val="bottom"/>
            <w:gridSpan w:val="3"/>
          </w:tcPr>
          <w:p>
            <w:pPr>
              <w:jc w:val="center"/>
              <w:ind w:left="99"/>
              <w:spacing w:after="0"/>
              <w:rPr>
                <w:sz w:val="20"/>
                <w:szCs w:val="20"/>
                <w:color w:val="auto"/>
              </w:rPr>
            </w:pPr>
            <w:r>
              <w:rPr>
                <w:rFonts w:ascii="Times New Roman" w:cs="Times New Roman" w:eastAsia="Times New Roman" w:hAnsi="Times New Roman"/>
                <w:sz w:val="12"/>
                <w:szCs w:val="12"/>
                <w:b w:val="1"/>
                <w:bCs w:val="1"/>
                <w:color w:val="auto"/>
              </w:rPr>
              <w:t>(501) 918-9358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160"/>
        </w:trPr>
        <w:tc>
          <w:tcPr>
            <w:tcW w:w="3700" w:type="dxa"/>
            <w:vAlign w:val="bottom"/>
          </w:tcPr>
          <w:p>
            <w:pPr>
              <w:spacing w:after="0"/>
              <w:rPr>
                <w:sz w:val="13"/>
                <w:szCs w:val="13"/>
                <w:color w:val="auto"/>
              </w:rPr>
            </w:pPr>
          </w:p>
        </w:tc>
        <w:tc>
          <w:tcPr>
            <w:tcW w:w="3220" w:type="dxa"/>
            <w:vAlign w:val="bottom"/>
            <w:gridSpan w:val="5"/>
          </w:tcPr>
          <w:p>
            <w:pPr>
              <w:jc w:val="center"/>
              <w:ind w:right="38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3320" w:type="dxa"/>
            <w:vAlign w:val="bottom"/>
          </w:tcPr>
          <w:p>
            <w:pPr>
              <w:spacing w:after="0"/>
              <w:rPr>
                <w:sz w:val="13"/>
                <w:szCs w:val="13"/>
                <w:color w:val="auto"/>
              </w:rPr>
            </w:pPr>
          </w:p>
        </w:tc>
      </w:tr>
      <w:tr>
        <w:trPr>
          <w:trHeight w:val="183"/>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320" w:type="dxa"/>
            <w:vAlign w:val="bottom"/>
          </w:tcPr>
          <w:p>
            <w:pPr>
              <w:spacing w:after="0"/>
              <w:rPr>
                <w:sz w:val="15"/>
                <w:szCs w:val="15"/>
                <w:color w:val="auto"/>
              </w:rPr>
            </w:pPr>
          </w:p>
        </w:tc>
      </w:tr>
      <w:tr>
        <w:trPr>
          <w:trHeight w:val="160"/>
        </w:trPr>
        <w:tc>
          <w:tcPr>
            <w:tcW w:w="10240" w:type="dxa"/>
            <w:vAlign w:val="bottom"/>
            <w:gridSpan w:val="7"/>
          </w:tcPr>
          <w:p>
            <w:pPr>
              <w:jc w:val="center"/>
              <w:spacing w:after="0"/>
              <w:rPr>
                <w:sz w:val="20"/>
                <w:szCs w:val="20"/>
                <w:color w:val="auto"/>
              </w:rPr>
            </w:pPr>
            <w:r>
              <w:rPr>
                <w:rFonts w:ascii="Times New Roman" w:cs="Times New Roman" w:eastAsia="Times New Roman" w:hAnsi="Times New Roman"/>
                <w:sz w:val="12"/>
                <w:szCs w:val="12"/>
                <w:color w:val="auto"/>
              </w:rPr>
              <w:t>(Former name, former address and former fiscal year, if changed since last report)</w:t>
            </w:r>
          </w:p>
        </w:tc>
      </w:tr>
      <w:tr>
        <w:trPr>
          <w:trHeight w:val="237"/>
        </w:trPr>
        <w:tc>
          <w:tcPr>
            <w:tcW w:w="3700" w:type="dxa"/>
            <w:vAlign w:val="bottom"/>
          </w:tcPr>
          <w:p>
            <w:pPr>
              <w:spacing w:after="0"/>
              <w:rPr>
                <w:sz w:val="20"/>
                <w:szCs w:val="20"/>
                <w:color w:val="auto"/>
              </w:rPr>
            </w:pPr>
          </w:p>
        </w:tc>
        <w:tc>
          <w:tcPr>
            <w:tcW w:w="3220" w:type="dxa"/>
            <w:vAlign w:val="bottom"/>
            <w:gridSpan w:val="5"/>
          </w:tcPr>
          <w:p>
            <w:pPr>
              <w:jc w:val="center"/>
              <w:ind w:right="38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320" w:type="dxa"/>
            <w:vAlign w:val="bottom"/>
          </w:tcPr>
          <w:p>
            <w:pPr>
              <w:spacing w:after="0"/>
              <w:rPr>
                <w:sz w:val="20"/>
                <w:szCs w:val="20"/>
                <w:color w:val="auto"/>
              </w:rPr>
            </w:pPr>
          </w:p>
        </w:tc>
      </w:tr>
      <w:tr>
        <w:trPr>
          <w:trHeight w:val="109"/>
        </w:trPr>
        <w:tc>
          <w:tcPr>
            <w:tcW w:w="3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59"/>
        </w:trPr>
        <w:tc>
          <w:tcPr>
            <w:tcW w:w="3700" w:type="dxa"/>
            <w:vAlign w:val="bottom"/>
            <w:tcBorders>
              <w:left w:val="single" w:sz="8" w:color="auto"/>
              <w:bottom w:val="single" w:sz="8" w:color="auto"/>
            </w:tcBorders>
          </w:tcPr>
          <w:p>
            <w:pPr>
              <w:jc w:val="center"/>
              <w:ind w:left="114"/>
              <w:spacing w:after="0"/>
              <w:rPr>
                <w:sz w:val="20"/>
                <w:szCs w:val="20"/>
                <w:color w:val="auto"/>
              </w:rPr>
            </w:pPr>
            <w:r>
              <w:rPr>
                <w:rFonts w:ascii="Times New Roman" w:cs="Times New Roman" w:eastAsia="Times New Roman" w:hAnsi="Times New Roman"/>
                <w:sz w:val="12"/>
                <w:szCs w:val="12"/>
                <w:color w:val="auto"/>
              </w:rPr>
              <w:t>Title of each class</w:t>
            </w: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320" w:type="dxa"/>
            <w:vAlign w:val="bottom"/>
            <w:tcBorders>
              <w:bottom w:val="single" w:sz="8" w:color="auto"/>
              <w:right w:val="single" w:sz="8" w:color="auto"/>
            </w:tcBorders>
          </w:tcPr>
          <w:p>
            <w:pPr>
              <w:jc w:val="center"/>
              <w:ind w:right="479"/>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70"/>
        </w:trPr>
        <w:tc>
          <w:tcPr>
            <w:tcW w:w="3700" w:type="dxa"/>
            <w:vAlign w:val="bottom"/>
            <w:tcBorders>
              <w:left w:val="single" w:sz="8" w:color="auto"/>
              <w:bottom w:val="single" w:sz="8" w:color="auto"/>
            </w:tcBorders>
          </w:tcPr>
          <w:p>
            <w:pPr>
              <w:jc w:val="center"/>
              <w:ind w:left="114"/>
              <w:spacing w:after="0"/>
              <w:rPr>
                <w:sz w:val="20"/>
                <w:szCs w:val="20"/>
                <w:color w:val="auto"/>
              </w:rPr>
            </w:pPr>
            <w:r>
              <w:rPr>
                <w:rFonts w:ascii="Times New Roman" w:cs="Times New Roman" w:eastAsia="Times New Roman" w:hAnsi="Times New Roman"/>
                <w:sz w:val="12"/>
                <w:szCs w:val="12"/>
                <w:color w:val="auto"/>
              </w:rPr>
              <w:t>Shares of common stock, par value $0.01 per share</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WEST</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320" w:type="dxa"/>
            <w:vAlign w:val="bottom"/>
            <w:tcBorders>
              <w:bottom w:val="single" w:sz="8" w:color="auto"/>
              <w:right w:val="single" w:sz="8" w:color="auto"/>
            </w:tcBorders>
          </w:tcPr>
          <w:p>
            <w:pPr>
              <w:jc w:val="center"/>
              <w:ind w:right="499"/>
              <w:spacing w:after="0"/>
              <w:rPr>
                <w:sz w:val="20"/>
                <w:szCs w:val="20"/>
                <w:color w:val="auto"/>
              </w:rPr>
            </w:pPr>
            <w:r>
              <w:rPr>
                <w:rFonts w:ascii="Times New Roman" w:cs="Times New Roman" w:eastAsia="Times New Roman" w:hAnsi="Times New Roman"/>
                <w:sz w:val="12"/>
                <w:szCs w:val="12"/>
                <w:color w:val="auto"/>
              </w:rPr>
              <w:t>The Nasdaq Stock Market LLC</w:t>
            </w:r>
          </w:p>
        </w:tc>
      </w:tr>
      <w:tr>
        <w:trPr>
          <w:trHeight w:val="204"/>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3320" w:type="dxa"/>
            <w:vAlign w:val="bottom"/>
          </w:tcPr>
          <w:p>
            <w:pPr>
              <w:spacing w:after="0"/>
              <w:rPr>
                <w:sz w:val="17"/>
                <w:szCs w:val="17"/>
                <w:color w:val="auto"/>
              </w:rPr>
            </w:pPr>
          </w:p>
        </w:tc>
      </w:tr>
    </w:tbl>
    <w:p>
      <w:pPr>
        <w:spacing w:after="0" w:line="166" w:lineRule="exact"/>
        <w:rPr>
          <w:sz w:val="24"/>
          <w:szCs w:val="24"/>
          <w:color w:val="auto"/>
        </w:rPr>
      </w:pPr>
    </w:p>
    <w:p>
      <w:pPr>
        <w:ind w:right="200"/>
        <w:spacing w:after="0" w:line="16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32" w:lineRule="exact"/>
        <w:rPr>
          <w:sz w:val="24"/>
          <w:szCs w:val="24"/>
          <w:color w:val="auto"/>
        </w:rPr>
      </w:pPr>
    </w:p>
    <w:p>
      <w:pPr>
        <w:ind w:right="180"/>
        <w:spacing w:after="0" w:line="16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3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48" w:right="839" w:bottom="1440" w:gutter="0" w:footer="0" w:header="0"/>
        </w:sectPr>
      </w:pPr>
    </w:p>
    <w:p>
      <w:pPr>
        <w:spacing w:after="0" w:line="5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Arial Unicode MS" w:cs="Arial Unicode MS" w:eastAsia="Arial Unicode MS" w:hAnsi="Arial Unicode MS"/>
          <w:sz w:val="12"/>
          <w:szCs w:val="12"/>
          <w:color w:val="auto"/>
        </w:rPr>
        <w:t>☐</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Arial Unicode MS" w:cs="Arial Unicode MS" w:eastAsia="Arial Unicode MS" w:hAnsi="Arial Unicode MS"/>
          <w:sz w:val="12"/>
          <w:szCs w:val="12"/>
          <w:color w:val="auto"/>
        </w:rPr>
        <w:t>☐</w:t>
      </w:r>
    </w:p>
    <w:p>
      <w:pPr>
        <w:spacing w:after="0" w:line="19" w:lineRule="exact"/>
        <w:rPr>
          <w:sz w:val="24"/>
          <w:szCs w:val="24"/>
          <w:color w:val="auto"/>
        </w:rPr>
      </w:pPr>
    </w:p>
    <w:p>
      <w:pPr>
        <w:sectPr>
          <w:pgSz w:w="11900" w:h="16838" w:orient="portrait"/>
          <w:cols w:equalWidth="0" w:num="8">
            <w:col w:w="1280" w:space="720"/>
            <w:col w:w="120" w:space="520"/>
            <w:col w:w="840" w:space="720"/>
            <w:col w:w="120" w:space="620"/>
            <w:col w:w="1100" w:space="720"/>
            <w:col w:w="100" w:space="380"/>
            <w:col w:w="1900" w:space="720"/>
            <w:col w:w="380"/>
          </w:cols>
          <w:pgMar w:left="820" w:top="648" w:right="8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1" w:lineRule="exact"/>
        <w:rPr>
          <w:sz w:val="20"/>
          <w:szCs w:val="20"/>
          <w:color w:val="auto"/>
        </w:rPr>
      </w:pPr>
      <w:r>
        <w:rPr>
          <w:rFonts w:ascii="Arial Unicode MS" w:cs="Arial Unicode MS" w:eastAsia="Arial Unicode MS" w:hAnsi="Arial Unicode MS"/>
          <w:sz w:val="12"/>
          <w:szCs w:val="12"/>
          <w:color w:val="auto"/>
        </w:rPr>
        <w:t>☒</w:t>
      </w:r>
    </w:p>
    <w:p>
      <w:pPr>
        <w:spacing w:after="0" w:line="31" w:lineRule="exact"/>
        <w:rPr>
          <w:sz w:val="24"/>
          <w:szCs w:val="24"/>
          <w:color w:val="auto"/>
        </w:rPr>
      </w:pPr>
    </w:p>
    <w:p>
      <w:pPr>
        <w:sectPr>
          <w:pgSz w:w="11900" w:h="16838" w:orient="portrait"/>
          <w:cols w:equalWidth="0" w:num="2">
            <w:col w:w="1360" w:space="640"/>
            <w:col w:w="8240"/>
          </w:cols>
          <w:pgMar w:left="820" w:top="648" w:right="839" w:bottom="1440" w:gutter="0" w:footer="0" w:header="0"/>
          <w:type w:val="continuous"/>
        </w:sectPr>
      </w:pPr>
    </w:p>
    <w:p>
      <w:pPr>
        <w:ind w:right="160"/>
        <w:spacing w:after="0" w:line="162"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2"/>
          <w:szCs w:val="12"/>
          <w:color w:val="auto"/>
        </w:rPr>
        <w:t>☐</w:t>
      </w:r>
    </w:p>
    <w:p>
      <w:pPr>
        <w:spacing w:after="0" w:line="19" w:lineRule="exact"/>
        <w:rPr>
          <w:sz w:val="24"/>
          <w:szCs w:val="24"/>
          <w:color w:val="auto"/>
        </w:rPr>
      </w:pPr>
    </w:p>
    <w:p>
      <w:pPr>
        <w:ind w:right="3860"/>
        <w:spacing w:after="0" w:line="19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As of November 1, 2024, the Registrant had 94,188,120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805815</wp:posOffset>
            </wp:positionV>
            <wp:extent cx="649986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9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-5080</wp:posOffset>
            </wp:positionV>
            <wp:extent cx="6499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9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36195</wp:posOffset>
            </wp:positionV>
            <wp:extent cx="649986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9860" cy="33655"/>
                    </a:xfrm>
                    <a:prstGeom prst="rect">
                      <a:avLst/>
                    </a:prstGeom>
                    <a:noFill/>
                  </pic:spPr>
                </pic:pic>
              </a:graphicData>
            </a:graphic>
          </wp:anchor>
        </w:drawing>
      </w:r>
    </w:p>
    <w:p>
      <w:pPr>
        <w:sectPr>
          <w:pgSz w:w="11900" w:h="16838" w:orient="portrait"/>
          <w:cols w:equalWidth="0" w:num="1">
            <w:col w:w="10240"/>
          </w:cols>
          <w:pgMar w:left="820" w:top="648" w:right="83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4" w:lineRule="exact"/>
        <w:rPr>
          <w:sz w:val="20"/>
          <w:szCs w:val="20"/>
          <w:color w:val="auto"/>
        </w:rPr>
      </w:pPr>
    </w:p>
    <w:p>
      <w:pPr>
        <w:ind w:left="40" w:right="79"/>
        <w:spacing w:after="0" w:line="217" w:lineRule="auto"/>
        <w:rPr>
          <w:sz w:val="20"/>
          <w:szCs w:val="20"/>
          <w:color w:val="auto"/>
        </w:rPr>
      </w:pPr>
      <w:r>
        <w:rPr>
          <w:rFonts w:ascii="Times New Roman" w:cs="Times New Roman" w:eastAsia="Times New Roman" w:hAnsi="Times New Roman"/>
          <w:sz w:val="18"/>
          <w:szCs w:val="18"/>
          <w:color w:val="auto"/>
        </w:rPr>
        <w:t>This Quarterly Report on Form 10-Q includes forward- looking statements as defined under U.S. federal securities laws. Forward-looking statements include all statements that are not historical statements of fact and statements including, but not limited to, the following statements regarding our expectations, hopes, beliefs, intentions or strategies regarding the future, our expectations regarding the build-out of operations and commercialization of customers within the anticipated time frame of our Conway, Arkansas facility and our ability to sell or commit capacity; our expectations regarding capital expenditures; our future liquidity needs and access to capital; and our expectations regarding remediation of the material weaknesses in our internal control over financial reporting.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28" w:lineRule="exact"/>
        <w:rPr>
          <w:sz w:val="20"/>
          <w:szCs w:val="20"/>
          <w:color w:val="auto"/>
        </w:rPr>
      </w:pPr>
    </w:p>
    <w:p>
      <w:pPr>
        <w:ind w:left="40" w:right="479"/>
        <w:spacing w:after="0" w:line="239"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94" w:lineRule="exact"/>
        <w:rPr>
          <w:sz w:val="20"/>
          <w:szCs w:val="20"/>
          <w:color w:val="auto"/>
        </w:rPr>
      </w:pPr>
    </w:p>
    <w:p>
      <w:pPr>
        <w:ind w:left="1660" w:right="339" w:hanging="321"/>
        <w:spacing w:after="0" w:line="254"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incurred net losses in the past, may incur net losses in the future, and may not achieve profitability;</w:t>
      </w:r>
    </w:p>
    <w:p>
      <w:pPr>
        <w:spacing w:after="0" w:line="1" w:lineRule="exact"/>
        <w:rPr>
          <w:rFonts w:ascii="Times New Roman" w:cs="Times New Roman" w:eastAsia="Times New Roman" w:hAnsi="Times New Roman"/>
          <w:sz w:val="18"/>
          <w:szCs w:val="18"/>
          <w:color w:val="auto"/>
        </w:rPr>
      </w:pPr>
    </w:p>
    <w:p>
      <w:pPr>
        <w:ind w:left="1660" w:hanging="32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 coffee trading business and a coffee exporting business;</w:t>
      </w:r>
    </w:p>
    <w:p>
      <w:pPr>
        <w:spacing w:after="0" w:line="3" w:lineRule="exact"/>
        <w:rPr>
          <w:rFonts w:ascii="Times New Roman" w:cs="Times New Roman" w:eastAsia="Times New Roman" w:hAnsi="Times New Roman"/>
          <w:sz w:val="18"/>
          <w:szCs w:val="18"/>
          <w:color w:val="auto"/>
        </w:rPr>
      </w:pPr>
    </w:p>
    <w:p>
      <w:pPr>
        <w:ind w:left="1660" w:right="35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increases in the cost of green coffee, tea and other ingredients and packaging, and our inability to pass these costs on to customers;</w:t>
      </w:r>
    </w:p>
    <w:p>
      <w:pPr>
        <w:ind w:left="1660" w:right="15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an adequate supply of key raw materials, including green coffee and tea, or disruption in our supply chain;</w:t>
      </w:r>
    </w:p>
    <w:p>
      <w:pPr>
        <w:ind w:left="1660" w:right="45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macroeconomic conditions and/or decreases in consumer spending on discretionary items;</w:t>
      </w:r>
    </w:p>
    <w:p>
      <w:pPr>
        <w:ind w:left="1660" w:right="73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our suppliers’ or our co-manufacturers’ production, distribution or manufacturing facilities or other loss of manufacturing capacity;</w:t>
      </w:r>
    </w:p>
    <w:p>
      <w:pPr>
        <w:ind w:left="1660" w:hanging="32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anticipate customer preferences and successfully develop new products;</w:t>
      </w:r>
    </w:p>
    <w:p>
      <w:pPr>
        <w:spacing w:after="0" w:line="3" w:lineRule="exact"/>
        <w:rPr>
          <w:rFonts w:ascii="Times New Roman" w:cs="Times New Roman" w:eastAsia="Times New Roman" w:hAnsi="Times New Roman"/>
          <w:sz w:val="18"/>
          <w:szCs w:val="18"/>
          <w:color w:val="auto"/>
        </w:rPr>
      </w:pPr>
    </w:p>
    <w:p>
      <w:pPr>
        <w:ind w:left="1660" w:right="59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which may increase commodity costs, damage our facilities and disrupt our production capabilities and supply chain;</w:t>
      </w:r>
    </w:p>
    <w:p>
      <w:pPr>
        <w:ind w:left="1660" w:hanging="32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recruit qualified personnel;</w:t>
      </w:r>
    </w:p>
    <w:p>
      <w:pPr>
        <w:spacing w:after="0" w:line="16" w:lineRule="exact"/>
        <w:rPr>
          <w:rFonts w:ascii="Times New Roman" w:cs="Times New Roman" w:eastAsia="Times New Roman" w:hAnsi="Times New Roman"/>
          <w:sz w:val="18"/>
          <w:szCs w:val="18"/>
          <w:color w:val="auto"/>
        </w:rPr>
      </w:pPr>
    </w:p>
    <w:p>
      <w:pPr>
        <w:ind w:left="1660" w:hanging="32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16" w:lineRule="exact"/>
        <w:rPr>
          <w:rFonts w:ascii="Times New Roman" w:cs="Times New Roman" w:eastAsia="Times New Roman" w:hAnsi="Times New Roman"/>
          <w:sz w:val="18"/>
          <w:szCs w:val="18"/>
          <w:color w:val="auto"/>
        </w:rPr>
      </w:pPr>
    </w:p>
    <w:p>
      <w:pPr>
        <w:ind w:left="1660" w:hanging="32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our distributors and customers or the loss of any key customer;</w:t>
      </w:r>
    </w:p>
    <w:p>
      <w:pPr>
        <w:spacing w:after="0" w:line="16" w:lineRule="exact"/>
        <w:rPr>
          <w:rFonts w:ascii="Times New Roman" w:cs="Times New Roman" w:eastAsia="Times New Roman" w:hAnsi="Times New Roman"/>
          <w:sz w:val="18"/>
          <w:szCs w:val="18"/>
          <w:color w:val="auto"/>
        </w:rPr>
      </w:pPr>
    </w:p>
    <w:p>
      <w:pPr>
        <w:ind w:left="1660" w:right="23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U.S. and international laws and regulations, and noncompliance therewith subjecting us to criminal or civil liability;</w:t>
      </w:r>
    </w:p>
    <w:p>
      <w:pPr>
        <w:ind w:left="1660" w:right="15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businesses, which may divert our management’s attention, prove difficult to effectively integrate and fail to achieve their projected benefits;</w:t>
      </w:r>
    </w:p>
    <w:p>
      <w:pPr>
        <w:ind w:left="1660" w:hanging="32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growth and increased complexity of our business;</w:t>
      </w:r>
    </w:p>
    <w:p>
      <w:pPr>
        <w:spacing w:after="0" w:line="16" w:lineRule="exact"/>
        <w:rPr>
          <w:rFonts w:ascii="Times New Roman" w:cs="Times New Roman" w:eastAsia="Times New Roman" w:hAnsi="Times New Roman"/>
          <w:sz w:val="18"/>
          <w:szCs w:val="18"/>
          <w:color w:val="auto"/>
        </w:rPr>
      </w:pPr>
    </w:p>
    <w:p>
      <w:pPr>
        <w:ind w:left="1660" w:right="37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market share through continued differentiation of our product and competitive pricing;</w:t>
      </w:r>
    </w:p>
    <w:p>
      <w:pPr>
        <w:ind w:left="1660" w:hanging="32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the additional capital needed to operate and grow our business;</w:t>
      </w:r>
    </w:p>
    <w:p>
      <w:pPr>
        <w:spacing w:after="0" w:line="16" w:lineRule="exact"/>
        <w:rPr>
          <w:rFonts w:ascii="Times New Roman" w:cs="Times New Roman" w:eastAsia="Times New Roman" w:hAnsi="Times New Roman"/>
          <w:sz w:val="18"/>
          <w:szCs w:val="18"/>
          <w:color w:val="auto"/>
        </w:rPr>
      </w:pPr>
    </w:p>
    <w:p>
      <w:pPr>
        <w:ind w:left="1660" w:right="239" w:hanging="321"/>
        <w:spacing w:after="0" w:line="244"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remediation plans with regards to the material weaknesses in our internal control over financial reporting;</w:t>
      </w:r>
    </w:p>
    <w:p>
      <w:pPr>
        <w:ind w:left="1660" w:right="279" w:hanging="321"/>
        <w:spacing w:after="0" w:line="252" w:lineRule="auto"/>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legal disputes, which could lead us to incur significant liabilities and costs or harm our reputation;</w:t>
      </w:r>
    </w:p>
    <w:p>
      <w:pPr>
        <w:ind w:left="1660" w:hanging="321"/>
        <w:spacing w:after="0"/>
        <w:tabs>
          <w:tab w:leader="none" w:pos="1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inadequacy or interruption of our information technology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755650</wp:posOffset>
            </wp:positionV>
            <wp:extent cx="56635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60" w:right="619" w:hanging="321"/>
        <w:spacing w:after="0" w:line="254" w:lineRule="auto"/>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theft, use or destruction of personal, financial or other confidential information relating to our customers, suppliers, employees or business;</w:t>
      </w:r>
    </w:p>
    <w:p>
      <w:pPr>
        <w:spacing w:after="0" w:line="1" w:lineRule="exact"/>
        <w:rPr>
          <w:rFonts w:ascii="Times New Roman" w:cs="Times New Roman" w:eastAsia="Times New Roman" w:hAnsi="Times New Roman"/>
          <w:sz w:val="18"/>
          <w:szCs w:val="18"/>
          <w:color w:val="auto"/>
        </w:rPr>
      </w:pPr>
    </w:p>
    <w:p>
      <w:pPr>
        <w:ind w:left="1660" w:right="359" w:hanging="321"/>
        <w:spacing w:after="0" w:line="252" w:lineRule="auto"/>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 of indebtedness, which may reduce funds available for other business purposes and reduce our operational flexibility;</w:t>
      </w:r>
    </w:p>
    <w:p>
      <w:pPr>
        <w:ind w:left="1660" w:hanging="321"/>
        <w:spacing w:after="0"/>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financial covenants in our credit agreement;</w:t>
      </w:r>
    </w:p>
    <w:p>
      <w:pPr>
        <w:spacing w:after="0" w:line="16" w:lineRule="exact"/>
        <w:rPr>
          <w:rFonts w:ascii="Times New Roman" w:cs="Times New Roman" w:eastAsia="Times New Roman" w:hAnsi="Times New Roman"/>
          <w:sz w:val="18"/>
          <w:szCs w:val="18"/>
          <w:color w:val="auto"/>
        </w:rPr>
      </w:pPr>
    </w:p>
    <w:p>
      <w:pPr>
        <w:ind w:left="1660" w:right="179" w:hanging="321"/>
        <w:spacing w:after="0" w:line="249" w:lineRule="auto"/>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build out operations, commercialize customers, and generate positive operating cash flows within the anticipated time frame following the recent opening of our new facility in Conway, Arkansas or incurring additional expenses in the process;</w:t>
      </w:r>
    </w:p>
    <w:p>
      <w:pPr>
        <w:spacing w:after="0" w:line="1" w:lineRule="exact"/>
        <w:rPr>
          <w:rFonts w:ascii="Times New Roman" w:cs="Times New Roman" w:eastAsia="Times New Roman" w:hAnsi="Times New Roman"/>
          <w:sz w:val="18"/>
          <w:szCs w:val="18"/>
          <w:color w:val="auto"/>
        </w:rPr>
      </w:pPr>
    </w:p>
    <w:p>
      <w:pPr>
        <w:ind w:left="1660" w:right="679" w:hanging="321"/>
        <w:spacing w:after="0" w:line="252" w:lineRule="auto"/>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organization, which may prevent or delay attempts to acquire a controlling interest in the Company;</w:t>
      </w:r>
    </w:p>
    <w:p>
      <w:pPr>
        <w:jc w:val="both"/>
        <w:ind w:left="1660" w:right="139" w:hanging="321"/>
        <w:spacing w:after="0" w:line="249" w:lineRule="auto"/>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spacing w:after="0" w:line="1" w:lineRule="exact"/>
        <w:rPr>
          <w:rFonts w:ascii="Times New Roman" w:cs="Times New Roman" w:eastAsia="Times New Roman" w:hAnsi="Times New Roman"/>
          <w:sz w:val="18"/>
          <w:szCs w:val="18"/>
          <w:color w:val="auto"/>
        </w:rPr>
      </w:pPr>
    </w:p>
    <w:p>
      <w:pPr>
        <w:ind w:left="1660" w:right="119" w:hanging="321"/>
        <w:spacing w:after="0" w:line="245" w:lineRule="auto"/>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global economic conditions, including those caused by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p>
      <w:pPr>
        <w:spacing w:after="0" w:line="5" w:lineRule="exact"/>
        <w:rPr>
          <w:rFonts w:ascii="Times New Roman" w:cs="Times New Roman" w:eastAsia="Times New Roman" w:hAnsi="Times New Roman"/>
          <w:sz w:val="18"/>
          <w:szCs w:val="18"/>
          <w:color w:val="auto"/>
        </w:rPr>
      </w:pPr>
    </w:p>
    <w:p>
      <w:pPr>
        <w:ind w:left="1660" w:right="139" w:hanging="321"/>
        <w:spacing w:after="0" w:line="249" w:lineRule="auto"/>
        <w:tabs>
          <w:tab w:leader="none" w:pos="1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the “Business” and “Risk Factors” sections in the Company’s Annual Report on Form 10-K filed with the U.S. Securities and Exchange Commission (“SEC”) on March 15, 2024 (“Annual Report”) and in the “Management’s Discussion and Analysis of Financial Condition and Results of Operations” and “Risk Factors” sections of this Quarterly Report on Form 10-Q, as well as those described from time to time in our future reports filed with the SEC.</w:t>
      </w:r>
    </w:p>
    <w:p>
      <w:pPr>
        <w:spacing w:after="0" w:line="121" w:lineRule="exact"/>
        <w:rPr>
          <w:sz w:val="20"/>
          <w:szCs w:val="20"/>
          <w:color w:val="auto"/>
        </w:rPr>
      </w:pPr>
    </w:p>
    <w:p>
      <w:pPr>
        <w:ind w:left="40" w:right="139"/>
        <w:spacing w:after="0" w:line="228"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the Annual Report or in this Quarterly Report on Form 10 -Q.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871855</wp:posOffset>
            </wp:positionV>
            <wp:extent cx="56635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3565" cy="1651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gridSpan w:val="13"/>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080" w:type="dxa"/>
            <w:vAlign w:val="bottom"/>
            <w:gridSpan w:val="48"/>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51"/>
        </w:trPr>
        <w:tc>
          <w:tcPr>
            <w:tcW w:w="2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line="152" w:lineRule="exact"/>
              <w:rPr>
                <w:sz w:val="20"/>
                <w:szCs w:val="20"/>
                <w:color w:val="auto"/>
              </w:rPr>
            </w:pPr>
            <w:r>
              <w:rPr>
                <w:rFonts w:ascii="Times New Roman" w:cs="Times New Roman" w:eastAsia="Times New Roman" w:hAnsi="Times New Roman"/>
                <w:sz w:val="16"/>
                <w:szCs w:val="16"/>
                <w:color w:val="0000EE"/>
              </w:rPr>
              <w:t>Item 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top w:val="single" w:sz="8" w:color="0000EE"/>
            </w:tcBorders>
            <w:gridSpan w:val="18"/>
          </w:tcPr>
          <w:p>
            <w:pPr>
              <w:spacing w:after="0" w:line="152" w:lineRule="exact"/>
              <w:rPr>
                <w:sz w:val="20"/>
                <w:szCs w:val="20"/>
                <w:color w:val="auto"/>
              </w:rPr>
            </w:pPr>
            <w:r>
              <w:rPr>
                <w:rFonts w:ascii="Times New Roman" w:cs="Times New Roman" w:eastAsia="Times New Roman" w:hAnsi="Times New Roman"/>
                <w:sz w:val="16"/>
                <w:szCs w:val="16"/>
                <w:color w:val="0000EE"/>
              </w:rPr>
              <w:t>Financial Statements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jc w:val="right"/>
              <w:spacing w:after="0" w:line="152"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vMerge w:val="restart"/>
          </w:tcPr>
          <w:p>
            <w:pPr>
              <w:jc w:val="right"/>
              <w:spacing w:after="0" w:line="198"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80" w:type="dxa"/>
            <w:vAlign w:val="bottom"/>
            <w:gridSpan w:val="48"/>
          </w:tcPr>
          <w:p>
            <w:pPr>
              <w:spacing w:after="0" w:line="177"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tcBorders>
              <w:top w:val="single" w:sz="8" w:color="0000EE"/>
            </w:tcBorders>
            <w:gridSpan w:val="35"/>
          </w:tcPr>
          <w:p>
            <w:pPr>
              <w:spacing w:after="0" w:line="177" w:lineRule="exact"/>
              <w:rPr>
                <w:sz w:val="20"/>
                <w:szCs w:val="20"/>
                <w:color w:val="auto"/>
              </w:rPr>
            </w:pPr>
            <w:r>
              <w:rPr>
                <w:rFonts w:ascii="Times New Roman" w:cs="Times New Roman" w:eastAsia="Times New Roman" w:hAnsi="Times New Roman"/>
                <w:sz w:val="18"/>
                <w:szCs w:val="18"/>
                <w:color w:val="0000EE"/>
                <w:w w:val="97"/>
              </w:rPr>
              <w:t>Condensed Consolidated Statements of</w:t>
            </w:r>
          </w:p>
        </w:tc>
        <w:tc>
          <w:tcPr>
            <w:tcW w:w="4300" w:type="dxa"/>
            <w:vAlign w:val="bottom"/>
            <w:gridSpan w:val="13"/>
          </w:tcPr>
          <w:p>
            <w:pPr>
              <w:spacing w:after="0" w:line="177" w:lineRule="exact"/>
              <w:rPr>
                <w:sz w:val="20"/>
                <w:szCs w:val="20"/>
                <w:color w:val="auto"/>
              </w:rPr>
            </w:pPr>
            <w:r>
              <w:rPr>
                <w:rFonts w:ascii="Times New Roman" w:cs="Times New Roman" w:eastAsia="Times New Roman" w:hAnsi="Times New Roman"/>
                <w:sz w:val="18"/>
                <w:szCs w:val="18"/>
                <w:color w:val="0000EE"/>
              </w:rPr>
              <w:t>Operations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vMerge w:val="restart"/>
          </w:tcPr>
          <w:p>
            <w:pPr>
              <w:jc w:val="right"/>
              <w:spacing w:after="0" w:line="198"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80" w:type="dxa"/>
            <w:vAlign w:val="bottom"/>
            <w:gridSpan w:val="48"/>
          </w:tcPr>
          <w:p>
            <w:pPr>
              <w:spacing w:after="0" w:line="177"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80" w:type="dxa"/>
            <w:vAlign w:val="bottom"/>
            <w:tcBorders>
              <w:top w:val="single" w:sz="8" w:color="0000EE"/>
            </w:tcBorders>
            <w:gridSpan w:val="46"/>
          </w:tcPr>
          <w:p>
            <w:pPr>
              <w:spacing w:after="0" w:line="177" w:lineRule="exact"/>
              <w:rPr>
                <w:sz w:val="20"/>
                <w:szCs w:val="20"/>
                <w:color w:val="auto"/>
              </w:rPr>
            </w:pPr>
            <w:r>
              <w:rPr>
                <w:rFonts w:ascii="Times New Roman" w:cs="Times New Roman" w:eastAsia="Times New Roman" w:hAnsi="Times New Roman"/>
                <w:sz w:val="18"/>
                <w:szCs w:val="18"/>
                <w:color w:val="0000EE"/>
                <w:w w:val="96"/>
              </w:rPr>
              <w:t>Condensed Consolidated Statements of Shareholders’ Equity (Deficit)</w:t>
            </w: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tcBorders>
              <w:top w:val="single" w:sz="8" w:color="0000EE"/>
              <w:bottom w:val="single" w:sz="8" w:color="0000EE"/>
            </w:tcBorders>
            <w:gridSpan w:val="40"/>
          </w:tcPr>
          <w:p>
            <w:pPr>
              <w:spacing w:after="0" w:line="177" w:lineRule="exact"/>
              <w:rPr>
                <w:sz w:val="20"/>
                <w:szCs w:val="20"/>
                <w:color w:val="auto"/>
              </w:rPr>
            </w:pPr>
            <w:r>
              <w:rPr>
                <w:rFonts w:ascii="Times New Roman" w:cs="Times New Roman" w:eastAsia="Times New Roman" w:hAnsi="Times New Roman"/>
                <w:sz w:val="18"/>
                <w:szCs w:val="18"/>
                <w:color w:val="0000EE"/>
                <w:w w:val="94"/>
              </w:rPr>
              <w:t>Condensed Consolidated Statements of Cash Flows</w:t>
            </w:r>
          </w:p>
        </w:tc>
        <w:tc>
          <w:tcPr>
            <w:tcW w:w="1320" w:type="dxa"/>
            <w:vAlign w:val="bottom"/>
            <w:tcBorders>
              <w:top w:val="single" w:sz="8" w:color="0000EE"/>
            </w:tcBorders>
            <w:gridSpan w:val="5"/>
          </w:tcPr>
          <w:p>
            <w:pPr>
              <w:spacing w:after="0"/>
              <w:rPr>
                <w:sz w:val="15"/>
                <w:szCs w:val="15"/>
                <w:color w:val="auto"/>
              </w:rPr>
            </w:pPr>
          </w:p>
        </w:tc>
        <w:tc>
          <w:tcPr>
            <w:tcW w:w="1360" w:type="dxa"/>
            <w:vAlign w:val="bottom"/>
            <w:gridSpan w:val="2"/>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80" w:type="dxa"/>
            <w:vAlign w:val="bottom"/>
            <w:gridSpan w:val="48"/>
          </w:tcPr>
          <w:p>
            <w:pPr>
              <w:spacing w:after="0" w:line="177"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Borders>
              <w:top w:val="single" w:sz="8" w:color="0000EE"/>
            </w:tcBorders>
            <w:gridSpan w:val="42"/>
          </w:tcPr>
          <w:p>
            <w:pPr>
              <w:ind w:left="40"/>
              <w:spacing w:after="0" w:line="177" w:lineRule="exact"/>
              <w:rPr>
                <w:sz w:val="20"/>
                <w:szCs w:val="20"/>
                <w:color w:val="auto"/>
              </w:rPr>
            </w:pPr>
            <w:r>
              <w:rPr>
                <w:rFonts w:ascii="Times New Roman" w:cs="Times New Roman" w:eastAsia="Times New Roman" w:hAnsi="Times New Roman"/>
                <w:sz w:val="18"/>
                <w:szCs w:val="18"/>
                <w:color w:val="0000EE"/>
              </w:rPr>
              <w:t>1. Organization and Description of Business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36"/>
          </w:tcPr>
          <w:p>
            <w:pPr>
              <w:ind w:left="40"/>
              <w:spacing w:after="0" w:line="177" w:lineRule="exact"/>
              <w:rPr>
                <w:sz w:val="20"/>
                <w:szCs w:val="20"/>
                <w:color w:val="auto"/>
              </w:rPr>
            </w:pPr>
            <w:r>
              <w:rPr>
                <w:rFonts w:ascii="Times New Roman" w:cs="Times New Roman" w:eastAsia="Times New Roman" w:hAnsi="Times New Roman"/>
                <w:sz w:val="18"/>
                <w:szCs w:val="18"/>
                <w:color w:val="0000EE"/>
                <w:w w:val="97"/>
              </w:rPr>
              <w:t>2. Basis of Presentation and Consolidation</w:t>
            </w:r>
          </w:p>
        </w:tc>
        <w:tc>
          <w:tcPr>
            <w:tcW w:w="120" w:type="dxa"/>
            <w:vAlign w:val="bottom"/>
            <w:tcBorders>
              <w:top w:val="single" w:sz="8" w:color="0000EE"/>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80" w:type="dxa"/>
            <w:vAlign w:val="bottom"/>
            <w:gridSpan w:val="48"/>
          </w:tcPr>
          <w:p>
            <w:pPr>
              <w:ind w:left="40"/>
              <w:spacing w:after="0" w:line="177" w:lineRule="exact"/>
              <w:rPr>
                <w:sz w:val="20"/>
                <w:szCs w:val="20"/>
                <w:color w:val="auto"/>
              </w:rPr>
            </w:pPr>
            <w:r>
              <w:rPr>
                <w:rFonts w:ascii="Times New Roman" w:cs="Times New Roman" w:eastAsia="Times New Roman" w:hAnsi="Times New Roman"/>
                <w:sz w:val="18"/>
                <w:szCs w:val="18"/>
                <w:color w:val="0000EE"/>
              </w:rPr>
              <w:t>3. Summary of Significant Accounting Policies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0000EE"/>
              <w:bottom w:val="single" w:sz="8" w:color="0000EE"/>
            </w:tcBorders>
            <w:gridSpan w:val="8"/>
          </w:tcPr>
          <w:p>
            <w:pPr>
              <w:ind w:left="40"/>
              <w:spacing w:after="0" w:line="177" w:lineRule="exact"/>
              <w:rPr>
                <w:sz w:val="20"/>
                <w:szCs w:val="20"/>
                <w:color w:val="auto"/>
              </w:rPr>
            </w:pPr>
            <w:r>
              <w:rPr>
                <w:rFonts w:ascii="Times New Roman" w:cs="Times New Roman" w:eastAsia="Times New Roman" w:hAnsi="Times New Roman"/>
                <w:sz w:val="18"/>
                <w:szCs w:val="18"/>
                <w:color w:val="0000EE"/>
                <w:w w:val="96"/>
              </w:rPr>
              <w:t>4. Revenue</w:t>
            </w:r>
          </w:p>
        </w:tc>
        <w:tc>
          <w:tcPr>
            <w:tcW w:w="2540" w:type="dxa"/>
            <w:vAlign w:val="bottom"/>
            <w:tcBorders>
              <w:top w:val="single" w:sz="8" w:color="0000EE"/>
            </w:tcBorders>
            <w:gridSpan w:val="30"/>
          </w:tcPr>
          <w:p>
            <w:pPr>
              <w:spacing w:after="0"/>
              <w:rPr>
                <w:sz w:val="15"/>
                <w:szCs w:val="15"/>
                <w:color w:val="auto"/>
              </w:rPr>
            </w:pPr>
          </w:p>
        </w:tc>
        <w:tc>
          <w:tcPr>
            <w:tcW w:w="380" w:type="dxa"/>
            <w:vAlign w:val="bottom"/>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80" w:type="dxa"/>
            <w:vAlign w:val="bottom"/>
            <w:gridSpan w:val="48"/>
          </w:tcPr>
          <w:p>
            <w:pPr>
              <w:ind w:left="40"/>
              <w:spacing w:after="0" w:line="177" w:lineRule="exact"/>
              <w:rPr>
                <w:sz w:val="20"/>
                <w:szCs w:val="20"/>
                <w:color w:val="auto"/>
              </w:rPr>
            </w:pPr>
            <w:r>
              <w:rPr>
                <w:rFonts w:ascii="Times New Roman" w:cs="Times New Roman" w:eastAsia="Times New Roman" w:hAnsi="Times New Roman"/>
                <w:sz w:val="18"/>
                <w:szCs w:val="18"/>
                <w:color w:val="0000EE"/>
              </w:rPr>
              <w:t>5. Acquisitions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11"/>
          </w:tcPr>
          <w:p>
            <w:pPr>
              <w:ind w:left="40"/>
              <w:spacing w:after="0" w:line="177" w:lineRule="exact"/>
              <w:rPr>
                <w:sz w:val="20"/>
                <w:szCs w:val="20"/>
                <w:color w:val="auto"/>
              </w:rPr>
            </w:pPr>
            <w:r>
              <w:rPr>
                <w:rFonts w:ascii="Times New Roman" w:cs="Times New Roman" w:eastAsia="Times New Roman" w:hAnsi="Times New Roman"/>
                <w:sz w:val="18"/>
                <w:szCs w:val="18"/>
                <w:color w:val="0000EE"/>
                <w:w w:val="96"/>
              </w:rPr>
              <w:t>6. Inventories</w:t>
            </w:r>
          </w:p>
        </w:tc>
        <w:tc>
          <w:tcPr>
            <w:tcW w:w="1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7"/>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80" w:type="dxa"/>
            <w:vAlign w:val="bottom"/>
            <w:gridSpan w:val="48"/>
          </w:tcPr>
          <w:p>
            <w:pPr>
              <w:ind w:left="40"/>
              <w:spacing w:after="0" w:line="177" w:lineRule="exact"/>
              <w:rPr>
                <w:sz w:val="20"/>
                <w:szCs w:val="20"/>
                <w:color w:val="auto"/>
              </w:rPr>
            </w:pPr>
            <w:r>
              <w:rPr>
                <w:rFonts w:ascii="Times New Roman" w:cs="Times New Roman" w:eastAsia="Times New Roman" w:hAnsi="Times New Roman"/>
                <w:sz w:val="18"/>
                <w:szCs w:val="18"/>
                <w:color w:val="0000EE"/>
              </w:rPr>
              <w:t>7. Property, Plant and Equipment, Net</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Borders>
              <w:top w:val="single" w:sz="8" w:color="0000EE"/>
            </w:tcBorders>
            <w:gridSpan w:val="34"/>
          </w:tcPr>
          <w:p>
            <w:pPr>
              <w:ind w:left="40"/>
              <w:spacing w:after="0" w:line="177" w:lineRule="exact"/>
              <w:rPr>
                <w:sz w:val="20"/>
                <w:szCs w:val="20"/>
                <w:color w:val="auto"/>
              </w:rPr>
            </w:pPr>
            <w:r>
              <w:rPr>
                <w:rFonts w:ascii="Times New Roman" w:cs="Times New Roman" w:eastAsia="Times New Roman" w:hAnsi="Times New Roman"/>
                <w:sz w:val="18"/>
                <w:szCs w:val="18"/>
                <w:color w:val="0000EE"/>
              </w:rPr>
              <w:t>8. Goodwill</w:t>
            </w:r>
          </w:p>
        </w:tc>
        <w:tc>
          <w:tcPr>
            <w:tcW w:w="1040" w:type="dxa"/>
            <w:vAlign w:val="bottom"/>
            <w:gridSpan w:val="7"/>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0000EE"/>
              <w:bottom w:val="single" w:sz="8" w:color="0000EE"/>
            </w:tcBorders>
            <w:gridSpan w:val="9"/>
          </w:tcPr>
          <w:p>
            <w:pPr>
              <w:ind w:left="40"/>
              <w:spacing w:after="0" w:line="177" w:lineRule="exact"/>
              <w:rPr>
                <w:sz w:val="20"/>
                <w:szCs w:val="20"/>
                <w:color w:val="auto"/>
              </w:rPr>
            </w:pPr>
            <w:r>
              <w:rPr>
                <w:rFonts w:ascii="Times New Roman" w:cs="Times New Roman" w:eastAsia="Times New Roman" w:hAnsi="Times New Roman"/>
                <w:sz w:val="18"/>
                <w:szCs w:val="18"/>
                <w:color w:val="0000EE"/>
                <w:w w:val="90"/>
              </w:rPr>
              <w:t>9. Intangible</w:t>
            </w:r>
          </w:p>
        </w:tc>
        <w:tc>
          <w:tcPr>
            <w:tcW w:w="900" w:type="dxa"/>
            <w:vAlign w:val="bottom"/>
            <w:tcBorders>
              <w:bottom w:val="single" w:sz="8" w:color="0000EE"/>
            </w:tcBorders>
            <w:gridSpan w:val="13"/>
          </w:tcPr>
          <w:p>
            <w:pPr>
              <w:ind w:left="100"/>
              <w:spacing w:after="0" w:line="177" w:lineRule="exact"/>
              <w:rPr>
                <w:sz w:val="20"/>
                <w:szCs w:val="20"/>
                <w:color w:val="auto"/>
              </w:rPr>
            </w:pPr>
            <w:r>
              <w:rPr>
                <w:rFonts w:ascii="Times New Roman" w:cs="Times New Roman" w:eastAsia="Times New Roman" w:hAnsi="Times New Roman"/>
                <w:sz w:val="18"/>
                <w:szCs w:val="18"/>
                <w:color w:val="0000EE"/>
                <w:w w:val="95"/>
              </w:rPr>
              <w:t>Assets, Net</w:t>
            </w:r>
          </w:p>
        </w:tc>
        <w:tc>
          <w:tcPr>
            <w:tcW w:w="5300" w:type="dxa"/>
            <w:vAlign w:val="bottom"/>
            <w:gridSpan w:val="26"/>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74"/>
              </w:rPr>
              <w:t>10.</w:t>
            </w:r>
          </w:p>
        </w:tc>
        <w:tc>
          <w:tcPr>
            <w:tcW w:w="1620" w:type="dxa"/>
            <w:vAlign w:val="bottom"/>
            <w:gridSpan w:val="20"/>
          </w:tcPr>
          <w:p>
            <w:pPr>
              <w:ind w:left="20"/>
              <w:spacing w:after="0" w:line="177" w:lineRule="exact"/>
              <w:rPr>
                <w:sz w:val="20"/>
                <w:szCs w:val="20"/>
                <w:color w:val="auto"/>
              </w:rPr>
            </w:pPr>
            <w:r>
              <w:rPr>
                <w:rFonts w:ascii="Times New Roman" w:cs="Times New Roman" w:eastAsia="Times New Roman" w:hAnsi="Times New Roman"/>
                <w:sz w:val="18"/>
                <w:szCs w:val="18"/>
                <w:color w:val="0000EE"/>
              </w:rPr>
              <w:t>Leases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8"/>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0000EE"/>
            </w:tcBorders>
            <w:gridSpan w:val="5"/>
          </w:tcPr>
          <w:p>
            <w:pPr>
              <w:spacing w:after="0" w:line="177" w:lineRule="exact"/>
              <w:rPr>
                <w:sz w:val="20"/>
                <w:szCs w:val="20"/>
                <w:color w:val="auto"/>
              </w:rPr>
            </w:pPr>
            <w:r>
              <w:rPr>
                <w:rFonts w:ascii="Times New Roman" w:cs="Times New Roman" w:eastAsia="Times New Roman" w:hAnsi="Times New Roman"/>
                <w:sz w:val="18"/>
                <w:szCs w:val="18"/>
                <w:color w:val="0000EE"/>
              </w:rPr>
              <w:t>11. Debt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3"/>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8"/>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12.</w:t>
            </w:r>
          </w:p>
        </w:tc>
        <w:tc>
          <w:tcPr>
            <w:tcW w:w="360" w:type="dxa"/>
            <w:vAlign w:val="bottom"/>
            <w:tcBorders>
              <w:top w:val="single" w:sz="8" w:color="0000EE"/>
            </w:tcBorders>
            <w:gridSpan w:val="2"/>
          </w:tcPr>
          <w:p>
            <w:pPr>
              <w:ind w:left="20"/>
              <w:spacing w:after="0" w:line="177" w:lineRule="exact"/>
              <w:rPr>
                <w:sz w:val="20"/>
                <w:szCs w:val="20"/>
                <w:color w:val="auto"/>
              </w:rPr>
            </w:pPr>
            <w:r>
              <w:rPr>
                <w:rFonts w:ascii="Times New Roman" w:cs="Times New Roman" w:eastAsia="Times New Roman" w:hAnsi="Times New Roman"/>
                <w:sz w:val="18"/>
                <w:szCs w:val="18"/>
                <w:color w:val="0000EE"/>
                <w:w w:val="72"/>
              </w:rPr>
              <w:t>Series</w:t>
            </w:r>
          </w:p>
        </w:tc>
        <w:tc>
          <w:tcPr>
            <w:tcW w:w="6560" w:type="dxa"/>
            <w:vAlign w:val="bottom"/>
            <w:gridSpan w:val="44"/>
          </w:tcPr>
          <w:p>
            <w:pPr>
              <w:ind w:left="140"/>
              <w:spacing w:after="0" w:line="177" w:lineRule="exact"/>
              <w:rPr>
                <w:sz w:val="20"/>
                <w:szCs w:val="20"/>
                <w:color w:val="auto"/>
              </w:rPr>
            </w:pPr>
            <w:r>
              <w:rPr>
                <w:rFonts w:ascii="Times New Roman" w:cs="Times New Roman" w:eastAsia="Times New Roman" w:hAnsi="Times New Roman"/>
                <w:sz w:val="18"/>
                <w:szCs w:val="18"/>
                <w:color w:val="0000EE"/>
              </w:rPr>
              <w:t>A Preferred Shares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13.</w:t>
            </w:r>
          </w:p>
        </w:tc>
        <w:tc>
          <w:tcPr>
            <w:tcW w:w="1840" w:type="dxa"/>
            <w:vAlign w:val="bottom"/>
            <w:tcBorders>
              <w:top w:val="single" w:sz="8" w:color="0000EE"/>
            </w:tcBorders>
            <w:gridSpan w:val="24"/>
          </w:tcPr>
          <w:p>
            <w:pPr>
              <w:ind w:left="20"/>
              <w:spacing w:after="0" w:line="177" w:lineRule="exact"/>
              <w:rPr>
                <w:sz w:val="20"/>
                <w:szCs w:val="20"/>
                <w:color w:val="auto"/>
              </w:rPr>
            </w:pPr>
            <w:r>
              <w:rPr>
                <w:rFonts w:ascii="Times New Roman" w:cs="Times New Roman" w:eastAsia="Times New Roman" w:hAnsi="Times New Roman"/>
                <w:sz w:val="18"/>
                <w:szCs w:val="18"/>
                <w:color w:val="0000EE"/>
                <w:w w:val="98"/>
              </w:rPr>
              <w:t>Common Stock Warrants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8"/>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14.</w:t>
            </w:r>
          </w:p>
        </w:tc>
        <w:tc>
          <w:tcPr>
            <w:tcW w:w="1800" w:type="dxa"/>
            <w:vAlign w:val="bottom"/>
            <w:tcBorders>
              <w:top w:val="single" w:sz="8" w:color="0000EE"/>
            </w:tcBorders>
            <w:gridSpan w:val="22"/>
          </w:tcPr>
          <w:p>
            <w:pPr>
              <w:ind w:left="20"/>
              <w:spacing w:after="0" w:line="177" w:lineRule="exact"/>
              <w:rPr>
                <w:sz w:val="20"/>
                <w:szCs w:val="20"/>
                <w:color w:val="auto"/>
              </w:rPr>
            </w:pPr>
            <w:r>
              <w:rPr>
                <w:rFonts w:ascii="Times New Roman" w:cs="Times New Roman" w:eastAsia="Times New Roman" w:hAnsi="Times New Roman"/>
                <w:sz w:val="18"/>
                <w:szCs w:val="18"/>
                <w:color w:val="0000EE"/>
              </w:rPr>
              <w:t>Derivatives</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8"/>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15.</w:t>
            </w:r>
          </w:p>
        </w:tc>
        <w:tc>
          <w:tcPr>
            <w:tcW w:w="820" w:type="dxa"/>
            <w:vAlign w:val="bottom"/>
            <w:tcBorders>
              <w:top w:val="single" w:sz="8" w:color="0000EE"/>
              <w:bottom w:val="single" w:sz="8" w:color="0000EE"/>
            </w:tcBorders>
            <w:gridSpan w:val="8"/>
          </w:tcPr>
          <w:p>
            <w:pPr>
              <w:ind w:left="20"/>
              <w:spacing w:after="0" w:line="177" w:lineRule="exact"/>
              <w:rPr>
                <w:sz w:val="20"/>
                <w:szCs w:val="20"/>
                <w:color w:val="auto"/>
              </w:rPr>
            </w:pPr>
            <w:r>
              <w:rPr>
                <w:rFonts w:ascii="Times New Roman" w:cs="Times New Roman" w:eastAsia="Times New Roman" w:hAnsi="Times New Roman"/>
                <w:sz w:val="18"/>
                <w:szCs w:val="18"/>
                <w:color w:val="0000EE"/>
              </w:rPr>
              <w:t>Fair Value</w:t>
            </w:r>
          </w:p>
        </w:tc>
        <w:tc>
          <w:tcPr>
            <w:tcW w:w="1000" w:type="dxa"/>
            <w:vAlign w:val="bottom"/>
            <w:tcBorders>
              <w:bottom w:val="single" w:sz="8" w:color="0000EE"/>
            </w:tcBorders>
            <w:gridSpan w:val="15"/>
          </w:tcPr>
          <w:p>
            <w:pPr>
              <w:spacing w:after="0" w:line="177" w:lineRule="exact"/>
              <w:rPr>
                <w:sz w:val="20"/>
                <w:szCs w:val="20"/>
                <w:color w:val="auto"/>
              </w:rPr>
            </w:pPr>
            <w:r>
              <w:rPr>
                <w:rFonts w:ascii="Times New Roman" w:cs="Times New Roman" w:eastAsia="Times New Roman" w:hAnsi="Times New Roman"/>
                <w:sz w:val="18"/>
                <w:szCs w:val="18"/>
                <w:color w:val="0000EE"/>
                <w:w w:val="93"/>
              </w:rPr>
              <w:t>Measurements</w:t>
            </w:r>
          </w:p>
        </w:tc>
        <w:tc>
          <w:tcPr>
            <w:tcW w:w="5100" w:type="dxa"/>
            <w:vAlign w:val="bottom"/>
            <w:gridSpan w:val="23"/>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74"/>
              </w:rPr>
              <w:t>16.</w:t>
            </w:r>
          </w:p>
        </w:tc>
        <w:tc>
          <w:tcPr>
            <w:tcW w:w="6920" w:type="dxa"/>
            <w:vAlign w:val="bottom"/>
            <w:gridSpan w:val="46"/>
          </w:tcPr>
          <w:p>
            <w:pPr>
              <w:ind w:left="20"/>
              <w:spacing w:after="0" w:line="177" w:lineRule="exact"/>
              <w:rPr>
                <w:sz w:val="20"/>
                <w:szCs w:val="20"/>
                <w:color w:val="auto"/>
              </w:rPr>
            </w:pPr>
            <w:r>
              <w:rPr>
                <w:rFonts w:ascii="Times New Roman" w:cs="Times New Roman" w:eastAsia="Times New Roman" w:hAnsi="Times New Roman"/>
                <w:sz w:val="18"/>
                <w:szCs w:val="18"/>
                <w:color w:val="0000EE"/>
              </w:rPr>
              <w:t>Accumulated Other Comprehensive Income (Loss)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17.</w:t>
            </w:r>
          </w:p>
        </w:tc>
        <w:tc>
          <w:tcPr>
            <w:tcW w:w="3600" w:type="dxa"/>
            <w:vAlign w:val="bottom"/>
            <w:tcBorders>
              <w:top w:val="single" w:sz="8" w:color="0000EE"/>
            </w:tcBorders>
            <w:gridSpan w:val="39"/>
          </w:tcPr>
          <w:p>
            <w:pPr>
              <w:ind w:left="20"/>
              <w:spacing w:after="0" w:line="177" w:lineRule="exact"/>
              <w:rPr>
                <w:sz w:val="20"/>
                <w:szCs w:val="20"/>
                <w:color w:val="auto"/>
              </w:rPr>
            </w:pPr>
            <w:r>
              <w:rPr>
                <w:rFonts w:ascii="Times New Roman" w:cs="Times New Roman" w:eastAsia="Times New Roman" w:hAnsi="Times New Roman"/>
                <w:sz w:val="18"/>
                <w:szCs w:val="18"/>
                <w:color w:val="0000EE"/>
              </w:rPr>
              <w:t>Equity-Based Compensation</w:t>
            </w: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18.</w:t>
            </w:r>
          </w:p>
        </w:tc>
        <w:tc>
          <w:tcPr>
            <w:tcW w:w="2040" w:type="dxa"/>
            <w:vAlign w:val="bottom"/>
            <w:tcBorders>
              <w:top w:val="single" w:sz="8" w:color="0000EE"/>
            </w:tcBorders>
            <w:gridSpan w:val="27"/>
          </w:tcPr>
          <w:p>
            <w:pPr>
              <w:ind w:left="20"/>
              <w:spacing w:after="0" w:line="177" w:lineRule="exact"/>
              <w:rPr>
                <w:sz w:val="20"/>
                <w:szCs w:val="20"/>
                <w:color w:val="auto"/>
              </w:rPr>
            </w:pPr>
            <w:r>
              <w:rPr>
                <w:rFonts w:ascii="Times New Roman" w:cs="Times New Roman" w:eastAsia="Times New Roman" w:hAnsi="Times New Roman"/>
                <w:sz w:val="18"/>
                <w:szCs w:val="18"/>
                <w:color w:val="0000EE"/>
              </w:rPr>
              <w:t>Earnings per Share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19.</w:t>
            </w:r>
          </w:p>
        </w:tc>
        <w:tc>
          <w:tcPr>
            <w:tcW w:w="1380" w:type="dxa"/>
            <w:vAlign w:val="bottom"/>
            <w:tcBorders>
              <w:top w:val="single" w:sz="8" w:color="0000EE"/>
              <w:bottom w:val="single" w:sz="8" w:color="0000EE"/>
            </w:tcBorders>
            <w:gridSpan w:val="15"/>
          </w:tcPr>
          <w:p>
            <w:pPr>
              <w:ind w:left="20"/>
              <w:spacing w:after="0" w:line="177" w:lineRule="exact"/>
              <w:rPr>
                <w:sz w:val="20"/>
                <w:szCs w:val="20"/>
                <w:color w:val="auto"/>
              </w:rPr>
            </w:pPr>
            <w:r>
              <w:rPr>
                <w:rFonts w:ascii="Times New Roman" w:cs="Times New Roman" w:eastAsia="Times New Roman" w:hAnsi="Times New Roman"/>
                <w:sz w:val="18"/>
                <w:szCs w:val="18"/>
                <w:color w:val="0000EE"/>
                <w:w w:val="87"/>
              </w:rPr>
              <w:t>Segment Information</w:t>
            </w:r>
          </w:p>
        </w:tc>
        <w:tc>
          <w:tcPr>
            <w:tcW w:w="8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40" w:type="dxa"/>
            <w:vAlign w:val="bottom"/>
            <w:gridSpan w:val="2"/>
          </w:tcPr>
          <w:p>
            <w:pPr>
              <w:spacing w:after="0"/>
              <w:rPr>
                <w:sz w:val="15"/>
                <w:szCs w:val="15"/>
                <w:color w:val="auto"/>
              </w:rPr>
            </w:pPr>
          </w:p>
        </w:tc>
        <w:tc>
          <w:tcPr>
            <w:tcW w:w="14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74"/>
              </w:rPr>
              <w:t>20.</w:t>
            </w:r>
          </w:p>
        </w:tc>
        <w:tc>
          <w:tcPr>
            <w:tcW w:w="1520" w:type="dxa"/>
            <w:vAlign w:val="bottom"/>
            <w:gridSpan w:val="19"/>
          </w:tcPr>
          <w:p>
            <w:pPr>
              <w:ind w:left="20"/>
              <w:spacing w:after="0" w:line="177" w:lineRule="exact"/>
              <w:rPr>
                <w:sz w:val="20"/>
                <w:szCs w:val="20"/>
                <w:color w:val="auto"/>
              </w:rPr>
            </w:pPr>
            <w:r>
              <w:rPr>
                <w:rFonts w:ascii="Times New Roman" w:cs="Times New Roman" w:eastAsia="Times New Roman" w:hAnsi="Times New Roman"/>
                <w:sz w:val="18"/>
                <w:szCs w:val="18"/>
                <w:color w:val="0000EE"/>
              </w:rPr>
              <w:t>Commitments and</w:t>
            </w:r>
          </w:p>
        </w:tc>
        <w:tc>
          <w:tcPr>
            <w:tcW w:w="5400" w:type="dxa"/>
            <w:vAlign w:val="bottom"/>
            <w:gridSpan w:val="27"/>
          </w:tcPr>
          <w:p>
            <w:pPr>
              <w:spacing w:after="0" w:line="177" w:lineRule="exact"/>
              <w:rPr>
                <w:sz w:val="20"/>
                <w:szCs w:val="20"/>
                <w:color w:val="auto"/>
              </w:rPr>
            </w:pPr>
            <w:r>
              <w:rPr>
                <w:rFonts w:ascii="Times New Roman" w:cs="Times New Roman" w:eastAsia="Times New Roman" w:hAnsi="Times New Roman"/>
                <w:sz w:val="18"/>
                <w:szCs w:val="18"/>
                <w:color w:val="0000EE"/>
              </w:rPr>
              <w:t>Contingencies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21.</w:t>
            </w:r>
          </w:p>
        </w:tc>
        <w:tc>
          <w:tcPr>
            <w:tcW w:w="2360" w:type="dxa"/>
            <w:vAlign w:val="bottom"/>
            <w:tcBorders>
              <w:top w:val="single" w:sz="8" w:color="0000EE"/>
            </w:tcBorders>
            <w:gridSpan w:val="30"/>
          </w:tcPr>
          <w:p>
            <w:pPr>
              <w:ind w:left="20"/>
              <w:spacing w:after="0" w:line="177"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140" w:type="dxa"/>
            <w:vAlign w:val="bottom"/>
          </w:tcPr>
          <w:p>
            <w:pPr>
              <w:spacing w:after="0"/>
              <w:rPr>
                <w:sz w:val="15"/>
                <w:szCs w:val="15"/>
                <w:color w:val="auto"/>
              </w:rPr>
            </w:pPr>
          </w:p>
        </w:tc>
        <w:tc>
          <w:tcPr>
            <w:tcW w:w="15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5"/>
                <w:szCs w:val="15"/>
                <w:color w:val="0000EE"/>
                <w:w w:val="74"/>
              </w:rPr>
              <w:t>22.</w:t>
            </w:r>
          </w:p>
        </w:tc>
        <w:tc>
          <w:tcPr>
            <w:tcW w:w="1360" w:type="dxa"/>
            <w:vAlign w:val="bottom"/>
            <w:tcBorders>
              <w:top w:val="single" w:sz="8" w:color="0000EE"/>
              <w:bottom w:val="single" w:sz="8" w:color="0000EE"/>
            </w:tcBorders>
            <w:gridSpan w:val="14"/>
          </w:tcPr>
          <w:p>
            <w:pPr>
              <w:ind w:left="20"/>
              <w:spacing w:after="0" w:line="177" w:lineRule="exact"/>
              <w:rPr>
                <w:sz w:val="20"/>
                <w:szCs w:val="20"/>
                <w:color w:val="auto"/>
              </w:rPr>
            </w:pPr>
            <w:r>
              <w:rPr>
                <w:rFonts w:ascii="Times New Roman" w:cs="Times New Roman" w:eastAsia="Times New Roman" w:hAnsi="Times New Roman"/>
                <w:sz w:val="18"/>
                <w:szCs w:val="18"/>
                <w:color w:val="0000EE"/>
                <w:w w:val="96"/>
              </w:rPr>
              <w:t>Subsequent Events</w:t>
            </w:r>
          </w:p>
        </w:tc>
        <w:tc>
          <w:tcPr>
            <w:tcW w:w="540" w:type="dxa"/>
            <w:vAlign w:val="bottom"/>
            <w:tcBorders>
              <w:top w:val="single" w:sz="8" w:color="0000EE"/>
            </w:tcBorders>
            <w:gridSpan w:val="11"/>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5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color w:val="0000EE"/>
              </w:rPr>
              <w:t>Item 2.</w:t>
            </w:r>
          </w:p>
        </w:tc>
        <w:tc>
          <w:tcPr>
            <w:tcW w:w="7080" w:type="dxa"/>
            <w:vAlign w:val="bottom"/>
            <w:gridSpan w:val="48"/>
          </w:tcPr>
          <w:p>
            <w:pPr>
              <w:spacing w:after="0" w:line="177"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120" w:type="dxa"/>
            <w:vAlign w:val="bottom"/>
            <w:tcBorders>
              <w:top w:val="single" w:sz="8" w:color="0000EE"/>
            </w:tcBorders>
            <w:gridSpan w:val="46"/>
          </w:tcPr>
          <w:p>
            <w:pPr>
              <w:spacing w:after="0" w:line="177" w:lineRule="exact"/>
              <w:rPr>
                <w:sz w:val="20"/>
                <w:szCs w:val="20"/>
                <w:color w:val="auto"/>
              </w:rPr>
            </w:pPr>
            <w:r>
              <w:rPr>
                <w:rFonts w:ascii="Times New Roman" w:cs="Times New Roman" w:eastAsia="Times New Roman" w:hAnsi="Times New Roman"/>
                <w:sz w:val="18"/>
                <w:szCs w:val="18"/>
                <w:color w:val="0000EE"/>
              </w:rPr>
              <w:t>Overview</w:t>
            </w:r>
          </w:p>
        </w:tc>
        <w:tc>
          <w:tcPr>
            <w:tcW w:w="860" w:type="dxa"/>
            <w:vAlign w:val="bottom"/>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060" w:type="dxa"/>
            <w:vAlign w:val="bottom"/>
            <w:vMerge w:val="restart"/>
          </w:tcPr>
          <w:p>
            <w:pPr>
              <w:jc w:val="right"/>
              <w:spacing w:after="0" w:line="198"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0000EE"/>
            </w:tcBorders>
          </w:tcPr>
          <w:p>
            <w:pPr>
              <w:spacing w:after="0"/>
              <w:rPr>
                <w:sz w:val="15"/>
                <w:szCs w:val="15"/>
                <w:color w:val="auto"/>
              </w:rPr>
            </w:pPr>
          </w:p>
        </w:tc>
        <w:tc>
          <w:tcPr>
            <w:tcW w:w="1540" w:type="dxa"/>
            <w:vAlign w:val="bottom"/>
            <w:tcBorders>
              <w:bottom w:val="single" w:sz="8" w:color="0000EE"/>
            </w:tcBorders>
            <w:gridSpan w:val="19"/>
          </w:tcPr>
          <w:p>
            <w:pPr>
              <w:spacing w:after="0" w:line="177" w:lineRule="exact"/>
              <w:rPr>
                <w:sz w:val="20"/>
                <w:szCs w:val="20"/>
                <w:color w:val="auto"/>
              </w:rPr>
            </w:pPr>
            <w:r>
              <w:rPr>
                <w:rFonts w:ascii="Times New Roman" w:cs="Times New Roman" w:eastAsia="Times New Roman" w:hAnsi="Times New Roman"/>
                <w:sz w:val="18"/>
                <w:szCs w:val="18"/>
                <w:color w:val="0000EE"/>
                <w:w w:val="96"/>
              </w:rPr>
              <w:t>Key Business Metrics</w:t>
            </w:r>
          </w:p>
        </w:tc>
        <w:tc>
          <w:tcPr>
            <w:tcW w:w="5440" w:type="dxa"/>
            <w:vAlign w:val="bottom"/>
            <w:gridSpan w:val="28"/>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80" w:type="dxa"/>
            <w:vAlign w:val="bottom"/>
            <w:gridSpan w:val="47"/>
          </w:tcPr>
          <w:p>
            <w:pPr>
              <w:spacing w:after="0" w:line="177" w:lineRule="exact"/>
              <w:rPr>
                <w:sz w:val="20"/>
                <w:szCs w:val="20"/>
                <w:color w:val="auto"/>
              </w:rPr>
            </w:pPr>
            <w:r>
              <w:rPr>
                <w:rFonts w:ascii="Times New Roman" w:cs="Times New Roman" w:eastAsia="Times New Roman" w:hAnsi="Times New Roman"/>
                <w:sz w:val="18"/>
                <w:szCs w:val="18"/>
                <w:color w:val="0000EE"/>
              </w:rPr>
              <w:t>Significant Developments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0000EE"/>
            </w:tcBorders>
            <w:gridSpan w:val="22"/>
          </w:tcPr>
          <w:p>
            <w:pPr>
              <w:spacing w:after="0" w:line="177" w:lineRule="exact"/>
              <w:rPr>
                <w:sz w:val="20"/>
                <w:szCs w:val="20"/>
                <w:color w:val="auto"/>
              </w:rPr>
            </w:pPr>
            <w:r>
              <w:rPr>
                <w:rFonts w:ascii="Times New Roman" w:cs="Times New Roman" w:eastAsia="Times New Roman" w:hAnsi="Times New Roman"/>
                <w:sz w:val="18"/>
                <w:szCs w:val="18"/>
                <w:color w:val="0000EE"/>
              </w:rPr>
              <w:t>Results of Operations</w:t>
            </w:r>
          </w:p>
        </w:tc>
        <w:tc>
          <w:tcPr>
            <w:tcW w:w="26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5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520" w:type="dxa"/>
            <w:vAlign w:val="bottom"/>
            <w:tcBorders>
              <w:top w:val="single" w:sz="8" w:color="0000EE"/>
            </w:tcBorders>
            <w:gridSpan w:val="18"/>
          </w:tcPr>
          <w:p>
            <w:pPr>
              <w:spacing w:after="0" w:line="177" w:lineRule="exact"/>
              <w:rPr>
                <w:sz w:val="20"/>
                <w:szCs w:val="20"/>
                <w:color w:val="auto"/>
              </w:rPr>
            </w:pPr>
            <w:r>
              <w:rPr>
                <w:rFonts w:ascii="Times New Roman" w:cs="Times New Roman" w:eastAsia="Times New Roman" w:hAnsi="Times New Roman"/>
                <w:sz w:val="18"/>
                <w:szCs w:val="18"/>
                <w:color w:val="0000EE"/>
              </w:rPr>
              <w:t>Critical Accounting</w:t>
            </w:r>
          </w:p>
        </w:tc>
        <w:tc>
          <w:tcPr>
            <w:tcW w:w="5460" w:type="dxa"/>
            <w:vAlign w:val="bottom"/>
            <w:gridSpan w:val="29"/>
          </w:tcPr>
          <w:p>
            <w:pPr>
              <w:spacing w:after="0" w:line="177" w:lineRule="exact"/>
              <w:rPr>
                <w:sz w:val="20"/>
                <w:szCs w:val="20"/>
                <w:color w:val="auto"/>
              </w:rPr>
            </w:pPr>
            <w:r>
              <w:rPr>
                <w:rFonts w:ascii="Times New Roman" w:cs="Times New Roman" w:eastAsia="Times New Roman" w:hAnsi="Times New Roman"/>
                <w:sz w:val="18"/>
                <w:szCs w:val="18"/>
                <w:color w:val="0000EE"/>
              </w:rPr>
              <w:t>Estimates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0000EE"/>
              <w:bottom w:val="single" w:sz="8" w:color="0000EE"/>
            </w:tcBorders>
          </w:tcPr>
          <w:p>
            <w:pPr>
              <w:spacing w:after="0"/>
              <w:rPr>
                <w:sz w:val="15"/>
                <w:szCs w:val="15"/>
                <w:color w:val="auto"/>
              </w:rPr>
            </w:pPr>
          </w:p>
        </w:tc>
        <w:tc>
          <w:tcPr>
            <w:tcW w:w="2120" w:type="dxa"/>
            <w:vAlign w:val="bottom"/>
            <w:tcBorders>
              <w:top w:val="single" w:sz="8" w:color="0000EE"/>
              <w:bottom w:val="single" w:sz="8" w:color="0000EE"/>
            </w:tcBorders>
            <w:gridSpan w:val="29"/>
          </w:tcPr>
          <w:p>
            <w:pPr>
              <w:spacing w:after="0" w:line="177" w:lineRule="exact"/>
              <w:rPr>
                <w:sz w:val="20"/>
                <w:szCs w:val="20"/>
                <w:color w:val="auto"/>
              </w:rPr>
            </w:pPr>
            <w:r>
              <w:rPr>
                <w:rFonts w:ascii="Times New Roman" w:cs="Times New Roman" w:eastAsia="Times New Roman" w:hAnsi="Times New Roman"/>
                <w:sz w:val="18"/>
                <w:szCs w:val="18"/>
                <w:color w:val="0000EE"/>
                <w:w w:val="90"/>
              </w:rPr>
              <w:t>Liquidity and Capital Resources</w:t>
            </w:r>
          </w:p>
        </w:tc>
        <w:tc>
          <w:tcPr>
            <w:tcW w:w="140" w:type="dxa"/>
            <w:vAlign w:val="bottom"/>
            <w:tcBorders>
              <w:bottom w:val="single" w:sz="8" w:color="0000EE"/>
            </w:tcBorders>
          </w:tcPr>
          <w:p>
            <w:pPr>
              <w:spacing w:after="0"/>
              <w:rPr>
                <w:sz w:val="15"/>
                <w:szCs w:val="15"/>
                <w:color w:val="auto"/>
              </w:rPr>
            </w:pPr>
          </w:p>
        </w:tc>
        <w:tc>
          <w:tcPr>
            <w:tcW w:w="300" w:type="dxa"/>
            <w:vAlign w:val="bottom"/>
            <w:gridSpan w:val="2"/>
          </w:tcPr>
          <w:p>
            <w:pPr>
              <w:spacing w:after="0"/>
              <w:rPr>
                <w:sz w:val="15"/>
                <w:szCs w:val="15"/>
                <w:color w:val="auto"/>
              </w:rPr>
            </w:pPr>
          </w:p>
        </w:tc>
        <w:tc>
          <w:tcPr>
            <w:tcW w:w="1500" w:type="dxa"/>
            <w:vAlign w:val="bottom"/>
            <w:gridSpan w:val="10"/>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gridSpan w:val="4"/>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80" w:type="dxa"/>
            <w:vAlign w:val="bottom"/>
            <w:gridSpan w:val="47"/>
          </w:tcPr>
          <w:p>
            <w:pPr>
              <w:spacing w:after="0" w:line="177" w:lineRule="exact"/>
              <w:rPr>
                <w:sz w:val="20"/>
                <w:szCs w:val="20"/>
                <w:color w:val="auto"/>
              </w:rPr>
            </w:pPr>
            <w:r>
              <w:rPr>
                <w:rFonts w:ascii="Times New Roman" w:cs="Times New Roman" w:eastAsia="Times New Roman" w:hAnsi="Times New Roman"/>
                <w:sz w:val="18"/>
                <w:szCs w:val="18"/>
                <w:color w:val="0000EE"/>
              </w:rPr>
              <w:t>Recent Accounting Pronouncements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color w:val="0000EE"/>
              </w:rPr>
              <w:t>Item 3.</w:t>
            </w:r>
          </w:p>
        </w:tc>
        <w:tc>
          <w:tcPr>
            <w:tcW w:w="100" w:type="dxa"/>
            <w:vAlign w:val="bottom"/>
          </w:tcPr>
          <w:p>
            <w:pPr>
              <w:spacing w:after="0"/>
              <w:rPr>
                <w:sz w:val="15"/>
                <w:szCs w:val="15"/>
                <w:color w:val="auto"/>
              </w:rPr>
            </w:pPr>
          </w:p>
        </w:tc>
        <w:tc>
          <w:tcPr>
            <w:tcW w:w="2560" w:type="dxa"/>
            <w:vAlign w:val="bottom"/>
            <w:tcBorders>
              <w:top w:val="single" w:sz="8" w:color="0000EE"/>
            </w:tcBorders>
            <w:gridSpan w:val="32"/>
          </w:tcPr>
          <w:p>
            <w:pPr>
              <w:spacing w:after="0" w:line="177" w:lineRule="exact"/>
              <w:rPr>
                <w:sz w:val="20"/>
                <w:szCs w:val="20"/>
                <w:color w:val="auto"/>
              </w:rPr>
            </w:pPr>
            <w:r>
              <w:rPr>
                <w:rFonts w:ascii="Times New Roman" w:cs="Times New Roman" w:eastAsia="Times New Roman" w:hAnsi="Times New Roman"/>
                <w:sz w:val="18"/>
                <w:szCs w:val="18"/>
                <w:color w:val="0000EE"/>
                <w:w w:val="86"/>
              </w:rPr>
              <w:t>Quantitative and Qualitative Disclosures</w:t>
            </w:r>
          </w:p>
        </w:tc>
        <w:tc>
          <w:tcPr>
            <w:tcW w:w="4420" w:type="dxa"/>
            <w:vAlign w:val="bottom"/>
            <w:gridSpan w:val="15"/>
          </w:tcPr>
          <w:p>
            <w:pPr>
              <w:ind w:left="160"/>
              <w:spacing w:after="0" w:line="177" w:lineRule="exact"/>
              <w:rPr>
                <w:sz w:val="20"/>
                <w:szCs w:val="20"/>
                <w:color w:val="auto"/>
              </w:rPr>
            </w:pPr>
            <w:r>
              <w:rPr>
                <w:rFonts w:ascii="Times New Roman" w:cs="Times New Roman" w:eastAsia="Times New Roman" w:hAnsi="Times New Roman"/>
                <w:sz w:val="18"/>
                <w:szCs w:val="18"/>
                <w:color w:val="0000EE"/>
              </w:rPr>
              <w:t>About Market Risk</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7" w:lineRule="exact"/>
              <w:rPr>
                <w:sz w:val="20"/>
                <w:szCs w:val="20"/>
                <w:color w:val="auto"/>
              </w:rPr>
            </w:pPr>
            <w:r>
              <w:rPr>
                <w:rFonts w:ascii="Times New Roman" w:cs="Times New Roman" w:eastAsia="Times New Roman" w:hAnsi="Times New Roman"/>
                <w:sz w:val="18"/>
                <w:szCs w:val="18"/>
                <w:color w:val="0000EE"/>
                <w:w w:val="90"/>
              </w:rPr>
              <w:t>Item 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80" w:type="dxa"/>
            <w:vAlign w:val="bottom"/>
            <w:tcBorders>
              <w:top w:val="single" w:sz="8" w:color="0000EE"/>
            </w:tcBorders>
            <w:gridSpan w:val="44"/>
          </w:tcPr>
          <w:p>
            <w:pPr>
              <w:spacing w:after="0" w:line="177" w:lineRule="exact"/>
              <w:rPr>
                <w:sz w:val="20"/>
                <w:szCs w:val="20"/>
                <w:color w:val="auto"/>
              </w:rPr>
            </w:pPr>
            <w:r>
              <w:rPr>
                <w:rFonts w:ascii="Times New Roman" w:cs="Times New Roman" w:eastAsia="Times New Roman" w:hAnsi="Times New Roman"/>
                <w:sz w:val="18"/>
                <w:szCs w:val="18"/>
                <w:color w:val="0000EE"/>
              </w:rPr>
              <w:t>Controls and Procedures</w:t>
            </w:r>
          </w:p>
        </w:tc>
        <w:tc>
          <w:tcPr>
            <w:tcW w:w="2900" w:type="dxa"/>
            <w:vAlign w:val="bottom"/>
            <w:gridSpan w:val="4"/>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540" w:type="dxa"/>
            <w:vAlign w:val="bottom"/>
            <w:gridSpan w:val="8"/>
            <w:vMerge w:val="restart"/>
          </w:tcPr>
          <w:p>
            <w:pPr>
              <w:spacing w:after="0" w:line="20" w:lineRule="exact"/>
              <w:rPr>
                <w:sz w:val="1"/>
                <w:szCs w:val="1"/>
                <w:color w:val="auto"/>
              </w:rPr>
            </w:pPr>
          </w:p>
        </w:tc>
        <w:tc>
          <w:tcPr>
            <w:tcW w:w="1980" w:type="dxa"/>
            <w:vAlign w:val="bottom"/>
            <w:gridSpan w:val="15"/>
            <w:vMerge w:val="restart"/>
          </w:tcPr>
          <w:p>
            <w:pPr>
              <w:spacing w:after="0" w:line="20" w:lineRule="exact"/>
              <w:rPr>
                <w:sz w:val="1"/>
                <w:szCs w:val="1"/>
                <w:color w:val="auto"/>
              </w:rPr>
            </w:pPr>
          </w:p>
        </w:tc>
        <w:tc>
          <w:tcPr>
            <w:tcW w:w="2920" w:type="dxa"/>
            <w:vAlign w:val="bottom"/>
            <w:gridSpan w:val="5"/>
            <w:vMerge w:val="restart"/>
          </w:tcPr>
          <w:p>
            <w:pPr>
              <w:spacing w:after="0" w:line="20" w:lineRule="exact"/>
              <w:rPr>
                <w:sz w:val="1"/>
                <w:szCs w:val="1"/>
                <w:color w:val="auto"/>
              </w:rPr>
            </w:pPr>
          </w:p>
        </w:tc>
        <w:tc>
          <w:tcPr>
            <w:tcW w:w="1060" w:type="dxa"/>
            <w:vAlign w:val="bottom"/>
            <w:vMerge w:val="restart"/>
          </w:tcPr>
          <w:p>
            <w:pPr>
              <w:jc w:val="right"/>
              <w:spacing w:after="0" w:line="198"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640" w:type="dxa"/>
            <w:vAlign w:val="bottom"/>
            <w:gridSpan w:val="20"/>
          </w:tcPr>
          <w:p>
            <w:pPr>
              <w:spacing w:after="0" w:line="177"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540" w:type="dxa"/>
            <w:vAlign w:val="bottom"/>
            <w:gridSpan w:val="8"/>
            <w:vMerge w:val="continue"/>
          </w:tcPr>
          <w:p>
            <w:pPr>
              <w:spacing w:after="0"/>
              <w:rPr>
                <w:sz w:val="15"/>
                <w:szCs w:val="15"/>
                <w:color w:val="auto"/>
              </w:rPr>
            </w:pPr>
          </w:p>
        </w:tc>
        <w:tc>
          <w:tcPr>
            <w:tcW w:w="1980" w:type="dxa"/>
            <w:vAlign w:val="bottom"/>
            <w:gridSpan w:val="15"/>
            <w:vMerge w:val="continue"/>
          </w:tcPr>
          <w:p>
            <w:pPr>
              <w:spacing w:after="0"/>
              <w:rPr>
                <w:sz w:val="15"/>
                <w:szCs w:val="15"/>
                <w:color w:val="auto"/>
              </w:rPr>
            </w:pPr>
          </w:p>
        </w:tc>
        <w:tc>
          <w:tcPr>
            <w:tcW w:w="2920" w:type="dxa"/>
            <w:vAlign w:val="bottom"/>
            <w:gridSpan w:val="5"/>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0000EE"/>
              <w:bottom w:val="single" w:sz="8" w:color="0000EE"/>
            </w:tcBorders>
          </w:tcPr>
          <w:p>
            <w:pPr>
              <w:spacing w:after="0"/>
              <w:rPr>
                <w:sz w:val="15"/>
                <w:szCs w:val="15"/>
                <w:color w:val="auto"/>
              </w:rPr>
            </w:pPr>
          </w:p>
        </w:tc>
        <w:tc>
          <w:tcPr>
            <w:tcW w:w="520" w:type="dxa"/>
            <w:vAlign w:val="bottom"/>
            <w:tcBorders>
              <w:top w:val="single" w:sz="8" w:color="0000EE"/>
              <w:bottom w:val="single" w:sz="8" w:color="0000EE"/>
            </w:tcBorders>
            <w:gridSpan w:val="2"/>
          </w:tcPr>
          <w:p>
            <w:pPr>
              <w:spacing w:after="0" w:line="177" w:lineRule="exact"/>
              <w:rPr>
                <w:sz w:val="20"/>
                <w:szCs w:val="20"/>
                <w:color w:val="auto"/>
              </w:rPr>
            </w:pPr>
            <w:r>
              <w:rPr>
                <w:rFonts w:ascii="Times New Roman" w:cs="Times New Roman" w:eastAsia="Times New Roman" w:hAnsi="Times New Roman"/>
                <w:sz w:val="18"/>
                <w:szCs w:val="18"/>
                <w:color w:val="0000EE"/>
                <w:w w:val="97"/>
              </w:rPr>
              <w:t>Item 1.</w:t>
            </w: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14"/>
          </w:tcPr>
          <w:p>
            <w:pPr>
              <w:spacing w:after="0" w:line="177" w:lineRule="exact"/>
              <w:rPr>
                <w:sz w:val="20"/>
                <w:szCs w:val="20"/>
                <w:color w:val="auto"/>
              </w:rPr>
            </w:pPr>
            <w:r>
              <w:rPr>
                <w:rFonts w:ascii="Times New Roman" w:cs="Times New Roman" w:eastAsia="Times New Roman" w:hAnsi="Times New Roman"/>
                <w:sz w:val="18"/>
                <w:szCs w:val="18"/>
                <w:color w:val="0000EE"/>
                <w:w w:val="89"/>
              </w:rPr>
              <w:t>Legal Proceedings</w:t>
            </w:r>
          </w:p>
        </w:tc>
        <w:tc>
          <w:tcPr>
            <w:tcW w:w="160" w:type="dxa"/>
            <w:vAlign w:val="bottom"/>
            <w:tcBorders>
              <w:top w:val="single" w:sz="8" w:color="0000EE"/>
            </w:tcBorders>
          </w:tcPr>
          <w:p>
            <w:pPr>
              <w:spacing w:after="0"/>
              <w:rPr>
                <w:sz w:val="15"/>
                <w:szCs w:val="15"/>
                <w:color w:val="auto"/>
              </w:rPr>
            </w:pPr>
          </w:p>
        </w:tc>
        <w:tc>
          <w:tcPr>
            <w:tcW w:w="800" w:type="dxa"/>
            <w:vAlign w:val="bottom"/>
            <w:gridSpan w:val="13"/>
          </w:tcPr>
          <w:p>
            <w:pPr>
              <w:spacing w:after="0"/>
              <w:rPr>
                <w:sz w:val="15"/>
                <w:szCs w:val="15"/>
                <w:color w:val="auto"/>
              </w:rPr>
            </w:pPr>
          </w:p>
        </w:tc>
        <w:tc>
          <w:tcPr>
            <w:tcW w:w="1980" w:type="dxa"/>
            <w:vAlign w:val="bottom"/>
            <w:gridSpan w:val="15"/>
          </w:tcPr>
          <w:p>
            <w:pPr>
              <w:spacing w:after="0"/>
              <w:rPr>
                <w:sz w:val="15"/>
                <w:szCs w:val="15"/>
                <w:color w:val="auto"/>
              </w:rPr>
            </w:pPr>
          </w:p>
        </w:tc>
        <w:tc>
          <w:tcPr>
            <w:tcW w:w="2920" w:type="dxa"/>
            <w:vAlign w:val="bottom"/>
            <w:gridSpan w:val="5"/>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0" w:type="dxa"/>
            <w:vAlign w:val="bottom"/>
            <w:gridSpan w:val="5"/>
          </w:tcPr>
          <w:p>
            <w:pPr>
              <w:spacing w:after="0" w:line="177" w:lineRule="exact"/>
              <w:rPr>
                <w:sz w:val="20"/>
                <w:szCs w:val="20"/>
                <w:color w:val="auto"/>
              </w:rPr>
            </w:pPr>
            <w:r>
              <w:rPr>
                <w:rFonts w:ascii="Times New Roman" w:cs="Times New Roman" w:eastAsia="Times New Roman" w:hAnsi="Times New Roman"/>
                <w:sz w:val="18"/>
                <w:szCs w:val="18"/>
                <w:color w:val="0000EE"/>
              </w:rPr>
              <w:t>Item 1A.</w:t>
            </w:r>
          </w:p>
        </w:tc>
        <w:tc>
          <w:tcPr>
            <w:tcW w:w="1220" w:type="dxa"/>
            <w:vAlign w:val="bottom"/>
            <w:gridSpan w:val="14"/>
          </w:tcPr>
          <w:p>
            <w:pPr>
              <w:spacing w:after="0" w:line="177" w:lineRule="exact"/>
              <w:rPr>
                <w:sz w:val="20"/>
                <w:szCs w:val="20"/>
                <w:color w:val="auto"/>
              </w:rPr>
            </w:pPr>
            <w:r>
              <w:rPr>
                <w:rFonts w:ascii="Times New Roman" w:cs="Times New Roman" w:eastAsia="Times New Roman" w:hAnsi="Times New Roman"/>
                <w:sz w:val="18"/>
                <w:szCs w:val="18"/>
                <w:color w:val="0000EE"/>
              </w:rPr>
              <w:t>Risk Factors</w:t>
            </w:r>
          </w:p>
        </w:tc>
        <w:tc>
          <w:tcPr>
            <w:tcW w:w="960" w:type="dxa"/>
            <w:vAlign w:val="bottom"/>
            <w:gridSpan w:val="14"/>
          </w:tcPr>
          <w:p>
            <w:pPr>
              <w:spacing w:after="0"/>
              <w:rPr>
                <w:sz w:val="15"/>
                <w:szCs w:val="15"/>
                <w:color w:val="auto"/>
              </w:rPr>
            </w:pPr>
          </w:p>
        </w:tc>
        <w:tc>
          <w:tcPr>
            <w:tcW w:w="1980" w:type="dxa"/>
            <w:vAlign w:val="bottom"/>
            <w:gridSpan w:val="15"/>
          </w:tcPr>
          <w:p>
            <w:pPr>
              <w:spacing w:after="0"/>
              <w:rPr>
                <w:sz w:val="15"/>
                <w:szCs w:val="15"/>
                <w:color w:val="auto"/>
              </w:rPr>
            </w:pPr>
          </w:p>
        </w:tc>
        <w:tc>
          <w:tcPr>
            <w:tcW w:w="2920" w:type="dxa"/>
            <w:vAlign w:val="bottom"/>
            <w:gridSpan w:val="5"/>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8"/>
        </w:trPr>
        <w:tc>
          <w:tcPr>
            <w:tcW w:w="2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gridSpan w:val="4"/>
          </w:tcPr>
          <w:p>
            <w:pPr>
              <w:spacing w:after="0" w:line="177"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tcPr>
          <w:p>
            <w:pPr>
              <w:spacing w:after="0"/>
              <w:rPr>
                <w:sz w:val="15"/>
                <w:szCs w:val="15"/>
                <w:color w:val="auto"/>
              </w:rPr>
            </w:pPr>
          </w:p>
        </w:tc>
        <w:tc>
          <w:tcPr>
            <w:tcW w:w="800" w:type="dxa"/>
            <w:vAlign w:val="bottom"/>
            <w:tcBorders>
              <w:top w:val="single" w:sz="8" w:color="0000EE"/>
            </w:tcBorders>
            <w:gridSpan w:val="7"/>
          </w:tcPr>
          <w:p>
            <w:pPr>
              <w:spacing w:after="0" w:line="177" w:lineRule="exact"/>
              <w:rPr>
                <w:sz w:val="20"/>
                <w:szCs w:val="20"/>
                <w:color w:val="auto"/>
              </w:rPr>
            </w:pPr>
            <w:r>
              <w:rPr>
                <w:rFonts w:ascii="Times New Roman" w:cs="Times New Roman" w:eastAsia="Times New Roman" w:hAnsi="Times New Roman"/>
                <w:sz w:val="18"/>
                <w:szCs w:val="18"/>
                <w:color w:val="0000EE"/>
                <w:w w:val="83"/>
              </w:rPr>
              <w:t>Unregistered</w:t>
            </w:r>
          </w:p>
        </w:tc>
        <w:tc>
          <w:tcPr>
            <w:tcW w:w="6280" w:type="dxa"/>
            <w:vAlign w:val="bottom"/>
            <w:gridSpan w:val="41"/>
          </w:tcPr>
          <w:p>
            <w:pPr>
              <w:ind w:left="60"/>
              <w:spacing w:after="0" w:line="177" w:lineRule="exact"/>
              <w:rPr>
                <w:sz w:val="20"/>
                <w:szCs w:val="20"/>
                <w:color w:val="auto"/>
              </w:rPr>
            </w:pPr>
            <w:r>
              <w:rPr>
                <w:rFonts w:ascii="Times New Roman" w:cs="Times New Roman" w:eastAsia="Times New Roman" w:hAnsi="Times New Roman"/>
                <w:sz w:val="18"/>
                <w:szCs w:val="18"/>
                <w:color w:val="0000EE"/>
              </w:rPr>
              <w:t>Sales of Equity Securities and Use of Proceeds</w:t>
            </w: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8"/>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gridSpan w:val="2"/>
          </w:tcPr>
          <w:p>
            <w:pPr>
              <w:spacing w:after="0" w:line="177" w:lineRule="exact"/>
              <w:rPr>
                <w:sz w:val="20"/>
                <w:szCs w:val="20"/>
                <w:color w:val="auto"/>
              </w:rPr>
            </w:pPr>
            <w:r>
              <w:rPr>
                <w:rFonts w:ascii="Times New Roman" w:cs="Times New Roman" w:eastAsia="Times New Roman" w:hAnsi="Times New Roman"/>
                <w:sz w:val="18"/>
                <w:szCs w:val="18"/>
                <w:color w:val="0000EE"/>
                <w:w w:val="97"/>
              </w:rPr>
              <w:t>Item 3.</w:t>
            </w:r>
          </w:p>
        </w:tc>
        <w:tc>
          <w:tcPr>
            <w:tcW w:w="240" w:type="dxa"/>
            <w:vAlign w:val="bottom"/>
            <w:gridSpan w:val="3"/>
          </w:tcPr>
          <w:p>
            <w:pPr>
              <w:spacing w:after="0"/>
              <w:rPr>
                <w:sz w:val="15"/>
                <w:szCs w:val="15"/>
                <w:color w:val="auto"/>
              </w:rPr>
            </w:pPr>
          </w:p>
        </w:tc>
        <w:tc>
          <w:tcPr>
            <w:tcW w:w="4160" w:type="dxa"/>
            <w:vAlign w:val="bottom"/>
            <w:tcBorders>
              <w:top w:val="single" w:sz="8" w:color="0000EE"/>
            </w:tcBorders>
            <w:gridSpan w:val="43"/>
          </w:tcPr>
          <w:p>
            <w:pPr>
              <w:spacing w:after="0" w:line="177"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2920" w:type="dxa"/>
            <w:vAlign w:val="bottom"/>
            <w:gridSpan w:val="5"/>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8"/>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gridSpan w:val="2"/>
          </w:tcPr>
          <w:p>
            <w:pPr>
              <w:spacing w:after="0" w:line="177" w:lineRule="exact"/>
              <w:rPr>
                <w:sz w:val="20"/>
                <w:szCs w:val="20"/>
                <w:color w:val="auto"/>
              </w:rPr>
            </w:pPr>
            <w:r>
              <w:rPr>
                <w:rFonts w:ascii="Times New Roman" w:cs="Times New Roman" w:eastAsia="Times New Roman" w:hAnsi="Times New Roman"/>
                <w:sz w:val="18"/>
                <w:szCs w:val="18"/>
                <w:color w:val="0000EE"/>
                <w:w w:val="97"/>
              </w:rPr>
              <w:t>Item 4.</w:t>
            </w:r>
          </w:p>
        </w:tc>
        <w:tc>
          <w:tcPr>
            <w:tcW w:w="240" w:type="dxa"/>
            <w:vAlign w:val="bottom"/>
            <w:gridSpan w:val="3"/>
          </w:tcPr>
          <w:p>
            <w:pPr>
              <w:spacing w:after="0"/>
              <w:rPr>
                <w:sz w:val="15"/>
                <w:szCs w:val="15"/>
                <w:color w:val="auto"/>
              </w:rPr>
            </w:pPr>
          </w:p>
        </w:tc>
        <w:tc>
          <w:tcPr>
            <w:tcW w:w="2180" w:type="dxa"/>
            <w:vAlign w:val="bottom"/>
            <w:tcBorders>
              <w:top w:val="single" w:sz="8" w:color="0000EE"/>
            </w:tcBorders>
            <w:gridSpan w:val="28"/>
          </w:tcPr>
          <w:p>
            <w:pPr>
              <w:spacing w:after="0" w:line="177" w:lineRule="exact"/>
              <w:rPr>
                <w:sz w:val="20"/>
                <w:szCs w:val="20"/>
                <w:color w:val="auto"/>
              </w:rPr>
            </w:pPr>
            <w:r>
              <w:rPr>
                <w:rFonts w:ascii="Times New Roman" w:cs="Times New Roman" w:eastAsia="Times New Roman" w:hAnsi="Times New Roman"/>
                <w:sz w:val="18"/>
                <w:szCs w:val="18"/>
                <w:color w:val="0000EE"/>
              </w:rPr>
              <w:t>Mine Safety Disclosures</w:t>
            </w:r>
          </w:p>
        </w:tc>
        <w:tc>
          <w:tcPr>
            <w:tcW w:w="4900" w:type="dxa"/>
            <w:vAlign w:val="bottom"/>
            <w:gridSpan w:val="20"/>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8"/>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gridSpan w:val="2"/>
          </w:tcPr>
          <w:p>
            <w:pPr>
              <w:spacing w:after="0" w:line="177" w:lineRule="exact"/>
              <w:rPr>
                <w:sz w:val="20"/>
                <w:szCs w:val="20"/>
                <w:color w:val="auto"/>
              </w:rPr>
            </w:pPr>
            <w:r>
              <w:rPr>
                <w:rFonts w:ascii="Times New Roman" w:cs="Times New Roman" w:eastAsia="Times New Roman" w:hAnsi="Times New Roman"/>
                <w:sz w:val="18"/>
                <w:szCs w:val="18"/>
                <w:color w:val="0000EE"/>
                <w:w w:val="97"/>
              </w:rPr>
              <w:t>Item 5.</w:t>
            </w:r>
          </w:p>
        </w:tc>
        <w:tc>
          <w:tcPr>
            <w:tcW w:w="240" w:type="dxa"/>
            <w:vAlign w:val="bottom"/>
            <w:gridSpan w:val="3"/>
          </w:tcPr>
          <w:p>
            <w:pPr>
              <w:spacing w:after="0"/>
              <w:rPr>
                <w:sz w:val="15"/>
                <w:szCs w:val="15"/>
                <w:color w:val="auto"/>
              </w:rPr>
            </w:pPr>
          </w:p>
        </w:tc>
        <w:tc>
          <w:tcPr>
            <w:tcW w:w="1640" w:type="dxa"/>
            <w:vAlign w:val="bottom"/>
            <w:tcBorders>
              <w:top w:val="single" w:sz="8" w:color="0000EE"/>
            </w:tcBorders>
            <w:gridSpan w:val="20"/>
          </w:tcPr>
          <w:p>
            <w:pPr>
              <w:spacing w:after="0" w:line="177" w:lineRule="exact"/>
              <w:rPr>
                <w:sz w:val="20"/>
                <w:szCs w:val="20"/>
                <w:color w:val="auto"/>
              </w:rPr>
            </w:pPr>
            <w:r>
              <w:rPr>
                <w:rFonts w:ascii="Times New Roman" w:cs="Times New Roman" w:eastAsia="Times New Roman" w:hAnsi="Times New Roman"/>
                <w:sz w:val="18"/>
                <w:szCs w:val="18"/>
                <w:color w:val="0000EE"/>
              </w:rPr>
              <w:t>Other Information</w:t>
            </w:r>
          </w:p>
        </w:tc>
        <w:tc>
          <w:tcPr>
            <w:tcW w:w="5440" w:type="dxa"/>
            <w:vAlign w:val="bottom"/>
            <w:gridSpan w:val="28"/>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8"/>
        </w:trPr>
        <w:tc>
          <w:tcPr>
            <w:tcW w:w="2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gridSpan w:val="2"/>
          </w:tcPr>
          <w:p>
            <w:pPr>
              <w:spacing w:after="0" w:line="177" w:lineRule="exact"/>
              <w:rPr>
                <w:sz w:val="20"/>
                <w:szCs w:val="20"/>
                <w:color w:val="auto"/>
              </w:rPr>
            </w:pPr>
            <w:r>
              <w:rPr>
                <w:rFonts w:ascii="Times New Roman" w:cs="Times New Roman" w:eastAsia="Times New Roman" w:hAnsi="Times New Roman"/>
                <w:sz w:val="18"/>
                <w:szCs w:val="18"/>
                <w:color w:val="0000EE"/>
                <w:w w:val="97"/>
              </w:rPr>
              <w:t>Item 6.</w:t>
            </w:r>
          </w:p>
        </w:tc>
        <w:tc>
          <w:tcPr>
            <w:tcW w:w="240" w:type="dxa"/>
            <w:vAlign w:val="bottom"/>
            <w:gridSpan w:val="3"/>
          </w:tcPr>
          <w:p>
            <w:pPr>
              <w:spacing w:after="0"/>
              <w:rPr>
                <w:sz w:val="15"/>
                <w:szCs w:val="15"/>
                <w:color w:val="auto"/>
              </w:rPr>
            </w:pPr>
          </w:p>
        </w:tc>
        <w:tc>
          <w:tcPr>
            <w:tcW w:w="1200" w:type="dxa"/>
            <w:vAlign w:val="bottom"/>
            <w:tcBorders>
              <w:top w:val="single" w:sz="8" w:color="0000EE"/>
            </w:tcBorders>
            <w:gridSpan w:val="13"/>
          </w:tcPr>
          <w:p>
            <w:pPr>
              <w:spacing w:after="0" w:line="177" w:lineRule="exact"/>
              <w:rPr>
                <w:sz w:val="20"/>
                <w:szCs w:val="20"/>
                <w:color w:val="auto"/>
              </w:rPr>
            </w:pPr>
            <w:r>
              <w:rPr>
                <w:rFonts w:ascii="Times New Roman" w:cs="Times New Roman" w:eastAsia="Times New Roman" w:hAnsi="Times New Roman"/>
                <w:sz w:val="18"/>
                <w:szCs w:val="18"/>
                <w:color w:val="0000EE"/>
              </w:rPr>
              <w:t>Exhibits</w:t>
            </w:r>
          </w:p>
        </w:tc>
        <w:tc>
          <w:tcPr>
            <w:tcW w:w="5880" w:type="dxa"/>
            <w:vAlign w:val="bottom"/>
            <w:gridSpan w:val="35"/>
          </w:tcPr>
          <w:p>
            <w:pPr>
              <w:spacing w:after="0"/>
              <w:rPr>
                <w:sz w:val="15"/>
                <w:szCs w:val="15"/>
                <w:color w:val="auto"/>
              </w:rPr>
            </w:pPr>
          </w:p>
        </w:tc>
        <w:tc>
          <w:tcPr>
            <w:tcW w:w="10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3"/>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vMerge w:val="restart"/>
          </w:tcPr>
          <w:p>
            <w:pPr>
              <w:jc w:val="right"/>
              <w:spacing w:after="0" w:line="198"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920" w:type="dxa"/>
            <w:vAlign w:val="bottom"/>
            <w:gridSpan w:val="7"/>
          </w:tcPr>
          <w:p>
            <w:pPr>
              <w:spacing w:after="0" w:line="177" w:lineRule="exact"/>
              <w:rPr>
                <w:sz w:val="20"/>
                <w:szCs w:val="20"/>
                <w:color w:val="auto"/>
              </w:rPr>
            </w:pPr>
            <w:r>
              <w:rPr>
                <w:rFonts w:ascii="Times New Roman" w:cs="Times New Roman" w:eastAsia="Times New Roman" w:hAnsi="Times New Roman"/>
                <w:sz w:val="18"/>
                <w:szCs w:val="18"/>
                <w:color w:val="0000EE"/>
              </w:rPr>
              <w:t>Signatures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5"/>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6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(Thousands, except par value)</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0" w:type="dxa"/>
            <w:vAlign w:val="bottom"/>
          </w:tcPr>
          <w:p>
            <w:pPr>
              <w:spacing w:after="0"/>
              <w:rPr>
                <w:sz w:val="13"/>
                <w:szCs w:val="13"/>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r>
      <w:tr>
        <w:trPr>
          <w:trHeight w:val="138"/>
        </w:trPr>
        <w:tc>
          <w:tcPr>
            <w:tcW w:w="6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ASSETS</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tcPr>
          <w:p>
            <w:pPr>
              <w:jc w:val="right"/>
              <w:ind w:right="214"/>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22,359</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37,196</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Restricted cash</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10,321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644</w:t>
            </w: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Accounts receivable, net of allowance for credit losses of $3,447 and $2,915, respectively</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102,669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99,158</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Inventories</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160,644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149,921</w:t>
            </w: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Derivative assets</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16,720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13,658</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3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23,921</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12,473</w:t>
            </w:r>
          </w:p>
        </w:tc>
      </w:tr>
      <w:tr>
        <w:trPr>
          <w:trHeight w:val="138"/>
        </w:trPr>
        <w:tc>
          <w:tcPr>
            <w:tcW w:w="6300" w:type="dxa"/>
            <w:vAlign w:val="bottom"/>
            <w:gridSpan w:val="2"/>
          </w:tcPr>
          <w:p>
            <w:pPr>
              <w:ind w:left="440"/>
              <w:spacing w:after="0" w:line="138" w:lineRule="exact"/>
              <w:rPr>
                <w:sz w:val="20"/>
                <w:szCs w:val="20"/>
                <w:color w:val="auto"/>
              </w:rPr>
            </w:pPr>
            <w:r>
              <w:rPr>
                <w:rFonts w:ascii="Times New Roman" w:cs="Times New Roman" w:eastAsia="Times New Roman" w:hAnsi="Times New Roman"/>
                <w:sz w:val="13"/>
                <w:szCs w:val="13"/>
                <w:color w:val="auto"/>
              </w:rPr>
              <w:t>Total current assets</w:t>
            </w:r>
          </w:p>
        </w:tc>
        <w:tc>
          <w:tcPr>
            <w:tcW w:w="360" w:type="dxa"/>
            <w:vAlign w:val="bottom"/>
          </w:tcPr>
          <w:p>
            <w:pPr>
              <w:spacing w:after="0"/>
              <w:rPr>
                <w:sz w:val="12"/>
                <w:szCs w:val="12"/>
                <w:color w:val="auto"/>
              </w:rPr>
            </w:pPr>
          </w:p>
        </w:tc>
        <w:tc>
          <w:tcPr>
            <w:tcW w:w="8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336,634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313,050</w:t>
            </w:r>
          </w:p>
        </w:tc>
      </w:tr>
      <w:tr>
        <w:trPr>
          <w:trHeight w:val="145"/>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438,617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344,038</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Goodwill</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116,111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116,111</w:t>
            </w: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Intangible assets, net</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116,968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122,945</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Operating lease right-of-use assets</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61,404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67,601</w:t>
            </w:r>
          </w:p>
        </w:tc>
      </w:tr>
      <w:tr>
        <w:trPr>
          <w:trHeight w:val="145"/>
        </w:trPr>
        <w:tc>
          <w:tcPr>
            <w:tcW w:w="6300" w:type="dxa"/>
            <w:vAlign w:val="bottom"/>
            <w:tcBorders>
              <w:bottom w:val="single" w:sz="8" w:color="CCEEFF"/>
            </w:tcBorders>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Other long-term assets</w:t>
            </w: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7,380</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7,769</w:t>
            </w:r>
          </w:p>
        </w:tc>
      </w:tr>
      <w:tr>
        <w:trPr>
          <w:trHeight w:val="138"/>
        </w:trPr>
        <w:tc>
          <w:tcPr>
            <w:tcW w:w="6300" w:type="dxa"/>
            <w:vAlign w:val="bottom"/>
            <w:tcBorders>
              <w:bottom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Total Assets</w:t>
            </w:r>
          </w:p>
        </w:tc>
        <w:tc>
          <w:tcPr>
            <w:tcW w:w="360" w:type="dxa"/>
            <w:vAlign w:val="bottom"/>
            <w:tcBorders>
              <w:bottom w:val="single" w:sz="8" w:color="auto"/>
            </w:tcBorders>
            <w:shd w:val="clear" w:color="auto" w:fill="CCEEFF"/>
          </w:tcPr>
          <w:p>
            <w:pPr>
              <w:jc w:val="right"/>
              <w:ind w:right="21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1,077,114</w:t>
            </w:r>
          </w:p>
        </w:tc>
        <w:tc>
          <w:tcPr>
            <w:tcW w:w="1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971,514</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4"/>
        </w:trPr>
        <w:tc>
          <w:tcPr>
            <w:tcW w:w="6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45"/>
        </w:trPr>
        <w:tc>
          <w:tcPr>
            <w:tcW w:w="630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LIABILITIES, CONVERTIBLE PREFERRED SHARES AND SHAREHOLDERS' EQUITY</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Current maturities of long-term debt</w:t>
            </w:r>
          </w:p>
        </w:tc>
        <w:tc>
          <w:tcPr>
            <w:tcW w:w="360" w:type="dxa"/>
            <w:vAlign w:val="bottom"/>
          </w:tcPr>
          <w:p>
            <w:pPr>
              <w:jc w:val="right"/>
              <w:ind w:right="214"/>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12,137</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9,811</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Short-term debt</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58,007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43,694</w:t>
            </w: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Accounts payable</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52,320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69,106</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Supply chain finance program</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70,881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78,076</w:t>
            </w: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Derivative liabilities</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10,204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3,731</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38,479</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35,217</w:t>
            </w:r>
          </w:p>
        </w:tc>
      </w:tr>
      <w:tr>
        <w:trPr>
          <w:trHeight w:val="138"/>
        </w:trPr>
        <w:tc>
          <w:tcPr>
            <w:tcW w:w="6300" w:type="dxa"/>
            <w:vAlign w:val="bottom"/>
            <w:gridSpan w:val="2"/>
          </w:tcPr>
          <w:p>
            <w:pPr>
              <w:ind w:left="440"/>
              <w:spacing w:after="0" w:line="138" w:lineRule="exact"/>
              <w:rPr>
                <w:sz w:val="20"/>
                <w:szCs w:val="20"/>
                <w:color w:val="auto"/>
              </w:rPr>
            </w:pPr>
            <w:r>
              <w:rPr>
                <w:rFonts w:ascii="Times New Roman" w:cs="Times New Roman" w:eastAsia="Times New Roman" w:hAnsi="Times New Roman"/>
                <w:sz w:val="13"/>
                <w:szCs w:val="13"/>
                <w:color w:val="auto"/>
              </w:rPr>
              <w:t>Total current liabilities</w:t>
            </w:r>
          </w:p>
        </w:tc>
        <w:tc>
          <w:tcPr>
            <w:tcW w:w="360" w:type="dxa"/>
            <w:vAlign w:val="bottom"/>
          </w:tcPr>
          <w:p>
            <w:pPr>
              <w:spacing w:after="0"/>
              <w:rPr>
                <w:sz w:val="12"/>
                <w:szCs w:val="12"/>
                <w:color w:val="auto"/>
              </w:rPr>
            </w:pPr>
          </w:p>
        </w:tc>
        <w:tc>
          <w:tcPr>
            <w:tcW w:w="8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242,028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239,635</w:t>
            </w:r>
          </w:p>
        </w:tc>
      </w:tr>
      <w:tr>
        <w:trPr>
          <w:trHeight w:val="145"/>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Long-term debt, net</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326,122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223,092</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Convertible notes payable - related party, net</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49,689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Deferred income taxes</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14,475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10,847</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Operating lease liabilities</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58,507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63,554</w:t>
            </w: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Warrant liabilities</w:t>
            </w:r>
          </w:p>
        </w:tc>
        <w:tc>
          <w:tcPr>
            <w:tcW w:w="3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729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44,801</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Other long-term liabilities</w:t>
            </w:r>
          </w:p>
        </w:tc>
        <w:tc>
          <w:tcPr>
            <w:tcW w:w="3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1,286</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1,629</w:t>
            </w:r>
          </w:p>
        </w:tc>
      </w:tr>
      <w:tr>
        <w:trPr>
          <w:trHeight w:val="138"/>
        </w:trPr>
        <w:tc>
          <w:tcPr>
            <w:tcW w:w="6300" w:type="dxa"/>
            <w:vAlign w:val="bottom"/>
            <w:gridSpan w:val="2"/>
          </w:tcPr>
          <w:p>
            <w:pPr>
              <w:ind w:left="440"/>
              <w:spacing w:after="0" w:line="138" w:lineRule="exact"/>
              <w:rPr>
                <w:sz w:val="20"/>
                <w:szCs w:val="20"/>
                <w:color w:val="auto"/>
              </w:rPr>
            </w:pPr>
            <w:r>
              <w:rPr>
                <w:rFonts w:ascii="Times New Roman" w:cs="Times New Roman" w:eastAsia="Times New Roman" w:hAnsi="Times New Roman"/>
                <w:sz w:val="13"/>
                <w:szCs w:val="13"/>
                <w:color w:val="auto"/>
              </w:rPr>
              <w:t>Total liabilities</w:t>
            </w:r>
          </w:p>
        </w:tc>
        <w:tc>
          <w:tcPr>
            <w:tcW w:w="360" w:type="dxa"/>
            <w:vAlign w:val="bottom"/>
          </w:tcPr>
          <w:p>
            <w:pPr>
              <w:spacing w:after="0"/>
              <w:rPr>
                <w:sz w:val="12"/>
                <w:szCs w:val="12"/>
                <w:color w:val="auto"/>
              </w:rPr>
            </w:pPr>
          </w:p>
        </w:tc>
        <w:tc>
          <w:tcPr>
            <w:tcW w:w="8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692,836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583,558</w:t>
            </w:r>
          </w:p>
        </w:tc>
      </w:tr>
      <w:tr>
        <w:trPr>
          <w:trHeight w:val="145"/>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5"/>
        </w:trPr>
        <w:tc>
          <w:tcPr>
            <w:tcW w:w="630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color w:val="auto"/>
              </w:rPr>
              <w:t>Commitments and contingencies (Note 20)</w:t>
            </w: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5"/>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32"/>
        </w:trPr>
        <w:tc>
          <w:tcPr>
            <w:tcW w:w="630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3"/>
                <w:szCs w:val="13"/>
                <w:color w:val="auto"/>
              </w:rPr>
              <w:t>Series A Convertible Preferred Shares, $0.01 par value, 24,000 shares authorized, 23,511 shares and 23,512</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shares issued and outstanding at September 30, 2024 and December 31, 2023, respectively, $11.50 liquidation</w:t>
            </w: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8"/>
        </w:trPr>
        <w:tc>
          <w:tcPr>
            <w:tcW w:w="6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value</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273,938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274,216</w:t>
            </w:r>
          </w:p>
        </w:tc>
      </w:tr>
      <w:tr>
        <w:trPr>
          <w:trHeight w:val="145"/>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5"/>
        </w:trPr>
        <w:tc>
          <w:tcPr>
            <w:tcW w:w="630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i w:val="1"/>
                <w:iCs w:val="1"/>
                <w:color w:val="auto"/>
              </w:rPr>
              <w:t>Shareholders' Equity</w:t>
            </w: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Preferred stock, $0.01 par value, 26,000 shares authorized, no shares issued and outstanding</w:t>
            </w:r>
          </w:p>
        </w:tc>
        <w:tc>
          <w:tcPr>
            <w:tcW w:w="3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r>
      <w:tr>
        <w:trPr>
          <w:trHeight w:val="132"/>
        </w:trPr>
        <w:tc>
          <w:tcPr>
            <w:tcW w:w="630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3"/>
                <w:szCs w:val="13"/>
                <w:color w:val="auto"/>
              </w:rPr>
              <w:t>Common stock, $0.01 par value, 300,000 shares authorized, 94,073 shares and 88,051 shares issued and</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58"/>
        </w:trPr>
        <w:tc>
          <w:tcPr>
            <w:tcW w:w="63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outstanding at September 30, 2024 and December 31, 2023, respectively</w:t>
            </w: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Additional paid-in-capital</w:t>
            </w: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515,925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471,666</w:t>
            </w:r>
          </w:p>
        </w:tc>
      </w:tr>
      <w:tr>
        <w:trPr>
          <w:trHeight w:val="145"/>
        </w:trPr>
        <w:tc>
          <w:tcPr>
            <w:tcW w:w="6300" w:type="dxa"/>
            <w:vAlign w:val="bottom"/>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Accumulated deficit</w:t>
            </w:r>
          </w:p>
        </w:tc>
        <w:tc>
          <w:tcPr>
            <w:tcW w:w="360" w:type="dxa"/>
            <w:vAlign w:val="bottom"/>
          </w:tcPr>
          <w:p>
            <w:pPr>
              <w:spacing w:after="0"/>
              <w:rPr>
                <w:sz w:val="12"/>
                <w:szCs w:val="12"/>
                <w:color w:val="auto"/>
              </w:rPr>
            </w:pPr>
          </w:p>
        </w:tc>
        <w:tc>
          <w:tcPr>
            <w:tcW w:w="10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(418,315)</w:t>
            </w:r>
          </w:p>
        </w:tc>
        <w:tc>
          <w:tcPr>
            <w:tcW w:w="80" w:type="dxa"/>
            <w:vAlign w:val="bottom"/>
          </w:tcPr>
          <w:p>
            <w:pPr>
              <w:spacing w:after="0"/>
              <w:rPr>
                <w:sz w:val="12"/>
                <w:szCs w:val="12"/>
                <w:color w:val="auto"/>
              </w:rPr>
            </w:pPr>
          </w:p>
        </w:tc>
        <w:tc>
          <w:tcPr>
            <w:tcW w:w="11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(362,624)</w:t>
            </w:r>
          </w:p>
        </w:tc>
      </w:tr>
      <w:tr>
        <w:trPr>
          <w:trHeight w:val="145"/>
        </w:trPr>
        <w:tc>
          <w:tcPr>
            <w:tcW w:w="630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3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11,789</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3,818</w:t>
            </w:r>
          </w:p>
        </w:tc>
      </w:tr>
      <w:tr>
        <w:trPr>
          <w:trHeight w:val="138"/>
        </w:trPr>
        <w:tc>
          <w:tcPr>
            <w:tcW w:w="6300" w:type="dxa"/>
            <w:vAlign w:val="bottom"/>
            <w:tcBorders>
              <w:bottom w:val="single" w:sz="8" w:color="CCEEFF"/>
            </w:tcBorders>
            <w:gridSpan w:val="2"/>
          </w:tcPr>
          <w:p>
            <w:pPr>
              <w:ind w:left="440"/>
              <w:spacing w:after="0" w:line="138"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110,340</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113,740</w:t>
            </w:r>
          </w:p>
        </w:tc>
      </w:tr>
      <w:tr>
        <w:trPr>
          <w:trHeight w:val="138"/>
        </w:trPr>
        <w:tc>
          <w:tcPr>
            <w:tcW w:w="6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5"/>
        </w:trPr>
        <w:tc>
          <w:tcPr>
            <w:tcW w:w="630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Total Liabilities, Convertible Preferred Shares and Shareholders' Equity</w:t>
            </w:r>
          </w:p>
        </w:tc>
        <w:tc>
          <w:tcPr>
            <w:tcW w:w="360" w:type="dxa"/>
            <w:vAlign w:val="bottom"/>
            <w:tcBorders>
              <w:bottom w:val="single" w:sz="8" w:color="auto"/>
            </w:tcBorders>
          </w:tcPr>
          <w:p>
            <w:pPr>
              <w:jc w:val="right"/>
              <w:ind w:right="214"/>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1,077,114</w:t>
            </w: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971,514</w:t>
            </w: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 w:right="180"/>
        <w:spacing w:after="0" w:line="264" w:lineRule="auto"/>
        <w:rPr>
          <w:sz w:val="20"/>
          <w:szCs w:val="20"/>
          <w:color w:val="auto"/>
        </w:rPr>
      </w:pPr>
      <w:r>
        <w:rPr>
          <w:rFonts w:ascii="Times New Roman" w:cs="Times New Roman" w:eastAsia="Times New Roman" w:hAnsi="Times New Roman"/>
          <w:sz w:val="18"/>
          <w:szCs w:val="18"/>
          <w:b w:val="1"/>
          <w:bCs w:val="1"/>
          <w:color w:val="auto"/>
        </w:rPr>
        <w:t>WESTROCK COFFEE COMPANY CONDENSED CONSOLIDATED STATEMENTS OF OPERATIONS (Unaudited)</w:t>
      </w: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 except per share data)</w:t>
            </w:r>
          </w:p>
        </w:tc>
        <w:tc>
          <w:tcPr>
            <w:tcW w:w="21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0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38"/>
        </w:trPr>
        <w:tc>
          <w:tcPr>
            <w:tcW w:w="49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4"/>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4"/>
              <w:spacing w:after="0" w:line="138"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4"/>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4"/>
              <w:spacing w:after="0" w:line="138"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8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sales</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220,860</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219,612</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621,749</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649,748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tcBorders>
              <w:bottom w:val="single" w:sz="8" w:color="CCEEFF"/>
            </w:tcBorders>
            <w:gridSpan w:val="2"/>
          </w:tcPr>
          <w:p>
            <w:pPr>
              <w:spacing w:after="0" w:line="145" w:lineRule="exact"/>
              <w:rPr>
                <w:sz w:val="20"/>
                <w:szCs w:val="20"/>
                <w:color w:val="auto"/>
              </w:rPr>
            </w:pPr>
            <w:r>
              <w:rPr>
                <w:rFonts w:ascii="Times New Roman" w:cs="Times New Roman" w:eastAsia="Times New Roman" w:hAnsi="Times New Roman"/>
                <w:sz w:val="13"/>
                <w:szCs w:val="13"/>
                <w:color w:val="auto"/>
              </w:rPr>
              <w:t>Costs of sales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183,775</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184,546</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505,987</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544,707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8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Gross profit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37,085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35,066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115,762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105,041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46,132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37,050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142,182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105,275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Transaction, restructuring and integration expense</w:t>
            </w:r>
          </w:p>
        </w:tc>
        <w:tc>
          <w:tcPr>
            <w:tcW w:w="2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2,538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3,137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9,901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12,682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Impairment charges</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1,165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1,996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(Gain) loss on disposal of property, plant and equipment</w:t>
            </w:r>
          </w:p>
        </w:tc>
        <w:tc>
          <w:tcPr>
            <w:tcW w:w="220" w:type="dxa"/>
            <w:vAlign w:val="bottom"/>
          </w:tcPr>
          <w:p>
            <w:pPr>
              <w:spacing w:after="0"/>
              <w:rPr>
                <w:sz w:val="12"/>
                <w:szCs w:val="12"/>
                <w:color w:val="auto"/>
              </w:rPr>
            </w:pPr>
          </w:p>
        </w:tc>
        <w:tc>
          <w:tcPr>
            <w:tcW w:w="8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965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80" w:type="dxa"/>
            <w:vAlign w:val="bottom"/>
            <w:tcBorders>
              <w:top w:val="single" w:sz="8" w:color="CCEEFF"/>
            </w:tcBorders>
            <w:gridSpan w:val="2"/>
            <w:shd w:val="clear" w:color="auto" w:fill="CCEEFF"/>
          </w:tcPr>
          <w:p>
            <w:pPr>
              <w:ind w:left="220"/>
              <w:spacing w:after="0" w:line="138" w:lineRule="exact"/>
              <w:rPr>
                <w:sz w:val="20"/>
                <w:szCs w:val="20"/>
                <w:color w:val="auto"/>
              </w:rPr>
            </w:pPr>
            <w:r>
              <w:rPr>
                <w:rFonts w:ascii="Times New Roman" w:cs="Times New Roman" w:eastAsia="Times New Roman" w:hAnsi="Times New Roman"/>
                <w:sz w:val="13"/>
                <w:szCs w:val="13"/>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49,827</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40,435</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155,044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119,102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220" w:type="dxa"/>
            <w:vAlign w:val="bottom"/>
          </w:tcPr>
          <w:p>
            <w:pPr>
              <w:spacing w:after="0"/>
              <w:rPr>
                <w:sz w:val="12"/>
                <w:szCs w:val="12"/>
                <w:color w:val="auto"/>
              </w:rPr>
            </w:pPr>
          </w:p>
        </w:tc>
        <w:tc>
          <w:tcPr>
            <w:tcW w:w="7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(12,742)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(5,369)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(39,282)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(14,061)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color w:val="auto"/>
              </w:rPr>
              <w:t>Other (income) expense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Interest expense</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6,889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7,803</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21,921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21,216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220" w:type="dxa"/>
            <w:vAlign w:val="bottom"/>
          </w:tcPr>
          <w:p>
            <w:pPr>
              <w:spacing w:after="0"/>
              <w:rPr>
                <w:sz w:val="12"/>
                <w:szCs w:val="12"/>
                <w:color w:val="auto"/>
              </w:rPr>
            </w:pPr>
          </w:p>
        </w:tc>
        <w:tc>
          <w:tcPr>
            <w:tcW w:w="8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(5,481)</w:t>
            </w:r>
          </w:p>
        </w:tc>
        <w:tc>
          <w:tcPr>
            <w:tcW w:w="220" w:type="dxa"/>
            <w:vAlign w:val="bottom"/>
          </w:tcPr>
          <w:p>
            <w:pPr>
              <w:spacing w:after="0"/>
              <w:rPr>
                <w:sz w:val="12"/>
                <w:szCs w:val="12"/>
                <w:color w:val="auto"/>
              </w:rPr>
            </w:pPr>
          </w:p>
        </w:tc>
        <w:tc>
          <w:tcPr>
            <w:tcW w:w="8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(25,105)</w:t>
            </w:r>
          </w:p>
        </w:tc>
        <w:tc>
          <w:tcPr>
            <w:tcW w:w="200" w:type="dxa"/>
            <w:vAlign w:val="bottom"/>
          </w:tcPr>
          <w:p>
            <w:pPr>
              <w:spacing w:after="0"/>
              <w:rPr>
                <w:sz w:val="12"/>
                <w:szCs w:val="12"/>
                <w:color w:val="auto"/>
              </w:rPr>
            </w:pPr>
          </w:p>
        </w:tc>
        <w:tc>
          <w:tcPr>
            <w:tcW w:w="8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(7,134)</w:t>
            </w: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(18,833)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Other, net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510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223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8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(Loss) income before income taxes and equity in earnings from unconsolidated entities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(14,140)</w:t>
            </w: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11,423</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(54,292)</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(17,767)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Income tax expense (benefit)</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(5,212)</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1,254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tcBorders>
              <w:bottom w:val="single" w:sz="8" w:color="CCEEFF"/>
            </w:tcBorders>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Equity in (earnings) loss from unconsolidated entities</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145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8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Net (loss) income</w:t>
            </w:r>
          </w:p>
        </w:tc>
        <w:tc>
          <w:tcPr>
            <w:tcW w:w="2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(14,259)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16,621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(55,691)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(14,516)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loss attributable to non-controlling interest</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980" w:type="dxa"/>
            <w:vAlign w:val="bottom"/>
            <w:tcBorders>
              <w:top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Net (loss) income attributable to shareholders</w:t>
            </w: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(14,259)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16,621</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(55,691)</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(14,531)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Participating securities' share in earnings</w:t>
            </w:r>
          </w:p>
        </w:tc>
        <w:tc>
          <w:tcPr>
            <w:tcW w:w="220" w:type="dxa"/>
            <w:vAlign w:val="bottom"/>
          </w:tcPr>
          <w:p>
            <w:pPr>
              <w:spacing w:after="0"/>
              <w:rPr>
                <w:sz w:val="12"/>
                <w:szCs w:val="12"/>
                <w:color w:val="auto"/>
              </w:rPr>
            </w:pPr>
          </w:p>
        </w:tc>
        <w:tc>
          <w:tcPr>
            <w:tcW w:w="8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(3,912)</w:t>
            </w:r>
          </w:p>
        </w:tc>
        <w:tc>
          <w:tcPr>
            <w:tcW w:w="200" w:type="dxa"/>
            <w:vAlign w:val="bottom"/>
          </w:tcPr>
          <w:p>
            <w:pPr>
              <w:spacing w:after="0"/>
              <w:rPr>
                <w:sz w:val="12"/>
                <w:szCs w:val="12"/>
                <w:color w:val="auto"/>
              </w:rPr>
            </w:pPr>
          </w:p>
        </w:tc>
        <w:tc>
          <w:tcPr>
            <w:tcW w:w="8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Accretion of Series A Convertible Preferred Shares</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262</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980" w:type="dxa"/>
            <w:vAlign w:val="bottom"/>
            <w:tcBorders>
              <w:bottom w:val="single" w:sz="8" w:color="CCEEFF"/>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Net (loss) income attributable to common shareholders</w:t>
            </w:r>
          </w:p>
        </w:tc>
        <w:tc>
          <w:tcPr>
            <w:tcW w:w="22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(14,171)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7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12,802</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(55,429)</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98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(Loss) earnings per common share: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Basic</w:t>
            </w:r>
          </w:p>
        </w:tc>
        <w:tc>
          <w:tcPr>
            <w:tcW w:w="2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(0.16)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4"/>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0.15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(0.63)</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980" w:type="dxa"/>
            <w:vAlign w:val="bottom"/>
            <w:tcBorders>
              <w:bottom w:val="single" w:sz="8" w:color="CCEEFF"/>
            </w:tcBorders>
            <w:gridSpan w:val="2"/>
            <w:vMerge w:val="continue"/>
          </w:tcPr>
          <w:p>
            <w:pPr>
              <w:spacing w:after="0"/>
              <w:rPr>
                <w:sz w:val="14"/>
                <w:szCs w:val="14"/>
                <w:color w:val="auto"/>
              </w:rPr>
            </w:pPr>
          </w:p>
        </w:tc>
        <w:tc>
          <w:tcPr>
            <w:tcW w:w="22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(0.16)</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74"/>
              <w:spacing w:after="0" w:line="124"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0.15</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(0.63)</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5"/>
              <w:spacing w:after="0" w:line="12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98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Weighted-average number of shares outstanding:</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80" w:type="dxa"/>
            <w:vAlign w:val="bottom"/>
            <w:tcBorders>
              <w:bottom w:val="single" w:sz="8" w:color="CCEEFF"/>
            </w:tcBorders>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Basic</w:t>
            </w: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88,540</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83,437</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88,320</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78,203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980" w:type="dxa"/>
            <w:vAlign w:val="bottom"/>
            <w:gridSpan w:val="2"/>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88,540</w:t>
            </w:r>
          </w:p>
        </w:tc>
        <w:tc>
          <w:tcPr>
            <w:tcW w:w="1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107,080</w:t>
            </w: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88,320</w:t>
            </w: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78,203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160"/>
          </w:cols>
          <w:pgMar w:left="1440" w:top="503" w:right="1299"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3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0" w:type="dxa"/>
            <w:vAlign w:val="bottom"/>
          </w:tcPr>
          <w:p>
            <w:pPr>
              <w:spacing w:after="0"/>
              <w:rPr>
                <w:sz w:val="13"/>
                <w:szCs w:val="13"/>
                <w:color w:val="auto"/>
              </w:rPr>
            </w:pPr>
          </w:p>
        </w:tc>
        <w:tc>
          <w:tcPr>
            <w:tcW w:w="218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4"/>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(Thousands)</w:t>
            </w: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4"/>
                <w:szCs w:val="14"/>
                <w:color w:val="auto"/>
              </w:rPr>
            </w:pPr>
          </w:p>
        </w:tc>
      </w:tr>
      <w:tr>
        <w:trPr>
          <w:trHeight w:val="138"/>
        </w:trPr>
        <w:tc>
          <w:tcPr>
            <w:tcW w:w="390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(loss) income</w:t>
            </w: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(14,259)</w:t>
            </w:r>
          </w:p>
        </w:tc>
        <w:tc>
          <w:tcPr>
            <w:tcW w:w="4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16,621</w:t>
            </w:r>
          </w:p>
        </w:tc>
        <w:tc>
          <w:tcPr>
            <w:tcW w:w="4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(55,691)</w:t>
            </w:r>
          </w:p>
        </w:tc>
        <w:tc>
          <w:tcPr>
            <w:tcW w:w="4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(14,516)</w:t>
            </w:r>
          </w:p>
        </w:tc>
        <w:tc>
          <w:tcPr>
            <w:tcW w:w="20" w:type="dxa"/>
            <w:vAlign w:val="bottom"/>
          </w:tcPr>
          <w:p>
            <w:pPr>
              <w:spacing w:after="0"/>
              <w:rPr>
                <w:sz w:val="12"/>
                <w:szCs w:val="12"/>
                <w:color w:val="auto"/>
              </w:rPr>
            </w:pPr>
          </w:p>
        </w:tc>
      </w:tr>
      <w:tr>
        <w:trPr>
          <w:trHeight w:val="145"/>
        </w:trPr>
        <w:tc>
          <w:tcPr>
            <w:tcW w:w="432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i w:val="1"/>
                <w:iCs w:val="1"/>
                <w:color w:val="auto"/>
              </w:rPr>
              <w:t>Other comprehensive income (loss), net of tax:</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5"/>
        </w:trPr>
        <w:tc>
          <w:tcPr>
            <w:tcW w:w="432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Unrealized gain (loss) on derivative instruments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3,762</w:t>
            </w: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3,156</w:t>
            </w: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7,768</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4,679</w:t>
            </w:r>
          </w:p>
        </w:tc>
        <w:tc>
          <w:tcPr>
            <w:tcW w:w="20" w:type="dxa"/>
            <w:vAlign w:val="bottom"/>
          </w:tcPr>
          <w:p>
            <w:pPr>
              <w:spacing w:after="0"/>
              <w:rPr>
                <w:sz w:val="12"/>
                <w:szCs w:val="12"/>
                <w:color w:val="auto"/>
              </w:rPr>
            </w:pPr>
          </w:p>
        </w:tc>
      </w:tr>
      <w:tr>
        <w:trPr>
          <w:trHeight w:val="145"/>
        </w:trPr>
        <w:tc>
          <w:tcPr>
            <w:tcW w:w="4320" w:type="dxa"/>
            <w:vAlign w:val="bottom"/>
            <w:tcBorders>
              <w:bottom w:val="single" w:sz="8" w:color="CCEEFF"/>
            </w:tcBorders>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Foreign currency translation adjustment</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122</w:t>
            </w:r>
          </w:p>
        </w:tc>
        <w:tc>
          <w:tcPr>
            <w:tcW w:w="4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86</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203</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127</w:t>
            </w:r>
          </w:p>
        </w:tc>
        <w:tc>
          <w:tcPr>
            <w:tcW w:w="20" w:type="dxa"/>
            <w:vAlign w:val="bottom"/>
          </w:tcPr>
          <w:p>
            <w:pPr>
              <w:spacing w:after="0"/>
              <w:rPr>
                <w:sz w:val="12"/>
                <w:szCs w:val="12"/>
                <w:color w:val="auto"/>
              </w:rPr>
            </w:pPr>
          </w:p>
        </w:tc>
      </w:tr>
      <w:tr>
        <w:trPr>
          <w:trHeight w:val="138"/>
        </w:trPr>
        <w:tc>
          <w:tcPr>
            <w:tcW w:w="4320" w:type="dxa"/>
            <w:vAlign w:val="bottom"/>
            <w:gridSpan w:val="2"/>
            <w:shd w:val="clear" w:color="auto" w:fill="CCEEFF"/>
          </w:tcPr>
          <w:p>
            <w:pPr>
              <w:ind w:left="440"/>
              <w:spacing w:after="0" w:line="138"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3,884</w:t>
            </w:r>
          </w:p>
        </w:tc>
        <w:tc>
          <w:tcPr>
            <w:tcW w:w="4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3,242</w:t>
            </w:r>
          </w:p>
        </w:tc>
        <w:tc>
          <w:tcPr>
            <w:tcW w:w="4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7,971</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4,806</w:t>
            </w:r>
          </w:p>
        </w:tc>
        <w:tc>
          <w:tcPr>
            <w:tcW w:w="20" w:type="dxa"/>
            <w:vAlign w:val="bottom"/>
          </w:tcPr>
          <w:p>
            <w:pPr>
              <w:spacing w:after="0"/>
              <w:rPr>
                <w:sz w:val="12"/>
                <w:szCs w:val="12"/>
                <w:color w:val="auto"/>
              </w:rPr>
            </w:pPr>
          </w:p>
        </w:tc>
      </w:tr>
      <w:tr>
        <w:trPr>
          <w:trHeight w:val="138"/>
        </w:trPr>
        <w:tc>
          <w:tcPr>
            <w:tcW w:w="43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Comprehensive (loss) income</w:t>
            </w:r>
          </w:p>
        </w:tc>
        <w:tc>
          <w:tcPr>
            <w:tcW w:w="100" w:type="dxa"/>
            <w:vAlign w:val="bottom"/>
          </w:tcPr>
          <w:p>
            <w:pPr>
              <w:spacing w:after="0"/>
              <w:rPr>
                <w:sz w:val="12"/>
                <w:szCs w:val="12"/>
                <w:color w:val="auto"/>
              </w:rPr>
            </w:pPr>
          </w:p>
        </w:tc>
        <w:tc>
          <w:tcPr>
            <w:tcW w:w="8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(10,375)</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19,863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(47,720)</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(9,710)</w:t>
            </w:r>
          </w:p>
        </w:tc>
        <w:tc>
          <w:tcPr>
            <w:tcW w:w="20" w:type="dxa"/>
            <w:vAlign w:val="bottom"/>
          </w:tcPr>
          <w:p>
            <w:pPr>
              <w:spacing w:after="0"/>
              <w:rPr>
                <w:sz w:val="12"/>
                <w:szCs w:val="12"/>
                <w:color w:val="auto"/>
              </w:rPr>
            </w:pPr>
          </w:p>
        </w:tc>
      </w:tr>
      <w:tr>
        <w:trPr>
          <w:trHeight w:val="145"/>
        </w:trPr>
        <w:tc>
          <w:tcPr>
            <w:tcW w:w="432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Comprehensive income (loss) attributable to non-controlling interests</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2"/>
                <w:szCs w:val="12"/>
                <w:color w:val="auto"/>
              </w:rPr>
            </w:pPr>
          </w:p>
        </w:tc>
      </w:tr>
      <w:tr>
        <w:trPr>
          <w:trHeight w:val="138"/>
        </w:trPr>
        <w:tc>
          <w:tcPr>
            <w:tcW w:w="432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Comprehensive (loss) income attributable to shareholders</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(10,375)</w:t>
            </w:r>
          </w:p>
        </w:tc>
        <w:tc>
          <w:tcPr>
            <w:tcW w:w="4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19,863</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(47,720)</w:t>
            </w: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(9,725)</w:t>
            </w:r>
          </w:p>
        </w:tc>
        <w:tc>
          <w:tcPr>
            <w:tcW w:w="20" w:type="dxa"/>
            <w:vAlign w:val="bottom"/>
          </w:tcPr>
          <w:p>
            <w:pPr>
              <w:spacing w:after="0"/>
              <w:rPr>
                <w:sz w:val="12"/>
                <w:szCs w:val="12"/>
                <w:color w:val="auto"/>
              </w:rPr>
            </w:pPr>
          </w:p>
        </w:tc>
      </w:tr>
      <w:tr>
        <w:trPr>
          <w:trHeight w:val="145"/>
        </w:trPr>
        <w:tc>
          <w:tcPr>
            <w:tcW w:w="4320" w:type="dxa"/>
            <w:vAlign w:val="bottom"/>
            <w:gridSpan w:val="2"/>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Participating securities' share in earnings</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5" w:lineRule="exact"/>
              <w:rPr>
                <w:sz w:val="20"/>
                <w:szCs w:val="20"/>
                <w:color w:val="auto"/>
              </w:rPr>
            </w:pPr>
            <w:r>
              <w:rPr>
                <w:rFonts w:ascii="Times New Roman" w:cs="Times New Roman" w:eastAsia="Times New Roman" w:hAnsi="Times New Roman"/>
                <w:sz w:val="13"/>
                <w:szCs w:val="13"/>
                <w:color w:val="auto"/>
              </w:rPr>
              <w:t>(3,912)</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5"/>
        </w:trPr>
        <w:tc>
          <w:tcPr>
            <w:tcW w:w="4320" w:type="dxa"/>
            <w:vAlign w:val="bottom"/>
            <w:tcBorders>
              <w:bottom w:val="single" w:sz="8" w:color="CCEEFF"/>
            </w:tcBorders>
            <w:gridSpan w:val="2"/>
          </w:tcPr>
          <w:p>
            <w:pPr>
              <w:ind w:left="220"/>
              <w:spacing w:after="0" w:line="145" w:lineRule="exact"/>
              <w:rPr>
                <w:sz w:val="20"/>
                <w:szCs w:val="20"/>
                <w:color w:val="auto"/>
              </w:rPr>
            </w:pPr>
            <w:r>
              <w:rPr>
                <w:rFonts w:ascii="Times New Roman" w:cs="Times New Roman" w:eastAsia="Times New Roman" w:hAnsi="Times New Roman"/>
                <w:sz w:val="13"/>
                <w:szCs w:val="13"/>
                <w:color w:val="auto"/>
              </w:rPr>
              <w:t>Accretion of Series A Convertible Preferred Shares</w:t>
            </w: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88</w:t>
            </w:r>
          </w:p>
        </w:tc>
        <w:tc>
          <w:tcPr>
            <w:tcW w:w="4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93</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262</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(249)</w:t>
            </w:r>
          </w:p>
        </w:tc>
        <w:tc>
          <w:tcPr>
            <w:tcW w:w="20" w:type="dxa"/>
            <w:vAlign w:val="bottom"/>
          </w:tcPr>
          <w:p>
            <w:pPr>
              <w:spacing w:after="0"/>
              <w:rPr>
                <w:sz w:val="12"/>
                <w:szCs w:val="12"/>
                <w:color w:val="auto"/>
              </w:rPr>
            </w:pPr>
          </w:p>
        </w:tc>
      </w:tr>
      <w:tr>
        <w:trPr>
          <w:trHeight w:val="138"/>
        </w:trPr>
        <w:tc>
          <w:tcPr>
            <w:tcW w:w="4320" w:type="dxa"/>
            <w:vAlign w:val="bottom"/>
            <w:tcBorders>
              <w:bottom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Comprehensive (loss) income attributable to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(10,287)</w:t>
            </w:r>
          </w:p>
        </w:tc>
        <w:tc>
          <w:tcPr>
            <w:tcW w:w="4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74"/>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16,044</w:t>
            </w:r>
          </w:p>
        </w:tc>
        <w:tc>
          <w:tcPr>
            <w:tcW w:w="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(47,458)</w:t>
            </w:r>
          </w:p>
        </w:tc>
        <w:tc>
          <w:tcPr>
            <w:tcW w:w="4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(9,974)</w:t>
            </w:r>
          </w:p>
        </w:tc>
        <w:tc>
          <w:tcPr>
            <w:tcW w:w="20" w:type="dxa"/>
            <w:vAlign w:val="bottom"/>
          </w:tcPr>
          <w:p>
            <w:pPr>
              <w:spacing w:after="0"/>
              <w:rPr>
                <w:sz w:val="12"/>
                <w:szCs w:val="12"/>
                <w:color w:val="auto"/>
              </w:rPr>
            </w:pPr>
          </w:p>
        </w:tc>
      </w:tr>
      <w:tr>
        <w:trPr>
          <w:trHeight w:val="20"/>
        </w:trPr>
        <w:tc>
          <w:tcPr>
            <w:tcW w:w="3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360"/>
          </w:cols>
          <w:pgMar w:left="1440" w:top="503" w:right="1099"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5"/>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0"/>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60" w:type="dxa"/>
            <w:vAlign w:val="bottom"/>
          </w:tcPr>
          <w:p>
            <w:pPr>
              <w:spacing w:after="0"/>
              <w:rPr>
                <w:sz w:val="13"/>
                <w:szCs w:val="13"/>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8"/>
        </w:trPr>
        <w:tc>
          <w:tcPr>
            <w:tcW w:w="23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(Thousands)</w:t>
            </w:r>
          </w:p>
        </w:tc>
        <w:tc>
          <w:tcPr>
            <w:tcW w:w="1020" w:type="dxa"/>
            <w:vAlign w:val="bottom"/>
            <w:gridSpan w:val="2"/>
          </w:tcPr>
          <w:p>
            <w:pPr>
              <w:ind w:left="260"/>
              <w:spacing w:after="0" w:line="138" w:lineRule="exact"/>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38" w:lineRule="exact"/>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100" w:type="dxa"/>
            <w:vAlign w:val="bottom"/>
          </w:tcPr>
          <w:p>
            <w:pPr>
              <w:spacing w:after="0"/>
              <w:rPr>
                <w:sz w:val="12"/>
                <w:szCs w:val="12"/>
                <w:color w:val="auto"/>
              </w:rPr>
            </w:pPr>
          </w:p>
        </w:tc>
        <w:tc>
          <w:tcPr>
            <w:tcW w:w="1020" w:type="dxa"/>
            <w:vAlign w:val="bottom"/>
            <w:gridSpan w:val="2"/>
          </w:tcPr>
          <w:p>
            <w:pPr>
              <w:jc w:val="right"/>
              <w:ind w:right="440"/>
              <w:spacing w:after="0" w:line="13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60" w:type="dxa"/>
            <w:vAlign w:val="bottom"/>
          </w:tcPr>
          <w:p>
            <w:pPr>
              <w:spacing w:after="0"/>
              <w:rPr>
                <w:sz w:val="12"/>
                <w:szCs w:val="12"/>
                <w:color w:val="auto"/>
              </w:rPr>
            </w:pPr>
          </w:p>
        </w:tc>
        <w:tc>
          <w:tcPr>
            <w:tcW w:w="960" w:type="dxa"/>
            <w:vAlign w:val="bottom"/>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w w:val="99"/>
              </w:rPr>
              <w:t>Equity (Deficit)</w:t>
            </w:r>
          </w:p>
        </w:tc>
      </w:tr>
      <w:tr>
        <w:trPr>
          <w:trHeight w:val="138"/>
        </w:trPr>
        <w:tc>
          <w:tcPr>
            <w:tcW w:w="22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75,728</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757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348,714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(359,194)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(4,539)</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(14,262)</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income (loss)</w:t>
            </w:r>
          </w:p>
        </w:tc>
        <w:tc>
          <w:tcPr>
            <w:tcW w:w="10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2"/>
                <w:szCs w:val="12"/>
                <w:color w:val="auto"/>
              </w:rPr>
            </w:pPr>
          </w:p>
        </w:tc>
        <w:tc>
          <w:tcPr>
            <w:tcW w:w="38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16,621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16,621</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net of</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issuance costs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117,648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117,767</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conversion of Series A Convertible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10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3,242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3,242</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Equity-based compensation</w:t>
            </w: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298</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2,436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2,439</w:t>
            </w: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10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(1,136)</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(1,136)</w:t>
            </w:r>
          </w:p>
        </w:tc>
      </w:tr>
      <w:tr>
        <w:trPr>
          <w:trHeight w:val="178"/>
        </w:trPr>
        <w:tc>
          <w:tcPr>
            <w:tcW w:w="2340" w:type="dxa"/>
            <w:vAlign w:val="bottom"/>
            <w:tcBorders>
              <w:bottom w:val="single" w:sz="8" w:color="CCEEFF"/>
            </w:tcBorders>
            <w:gridSpan w:val="2"/>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88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88,039</w:t>
            </w:r>
          </w:p>
        </w:tc>
        <w:tc>
          <w:tcPr>
            <w:tcW w:w="14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880</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469,167</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(342,573)</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(1,297)</w:t>
            </w: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126,177</w:t>
            </w:r>
          </w:p>
        </w:tc>
      </w:tr>
      <w:tr>
        <w:trPr>
          <w:trHeight w:val="124"/>
        </w:trPr>
        <w:tc>
          <w:tcPr>
            <w:tcW w:w="2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45"/>
        </w:trPr>
        <w:tc>
          <w:tcPr>
            <w:tcW w:w="234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88,366</w:t>
            </w:r>
          </w:p>
        </w:tc>
        <w:tc>
          <w:tcPr>
            <w:tcW w:w="140" w:type="dxa"/>
            <w:vAlign w:val="bottom"/>
          </w:tcPr>
          <w:p>
            <w:pPr>
              <w:spacing w:after="0"/>
              <w:rPr>
                <w:sz w:val="12"/>
                <w:szCs w:val="12"/>
                <w:color w:val="auto"/>
              </w:rPr>
            </w:pP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884</w:t>
            </w:r>
          </w:p>
        </w:tc>
        <w:tc>
          <w:tcPr>
            <w:tcW w:w="12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476,795</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(404,056)</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7,905</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81,528</w:t>
            </w: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income (loss)</w:t>
            </w:r>
          </w:p>
        </w:tc>
        <w:tc>
          <w:tcPr>
            <w:tcW w:w="10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(14,259)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(14,259)</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warrant exchange</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5,424</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36,884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36,938</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conversion of Series A Convertible</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10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3,884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3,884</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Equity-based compensation</w:t>
            </w: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282</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3,028</w:t>
            </w: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10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(883)</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(883)</w:t>
            </w:r>
          </w:p>
        </w:tc>
      </w:tr>
      <w:tr>
        <w:trPr>
          <w:trHeight w:val="138"/>
        </w:trPr>
        <w:tc>
          <w:tcPr>
            <w:tcW w:w="2340" w:type="dxa"/>
            <w:vAlign w:val="bottom"/>
            <w:gridSpan w:val="2"/>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88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94,073</w:t>
            </w:r>
          </w:p>
        </w:tc>
        <w:tc>
          <w:tcPr>
            <w:tcW w:w="1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941</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515,925</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(418,315)</w:t>
            </w: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11,789</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110,340</w:t>
            </w: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5"/>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0"/>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200" w:type="dxa"/>
            <w:vAlign w:val="bottom"/>
          </w:tcPr>
          <w:p>
            <w:pPr>
              <w:spacing w:after="0"/>
              <w:rPr>
                <w:sz w:val="13"/>
                <w:szCs w:val="13"/>
                <w:color w:val="auto"/>
              </w:rPr>
            </w:pPr>
          </w:p>
        </w:tc>
        <w:tc>
          <w:tcPr>
            <w:tcW w:w="74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8"/>
        </w:trPr>
        <w:tc>
          <w:tcPr>
            <w:tcW w:w="2340" w:type="dxa"/>
            <w:vAlign w:val="bottom"/>
            <w:gridSpan w:val="2"/>
          </w:tcPr>
          <w:p>
            <w:pPr>
              <w:spacing w:after="0" w:line="138" w:lineRule="exact"/>
              <w:rPr>
                <w:sz w:val="20"/>
                <w:szCs w:val="20"/>
                <w:color w:val="auto"/>
              </w:rPr>
            </w:pPr>
            <w:r>
              <w:rPr>
                <w:rFonts w:ascii="Times New Roman" w:cs="Times New Roman" w:eastAsia="Times New Roman" w:hAnsi="Times New Roman"/>
                <w:sz w:val="13"/>
                <w:szCs w:val="13"/>
                <w:color w:val="auto"/>
              </w:rPr>
              <w:t>(Thousands)</w:t>
            </w:r>
          </w:p>
        </w:tc>
        <w:tc>
          <w:tcPr>
            <w:tcW w:w="740" w:type="dxa"/>
            <w:vAlign w:val="bottom"/>
            <w:tcBorders>
              <w:top w:val="single" w:sz="8" w:color="auto"/>
            </w:tcBorders>
            <w:gridSpan w:val="2"/>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2"/>
                <w:szCs w:val="12"/>
                <w:color w:val="auto"/>
              </w:rPr>
            </w:pPr>
          </w:p>
        </w:tc>
        <w:tc>
          <w:tcPr>
            <w:tcW w:w="104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38"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38"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60" w:type="dxa"/>
            <w:vAlign w:val="bottom"/>
          </w:tcPr>
          <w:p>
            <w:pPr>
              <w:spacing w:after="0"/>
              <w:rPr>
                <w:sz w:val="12"/>
                <w:szCs w:val="12"/>
                <w:color w:val="auto"/>
              </w:rPr>
            </w:pPr>
          </w:p>
        </w:tc>
        <w:tc>
          <w:tcPr>
            <w:tcW w:w="960" w:type="dxa"/>
            <w:vAlign w:val="bottom"/>
            <w:gridSpan w:val="2"/>
          </w:tcPr>
          <w:p>
            <w:pPr>
              <w:jc w:val="right"/>
              <w:ind w:right="400"/>
              <w:spacing w:after="0" w:line="13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9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38"/>
        </w:trPr>
        <w:tc>
          <w:tcPr>
            <w:tcW w:w="22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75,020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750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342,664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(328,042)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(6,103)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2,460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11,729</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income (loss)</w:t>
            </w: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(14,531)</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(14,516)</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acquisitions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Public Warrant exercise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3,144</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conversion of Series A Convertible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(2,475)</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net 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issuance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117,648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117,767</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4,806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4,806</w:t>
            </w: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Equity-based compensation</w:t>
            </w:r>
          </w:p>
        </w:tc>
        <w:tc>
          <w:tcPr>
            <w:tcW w:w="6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6,291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6,297</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(2,977)</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(2,977)</w:t>
            </w:r>
          </w:p>
        </w:tc>
      </w:tr>
      <w:tr>
        <w:trPr>
          <w:trHeight w:val="138"/>
        </w:trPr>
        <w:tc>
          <w:tcPr>
            <w:tcW w:w="2340" w:type="dxa"/>
            <w:vAlign w:val="bottom"/>
            <w:tcBorders>
              <w:top w:val="single" w:sz="8" w:color="CCEEFF"/>
              <w:bottom w:val="single" w:sz="8" w:color="CCEEFF"/>
            </w:tcBorders>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6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88,039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880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469,167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(342,573)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(1,297)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126,177</w:t>
            </w: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4"/>
        </w:trPr>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45"/>
        </w:trPr>
        <w:tc>
          <w:tcPr>
            <w:tcW w:w="23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6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88,051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471,666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(362,624)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3,818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113,740</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income (loss)</w:t>
            </w: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3"/>
                <w:szCs w:val="13"/>
                <w:color w:val="auto"/>
              </w:rPr>
              <w:t>(55,691)</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(55,691)</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"at-the-market" offering program, net</w:t>
            </w: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issuance costs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warrant exchange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36,884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36,938</w:t>
            </w:r>
          </w:p>
        </w:tc>
      </w:tr>
      <w:tr>
        <w:trPr>
          <w:trHeight w:val="132"/>
        </w:trPr>
        <w:tc>
          <w:tcPr>
            <w:tcW w:w="234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3"/>
                <w:szCs w:val="13"/>
                <w:color w:val="auto"/>
              </w:rPr>
              <w:t>Issuance of common shares related to</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conversion of Series A Convertible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8"/>
        </w:trPr>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32"/>
        </w:trPr>
        <w:tc>
          <w:tcPr>
            <w:tcW w:w="234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3"/>
                <w:szCs w:val="13"/>
                <w:color w:val="auto"/>
              </w:rPr>
              <w:t>Accretion of Series A Convertible</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2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7,971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7,971</w:t>
            </w:r>
          </w:p>
        </w:tc>
      </w:tr>
      <w:tr>
        <w:trPr>
          <w:trHeight w:val="145"/>
        </w:trPr>
        <w:tc>
          <w:tcPr>
            <w:tcW w:w="234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3"/>
                <w:szCs w:val="13"/>
                <w:color w:val="auto"/>
              </w:rPr>
              <w:t>Equity-based compensation</w:t>
            </w:r>
          </w:p>
        </w:tc>
        <w:tc>
          <w:tcPr>
            <w:tcW w:w="6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8,502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8,508</w:t>
            </w:r>
          </w:p>
        </w:tc>
      </w:tr>
      <w:tr>
        <w:trPr>
          <w:trHeight w:val="145"/>
        </w:trPr>
        <w:tc>
          <w:tcPr>
            <w:tcW w:w="23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color w:val="auto"/>
              </w:rPr>
              <w:t>Net share settlement of equity awards</w:t>
            </w:r>
          </w:p>
        </w:tc>
        <w:tc>
          <w:tcPr>
            <w:tcW w:w="74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(2,041)</w:t>
            </w:r>
          </w:p>
        </w:tc>
        <w:tc>
          <w:tcPr>
            <w:tcW w:w="140" w:type="dxa"/>
            <w:vAlign w:val="bottom"/>
          </w:tcPr>
          <w:p>
            <w:pPr>
              <w:spacing w:after="0"/>
              <w:rPr>
                <w:sz w:val="12"/>
                <w:szCs w:val="12"/>
                <w:color w:val="auto"/>
              </w:rPr>
            </w:pPr>
          </w:p>
        </w:tc>
        <w:tc>
          <w:tcPr>
            <w:tcW w:w="760" w:type="dxa"/>
            <w:vAlign w:val="bottom"/>
            <w:gridSpan w:val="2"/>
          </w:tcPr>
          <w:p>
            <w:pPr>
              <w:jc w:val="right"/>
              <w:ind w:right="160"/>
              <w:spacing w:after="0" w:line="14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(2,041)</w:t>
            </w:r>
          </w:p>
        </w:tc>
      </w:tr>
      <w:tr>
        <w:trPr>
          <w:trHeight w:val="138"/>
        </w:trPr>
        <w:tc>
          <w:tcPr>
            <w:tcW w:w="2340" w:type="dxa"/>
            <w:vAlign w:val="bottom"/>
            <w:tcBorders>
              <w:top w:val="single" w:sz="8" w:color="CCEEFF"/>
              <w:bottom w:val="single" w:sz="8" w:color="CCEEFF"/>
            </w:tcBorders>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60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94,073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941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515,925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(418,315)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11,789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110,340</w:t>
            </w: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 w:right="59"/>
        <w:spacing w:after="0" w:line="264" w:lineRule="auto"/>
        <w:rPr>
          <w:sz w:val="20"/>
          <w:szCs w:val="20"/>
          <w:color w:val="auto"/>
        </w:rPr>
      </w:pPr>
      <w:r>
        <w:rPr>
          <w:rFonts w:ascii="Times New Roman" w:cs="Times New Roman" w:eastAsia="Times New Roman" w:hAnsi="Times New Roman"/>
          <w:sz w:val="18"/>
          <w:szCs w:val="18"/>
          <w:b w:val="1"/>
          <w:bCs w:val="1"/>
          <w:color w:val="auto"/>
        </w:rPr>
        <w:t>WESTROCK COFFEE COMPANY CONDENSED CONSOLIDATED STATEMENTS OF CASH FLOWS (Unaudited)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38"/>
        </w:trPr>
        <w:tc>
          <w:tcPr>
            <w:tcW w:w="5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ind w:right="574"/>
              <w:spacing w:after="0" w:line="138"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574"/>
              <w:spacing w:after="0" w:line="138" w:lineRule="exact"/>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38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Net loss</w:t>
            </w:r>
          </w:p>
        </w:tc>
        <w:tc>
          <w:tcPr>
            <w:tcW w:w="340" w:type="dxa"/>
            <w:vAlign w:val="bottom"/>
            <w:gridSpan w:val="2"/>
          </w:tcPr>
          <w:p>
            <w:pPr>
              <w:jc w:val="right"/>
              <w:ind w:right="5"/>
              <w:spacing w:after="0" w:line="14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(55,691)</w:t>
            </w:r>
          </w:p>
        </w:tc>
        <w:tc>
          <w:tcPr>
            <w:tcW w:w="360" w:type="dxa"/>
            <w:vAlign w:val="bottom"/>
            <w:gridSpan w:val="2"/>
          </w:tcPr>
          <w:p>
            <w:pPr>
              <w:jc w:val="right"/>
              <w:ind w:right="25"/>
              <w:spacing w:after="0" w:line="14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(14,516)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(used in) operating activities: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420"/>
              <w:spacing w:after="0" w:line="14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23,196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18,419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420"/>
              <w:spacing w:after="0" w:line="145" w:lineRule="exact"/>
              <w:rPr>
                <w:sz w:val="20"/>
                <w:szCs w:val="20"/>
                <w:color w:val="auto"/>
              </w:rPr>
            </w:pPr>
            <w:r>
              <w:rPr>
                <w:rFonts w:ascii="Times New Roman" w:cs="Times New Roman" w:eastAsia="Times New Roman" w:hAnsi="Times New Roman"/>
                <w:sz w:val="13"/>
                <w:szCs w:val="13"/>
                <w:color w:val="auto"/>
              </w:rPr>
              <w:t>Impairment charges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1,996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420"/>
              <w:spacing w:after="0" w:line="145" w:lineRule="exact"/>
              <w:rPr>
                <w:sz w:val="20"/>
                <w:szCs w:val="20"/>
                <w:color w:val="auto"/>
              </w:rPr>
            </w:pPr>
            <w:r>
              <w:rPr>
                <w:rFonts w:ascii="Times New Roman" w:cs="Times New Roman" w:eastAsia="Times New Roman" w:hAnsi="Times New Roman"/>
                <w:sz w:val="13"/>
                <w:szCs w:val="13"/>
                <w:color w:val="auto"/>
              </w:rPr>
              <w:t>Equity-based 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8,508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6,297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420"/>
              <w:spacing w:after="0" w:line="14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1,368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420"/>
              <w:spacing w:after="0" w:line="145" w:lineRule="exact"/>
              <w:rPr>
                <w:sz w:val="20"/>
                <w:szCs w:val="20"/>
                <w:color w:val="auto"/>
              </w:rPr>
            </w:pPr>
            <w:r>
              <w:rPr>
                <w:rFonts w:ascii="Times New Roman" w:cs="Times New Roman" w:eastAsia="Times New Roman" w:hAnsi="Times New Roman"/>
                <w:sz w:val="13"/>
                <w:szCs w:val="13"/>
                <w:color w:val="auto"/>
              </w:rPr>
              <w:t>Amortization of deferred financing fees included in interest expense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2,432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420"/>
              <w:spacing w:after="0" w:line="145" w:lineRule="exact"/>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965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1,145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420"/>
              <w:spacing w:after="0" w:line="145" w:lineRule="exact"/>
              <w:rPr>
                <w:sz w:val="20"/>
                <w:szCs w:val="20"/>
                <w:color w:val="auto"/>
              </w:rPr>
            </w:pPr>
            <w:r>
              <w:rPr>
                <w:rFonts w:ascii="Times New Roman" w:cs="Times New Roman" w:eastAsia="Times New Roman" w:hAnsi="Times New Roman"/>
                <w:sz w:val="13"/>
                <w:szCs w:val="13"/>
                <w:color w:val="auto"/>
              </w:rPr>
              <w:t>Mark-to-market adjustments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(2,692)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(1,045)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420"/>
              <w:spacing w:after="0" w:line="145" w:lineRule="exact"/>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(7,134)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(18,833)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420"/>
              <w:spacing w:after="0" w:line="145" w:lineRule="exact"/>
              <w:rPr>
                <w:sz w:val="20"/>
                <w:szCs w:val="20"/>
                <w:color w:val="auto"/>
              </w:rPr>
            </w:pPr>
            <w:r>
              <w:rPr>
                <w:rFonts w:ascii="Times New Roman" w:cs="Times New Roman" w:eastAsia="Times New Roman" w:hAnsi="Times New Roman"/>
                <w:sz w:val="13"/>
                <w:szCs w:val="13"/>
                <w:color w:val="auto"/>
              </w:rPr>
              <w:t>Foreign currency transactions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461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1,481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420"/>
              <w:spacing w:after="0" w:line="145"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1,133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(3,331)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420"/>
              <w:spacing w:after="0" w:line="145" w:lineRule="exact"/>
              <w:rPr>
                <w:sz w:val="20"/>
                <w:szCs w:val="20"/>
                <w:color w:val="auto"/>
              </w:rPr>
            </w:pPr>
            <w:r>
              <w:rPr>
                <w:rFonts w:ascii="Times New Roman" w:cs="Times New Roman" w:eastAsia="Times New Roman" w:hAnsi="Times New Roman"/>
                <w:sz w:val="13"/>
                <w:szCs w:val="13"/>
                <w:color w:val="auto"/>
              </w:rPr>
              <w:t>Other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1,003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1,443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420"/>
              <w:spacing w:after="0" w:line="145" w:lineRule="exact"/>
              <w:rPr>
                <w:sz w:val="20"/>
                <w:szCs w:val="20"/>
                <w:color w:val="auto"/>
              </w:rPr>
            </w:pPr>
            <w:r>
              <w:rPr>
                <w:rFonts w:ascii="Times New Roman" w:cs="Times New Roman" w:eastAsia="Times New Roman" w:hAnsi="Times New Roman"/>
                <w:sz w:val="13"/>
                <w:szCs w:val="13"/>
                <w:i w:val="1"/>
                <w:iCs w:val="1"/>
                <w:color w:val="auto"/>
              </w:rPr>
              <w:t>Change in operating assets and liabilities: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620"/>
              <w:spacing w:after="0" w:line="145" w:lineRule="exact"/>
              <w:rPr>
                <w:sz w:val="20"/>
                <w:szCs w:val="20"/>
                <w:color w:val="auto"/>
              </w:rPr>
            </w:pPr>
            <w:r>
              <w:rPr>
                <w:rFonts w:ascii="Times New Roman" w:cs="Times New Roman" w:eastAsia="Times New Roman" w:hAnsi="Times New Roman"/>
                <w:sz w:val="13"/>
                <w:szCs w:val="13"/>
                <w:color w:val="auto"/>
              </w:rPr>
              <w:t>Accounts receivable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(4,930)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1,993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620"/>
              <w:spacing w:after="0" w:line="145" w:lineRule="exact"/>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(7,191)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(14,153)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620"/>
              <w:spacing w:after="0" w:line="145" w:lineRule="exact"/>
              <w:rPr>
                <w:sz w:val="20"/>
                <w:szCs w:val="20"/>
                <w:color w:val="auto"/>
              </w:rPr>
            </w:pPr>
            <w:r>
              <w:rPr>
                <w:rFonts w:ascii="Times New Roman" w:cs="Times New Roman" w:eastAsia="Times New Roman" w:hAnsi="Times New Roman"/>
                <w:sz w:val="13"/>
                <w:szCs w:val="13"/>
                <w:color w:val="auto"/>
              </w:rPr>
              <w:t>Derivative assets and liabilities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12,685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4,090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620"/>
              <w:spacing w:after="0" w:line="145" w:lineRule="exact"/>
              <w:rPr>
                <w:sz w:val="20"/>
                <w:szCs w:val="20"/>
                <w:color w:val="auto"/>
              </w:rPr>
            </w:pPr>
            <w:r>
              <w:rPr>
                <w:rFonts w:ascii="Times New Roman" w:cs="Times New Roman" w:eastAsia="Times New Roman" w:hAnsi="Times New Roman"/>
                <w:sz w:val="13"/>
                <w:szCs w:val="13"/>
                <w:color w:val="auto"/>
              </w:rPr>
              <w:t>Prepaid expense and other assets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(8,469)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620"/>
              <w:spacing w:after="0" w:line="145" w:lineRule="exact"/>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(2,650)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(50,254)</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620"/>
              <w:spacing w:after="0" w:line="145" w:lineRule="exact"/>
              <w:rPr>
                <w:sz w:val="20"/>
                <w:szCs w:val="20"/>
                <w:color w:val="auto"/>
              </w:rPr>
            </w:pPr>
            <w:r>
              <w:rPr>
                <w:rFonts w:ascii="Times New Roman" w:cs="Times New Roman" w:eastAsia="Times New Roman" w:hAnsi="Times New Roman"/>
                <w:sz w:val="13"/>
                <w:szCs w:val="13"/>
                <w:color w:val="auto"/>
              </w:rPr>
              <w:t>Accrued liabilities and other</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9,071</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(1,236)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380" w:type="dxa"/>
            <w:vAlign w:val="bottom"/>
            <w:tcBorders>
              <w:bottom w:val="single" w:sz="8" w:color="CCEEFF"/>
            </w:tcBorders>
          </w:tcPr>
          <w:p>
            <w:pPr>
              <w:ind w:left="200"/>
              <w:spacing w:after="0" w:line="138" w:lineRule="exact"/>
              <w:rPr>
                <w:sz w:val="20"/>
                <w:szCs w:val="20"/>
                <w:color w:val="auto"/>
              </w:rPr>
            </w:pPr>
            <w:r>
              <w:rPr>
                <w:rFonts w:ascii="Times New Roman" w:cs="Times New Roman" w:eastAsia="Times New Roman" w:hAnsi="Times New Roman"/>
                <w:sz w:val="13"/>
                <w:szCs w:val="13"/>
                <w:color w:val="auto"/>
              </w:rPr>
              <w:t>Net cash used in operating activities</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(16,023)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(75,131)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3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Additions to property, plant and equipment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(141,451)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(121,545)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Additions to intangible assets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Acquisition of business, net of cash acquired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(2,392)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Acquisition of equity method investments and non-marketable securities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(1,385)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Borders>
              <w:bottom w:val="single" w:sz="8" w:color="CCEEFF"/>
            </w:tcBorders>
          </w:tcPr>
          <w:p>
            <w:pPr>
              <w:ind w:left="200"/>
              <w:spacing w:after="0" w:line="145" w:lineRule="exact"/>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1,225</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38"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(140,370)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(125,271)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Payments on debt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(151,968)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(170,522)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Proceeds from debt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250,882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221,509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Payments on supply chain financing program</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(121,203)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(2,321)</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Proceeds from supply chain financing program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114,008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69,787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Proceeds from convertible notes payable</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22,000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Proceeds from convertible notes payable - related party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50,000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(3,329)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(3,023)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Payment of convertible notes payable issuance costs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(511)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Net proceeds from (repayments of) repurchase agreements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(7,111)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(8,553)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Proceeds from exercise of stock options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848</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Proceeds from exercise of Public Warrants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2,632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Proceeds from issuance of 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635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118,767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Payment of equity issuance costs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tcPr>
          <w:p>
            <w:pPr>
              <w:ind w:left="200"/>
              <w:spacing w:after="0" w:line="145" w:lineRule="exact"/>
              <w:rPr>
                <w:sz w:val="20"/>
                <w:szCs w:val="20"/>
                <w:color w:val="auto"/>
              </w:rPr>
            </w:pPr>
            <w:r>
              <w:rPr>
                <w:rFonts w:ascii="Times New Roman" w:cs="Times New Roman" w:eastAsia="Times New Roman" w:hAnsi="Times New Roman"/>
                <w:sz w:val="13"/>
                <w:szCs w:val="13"/>
                <w:color w:val="auto"/>
              </w:rPr>
              <w:t>Payment for purchase of non-controlling interest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Payment for taxes for net share settlement of equity awards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(2,041)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(2,977)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380" w:type="dxa"/>
            <w:vAlign w:val="bottom"/>
          </w:tcPr>
          <w:p>
            <w:pPr>
              <w:ind w:left="200"/>
              <w:spacing w:after="0" w:line="138"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151,364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223,147</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200"/>
              <w:spacing w:after="0" w:line="14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(131)</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38"/>
        </w:trPr>
        <w:tc>
          <w:tcPr>
            <w:tcW w:w="54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color w:val="auto"/>
              </w:rPr>
              <w:t>Net (decrease) increase in cash and cash equivalents and restricted cash</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(5,160)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22,410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2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37,840</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26,405</w:t>
            </w:r>
          </w:p>
        </w:tc>
        <w:tc>
          <w:tcPr>
            <w:tcW w:w="0" w:type="dxa"/>
            <w:vAlign w:val="bottom"/>
          </w:tcPr>
          <w:p>
            <w:pPr>
              <w:spacing w:after="0"/>
              <w:rPr>
                <w:sz w:val="1"/>
                <w:szCs w:val="1"/>
                <w:color w:val="auto"/>
              </w:rPr>
            </w:pPr>
          </w:p>
        </w:tc>
      </w:tr>
      <w:tr>
        <w:trPr>
          <w:trHeight w:val="178"/>
        </w:trPr>
        <w:tc>
          <w:tcPr>
            <w:tcW w:w="540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32,680</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48,815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3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380" w:type="dxa"/>
            <w:vAlign w:val="bottom"/>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38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3"/>
                <w:szCs w:val="13"/>
                <w:color w:val="auto"/>
              </w:rPr>
              <w:t>Property, plant and equipment acquired but not yet paid</w:t>
            </w:r>
          </w:p>
        </w:tc>
        <w:tc>
          <w:tcPr>
            <w:tcW w:w="340" w:type="dxa"/>
            <w:vAlign w:val="bottom"/>
            <w:gridSpan w:val="2"/>
            <w:shd w:val="clear" w:color="auto" w:fill="CCEEFF"/>
          </w:tcPr>
          <w:p>
            <w:pPr>
              <w:jc w:val="right"/>
              <w:ind w:right="5"/>
              <w:spacing w:after="0" w:line="14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8,275</w:t>
            </w:r>
          </w:p>
        </w:tc>
        <w:tc>
          <w:tcPr>
            <w:tcW w:w="360" w:type="dxa"/>
            <w:vAlign w:val="bottom"/>
            <w:gridSpan w:val="2"/>
            <w:shd w:val="clear" w:color="auto" w:fill="CCEEFF"/>
          </w:tcPr>
          <w:p>
            <w:pPr>
              <w:jc w:val="right"/>
              <w:ind w:right="25"/>
              <w:spacing w:after="0" w:line="145"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4,441</w:t>
            </w:r>
          </w:p>
        </w:tc>
        <w:tc>
          <w:tcPr>
            <w:tcW w:w="0" w:type="dxa"/>
            <w:vAlign w:val="bottom"/>
          </w:tcPr>
          <w:p>
            <w:pPr>
              <w:spacing w:after="0"/>
              <w:rPr>
                <w:sz w:val="1"/>
                <w:szCs w:val="1"/>
                <w:color w:val="auto"/>
              </w:rPr>
            </w:pPr>
          </w:p>
        </w:tc>
      </w:tr>
      <w:tr>
        <w:trPr>
          <w:trHeight w:val="369"/>
        </w:trPr>
        <w:tc>
          <w:tcPr>
            <w:tcW w:w="5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total cash and cash equivalents and restricted cash at September 30, 2024 and 2023 is as follows: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6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(Thousands)</w:t>
            </w:r>
          </w:p>
        </w:tc>
        <w:tc>
          <w:tcPr>
            <w:tcW w:w="60" w:type="dxa"/>
            <w:vAlign w:val="bottom"/>
          </w:tcPr>
          <w:p>
            <w:pPr>
              <w:spacing w:after="0"/>
              <w:rPr>
                <w:sz w:val="13"/>
                <w:szCs w:val="13"/>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80" w:type="dxa"/>
            <w:vAlign w:val="bottom"/>
          </w:tcPr>
          <w:p>
            <w:pPr>
              <w:spacing w:after="0"/>
              <w:rPr>
                <w:sz w:val="13"/>
                <w:szCs w:val="13"/>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September 30, 2023</w:t>
            </w:r>
          </w:p>
        </w:tc>
      </w:tr>
      <w:tr>
        <w:trPr>
          <w:trHeight w:val="138"/>
        </w:trPr>
        <w:tc>
          <w:tcPr>
            <w:tcW w:w="59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22,359</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44,407</w:t>
            </w:r>
          </w:p>
        </w:tc>
      </w:tr>
      <w:tr>
        <w:trPr>
          <w:trHeight w:val="145"/>
        </w:trPr>
        <w:tc>
          <w:tcPr>
            <w:tcW w:w="6180" w:type="dxa"/>
            <w:vAlign w:val="bottom"/>
            <w:tcBorders>
              <w:bottom w:val="single" w:sz="8" w:color="CCEEFF"/>
            </w:tcBorders>
            <w:gridSpan w:val="2"/>
          </w:tcPr>
          <w:p>
            <w:pPr>
              <w:spacing w:after="0" w:line="145" w:lineRule="exact"/>
              <w:rPr>
                <w:sz w:val="20"/>
                <w:szCs w:val="20"/>
                <w:color w:val="auto"/>
              </w:rPr>
            </w:pPr>
            <w:r>
              <w:rPr>
                <w:rFonts w:ascii="Times New Roman" w:cs="Times New Roman" w:eastAsia="Times New Roman" w:hAnsi="Times New Roman"/>
                <w:sz w:val="13"/>
                <w:szCs w:val="13"/>
                <w:color w:val="auto"/>
              </w:rPr>
              <w:t>Restricted cash</w:t>
            </w:r>
          </w:p>
        </w:tc>
        <w:tc>
          <w:tcPr>
            <w:tcW w:w="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10,321</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4,408</w:t>
            </w:r>
          </w:p>
        </w:tc>
      </w:tr>
      <w:tr>
        <w:trPr>
          <w:trHeight w:val="138"/>
        </w:trPr>
        <w:tc>
          <w:tcPr>
            <w:tcW w:w="6180" w:type="dxa"/>
            <w:vAlign w:val="bottom"/>
            <w:tcBorders>
              <w:bottom w:val="single" w:sz="8" w:color="CCEEFF"/>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Total</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32,680</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48,815</w:t>
            </w:r>
          </w:p>
        </w:tc>
      </w:tr>
      <w:tr>
        <w:trPr>
          <w:trHeight w:val="20"/>
        </w:trPr>
        <w:tc>
          <w:tcPr>
            <w:tcW w:w="5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23" w:lineRule="exact"/>
        <w:rPr>
          <w:sz w:val="20"/>
          <w:szCs w:val="20"/>
          <w:color w:val="auto"/>
        </w:rPr>
      </w:pPr>
    </w:p>
    <w:p>
      <w:pPr>
        <w:ind w:left="4060" w:right="1319" w:hanging="2103"/>
        <w:spacing w:after="0" w:line="248"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17"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spacing w:after="0" w:line="187" w:lineRule="exact"/>
        <w:rPr>
          <w:sz w:val="20"/>
          <w:szCs w:val="20"/>
          <w:color w:val="auto"/>
        </w:rPr>
      </w:pPr>
    </w:p>
    <w:p>
      <w:pPr>
        <w:ind w:left="40" w:right="139"/>
        <w:spacing w:after="0" w:line="249"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xml:space="preserve">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40" w:right="439"/>
        <w:spacing w:after="0" w:line="252"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xml:space="preserve">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17" w:lineRule="exact"/>
        <w:rPr>
          <w:sz w:val="20"/>
          <w:szCs w:val="20"/>
          <w:color w:val="auto"/>
        </w:rPr>
      </w:pPr>
    </w:p>
    <w:p>
      <w:pPr>
        <w:ind w:left="40" w:right="339"/>
        <w:spacing w:after="0" w:line="286" w:lineRule="auto"/>
        <w:rPr>
          <w:sz w:val="20"/>
          <w:szCs w:val="20"/>
          <w:color w:val="auto"/>
        </w:rPr>
      </w:pPr>
      <w:r>
        <w:rPr>
          <w:rFonts w:ascii="Times New Roman" w:cs="Times New Roman" w:eastAsia="Times New Roman" w:hAnsi="Times New Roman"/>
          <w:sz w:val="16"/>
          <w:szCs w:val="16"/>
          <w:color w:val="auto"/>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2023 was derived from the audited financial statements, but does not include all disclosures required by GAAP.</w:t>
      </w:r>
    </w:p>
    <w:p>
      <w:pPr>
        <w:spacing w:after="0" w:line="160"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On April 3, 2023, the Company purchased the remaining 15% of the equity interests of Falcon Coffees Limited (“Falcon”) that it did not previously own, resulting in Falcon becoming a wholly owned subsidiary of the Company. Aggregate consideration paid for the interest totaled $3.2 million and included $2.0 million in cash and 100,000 shares of common stock, par value $0.01 per share, of the Company (“Common Shares”). Due to the Company’s controlling financial interest in Falcon prior to the purchase, the transaction was accounted for as an equity transaction. For periods prior to April 3, 2023, equity interests not owned by us are reflected as non-controlling interests. In the Condensed Consolidated Statements of Operations, we allocate net income (loss) attributable to non-controlling interest to arrive at net income (loss) attributable to common shareholders based on their proportionate share. Falcon operates our trading business and is reported within our Sustainable Sourcing &amp; Traceability segment.</w:t>
      </w:r>
    </w:p>
    <w:p>
      <w:pPr>
        <w:spacing w:after="0" w:line="191" w:lineRule="exact"/>
        <w:rPr>
          <w:sz w:val="20"/>
          <w:szCs w:val="20"/>
          <w:color w:val="auto"/>
        </w:rPr>
      </w:pPr>
    </w:p>
    <w:p>
      <w:pPr>
        <w:ind w:left="40" w:right="159"/>
        <w:spacing w:after="0" w:line="283" w:lineRule="auto"/>
        <w:rPr>
          <w:sz w:val="20"/>
          <w:szCs w:val="20"/>
          <w:color w:val="auto"/>
        </w:rPr>
      </w:pPr>
      <w:r>
        <w:rPr>
          <w:rFonts w:ascii="Times New Roman" w:cs="Times New Roman" w:eastAsia="Times New Roman" w:hAnsi="Times New Roman"/>
          <w:sz w:val="16"/>
          <w:szCs w:val="16"/>
          <w:color w:val="auto"/>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2023 consolidated financial statements and notes thereto included in our Annual Report on Form 10-K filed with the U.S. Securities and Exchange Commission (“SEC”) on March 15, 2024. Accordingly, certain significant accounting policies and other disclosures normally provided have been omitted from the accompanying Condensed Consolidated Financial Statements and related notes since such items are disclosed in our audited financial statements.</w:t>
      </w:r>
    </w:p>
    <w:p>
      <w:pPr>
        <w:spacing w:after="0" w:line="38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17"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warrant liabilities,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15" w:lineRule="exact"/>
        <w:rPr>
          <w:sz w:val="20"/>
          <w:szCs w:val="20"/>
          <w:color w:val="auto"/>
        </w:rPr>
      </w:pPr>
    </w:p>
    <w:p>
      <w:pPr>
        <w:ind w:left="40" w:right="79"/>
        <w:spacing w:after="0" w:line="279" w:lineRule="auto"/>
        <w:rPr>
          <w:sz w:val="20"/>
          <w:szCs w:val="20"/>
          <w:color w:val="auto"/>
        </w:rPr>
      </w:pPr>
      <w:r>
        <w:rPr>
          <w:rFonts w:ascii="Times New Roman" w:cs="Times New Roman" w:eastAsia="Times New Roman" w:hAnsi="Times New Roman"/>
          <w:sz w:val="16"/>
          <w:szCs w:val="16"/>
          <w:color w:val="auto"/>
        </w:rPr>
        <w:t xml:space="preserve">In accordance with Accounting Standards Update (“ASU”) 2014-15, </w:t>
      </w:r>
      <w:r>
        <w:rPr>
          <w:rFonts w:ascii="Times New Roman" w:cs="Times New Roman" w:eastAsia="Times New Roman" w:hAnsi="Times New Roman"/>
          <w:sz w:val="16"/>
          <w:szCs w:val="16"/>
          <w:i w:val="1"/>
          <w:iCs w:val="1"/>
          <w:color w:val="auto"/>
        </w:rPr>
        <w:t>Disclosure of Uncertainties about an Entity’s Ability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Continue as a Going Concern (Subtopic 205-40)</w:t>
      </w:r>
      <w:r>
        <w:rPr>
          <w:rFonts w:ascii="Times New Roman" w:cs="Times New Roman" w:eastAsia="Times New Roman" w:hAnsi="Times New Roman"/>
          <w:sz w:val="16"/>
          <w:szCs w:val="16"/>
          <w:color w:val="auto"/>
        </w:rPr>
        <w:t>, the Company has the responsibility to evaluate whether conditions and/or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events raise substantial doubt about its ability to meet its obligations as they become due within one year after the date that the financial statements are available to be issued. The Company is dependent on borrowings under its Credit Agreement (as defined herein)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will be sufficient to fund operations and to maintain covenant compliance for at least the next twelve months. However, during the nine months ended September 30, 2024, the Company incurred net losses of $55.7 million and net cash outflows from operating activities of $16.0 million. If we are unable to achieve our profitability growth projections and maintain our covenant leverage ratio and minimum liquidity requirements, as a result of, for example, experiencing any adverse impact of changes or further delays in the estimated timing and volume of products to be commercialized in our Conway Facility over the next twelve months, and generate sufficient cash flows from operations, it may restrict our liquidity and capital resources and our ability to maintain compliance with our financial covenants.</w:t>
      </w:r>
    </w:p>
    <w:p>
      <w:pPr>
        <w:spacing w:after="0" w:line="380" w:lineRule="exact"/>
        <w:rPr>
          <w:sz w:val="20"/>
          <w:szCs w:val="20"/>
          <w:color w:val="auto"/>
        </w:rPr>
      </w:pPr>
    </w:p>
    <w:p>
      <w:pPr>
        <w:ind w:left="40" w:right="179"/>
        <w:spacing w:after="0" w:line="247" w:lineRule="auto"/>
        <w:rPr>
          <w:sz w:val="20"/>
          <w:szCs w:val="20"/>
          <w:color w:val="auto"/>
        </w:rPr>
      </w:pPr>
      <w:r>
        <w:rPr>
          <w:rFonts w:ascii="Times New Roman" w:cs="Times New Roman" w:eastAsia="Times New Roman" w:hAnsi="Times New Roman"/>
          <w:sz w:val="18"/>
          <w:szCs w:val="18"/>
          <w:color w:val="auto"/>
        </w:rPr>
        <w:t xml:space="preserve">As management’s ability to amend its financial covenants cannot be assured, if necessary, management has committed to delay growth capital expenditures and/or reduce operating expenses, including headcount, salary and/or bonus reductions, all of which are in the Company’s control, as necessary, in order to have adequate liquidity and to remain in compliance with its debt covenants. As further discussed in </w:t>
      </w:r>
      <w:r>
        <w:rPr>
          <w:rFonts w:ascii="Times New Roman" w:cs="Times New Roman" w:eastAsia="Times New Roman" w:hAnsi="Times New Roman"/>
          <w:sz w:val="18"/>
          <w:szCs w:val="18"/>
          <w:i w:val="1"/>
          <w:iCs w:val="1"/>
          <w:color w:val="auto"/>
        </w:rPr>
        <w:t>Restructuring Activities</w:t>
      </w:r>
      <w:r>
        <w:rPr>
          <w:rFonts w:ascii="Times New Roman" w:cs="Times New Roman" w:eastAsia="Times New Roman" w:hAnsi="Times New Roman"/>
          <w:sz w:val="18"/>
          <w:szCs w:val="18"/>
          <w:color w:val="auto"/>
        </w:rPr>
        <w:t xml:space="preserve"> below, the Company has recently consolidated its manufacturing operations, signed a purchase and sale agreement of its West Winds facility, and executed a targeted reduction in excess workforce capacity, which were designed to improve operational efficiency. If required, the Company will further reduce operating costs to ensure compliance with its financial covenants. The accompanying Condensed Consolidated Financial Statements have been prepared assuming that the Company will continue as a going concern, which contemplates the realization of assets and satisfaction of liabilities in the ordinary course of business.</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17" w:lineRule="exact"/>
        <w:rPr>
          <w:sz w:val="20"/>
          <w:szCs w:val="20"/>
          <w:color w:val="auto"/>
        </w:rPr>
      </w:pPr>
    </w:p>
    <w:p>
      <w:pPr>
        <w:ind w:left="40" w:right="139"/>
        <w:spacing w:after="0" w:line="249" w:lineRule="auto"/>
        <w:rPr>
          <w:sz w:val="20"/>
          <w:szCs w:val="20"/>
          <w:color w:val="auto"/>
        </w:rPr>
      </w:pPr>
      <w:r>
        <w:rPr>
          <w:rFonts w:ascii="Times New Roman" w:cs="Times New Roman" w:eastAsia="Times New Roman" w:hAnsi="Times New Roman"/>
          <w:sz w:val="18"/>
          <w:szCs w:val="18"/>
          <w:color w:val="auto"/>
        </w:rPr>
        <w:t>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w:t>
      </w:r>
    </w:p>
    <w:p>
      <w:pPr>
        <w:spacing w:after="0" w:line="39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8"/>
          <w:szCs w:val="18"/>
          <w:color w:val="auto"/>
        </w:rPr>
        <w:t>receivable delinquent or past due based on payment terms established with each customer. Accounts receivable are written off when the account is determined to be uncollectible.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Activity in the allowance for credit losses for the periods indicated was as follows:</w:t>
      </w: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4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4"/>
        </w:trPr>
        <w:tc>
          <w:tcPr>
            <w:tcW w:w="44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3,941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2,672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2,915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1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Charged to selling, general and administrative expense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440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3,447</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3,301</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3,447</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3,301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17"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8"/>
          <w:szCs w:val="18"/>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and nine months ended September 30, 2024, we recognized $2.7 million and $3.7 million of net unrealized gains, respectively, on green coffee inventory associated with our forward sales and purchase contracts. For the three and nine months ended September 30, 2023, we recognized $0.5 million of net unrealized losses and $0.6 million of net unrealized gains, respectively, on green coffee inventory associated with our forward sales and purchase contracts.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17"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8"/>
          <w:szCs w:val="18"/>
          <w:color w:val="auto"/>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three and nine months ended September 30, 2024, we capitalized $4.0 million and $11.1 million of interest costs, respectively. For the three and nine months ended September 30, 2023, we capitalized $1.0 million of interest costs.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217"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At September 30, 2024 and</w:t>
      </w:r>
    </w:p>
    <w:p>
      <w:pPr>
        <w:spacing w:after="0" w:line="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2023, there were $70.9 million and $78.1 million of obligations outstanding under the Program, respectively.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17" w:lineRule="exact"/>
        <w:rPr>
          <w:sz w:val="20"/>
          <w:szCs w:val="20"/>
          <w:color w:val="auto"/>
        </w:rPr>
      </w:pPr>
    </w:p>
    <w:p>
      <w:pPr>
        <w:jc w:val="both"/>
        <w:ind w:left="40" w:right="159"/>
        <w:spacing w:after="0" w:line="256" w:lineRule="auto"/>
        <w:rPr>
          <w:sz w:val="20"/>
          <w:szCs w:val="20"/>
          <w:color w:val="auto"/>
        </w:rPr>
      </w:pPr>
      <w:r>
        <w:rPr>
          <w:rFonts w:ascii="Times New Roman" w:cs="Times New Roman" w:eastAsia="Times New Roman" w:hAnsi="Times New Roman"/>
          <w:sz w:val="18"/>
          <w:szCs w:val="18"/>
          <w:color w:val="auto"/>
        </w:rPr>
        <w:t>The Company accounts for exit or disposal activities in accordance with ASC 420, Exit or Disposal Cost Obligations (“ASC 420”). Restructuring charges may include one-time termination benefits related to employee separations, contract termination costs, long-lived asset impairments, and other related costs with exit or disposal activities.</w:t>
      </w:r>
    </w:p>
    <w:p>
      <w:pPr>
        <w:spacing w:after="0" w:line="181"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8"/>
          <w:szCs w:val="18"/>
          <w:color w:val="auto"/>
        </w:rPr>
        <w:t>The recognition of restructuring charges requires the Company to make certain judgements and estimates regarding the nature, timing and amount of costs associated with the planned exit activity. To the extent the Company’s actual results differ from its estimates and assumptions, the Company may be required to revise the estimates of future liabilities, require the recognition of additional restructuring charges or the reduction of liabilities already recognized. Such changes to previously estimated amounts may be material to the Condensed Consolidated Financial Statements. Restructuring charges are not included in the Company’s measurement of segment profitability as discussed in Note 19.</w:t>
      </w:r>
    </w:p>
    <w:p>
      <w:pPr>
        <w:spacing w:after="0" w:line="187" w:lineRule="exact"/>
        <w:rPr>
          <w:sz w:val="20"/>
          <w:szCs w:val="20"/>
          <w:color w:val="auto"/>
        </w:rPr>
      </w:pPr>
    </w:p>
    <w:p>
      <w:pPr>
        <w:ind w:left="40" w:right="159"/>
        <w:spacing w:after="0" w:line="286" w:lineRule="auto"/>
        <w:rPr>
          <w:sz w:val="20"/>
          <w:szCs w:val="20"/>
          <w:color w:val="auto"/>
        </w:rPr>
      </w:pPr>
      <w:r>
        <w:rPr>
          <w:rFonts w:ascii="Times New Roman" w:cs="Times New Roman" w:eastAsia="Times New Roman" w:hAnsi="Times New Roman"/>
          <w:sz w:val="16"/>
          <w:szCs w:val="16"/>
          <w:color w:val="auto"/>
        </w:rPr>
        <w:t>During the second quarter of 2024, the Company committed to a plan to consolidate its manufacturing operations in its Beverage Solutions segment, which resulted in the closure and sale of its West Winds manufacturing facility in Concord, NC, and the closure of its manufacturing facility in Richmond, CA. All production from the impacted facilities was consolidated into other facilities operated by the Company in Concord, NC and Conway, AR. The closure of the West Winds facility was completed as of June 30, 2024. The Company is under contract to sell the land and buildings, which is expected to be completed in the fourth quarter of 2024. Production in our Richmond, CA facility ceased during the third quarter of 2024.</w:t>
      </w:r>
    </w:p>
    <w:p>
      <w:pPr>
        <w:spacing w:after="0" w:line="160" w:lineRule="exact"/>
        <w:rPr>
          <w:sz w:val="20"/>
          <w:szCs w:val="20"/>
          <w:color w:val="auto"/>
        </w:rPr>
      </w:pPr>
    </w:p>
    <w:p>
      <w:pPr>
        <w:ind w:left="40" w:right="139"/>
        <w:spacing w:after="0" w:line="247" w:lineRule="auto"/>
        <w:rPr>
          <w:sz w:val="20"/>
          <w:szCs w:val="20"/>
          <w:color w:val="auto"/>
        </w:rPr>
      </w:pPr>
      <w:r>
        <w:rPr>
          <w:rFonts w:ascii="Times New Roman" w:cs="Times New Roman" w:eastAsia="Times New Roman" w:hAnsi="Times New Roman"/>
          <w:sz w:val="18"/>
          <w:szCs w:val="18"/>
          <w:color w:val="auto"/>
        </w:rPr>
        <w:t>The Company currently estimates total charges related to the plant consolidations of $5.0 million, of which $0.7 million have been incurred during the three and nine months ended September 30, 2024. These charges primarily relate to costs to remove and re-install production equipment into other manufacturing facilities. At September 30, 2024, the Company classified approximately $9.1 million of land and buildings as held-for-sale, which are reported within prepaid expenses and other current assets on the Condensed Consolidated Balance Sheets. During the three and nine months ended September 30, 2024, the Company incurred impairment charges of approximately $1.2 million and $2.0 million, respectively, on equipment associated with the plant consolidations, which is reported within impairment charges on the Condensed Consolidated Statements of Operations. The Company is continuing to evaluate which plant assets will be moved to other manufacturing facilities and which plant assets will be disposed of; therefore, there may be additional impairment charges in the future related to the consolidation of our manufacturing facilities.</w:t>
      </w:r>
    </w:p>
    <w:p>
      <w:pPr>
        <w:spacing w:after="0" w:line="188"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In addition, during the second quarter of 2024, the Company committed to targeted restructuring activities to improve operational efficiency by reducing excess workforce capacity. As a result of this reduction, and the impacts of the consolidation of manufacturing facilities noted above, the Company recognized approximately $4.1 million of one-time employee severance costs during the nine months ended September 30, 2024, which are recorded in transaction, restructuring and integration expense in the Condensed Consolidated Statements of Operations. At September 30, 2024, approximately $1.0 million of such termination benefits were accrued for within accrued expenses and other current liabilities in the Condensed Consolidated Balance Sheets. The following table summarizes the changes in the Company’s accrual for employee termination benefits: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40" w:type="dxa"/>
            <w:vAlign w:val="bottom"/>
          </w:tcPr>
          <w:p>
            <w:pPr>
              <w:spacing w:after="0"/>
              <w:rPr>
                <w:sz w:val="16"/>
                <w:szCs w:val="16"/>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1"/>
        </w:trPr>
        <w:tc>
          <w:tcPr>
            <w:tcW w:w="614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4"/>
        </w:trPr>
        <w:tc>
          <w:tcPr>
            <w:tcW w:w="592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3,590</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Charges</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11"/>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1"/>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w:t>
            </w:r>
          </w:p>
        </w:tc>
        <w:tc>
          <w:tcPr>
            <w:tcW w:w="1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0" w:type="dxa"/>
            <w:vAlign w:val="bottom"/>
          </w:tcPr>
          <w:p>
            <w:pPr>
              <w:spacing w:after="0"/>
              <w:rPr>
                <w:sz w:val="1"/>
                <w:szCs w:val="1"/>
                <w:color w:val="auto"/>
              </w:rPr>
            </w:pPr>
          </w:p>
        </w:tc>
      </w:tr>
      <w:tr>
        <w:trPr>
          <w:trHeight w:val="204"/>
        </w:trPr>
        <w:tc>
          <w:tcPr>
            <w:tcW w:w="614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1,013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 w:right="219"/>
        <w:spacing w:after="0" w:line="252" w:lineRule="auto"/>
        <w:rPr>
          <w:sz w:val="20"/>
          <w:szCs w:val="20"/>
          <w:color w:val="auto"/>
        </w:rPr>
      </w:pPr>
      <w:r>
        <w:rPr>
          <w:rFonts w:ascii="Times New Roman" w:cs="Times New Roman" w:eastAsia="Times New Roman" w:hAnsi="Times New Roman"/>
          <w:sz w:val="18"/>
          <w:szCs w:val="18"/>
          <w:color w:val="auto"/>
        </w:rPr>
        <w:t>On February 12, 2024, following the completion of its 530,000 square foot distribution center in Conway, AR, the Company entered into a lease termination agreement for its distribution center located in North Little Rock, AR (the “Gregory Distribution Center”). The Gregory Distribution Center lease terminated, by mutual agreement, on June 30, 2024. No costs were incurred as a result of the lease termination. During the first quarter of 2024, the Company</w:t>
      </w:r>
    </w:p>
    <w:p>
      <w:pPr>
        <w:sectPr>
          <w:pgSz w:w="11900" w:h="16838" w:orient="portrait"/>
          <w:cols w:equalWidth="0" w:num="1">
            <w:col w:w="9019"/>
          </w:cols>
          <w:pgMar w:left="1440" w:top="503" w:right="1440" w:bottom="1440" w:gutter="0" w:footer="0" w:header="0"/>
        </w:sectPr>
      </w:pPr>
    </w:p>
    <w:p>
      <w:pPr>
        <w:spacing w:after="0" w:line="39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39"/>
        <w:spacing w:after="0" w:line="252" w:lineRule="auto"/>
        <w:rPr>
          <w:sz w:val="20"/>
          <w:szCs w:val="20"/>
          <w:color w:val="auto"/>
        </w:rPr>
      </w:pPr>
      <w:r>
        <w:rPr>
          <w:rFonts w:ascii="Times New Roman" w:cs="Times New Roman" w:eastAsia="Times New Roman" w:hAnsi="Times New Roman"/>
          <w:sz w:val="18"/>
          <w:szCs w:val="18"/>
          <w:color w:val="auto"/>
        </w:rPr>
        <w:t xml:space="preserve">remeasured the Gregory Distribution Center lease liability, and related right-of-use asset,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a reduction of the lease liability and right-of-use asset of approximately $3.0 million. At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there was no remaining lease liability or right-of-use assets related to the Gregory Distribution Center recorded in the Condensed Consolidated Balance Sheets.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7" w:lineRule="exact"/>
        <w:rPr>
          <w:sz w:val="20"/>
          <w:szCs w:val="20"/>
          <w:color w:val="auto"/>
        </w:rPr>
      </w:pPr>
    </w:p>
    <w:p>
      <w:pPr>
        <w:jc w:val="both"/>
        <w:ind w:left="40" w:right="59"/>
        <w:spacing w:after="0" w:line="250"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7" w:lineRule="exact"/>
        <w:rPr>
          <w:sz w:val="20"/>
          <w:szCs w:val="20"/>
          <w:color w:val="auto"/>
        </w:rPr>
      </w:pPr>
    </w:p>
    <w:p>
      <w:pPr>
        <w:jc w:val="both"/>
        <w:ind w:left="40" w:right="59"/>
        <w:spacing w:after="0" w:line="247"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88" w:lineRule="exact"/>
        <w:rPr>
          <w:sz w:val="20"/>
          <w:szCs w:val="20"/>
          <w:color w:val="auto"/>
        </w:rPr>
      </w:pPr>
    </w:p>
    <w:p>
      <w:pPr>
        <w:jc w:val="both"/>
        <w:ind w:left="40" w:right="79"/>
        <w:spacing w:after="0" w:line="289" w:lineRule="auto"/>
        <w:rPr>
          <w:sz w:val="20"/>
          <w:szCs w:val="20"/>
          <w:color w:val="auto"/>
        </w:rPr>
      </w:pPr>
      <w:r>
        <w:rPr>
          <w:rFonts w:ascii="Times New Roman" w:cs="Times New Roman" w:eastAsia="Times New Roman" w:hAnsi="Times New Roman"/>
          <w:sz w:val="16"/>
          <w:szCs w:val="16"/>
          <w:color w:val="auto"/>
        </w:rPr>
        <w:t>The effective income tax rates for the nine months ended September 30, 2024 and 2023 were (2.3%) and 18.7%, respectively. The Company’s effective tax rate for the current period differs from the federal statutory rate primarily due to an increase in the valuation allowance against domestic deferred tax assets. The effective tax rate for the nine months ended September 30, 2024 differs from the effective tax rate for the same period in 2023 primarily due to the Company’s full year forecasted ordinary income (loss) in the periods and the permanent difference for changes in the fair value of warrants.</w:t>
      </w:r>
    </w:p>
    <w:p>
      <w:pPr>
        <w:spacing w:after="0" w:line="157" w:lineRule="exact"/>
        <w:rPr>
          <w:sz w:val="20"/>
          <w:szCs w:val="20"/>
          <w:color w:val="auto"/>
        </w:rPr>
      </w:pPr>
    </w:p>
    <w:p>
      <w:pPr>
        <w:jc w:val="both"/>
        <w:ind w:left="40" w:right="59"/>
        <w:spacing w:after="0" w:line="249"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("OECD") released Pillar Two Model Rules, which provide for a global minimum tax of 15% on multinational entities. Although the United States has not yet adopted the Pillar Two Model Rules, several foreign countries enacted Pillar Two legislation in 2023 with an initial effective date of January 1, 2024. The impact of Pillar Two legislation on the Company's 2024 effective tax rate is expected to be minimal. Management will continue to monitor future Pillar Two legislation in relevant jurisdictions for any impacts to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17" w:lineRule="exact"/>
        <w:rPr>
          <w:sz w:val="20"/>
          <w:szCs w:val="20"/>
          <w:color w:val="auto"/>
        </w:rPr>
      </w:pPr>
    </w:p>
    <w:p>
      <w:pPr>
        <w:ind w:left="40" w:right="759"/>
        <w:spacing w:after="0" w:line="271" w:lineRule="auto"/>
        <w:rPr>
          <w:sz w:val="20"/>
          <w:szCs w:val="20"/>
          <w:color w:val="auto"/>
        </w:rPr>
      </w:pPr>
      <w:r>
        <w:rPr>
          <w:rFonts w:ascii="Times New Roman" w:cs="Times New Roman" w:eastAsia="Times New Roman" w:hAnsi="Times New Roman"/>
          <w:sz w:val="18"/>
          <w:szCs w:val="18"/>
          <w:i w:val="1"/>
          <w:iCs w:val="1"/>
          <w:color w:val="auto"/>
        </w:rPr>
        <w:t>ASU 2022-04 - Liabilities—Supplier Finance Programs (Subtopic 405-50): Disclosure of Supplier Finance Program Obligations</w:t>
      </w:r>
    </w:p>
    <w:p>
      <w:pPr>
        <w:spacing w:after="0" w:line="167"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 forward information, which is effective for fiscal years beginning after December 15, 2023. The Company adopted the amendments within ASU 2022-04 on a retrospective basis effective January 1, 2023. The amendments to ASU 2022-04 do not affect the recognition, measurement or financial statement presentation of obligations covered by supplier finance programs.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ASU 2023-05 – Business Combinations – Joint Venture Formations (Subtopic 805-60): Recognition and Initial Measurement</w:t>
      </w:r>
    </w:p>
    <w:p>
      <w:pPr>
        <w:spacing w:after="0" w:line="240" w:lineRule="exact"/>
        <w:rPr>
          <w:sz w:val="20"/>
          <w:szCs w:val="20"/>
          <w:color w:val="auto"/>
        </w:rPr>
      </w:pPr>
    </w:p>
    <w:p>
      <w:pPr>
        <w:ind w:left="40" w:right="239"/>
        <w:spacing w:after="0" w:line="248" w:lineRule="auto"/>
        <w:rPr>
          <w:sz w:val="20"/>
          <w:szCs w:val="20"/>
          <w:color w:val="auto"/>
        </w:rPr>
      </w:pPr>
      <w:r>
        <w:rPr>
          <w:rFonts w:ascii="Times New Roman" w:cs="Times New Roman" w:eastAsia="Times New Roman" w:hAnsi="Times New Roman"/>
          <w:sz w:val="18"/>
          <w:szCs w:val="18"/>
          <w:color w:val="auto"/>
        </w:rPr>
        <w:t>In August 2023, the FASB issued ASU 2023-05, “Business Combinations – Joint Venture Formations (Subtopic 805-60): Recognition and Initial Measurement”. The amendments in this update require that a joint venture recognize and initially measure assets contributed and liabilities assumed at fair value upon its formation in the joint venture’s separate financial statements. The amendments in this update are effective prospectively for all joint venture formations with a formation date on or after January 1, 2025, with early adoption permitted. The Company will apply the provisions of ASU 2023-05 to new joint ventures, as applicable, but does not believe the adoption of ASU 2023-05 will have a material impact on our consolidated financial statements.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ASU 2023-07 – Segment Reporting (Topic 280): Improvements to Reportable Segment Disclosures</w:t>
      </w:r>
    </w:p>
    <w:p>
      <w:pPr>
        <w:spacing w:after="0" w:line="217" w:lineRule="exact"/>
        <w:rPr>
          <w:sz w:val="20"/>
          <w:szCs w:val="20"/>
          <w:color w:val="auto"/>
        </w:rPr>
      </w:pPr>
    </w:p>
    <w:p>
      <w:pPr>
        <w:ind w:left="40" w:right="139"/>
        <w:spacing w:after="0" w:line="24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the update are intended to improve reportable segment disclosure requirements, primarily through enhanced disclosures about significant expenses. ASU 2023-07 requires disclosure to include significant segment expenses that are regularly provided to the chief operating decision maker and a description of other segment items by reportable segment. ASU 2023-07 also requires all annual disclosures currently required by Topic 280 to be included in interim periods. The amendments in the update are effective for fiscal years beginning after December 31, 2023, and interim periods within fiscal years beginning after December 31, 2024, with early adoption permitted. The amendments in the update require retrospective application to all prior periods presented in the financial statements. The Company is currently evaluating the impact that ASU 2023-07 will have on our consolidated financial statements. While we do not expect the adoption of this guidance to have a material impact on our financial position, results of operations or cash flows’, we will be required to provide enhanced segment disclosures beginning in our Annual Report for the fiscal year ended December 31, 2024 and subsequent interim periods.</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ASU 2023-09 – Income Taxes (Topic 740): Improvements to Income Tax Disclosures</w:t>
      </w:r>
    </w:p>
    <w:p>
      <w:pPr>
        <w:spacing w:after="0" w:line="217"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the update relate to the rate reconciliation and income taxes paid disclosure and are intended to improve transparency of income tax disclosures by requiring (1) consistent categories and greater disaggregation of information in the tax reconciliation and (2) income taxes paid disaggregated by jurisdiction. The other amendments in the update are intended to improve comparability of disclosures by (1) adding disclosures of pretax income (or loss) and income tax expense (or benefit) and (2) removing disclosures that no longer are considered cost beneficial or relevant. ASU 2023-09 is effective for annual periods beginning after December 15, 2024, with early adoption permitted for annual financial statements that have not yet been issued or made available for issuance. The</w:t>
      </w:r>
    </w:p>
    <w:p>
      <w:pPr>
        <w:spacing w:after="0" w:line="200" w:lineRule="exact"/>
        <w:rPr>
          <w:sz w:val="20"/>
          <w:szCs w:val="20"/>
          <w:color w:val="auto"/>
        </w:rPr>
      </w:pPr>
    </w:p>
    <w:p>
      <w:pPr>
        <w:spacing w:after="0" w:line="20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8"/>
          <w:szCs w:val="18"/>
          <w:color w:val="auto"/>
        </w:rPr>
        <w:t>amendments in the update should be applied on a prospective basis, with retrospective application permitted. The Company is currently evaluating the impact that ASU 2023-09 will have on our consolidated financial statements.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ASU 2024-03 – Income Statement – Reporting Comprehensive Income (Topic 220): Expense Disaggregation Disclosures</w:t>
      </w:r>
    </w:p>
    <w:p>
      <w:pPr>
        <w:spacing w:after="0" w:line="217" w:lineRule="exact"/>
        <w:rPr>
          <w:sz w:val="20"/>
          <w:szCs w:val="20"/>
          <w:color w:val="auto"/>
        </w:rPr>
      </w:pPr>
    </w:p>
    <w:p>
      <w:pPr>
        <w:ind w:left="40" w:right="179"/>
        <w:spacing w:after="0" w:line="24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The amendments in this update include requirements for public business entities to provide disclosure, in the notes to the financial statements, of specified information about certain costs and expenses. The amendments in this update are effective for annual reporting periods beginning after December 15, 2026, and interim reporting periods beginning after December 15, 2027, with early adoption permitted. The amendments in this update may be applied either prospectively or retrospectively. The Company is currently evaluating the impact that ASU 2024-03 will have on our consolidated financial statements.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The Enhancement and Standardization of Climate-Related Disclosure for Investors</w:t>
      </w:r>
    </w:p>
    <w:p>
      <w:pPr>
        <w:spacing w:after="0" w:line="217" w:lineRule="exact"/>
        <w:rPr>
          <w:sz w:val="20"/>
          <w:szCs w:val="20"/>
          <w:color w:val="auto"/>
        </w:rPr>
      </w:pPr>
    </w:p>
    <w:p>
      <w:pPr>
        <w:ind w:left="40" w:right="179"/>
        <w:spacing w:after="0" w:line="249" w:lineRule="auto"/>
        <w:rPr>
          <w:sz w:val="20"/>
          <w:szCs w:val="20"/>
          <w:color w:val="auto"/>
        </w:rPr>
      </w:pPr>
      <w:r>
        <w:rPr>
          <w:rFonts w:ascii="Times New Roman" w:cs="Times New Roman" w:eastAsia="Times New Roman" w:hAnsi="Times New Roman"/>
          <w:sz w:val="18"/>
          <w:szCs w:val="18"/>
          <w:color w:val="auto"/>
        </w:rPr>
        <w:t>In March 2024, the SEC adopted final rules requiring registrants to provide certain climate-related disclosures, including Scope 1 and Scope 2 greenhouse gas emissions to the extent they are material. These rules require certain disclosures related to severe weather events and other natural conditions in the notes to audited financial statements. These disclosures are required to phase-in over multiple years beginning with fiscal 2025 for large accelerated filers and fiscal 2026 for accelerated filers. On April 4, 2024, the SEC determined to voluntarily stay the final rules pending certain legal challenges. The Company is currently evaluating the impact of the new rules.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17" w:lineRule="exact"/>
        <w:rPr>
          <w:sz w:val="20"/>
          <w:szCs w:val="20"/>
          <w:color w:val="auto"/>
        </w:rPr>
      </w:pPr>
    </w:p>
    <w:p>
      <w:pPr>
        <w:jc w:val="both"/>
        <w:ind w:left="40" w:right="479"/>
        <w:spacing w:after="0" w:line="303" w:lineRule="auto"/>
        <w:rPr>
          <w:sz w:val="20"/>
          <w:szCs w:val="20"/>
          <w:color w:val="auto"/>
        </w:rPr>
      </w:pPr>
      <w:r>
        <w:rPr>
          <w:rFonts w:ascii="Times New Roman" w:cs="Times New Roman" w:eastAsia="Times New Roman" w:hAnsi="Times New Roman"/>
          <w:sz w:val="16"/>
          <w:szCs w:val="16"/>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46" w:lineRule="exact"/>
        <w:rPr>
          <w:sz w:val="20"/>
          <w:szCs w:val="20"/>
          <w:color w:val="auto"/>
        </w:rPr>
      </w:pPr>
    </w:p>
    <w:p>
      <w:pPr>
        <w:ind w:left="40" w:right="179"/>
        <w:spacing w:after="0" w:line="289" w:lineRule="auto"/>
        <w:rPr>
          <w:sz w:val="20"/>
          <w:szCs w:val="20"/>
          <w:color w:val="auto"/>
        </w:rPr>
      </w:pPr>
      <w:r>
        <w:rPr>
          <w:rFonts w:ascii="Times New Roman" w:cs="Times New Roman" w:eastAsia="Times New Roman" w:hAnsi="Times New Roman"/>
          <w:sz w:val="16"/>
          <w:szCs w:val="16"/>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57"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spacing w:after="0" w:line="187" w:lineRule="exact"/>
        <w:rPr>
          <w:sz w:val="20"/>
          <w:szCs w:val="20"/>
          <w:color w:val="auto"/>
        </w:rPr>
      </w:pPr>
    </w:p>
    <w:p>
      <w:pPr>
        <w:ind w:left="40" w:right="199"/>
        <w:spacing w:after="0" w:line="248" w:lineRule="auto"/>
        <w:rPr>
          <w:sz w:val="20"/>
          <w:szCs w:val="20"/>
          <w:color w:val="auto"/>
        </w:rPr>
      </w:pPr>
      <w:r>
        <w:rPr>
          <w:rFonts w:ascii="Times New Roman" w:cs="Times New Roman" w:eastAsia="Times New Roman" w:hAnsi="Times New Roman"/>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September 30, 2024 and December 31, 2023, the Company had $1.2 million and $8.3 million, respectively, of such repurchase agreement obligations, collateralized by the corresponding 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spacing w:after="0" w:line="40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17"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7"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Condensed Consolidated Statements of Operations. For the three and nine months ended September 30, 2024, we recorded $3.3 million of net unrealized losses and $1.0 million of net unrealized losses, respectively, within costs of sales. For the three and nine months ended September 30, 2023, we recorded $0.7 million of net unrealized losses and $0.4 million of net unrealized gains, respectively, within costs of sales.</w:t>
      </w:r>
    </w:p>
    <w:p>
      <w:pPr>
        <w:spacing w:after="0" w:line="18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recognized $56.6 million and $135.7 million in revenues under ASC 815, respectively, and for the three and nine months ended September 30, 2023, the Company recognized $42.4 million and $101.6 million in revenues under ASC 815, respectively, which are reported within the Company’s Sustainable Sourcing &amp; Traceability segment.</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17" w:lineRule="exact"/>
        <w:rPr>
          <w:sz w:val="20"/>
          <w:szCs w:val="20"/>
          <w:color w:val="auto"/>
        </w:rPr>
      </w:pPr>
    </w:p>
    <w:p>
      <w:pPr>
        <w:jc w:val="both"/>
        <w:ind w:left="40" w:right="239"/>
        <w:spacing w:after="0" w:line="282" w:lineRule="auto"/>
        <w:rPr>
          <w:sz w:val="20"/>
          <w:szCs w:val="20"/>
          <w:color w:val="auto"/>
        </w:rPr>
      </w:pPr>
      <w:r>
        <w:rPr>
          <w:rFonts w:ascii="Times New Roman" w:cs="Times New Roman" w:eastAsia="Times New Roman" w:hAnsi="Times New Roman"/>
          <w:sz w:val="16"/>
          <w:szCs w:val="16"/>
          <w:color w:val="auto"/>
        </w:rPr>
        <w:t>The nature of the Company’s contracts gives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w:t>
      </w:r>
    </w:p>
    <w:p>
      <w:pPr>
        <w:spacing w:after="0" w:line="1" w:lineRule="exact"/>
        <w:rPr>
          <w:sz w:val="20"/>
          <w:szCs w:val="20"/>
          <w:color w:val="auto"/>
        </w:rPr>
      </w:pPr>
    </w:p>
    <w:p>
      <w:pPr>
        <w:ind w:left="40" w:right="179"/>
        <w:spacing w:after="0" w:line="245" w:lineRule="auto"/>
        <w:rPr>
          <w:sz w:val="20"/>
          <w:szCs w:val="20"/>
          <w:color w:val="auto"/>
        </w:rPr>
      </w:pPr>
      <w:r>
        <w:rPr>
          <w:rFonts w:ascii="Times New Roman" w:cs="Times New Roman" w:eastAsia="Times New Roman" w:hAnsi="Times New Roman"/>
          <w:sz w:val="18"/>
          <w:szCs w:val="18"/>
          <w:color w:val="auto"/>
        </w:rPr>
        <w:t>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$1.5 million and $1.5 million at September 30, 2024 and December 31, 2023, respectively. Other accrued deductions were $2.5 million and $2.7 million at September 30, 2024 and December 31, 2023, respectively, and are included as a reduction to accounts receivable, net in the Condensed Consolidated Balance Sheets.</w:t>
      </w:r>
    </w:p>
    <w:p>
      <w:pPr>
        <w:spacing w:after="0" w:line="190" w:lineRule="exact"/>
        <w:rPr>
          <w:sz w:val="20"/>
          <w:szCs w:val="20"/>
          <w:color w:val="auto"/>
        </w:rPr>
      </w:pPr>
    </w:p>
    <w:p>
      <w:pPr>
        <w:ind w:left="40" w:right="419"/>
        <w:spacing w:after="0" w:line="25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17"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8"/>
          <w:szCs w:val="18"/>
          <w:color w:val="auto"/>
        </w:rPr>
        <w:t>Contract balances relate primarily to advances received from the Company’s customers before revenue is recognized. The Company does not have any material contract liabilities as of September 30, 2024 or December 31, 2023. Receivables from contracts with customers are included in accounts receivable, net on the Company’s Condensed Consolidated Balance Sheets. At September 30, 2024 and December 31, 2023, accounts receivable, net included $107.8 million and $104.8 million in receivables from contracts with customers, respectively.</w:t>
      </w:r>
    </w:p>
    <w:p>
      <w:pPr>
        <w:spacing w:after="0" w:line="187" w:lineRule="exact"/>
        <w:rPr>
          <w:sz w:val="20"/>
          <w:szCs w:val="20"/>
          <w:color w:val="auto"/>
        </w:rPr>
      </w:pPr>
    </w:p>
    <w:p>
      <w:pPr>
        <w:ind w:left="40" w:right="419"/>
        <w:spacing w:after="0" w:line="256" w:lineRule="auto"/>
        <w:rPr>
          <w:sz w:val="20"/>
          <w:szCs w:val="20"/>
          <w:color w:val="auto"/>
        </w:rPr>
      </w:pPr>
      <w:r>
        <w:rPr>
          <w:rFonts w:ascii="Times New Roman" w:cs="Times New Roman" w:eastAsia="Times New Roman" w:hAnsi="Times New Roman"/>
          <w:sz w:val="18"/>
          <w:szCs w:val="18"/>
          <w:color w:val="auto"/>
        </w:rPr>
        <w:t>Contract acquisition costs for obtaining contracts that are deemed recoverable are capitalized as contract costs. Such costs result from the payment of sales incentives and are amortized over the contract life. As of September 30, 2024 and December 31, 2023, no costs were capitalized as all arrangements were less than a year.</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17" w:lineRule="exact"/>
        <w:rPr>
          <w:sz w:val="20"/>
          <w:szCs w:val="20"/>
          <w:color w:val="auto"/>
        </w:rPr>
      </w:pPr>
    </w:p>
    <w:p>
      <w:pPr>
        <w:ind w:left="40" w:right="119"/>
        <w:spacing w:after="0" w:line="332" w:lineRule="auto"/>
        <w:rPr>
          <w:sz w:val="20"/>
          <w:szCs w:val="20"/>
          <w:color w:val="auto"/>
        </w:rPr>
      </w:pPr>
      <w:r>
        <w:rPr>
          <w:rFonts w:ascii="Times New Roman" w:cs="Times New Roman" w:eastAsia="Times New Roman" w:hAnsi="Times New Roman"/>
          <w:sz w:val="16"/>
          <w:szCs w:val="16"/>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23" w:lineRule="exact"/>
        <w:rPr>
          <w:sz w:val="20"/>
          <w:szCs w:val="20"/>
          <w:color w:val="auto"/>
        </w:rPr>
      </w:pPr>
    </w:p>
    <w:p>
      <w:pPr>
        <w:ind w:left="40" w:right="139"/>
        <w:spacing w:after="0" w:line="269" w:lineRule="auto"/>
        <w:rPr>
          <w:sz w:val="20"/>
          <w:szCs w:val="20"/>
          <w:color w:val="auto"/>
        </w:rPr>
      </w:pPr>
      <w:r>
        <w:rPr>
          <w:rFonts w:ascii="Times New Roman" w:cs="Times New Roman" w:eastAsia="Times New Roman" w:hAnsi="Times New Roman"/>
          <w:sz w:val="18"/>
          <w:szCs w:val="18"/>
          <w:color w:val="auto"/>
        </w:rPr>
        <w:t>Further disaggregation of revenues from sales to external customers by type and geographic area, based on customer location, for the periods indicated is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8"/>
        </w:trPr>
        <w:tc>
          <w:tcPr>
            <w:tcW w:w="4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76"/>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16"/>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Coffee &amp; tea</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rPr>
              <w:t>115,456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rPr>
              <w:t>131,819</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349,301</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425,241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Flavors, extracts &amp; ingredients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56,850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42,794</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136,427</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tcBorders>
              <w:bottom w:val="single" w:sz="8" w:color="CCEEFF"/>
            </w:tcBorders>
            <w:gridSpan w:val="2"/>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rPr>
              <w:t>220,860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rPr>
              <w:t>219,612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621,749</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649,748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24"/>
                <w:szCs w:val="24"/>
                <w:color w:val="auto"/>
              </w:rPr>
            </w:pPr>
          </w:p>
        </w:tc>
        <w:tc>
          <w:tcPr>
            <w:tcW w:w="2420" w:type="dxa"/>
            <w:vAlign w:val="bottom"/>
            <w:gridSpan w:val="9"/>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7"/>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8"/>
        </w:trPr>
        <w:tc>
          <w:tcPr>
            <w:tcW w:w="4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96"/>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96"/>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394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169,472</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8"/>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184,280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rPr>
              <w:t>496,542</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562,942</w:t>
            </w:r>
          </w:p>
        </w:tc>
        <w:tc>
          <w:tcPr>
            <w:tcW w:w="0" w:type="dxa"/>
            <w:vAlign w:val="bottom"/>
          </w:tcPr>
          <w:p>
            <w:pPr>
              <w:spacing w:after="0"/>
              <w:rPr>
                <w:sz w:val="1"/>
                <w:szCs w:val="1"/>
                <w:color w:val="auto"/>
              </w:rPr>
            </w:pPr>
          </w:p>
        </w:tc>
      </w:tr>
      <w:tr>
        <w:trPr>
          <w:trHeight w:val="211"/>
        </w:trPr>
        <w:tc>
          <w:tcPr>
            <w:tcW w:w="4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All other countries</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125,207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86,806</w:t>
            </w:r>
          </w:p>
        </w:tc>
        <w:tc>
          <w:tcPr>
            <w:tcW w:w="0" w:type="dxa"/>
            <w:vAlign w:val="bottom"/>
          </w:tcPr>
          <w:p>
            <w:pPr>
              <w:spacing w:after="0"/>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CCEEFF"/>
            </w:tcBorders>
            <w:gridSpan w:val="2"/>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220,860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98"/>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219,612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rPr>
              <w:t>621,749</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649,748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5. Acquisitions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Bixby Roasting Co.</w:t>
      </w:r>
    </w:p>
    <w:p>
      <w:pPr>
        <w:spacing w:after="0" w:line="217" w:lineRule="exact"/>
        <w:rPr>
          <w:sz w:val="20"/>
          <w:szCs w:val="20"/>
          <w:color w:val="auto"/>
        </w:rPr>
      </w:pPr>
    </w:p>
    <w:p>
      <w:pPr>
        <w:ind w:left="40" w:right="119"/>
        <w:spacing w:after="0" w:line="279" w:lineRule="auto"/>
        <w:rPr>
          <w:sz w:val="20"/>
          <w:szCs w:val="20"/>
          <w:color w:val="auto"/>
        </w:rPr>
      </w:pPr>
      <w:r>
        <w:rPr>
          <w:rFonts w:ascii="Times New Roman" w:cs="Times New Roman" w:eastAsia="Times New Roman" w:hAnsi="Times New Roman"/>
          <w:sz w:val="16"/>
          <w:szCs w:val="16"/>
          <w:color w:val="auto"/>
        </w:rPr>
        <w:t xml:space="preserve">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The Company finalized its purchase price allocation during the second quarter of 2023, recognizing approximately $2.0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6. Inventories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inventories as of September 30, 2024 and December 31, 2023:</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4"/>
                <w:szCs w:val="14"/>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r>
      <w:tr>
        <w:trPr>
          <w:trHeight w:val="204"/>
        </w:trPr>
        <w:tc>
          <w:tcPr>
            <w:tcW w:w="588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74,662</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78,882</w:t>
            </w:r>
          </w:p>
        </w:tc>
      </w:tr>
      <w:tr>
        <w:trPr>
          <w:trHeight w:val="211"/>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26,857</w:t>
            </w:r>
          </w:p>
        </w:tc>
      </w:tr>
      <w:tr>
        <w:trPr>
          <w:trHeight w:val="211"/>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r>
      <w:tr>
        <w:trPr>
          <w:trHeight w:val="204"/>
        </w:trPr>
        <w:tc>
          <w:tcPr>
            <w:tcW w:w="58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7"/>
                <w:szCs w:val="17"/>
                <w:color w:val="auto"/>
              </w:rPr>
            </w:pPr>
          </w:p>
        </w:tc>
        <w:tc>
          <w:tcPr>
            <w:tcW w:w="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160,644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149,921</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right="419"/>
        <w:spacing w:after="0" w:line="269" w:lineRule="auto"/>
        <w:rPr>
          <w:sz w:val="20"/>
          <w:szCs w:val="20"/>
          <w:color w:val="auto"/>
        </w:rPr>
      </w:pPr>
      <w:r>
        <w:rPr>
          <w:rFonts w:ascii="Times New Roman" w:cs="Times New Roman" w:eastAsia="Times New Roman" w:hAnsi="Times New Roman"/>
          <w:sz w:val="18"/>
          <w:szCs w:val="18"/>
          <w:color w:val="auto"/>
        </w:rPr>
        <w:t>Green coffee inventories represent green coffee held for resale. At September 30, 2024 and December 31, 2023, all green coffee held for resale was included within our Sustainable Sourcing &amp; Traceability segment.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7. Property, Plant and Equipment, Net</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net as of September 30, 2024 and December 31, 2023:</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Depreciable Lives</w:t>
            </w:r>
          </w:p>
        </w:tc>
        <w:tc>
          <w:tcPr>
            <w:tcW w:w="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4"/>
        </w:trPr>
        <w:tc>
          <w:tcPr>
            <w:tcW w:w="20" w:type="dxa"/>
            <w:vAlign w:val="bottom"/>
          </w:tcPr>
          <w:p>
            <w:pPr>
              <w:spacing w:after="0"/>
              <w:rPr>
                <w:sz w:val="17"/>
                <w:szCs w:val="17"/>
                <w:color w:val="auto"/>
              </w:rPr>
            </w:pPr>
          </w:p>
        </w:tc>
        <w:tc>
          <w:tcPr>
            <w:tcW w:w="460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6,592</w:t>
            </w: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8,778</w:t>
            </w:r>
          </w:p>
        </w:tc>
      </w:tr>
      <w:tr>
        <w:trPr>
          <w:trHeight w:val="211"/>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10-40 years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143,915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35,911</w:t>
            </w:r>
          </w:p>
        </w:tc>
      </w:tr>
      <w:tr>
        <w:trPr>
          <w:trHeight w:val="211"/>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Leasehold improvements</w:t>
            </w:r>
            <w:r>
              <w:rPr>
                <w:rFonts w:ascii="Times New Roman" w:cs="Times New Roman" w:eastAsia="Times New Roman" w:hAnsi="Times New Roman"/>
                <w:sz w:val="24"/>
                <w:szCs w:val="24"/>
                <w:color w:val="auto"/>
                <w:vertAlign w:val="superscript"/>
              </w:rPr>
              <w:t>(1)</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w:t>
            </w:r>
          </w:p>
        </w:tc>
      </w:tr>
      <w:tr>
        <w:trPr>
          <w:trHeight w:val="211"/>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3-15 years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242,716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128,639</w:t>
            </w:r>
          </w:p>
        </w:tc>
      </w:tr>
      <w:tr>
        <w:trPr>
          <w:trHeight w:val="211"/>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 years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1"/>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systems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 years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r>
      <w:tr>
        <w:trPr>
          <w:trHeight w:val="211"/>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3-10 years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w:t>
            </w:r>
          </w:p>
        </w:tc>
      </w:tr>
      <w:tr>
        <w:trPr>
          <w:trHeight w:val="211"/>
        </w:trPr>
        <w:tc>
          <w:tcPr>
            <w:tcW w:w="20" w:type="dxa"/>
            <w:vAlign w:val="bottom"/>
          </w:tcPr>
          <w:p>
            <w:pPr>
              <w:spacing w:after="0"/>
              <w:rPr>
                <w:sz w:val="18"/>
                <w:szCs w:val="18"/>
                <w:color w:val="auto"/>
              </w:rPr>
            </w:pPr>
          </w:p>
        </w:tc>
        <w:tc>
          <w:tcPr>
            <w:tcW w:w="4800" w:type="dxa"/>
            <w:vAlign w:val="bottom"/>
            <w:gridSpan w:val="3"/>
          </w:tcPr>
          <w:p>
            <w:pPr>
              <w:spacing w:after="0" w:line="211" w:lineRule="exact"/>
              <w:rPr>
                <w:sz w:val="20"/>
                <w:szCs w:val="20"/>
                <w:color w:val="auto"/>
              </w:rPr>
            </w:pPr>
            <w:r>
              <w:rPr>
                <w:rFonts w:ascii="Times New Roman" w:cs="Times New Roman" w:eastAsia="Times New Roman" w:hAnsi="Times New Roman"/>
                <w:sz w:val="16"/>
                <w:szCs w:val="16"/>
                <w:color w:val="auto"/>
              </w:rPr>
              <w:t>Customer beverage equipment</w:t>
            </w:r>
            <w:r>
              <w:rPr>
                <w:rFonts w:ascii="Times New Roman" w:cs="Times New Roman" w:eastAsia="Times New Roman" w:hAnsi="Times New Roman"/>
                <w:sz w:val="24"/>
                <w:szCs w:val="24"/>
                <w:color w:val="auto"/>
                <w:vertAlign w:val="superscript"/>
              </w:rPr>
              <w:t>(2)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 years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22,931</w:t>
            </w:r>
          </w:p>
        </w:tc>
      </w:tr>
      <w:tr>
        <w:trPr>
          <w:trHeight w:val="211"/>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Lease right-of-use assets</w:t>
            </w:r>
            <w:r>
              <w:rPr>
                <w:rFonts w:ascii="Times New Roman" w:cs="Times New Roman" w:eastAsia="Times New Roman" w:hAnsi="Times New Roman"/>
                <w:sz w:val="24"/>
                <w:szCs w:val="24"/>
                <w:color w:val="auto"/>
                <w:vertAlign w:val="superscript"/>
              </w:rPr>
              <w:t>(3)</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1"/>
        </w:trPr>
        <w:tc>
          <w:tcPr>
            <w:tcW w:w="20" w:type="dxa"/>
            <w:vAlign w:val="bottom"/>
          </w:tcPr>
          <w:p>
            <w:pPr>
              <w:spacing w:after="0"/>
              <w:rPr>
                <w:sz w:val="18"/>
                <w:szCs w:val="18"/>
                <w:color w:val="auto"/>
              </w:rPr>
            </w:pPr>
          </w:p>
        </w:tc>
        <w:tc>
          <w:tcPr>
            <w:tcW w:w="4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Construction in progress and equipment deposits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208,308</w:t>
            </w:r>
          </w:p>
        </w:tc>
      </w:tr>
      <w:tr>
        <w:trPr>
          <w:trHeight w:val="204"/>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537,190</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427,299</w:t>
            </w:r>
          </w:p>
        </w:tc>
      </w:tr>
      <w:tr>
        <w:trPr>
          <w:trHeight w:val="211"/>
        </w:trPr>
        <w:tc>
          <w:tcPr>
            <w:tcW w:w="20" w:type="dxa"/>
            <w:vAlign w:val="bottom"/>
          </w:tcPr>
          <w:p>
            <w:pPr>
              <w:spacing w:after="0"/>
              <w:rPr>
                <w:sz w:val="18"/>
                <w:szCs w:val="18"/>
                <w:color w:val="auto"/>
              </w:rPr>
            </w:pPr>
          </w:p>
        </w:tc>
        <w:tc>
          <w:tcPr>
            <w:tcW w:w="48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(98,573)</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(83,261)</w:t>
            </w:r>
          </w:p>
        </w:tc>
      </w:tr>
      <w:tr>
        <w:trPr>
          <w:trHeight w:val="204"/>
        </w:trPr>
        <w:tc>
          <w:tcPr>
            <w:tcW w:w="20" w:type="dxa"/>
            <w:vAlign w:val="bottom"/>
          </w:tcPr>
          <w:p>
            <w:pPr>
              <w:spacing w:after="0"/>
              <w:rPr>
                <w:sz w:val="17"/>
                <w:szCs w:val="17"/>
                <w:color w:val="auto"/>
              </w:rPr>
            </w:pPr>
          </w:p>
        </w:tc>
        <w:tc>
          <w:tcPr>
            <w:tcW w:w="4800" w:type="dxa"/>
            <w:vAlign w:val="bottom"/>
            <w:tcBorders>
              <w:bottom w:val="single" w:sz="8" w:color="CCEEFF"/>
            </w:tcBorders>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438,617</w:t>
            </w: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344,038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 Leasehold improvements are amortized over the shorter of their estimated useful lives or the related lease life.</w:t>
      </w:r>
    </w:p>
    <w:p>
      <w:pPr>
        <w:ind w:left="40"/>
        <w:spacing w:after="0" w:line="216" w:lineRule="auto"/>
        <w:rPr>
          <w:sz w:val="20"/>
          <w:szCs w:val="20"/>
          <w:color w:val="auto"/>
        </w:rPr>
      </w:pPr>
      <w:r>
        <w:rPr>
          <w:rFonts w:ascii="Times New Roman" w:cs="Times New Roman" w:eastAsia="Times New Roman" w:hAnsi="Times New Roman"/>
          <w:sz w:val="14"/>
          <w:szCs w:val="14"/>
          <w:color w:val="auto"/>
        </w:rPr>
        <w:t>2 - Customer beverage equipment consists of brewers held on site at customer locations.</w:t>
      </w:r>
    </w:p>
    <w:p>
      <w:pPr>
        <w:ind w:left="40"/>
        <w:spacing w:after="0"/>
        <w:rPr>
          <w:sz w:val="20"/>
          <w:szCs w:val="20"/>
          <w:color w:val="auto"/>
        </w:rPr>
      </w:pPr>
      <w:r>
        <w:rPr>
          <w:rFonts w:ascii="Times New Roman" w:cs="Times New Roman" w:eastAsia="Times New Roman" w:hAnsi="Times New Roman"/>
          <w:sz w:val="14"/>
          <w:szCs w:val="14"/>
          <w:color w:val="auto"/>
        </w:rPr>
        <w:t>3 - Lease right-of-use assets are amortized over the shorter of the useful life of the asset or the lease term.</w:t>
      </w:r>
    </w:p>
    <w:p>
      <w:pPr>
        <w:spacing w:after="0" w:line="117" w:lineRule="exact"/>
        <w:rPr>
          <w:sz w:val="20"/>
          <w:szCs w:val="20"/>
          <w:color w:val="auto"/>
        </w:rPr>
      </w:pPr>
    </w:p>
    <w:p>
      <w:pPr>
        <w:ind w:left="40" w:right="179"/>
        <w:spacing w:after="0" w:line="250" w:lineRule="auto"/>
        <w:rPr>
          <w:sz w:val="20"/>
          <w:szCs w:val="20"/>
          <w:color w:val="auto"/>
        </w:rPr>
      </w:pPr>
      <w:r>
        <w:rPr>
          <w:rFonts w:ascii="Times New Roman" w:cs="Times New Roman" w:eastAsia="Times New Roman" w:hAnsi="Times New Roman"/>
          <w:sz w:val="18"/>
          <w:szCs w:val="18"/>
          <w:color w:val="auto"/>
        </w:rPr>
        <w:t>Depreciation expense for the three and nine months ended September 30, 2024 was $5.8 million and $17.1 million, respectively, and depreciation expense for the three and nine months ended September 30, 2023 was $4.4 million and $12.4 million, respectively. Assets classified as construction in progress and equipment deposits are not depreciated, as they are not ready for production use. All assets classified as construction in progress and equipment deposits at September 30, 2024 are expected to be in production use.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8. Goodwill</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reflects the carrying amount of goodwill as of September 30, 2024 and December 31, 2023:</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9"/>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4"/>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116,111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116,111</w:t>
            </w: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4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4"/>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116,111</w:t>
            </w:r>
          </w:p>
        </w:tc>
        <w:tc>
          <w:tcPr>
            <w:tcW w:w="180" w:type="dxa"/>
            <w:vAlign w:val="bottom"/>
          </w:tcPr>
          <w:p>
            <w:pPr>
              <w:spacing w:after="0"/>
              <w:rPr>
                <w:sz w:val="17"/>
                <w:szCs w:val="17"/>
                <w:color w:val="auto"/>
              </w:rPr>
            </w:pPr>
          </w:p>
        </w:tc>
        <w:tc>
          <w:tcPr>
            <w:tcW w:w="2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116,111</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35"/>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547"/>
        </w:trPr>
        <w:tc>
          <w:tcPr>
            <w:tcW w:w="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9. Intangible Assets, Net</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September 30, 2024 and December 31, 2023:</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September 30, 2024</w:t>
            </w:r>
          </w:p>
        </w:tc>
        <w:tc>
          <w:tcPr>
            <w:tcW w:w="700" w:type="dxa"/>
            <w:vAlign w:val="bottom"/>
            <w:tcBorders>
              <w:bottom w:val="single" w:sz="8" w:color="auto"/>
            </w:tcBorders>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60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4"/>
        </w:trPr>
        <w:tc>
          <w:tcPr>
            <w:tcW w:w="586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148,648</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6"/>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(32,270)</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116,378</w:t>
            </w:r>
          </w:p>
        </w:tc>
      </w:tr>
      <w:tr>
        <w:trPr>
          <w:trHeight w:val="211"/>
        </w:trPr>
        <w:tc>
          <w:tcPr>
            <w:tcW w:w="6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1"/>
        </w:trPr>
        <w:tc>
          <w:tcPr>
            <w:tcW w:w="6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04"/>
        </w:trPr>
        <w:tc>
          <w:tcPr>
            <w:tcW w:w="6040" w:type="dxa"/>
            <w:vAlign w:val="bottom"/>
            <w:gridSpan w:val="4"/>
          </w:tcPr>
          <w:p>
            <w:pPr>
              <w:spacing w:after="0" w:line="204" w:lineRule="exact"/>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150,653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6"/>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(33,685)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116,968</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0"/>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180"/>
              <w:spacing w:after="0" w:line="140"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9"/>
        </w:trPr>
        <w:tc>
          <w:tcPr>
            <w:tcW w:w="604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4"/>
        </w:trPr>
        <w:tc>
          <w:tcPr>
            <w:tcW w:w="20" w:type="dxa"/>
            <w:vAlign w:val="bottom"/>
          </w:tcPr>
          <w:p>
            <w:pPr>
              <w:spacing w:after="0"/>
              <w:rPr>
                <w:sz w:val="17"/>
                <w:szCs w:val="17"/>
                <w:color w:val="auto"/>
              </w:rPr>
            </w:pPr>
          </w:p>
        </w:tc>
        <w:tc>
          <w:tcPr>
            <w:tcW w:w="586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148,648</w:t>
            </w: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gridSpan w:val="2"/>
            <w:shd w:val="clear" w:color="auto" w:fill="CCEEFF"/>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(26,487)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122,161</w:t>
            </w:r>
          </w:p>
        </w:tc>
      </w:tr>
      <w:tr>
        <w:trPr>
          <w:trHeight w:val="211"/>
        </w:trPr>
        <w:tc>
          <w:tcPr>
            <w:tcW w:w="20" w:type="dxa"/>
            <w:vAlign w:val="bottom"/>
          </w:tcPr>
          <w:p>
            <w:pPr>
              <w:spacing w:after="0"/>
              <w:rPr>
                <w:sz w:val="18"/>
                <w:szCs w:val="18"/>
                <w:color w:val="auto"/>
              </w:rPr>
            </w:pPr>
          </w:p>
        </w:tc>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1"/>
        </w:trPr>
        <w:tc>
          <w:tcPr>
            <w:tcW w:w="20" w:type="dxa"/>
            <w:vAlign w:val="bottom"/>
          </w:tcPr>
          <w:p>
            <w:pPr>
              <w:spacing w:after="0"/>
              <w:rPr>
                <w:sz w:val="18"/>
                <w:szCs w:val="18"/>
                <w:color w:val="auto"/>
              </w:rPr>
            </w:pPr>
          </w:p>
        </w:tc>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04"/>
        </w:trPr>
        <w:tc>
          <w:tcPr>
            <w:tcW w:w="6040" w:type="dxa"/>
            <w:vAlign w:val="bottom"/>
            <w:gridSpan w:val="4"/>
          </w:tcPr>
          <w:p>
            <w:pPr>
              <w:ind w:left="20"/>
              <w:spacing w:after="0" w:line="204" w:lineRule="exact"/>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150,517</w:t>
            </w:r>
          </w:p>
        </w:tc>
        <w:tc>
          <w:tcPr>
            <w:tcW w:w="20" w:type="dxa"/>
            <w:vAlign w:val="bottom"/>
            <w:tcBorders>
              <w:bottom w:val="single" w:sz="8" w:color="auto"/>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(27,572)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122,945</w:t>
            </w: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right="279"/>
        <w:spacing w:after="0" w:line="252" w:lineRule="auto"/>
        <w:rPr>
          <w:sz w:val="20"/>
          <w:szCs w:val="20"/>
          <w:color w:val="auto"/>
        </w:rPr>
      </w:pPr>
      <w:r>
        <w:rPr>
          <w:rFonts w:ascii="Times New Roman" w:cs="Times New Roman" w:eastAsia="Times New Roman" w:hAnsi="Times New Roman"/>
          <w:sz w:val="18"/>
          <w:szCs w:val="18"/>
          <w:color w:val="auto"/>
        </w:rPr>
        <w:t>Amortization expense of intangible assets was $2.0 million and $6.1 million for the three and nine months ended September 30, 2024, respectively, and amortization expense of intangible assets was $2.0 million and $6.0 million for the three and nine months ended September 30, 2023, respectively. As of September 30, 2024, the weighted average useful life for definite-lived intangibles is approximately 20 years.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17"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w:t>
      </w:r>
    </w:p>
    <w:p>
      <w:pPr>
        <w:spacing w:after="0" w:line="185"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8"/>
          <w:szCs w:val="18"/>
          <w:color w:val="auto"/>
        </w:rPr>
        <w:t>The following table summarizes the amount of right-of-use lease assets and lease liabilities included in each respective line item on the Company’s Condensed Consolidated Balance Sheets: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4"/>
        </w:trPr>
        <w:tc>
          <w:tcPr>
            <w:tcW w:w="276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Right-of-use operating lease assets</w:t>
            </w:r>
          </w:p>
        </w:tc>
        <w:tc>
          <w:tcPr>
            <w:tcW w:w="12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97"/>
              </w:rPr>
              <w:t>Operating lease right-of-use assets</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1"/>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61,404</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1"/>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67,601</w:t>
            </w:r>
          </w:p>
        </w:tc>
      </w:tr>
      <w:tr>
        <w:trPr>
          <w:trHeight w:val="211"/>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Accrued expenses and other current liabilities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r>
      <w:tr>
        <w:trPr>
          <w:trHeight w:val="211"/>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Operating lease liabilities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63,554</w:t>
            </w:r>
          </w:p>
        </w:tc>
      </w:tr>
    </w:tbl>
    <w:p>
      <w:pPr>
        <w:spacing w:after="0" w:line="206" w:lineRule="exact"/>
        <w:rPr>
          <w:sz w:val="20"/>
          <w:szCs w:val="20"/>
          <w:color w:val="auto"/>
        </w:rPr>
      </w:pPr>
    </w:p>
    <w:p>
      <w:pPr>
        <w:ind w:left="40" w:right="419"/>
        <w:spacing w:after="0" w:line="269"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obtained approximately $1.0 million and $6.0 million, respectively, of right-of-use operating lease assets in exchange for lease obligations.</w:t>
      </w:r>
    </w:p>
    <w:p>
      <w:pPr>
        <w:spacing w:after="0" w:line="168" w:lineRule="exact"/>
        <w:rPr>
          <w:sz w:val="20"/>
          <w:szCs w:val="20"/>
          <w:color w:val="auto"/>
        </w:rPr>
      </w:pPr>
    </w:p>
    <w:p>
      <w:pPr>
        <w:ind w:left="40" w:right="219"/>
        <w:spacing w:after="0" w:line="294" w:lineRule="auto"/>
        <w:rPr>
          <w:sz w:val="20"/>
          <w:szCs w:val="20"/>
          <w:color w:val="auto"/>
        </w:rPr>
      </w:pPr>
      <w:r>
        <w:rPr>
          <w:rFonts w:ascii="Times New Roman" w:cs="Times New Roman" w:eastAsia="Times New Roman" w:hAnsi="Times New Roman"/>
          <w:sz w:val="16"/>
          <w:szCs w:val="16"/>
          <w:color w:val="auto"/>
        </w:rPr>
        <w:t>On February 12, 2024, following the completion of its 530,000 square foot distribution center in Conway, Arkansas, the Company entered into a lease termination agreement for the Gregory Distribution Center lease. The Gregory Distribution Center lease terminated, by mutual agreement, on June 30, 2024. No costs were incurred as a result of the lease termination. This lease termination event does not significantly alter the Company’s operational capabilities or its financial position.</w:t>
      </w:r>
    </w:p>
    <w:p>
      <w:pPr>
        <w:spacing w:after="0" w:line="36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99"/>
        <w:spacing w:after="0" w:line="256" w:lineRule="auto"/>
        <w:rPr>
          <w:sz w:val="20"/>
          <w:szCs w:val="20"/>
          <w:color w:val="auto"/>
        </w:rPr>
      </w:pPr>
      <w:r>
        <w:rPr>
          <w:rFonts w:ascii="Times New Roman" w:cs="Times New Roman" w:eastAsia="Times New Roman" w:hAnsi="Times New Roman"/>
          <w:sz w:val="18"/>
          <w:szCs w:val="18"/>
          <w:color w:val="auto"/>
        </w:rPr>
        <w:t>Depending on the nature of the lease, lease costs are classified within costs of sales or selling, general and administrative expense on the Company’s Condensed Consolidated Statements of Operations. The components of lease costs for the three and nine months ended September 30, 2024 and 2023, respectively, are as follows: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4"/>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4"/>
        </w:trPr>
        <w:tc>
          <w:tcPr>
            <w:tcW w:w="418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2,678</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8,242</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3,609</w:t>
            </w:r>
          </w:p>
        </w:tc>
      </w:tr>
      <w:tr>
        <w:trPr>
          <w:trHeight w:val="211"/>
        </w:trPr>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04"/>
        </w:trPr>
        <w:tc>
          <w:tcPr>
            <w:tcW w:w="428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2,947</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8,972</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4,336</w:t>
            </w:r>
          </w:p>
        </w:tc>
      </w:tr>
      <w:tr>
        <w:trPr>
          <w:trHeight w:val="20"/>
        </w:trPr>
        <w:tc>
          <w:tcPr>
            <w:tcW w:w="4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information about the Company’s weighted average discount rate and remaining lease term as of</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September 30, 2024 and December 31, 2023:</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4"/>
        </w:trPr>
        <w:tc>
          <w:tcPr>
            <w:tcW w:w="57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7.8%</w:t>
            </w:r>
          </w:p>
        </w:tc>
      </w:tr>
      <w:tr>
        <w:trPr>
          <w:trHeight w:val="22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12.6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years</w:t>
            </w:r>
          </w:p>
        </w:tc>
      </w:tr>
    </w:tbl>
    <w:p>
      <w:pPr>
        <w:spacing w:after="0" w:line="188" w:lineRule="exact"/>
        <w:rPr>
          <w:sz w:val="20"/>
          <w:szCs w:val="20"/>
          <w:color w:val="auto"/>
        </w:rPr>
      </w:pPr>
    </w:p>
    <w:p>
      <w:pPr>
        <w:ind w:left="40" w:right="559"/>
        <w:spacing w:after="0" w:line="269" w:lineRule="auto"/>
        <w:rPr>
          <w:sz w:val="20"/>
          <w:szCs w:val="20"/>
          <w:color w:val="auto"/>
        </w:rPr>
      </w:pPr>
      <w:r>
        <w:rPr>
          <w:rFonts w:ascii="Times New Roman" w:cs="Times New Roman" w:eastAsia="Times New Roman" w:hAnsi="Times New Roman"/>
          <w:sz w:val="18"/>
          <w:szCs w:val="18"/>
          <w:color w:val="auto"/>
        </w:rPr>
        <w:t>Supplemental cash flow information about the Company’s leases as of September 30, 2024 and 2023, respectively, is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60" w:type="dxa"/>
            <w:vAlign w:val="bottom"/>
            <w:tcBorders>
              <w:bottom w:val="single" w:sz="8" w:color="auto"/>
            </w:tcBorders>
          </w:tcPr>
          <w:p>
            <w:pPr>
              <w:spacing w:after="0"/>
              <w:rPr>
                <w:sz w:val="14"/>
                <w:szCs w:val="14"/>
                <w:color w:val="auto"/>
              </w:rPr>
            </w:pPr>
          </w:p>
        </w:tc>
      </w:tr>
      <w:tr>
        <w:trPr>
          <w:trHeight w:val="164"/>
        </w:trPr>
        <w:tc>
          <w:tcPr>
            <w:tcW w:w="5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4"/>
                <w:szCs w:val="14"/>
                <w:color w:val="auto"/>
              </w:rPr>
            </w:pPr>
          </w:p>
        </w:tc>
      </w:tr>
      <w:tr>
        <w:trPr>
          <w:trHeight w:val="204"/>
        </w:trPr>
        <w:tc>
          <w:tcPr>
            <w:tcW w:w="57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Cash paid related to operating lease liabilities</w:t>
            </w:r>
          </w:p>
        </w:tc>
        <w:tc>
          <w:tcPr>
            <w:tcW w:w="2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804"/>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7,363</w:t>
            </w: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1"/>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3"/>
              </w:rPr>
              <w:t>3,195</w:t>
            </w:r>
          </w:p>
        </w:tc>
      </w:tr>
    </w:tbl>
    <w:p>
      <w:pPr>
        <w:spacing w:after="0" w:line="206"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September 30, 2024.</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September 30, 2024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686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2,269</w:t>
            </w:r>
          </w:p>
        </w:tc>
      </w:tr>
      <w:tr>
        <w:trPr>
          <w:trHeight w:val="21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r>
      <w:tr>
        <w:trPr>
          <w:trHeight w:val="21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r>
      <w:tr>
        <w:trPr>
          <w:trHeight w:val="21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r>
      <w:tr>
        <w:trPr>
          <w:trHeight w:val="211"/>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r>
      <w:tr>
        <w:trPr>
          <w:trHeight w:val="211"/>
        </w:trPr>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68,642</w:t>
            </w:r>
          </w:p>
        </w:tc>
      </w:tr>
      <w:tr>
        <w:trPr>
          <w:trHeight w:val="204"/>
        </w:trPr>
        <w:tc>
          <w:tcPr>
            <w:tcW w:w="7100" w:type="dxa"/>
            <w:vAlign w:val="bottom"/>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101,771</w:t>
            </w:r>
          </w:p>
        </w:tc>
      </w:tr>
      <w:tr>
        <w:trPr>
          <w:trHeight w:val="211"/>
        </w:trPr>
        <w:tc>
          <w:tcPr>
            <w:tcW w:w="7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(38,930)</w:t>
            </w:r>
          </w:p>
        </w:tc>
      </w:tr>
      <w:tr>
        <w:trPr>
          <w:trHeight w:val="204"/>
        </w:trPr>
        <w:tc>
          <w:tcPr>
            <w:tcW w:w="7100" w:type="dxa"/>
            <w:vAlign w:val="bottom"/>
            <w:tcBorders>
              <w:bottom w:val="single" w:sz="8" w:color="CCEEFF"/>
            </w:tcBorders>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Present value of minimum lease payments</w:t>
            </w:r>
          </w:p>
        </w:tc>
        <w:tc>
          <w:tcPr>
            <w:tcW w:w="640" w:type="dxa"/>
            <w:vAlign w:val="bottom"/>
            <w:tcBorders>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62,841</w:t>
            </w:r>
          </w:p>
        </w:tc>
      </w:tr>
      <w:tr>
        <w:trPr>
          <w:trHeight w:val="20"/>
        </w:trPr>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48"/>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547"/>
        </w:trPr>
        <w:tc>
          <w:tcPr>
            <w:tcW w:w="6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11. Debt</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Our long-term debt at September 30, 2024 and December 31, 2023 is as follows: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4"/>
        </w:trPr>
        <w:tc>
          <w:tcPr>
            <w:tcW w:w="60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157,500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164,063</w:t>
            </w:r>
          </w:p>
        </w:tc>
      </w:tr>
      <w:tr>
        <w:trPr>
          <w:trHeight w:val="21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1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43,694</w:t>
            </w:r>
          </w:p>
        </w:tc>
      </w:tr>
      <w:tr>
        <w:trPr>
          <w:trHeight w:val="21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r>
      <w:tr>
        <w:trPr>
          <w:trHeight w:val="21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4"/>
        </w:trPr>
        <w:tc>
          <w:tcPr>
            <w:tcW w:w="60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449,580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278,975</w:t>
            </w:r>
          </w:p>
        </w:tc>
      </w:tr>
      <w:tr>
        <w:trPr>
          <w:trHeight w:val="21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costs</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11"/>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w:t>
            </w:r>
          </w:p>
        </w:tc>
      </w:tr>
      <w:tr>
        <w:trPr>
          <w:trHeight w:val="211"/>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 related party, net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(43,694)</w:t>
            </w:r>
          </w:p>
        </w:tc>
      </w:tr>
      <w:tr>
        <w:trPr>
          <w:trHeight w:val="204"/>
        </w:trPr>
        <w:tc>
          <w:tcPr>
            <w:tcW w:w="6080" w:type="dxa"/>
            <w:vAlign w:val="bottom"/>
            <w:tcBorders>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326,122</w:t>
            </w: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223,092</w:t>
            </w:r>
          </w:p>
        </w:tc>
      </w:tr>
      <w:tr>
        <w:trPr>
          <w:trHeight w:val="20"/>
        </w:trPr>
        <w:tc>
          <w:tcPr>
            <w:tcW w:w="6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17" w:lineRule="exact"/>
        <w:rPr>
          <w:sz w:val="20"/>
          <w:szCs w:val="20"/>
          <w:color w:val="auto"/>
        </w:rPr>
      </w:pPr>
    </w:p>
    <w:p>
      <w:pPr>
        <w:ind w:left="40" w:right="99"/>
        <w:spacing w:after="0" w:line="246" w:lineRule="auto"/>
        <w:rPr>
          <w:sz w:val="20"/>
          <w:szCs w:val="20"/>
          <w:color w:val="auto"/>
        </w:rPr>
      </w:pPr>
      <w:r>
        <w:rPr>
          <w:rFonts w:ascii="Times New Roman" w:cs="Times New Roman" w:eastAsia="Times New Roman" w:hAnsi="Times New Roman"/>
          <w:sz w:val="18"/>
          <w:szCs w:val="18"/>
          <w:color w:val="auto"/>
        </w:rPr>
        <w:t>The Company is party 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6" w:lineRule="exact"/>
        <w:rPr>
          <w:sz w:val="20"/>
          <w:szCs w:val="20"/>
          <w:color w:val="auto"/>
        </w:rPr>
      </w:pPr>
    </w:p>
    <w:p>
      <w:pPr>
        <w:ind w:left="40" w:right="79"/>
        <w:spacing w:after="0" w:line="279" w:lineRule="auto"/>
        <w:rPr>
          <w:sz w:val="20"/>
          <w:szCs w:val="20"/>
          <w:color w:val="auto"/>
        </w:rPr>
      </w:pPr>
      <w:r>
        <w:rPr>
          <w:rFonts w:ascii="Times New Roman" w:cs="Times New Roman" w:eastAsia="Times New Roman" w:hAnsi="Times New Roman"/>
          <w:sz w:val="16"/>
          <w:szCs w:val="16"/>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w:t>
      </w:r>
    </w:p>
    <w:p>
      <w:pPr>
        <w:spacing w:after="0" w:line="2" w:lineRule="exact"/>
        <w:rPr>
          <w:sz w:val="20"/>
          <w:szCs w:val="20"/>
          <w:color w:val="auto"/>
        </w:rPr>
      </w:pPr>
    </w:p>
    <w:p>
      <w:pPr>
        <w:ind w:left="40" w:right="399" w:firstLine="8"/>
        <w:spacing w:after="0" w:line="248" w:lineRule="auto"/>
        <w:tabs>
          <w:tab w:leader="none" w:pos="2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NYFRB Rate from time to time plus 0.50% and (iii) the Adjusted Term SOFR for a one month interest period plus 1.00%, (the “Base Rate”)), in each case plus an applicable margin.</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 September 30, 2024, we had $107.5 million of outstanding borrowings under the Revolving Credit Facility, with a</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interest rate of 8.8%, and we had $2.6 million of standby letters of credit outstanding. At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September 30, 2024, the interest rate applicable to our Term Loan Facility was 8.0% and the interest rate applicable to our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Delayed Draw Term Loan Facility was 8.9%.</w:t>
      </w:r>
    </w:p>
    <w:p>
      <w:pPr>
        <w:spacing w:after="0" w:line="197"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below).</w:t>
      </w:r>
    </w:p>
    <w:p>
      <w:pPr>
        <w:sectPr>
          <w:pgSz w:w="11900" w:h="16838" w:orient="portrait"/>
          <w:cols w:equalWidth="0" w:num="1">
            <w:col w:w="9019"/>
          </w:cols>
          <w:pgMar w:left="1440" w:top="503" w:right="1440" w:bottom="1440" w:gutter="0" w:footer="0" w:header="0"/>
        </w:sectPr>
      </w:pPr>
    </w:p>
    <w:p>
      <w:pPr>
        <w:spacing w:after="0" w:line="40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5" w:lineRule="exact"/>
        <w:rPr>
          <w:sz w:val="20"/>
          <w:szCs w:val="20"/>
          <w:color w:val="auto"/>
        </w:rPr>
      </w:pPr>
    </w:p>
    <w:p>
      <w:pPr>
        <w:ind w:left="40" w:right="139"/>
        <w:spacing w:after="0" w:line="247" w:lineRule="auto"/>
        <w:rPr>
          <w:sz w:val="20"/>
          <w:szCs w:val="20"/>
          <w:color w:val="auto"/>
        </w:rPr>
      </w:pPr>
      <w:r>
        <w:rPr>
          <w:rFonts w:ascii="Times New Roman" w:cs="Times New Roman" w:eastAsia="Times New Roman" w:hAnsi="Times New Roman"/>
          <w:sz w:val="18"/>
          <w:szCs w:val="18"/>
          <w:color w:val="auto"/>
        </w:rPr>
        <w:t>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As of the date of this Quarterly Report on Form 10-Q, the Company was in compliance with its financial covenants.</w:t>
      </w:r>
    </w:p>
    <w:p>
      <w:pPr>
        <w:spacing w:after="0" w:line="191" w:lineRule="exact"/>
        <w:rPr>
          <w:sz w:val="20"/>
          <w:szCs w:val="20"/>
          <w:color w:val="auto"/>
        </w:rPr>
      </w:pPr>
    </w:p>
    <w:p>
      <w:pPr>
        <w:jc w:val="both"/>
        <w:ind w:left="40" w:right="299"/>
        <w:spacing w:after="0" w:line="303" w:lineRule="auto"/>
        <w:rPr>
          <w:sz w:val="20"/>
          <w:szCs w:val="20"/>
          <w:color w:val="auto"/>
        </w:rPr>
      </w:pPr>
      <w:r>
        <w:rPr>
          <w:rFonts w:ascii="Times New Roman" w:cs="Times New Roman" w:eastAsia="Times New Roman" w:hAnsi="Times New Roman"/>
          <w:sz w:val="16"/>
          <w:szCs w:val="16"/>
          <w:color w:val="auto"/>
        </w:rPr>
        <w:t>The Term Loan Facility and Delayed Draw Term Loan Facility require quarterly principal payments totaling approximately $2.8 million (1.25% of the original principal balance). Quarterly payments increase to approximately $4.2 million and $5.6 million (1.875% and 2.5% of the original principal balance) during the final two years of the agreements, respectively.</w:t>
      </w:r>
    </w:p>
    <w:p>
      <w:pPr>
        <w:spacing w:after="0" w:line="146"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We incurred a total of $2.4 million in financing fees in connection with the Third Amendment. Approximately $1.3 million of the fees were allocated to the Term Loan Facility and are being amortized over the remaining term of the Term Loan Facility utilizing the frozen effective yield method based on the interest rate in place at the issuance of the Term Loan Facility. Approximately $1.0 million of the fees were allocated to the Revolving Credit Facility, are reported within other long-term assets on the Condensed Consolidated Balance Sheets and are being amortized ratably over the remaining term of the Revolving Credit Facility.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w:t>
      </w:r>
    </w:p>
    <w:p>
      <w:pPr>
        <w:spacing w:after="0" w:line="21" w:lineRule="exact"/>
        <w:rPr>
          <w:sz w:val="20"/>
          <w:szCs w:val="20"/>
          <w:color w:val="auto"/>
        </w:rPr>
      </w:pPr>
    </w:p>
    <w:p>
      <w:pPr>
        <w:ind w:left="40" w:right="79"/>
        <w:spacing w:after="0" w:line="246" w:lineRule="auto"/>
        <w:rPr>
          <w:sz w:val="20"/>
          <w:szCs w:val="20"/>
          <w:color w:val="auto"/>
        </w:rPr>
      </w:pPr>
      <w:r>
        <w:rPr>
          <w:rFonts w:ascii="Times New Roman" w:cs="Times New Roman" w:eastAsia="Times New Roman" w:hAnsi="Times New Roman"/>
          <w:sz w:val="18"/>
          <w:szCs w:val="18"/>
          <w:color w:val="auto"/>
        </w:rPr>
        <w:t>5.00% convertible senior notes due 2029 (the “Convertible Notes”), of which $50.0 million was from related parties (See Note 21). The Convertible Notes are unsecured, senior obligations of the Company and accrue interest at a rate of 5.00% per annum.</w:t>
      </w:r>
    </w:p>
    <w:p>
      <w:pPr>
        <w:spacing w:after="0" w:line="189"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8"/>
          <w:szCs w:val="18"/>
          <w:color w:val="auto"/>
        </w:rPr>
        <w:t>The Convertible Notes are carried at amortized cost and are recorded in long-term debt, net and convertible notes payable – related party, net on the Condensed Consolidated Balance Sheets. At September 30, 2024, the carrying value of the Convertible Notes was $71.6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w:t>
      </w:r>
    </w:p>
    <w:p>
      <w:pPr>
        <w:spacing w:after="0" w:line="187" w:lineRule="exact"/>
        <w:rPr>
          <w:sz w:val="20"/>
          <w:szCs w:val="20"/>
          <w:color w:val="auto"/>
        </w:rPr>
      </w:pPr>
    </w:p>
    <w:p>
      <w:pPr>
        <w:ind w:left="40" w:right="119"/>
        <w:spacing w:after="0" w:line="247"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3" w:lineRule="exact"/>
        <w:rPr>
          <w:sz w:val="20"/>
          <w:szCs w:val="20"/>
          <w:color w:val="auto"/>
        </w:rPr>
      </w:pPr>
    </w:p>
    <w:p>
      <w:pPr>
        <w:ind w:left="40" w:right="359"/>
        <w:spacing w:after="0" w:line="294" w:lineRule="auto"/>
        <w:rPr>
          <w:sz w:val="20"/>
          <w:szCs w:val="20"/>
          <w:color w:val="auto"/>
        </w:rPr>
      </w:pPr>
      <w:r>
        <w:rPr>
          <w:rFonts w:ascii="Times New Roman" w:cs="Times New Roman" w:eastAsia="Times New Roman" w:hAnsi="Times New Roman"/>
          <w:sz w:val="16"/>
          <w:szCs w:val="16"/>
          <w:color w:val="auto"/>
        </w:rPr>
        <w:t>The Company will settle conversions by paying or delivering, as applicable, at the Company’s election, cash,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w:t>
      </w:r>
    </w:p>
    <w:p>
      <w:pPr>
        <w:sectPr>
          <w:pgSz w:w="11900" w:h="16838" w:orient="portrait"/>
          <w:cols w:equalWidth="0" w:num="1">
            <w:col w:w="9019"/>
          </w:cols>
          <w:pgMar w:left="1440" w:top="503" w:right="1440" w:bottom="1440" w:gutter="0" w:footer="0" w:header="0"/>
        </w:sectPr>
      </w:pPr>
    </w:p>
    <w:p>
      <w:pPr>
        <w:spacing w:after="0" w:line="36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19"/>
        <w:spacing w:after="0" w:line="269" w:lineRule="auto"/>
        <w:rPr>
          <w:sz w:val="20"/>
          <w:szCs w:val="20"/>
          <w:color w:val="auto"/>
        </w:rPr>
      </w:pPr>
      <w:r>
        <w:rPr>
          <w:rFonts w:ascii="Times New Roman" w:cs="Times New Roman" w:eastAsia="Times New Roman" w:hAnsi="Times New Roman"/>
          <w:sz w:val="18"/>
          <w:szCs w:val="18"/>
          <w:color w:val="auto"/>
        </w:rPr>
        <w:t>conversion rate of approximately 77.88 Common Shares per $1,000 principal amount of Convertible Notes. The conversion price and conversion rate are subject to customary adjustments.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International Debt and Lending Facilities</w:t>
      </w:r>
    </w:p>
    <w:p>
      <w:pPr>
        <w:spacing w:after="0" w:line="217" w:lineRule="exact"/>
        <w:rPr>
          <w:sz w:val="20"/>
          <w:szCs w:val="20"/>
          <w:color w:val="auto"/>
        </w:rPr>
      </w:pPr>
    </w:p>
    <w:p>
      <w:pPr>
        <w:ind w:left="40" w:right="59"/>
        <w:spacing w:after="0" w:line="284" w:lineRule="auto"/>
        <w:rPr>
          <w:sz w:val="20"/>
          <w:szCs w:val="20"/>
          <w:color w:val="auto"/>
        </w:rPr>
      </w:pPr>
      <w:r>
        <w:rPr>
          <w:rFonts w:ascii="Times New Roman" w:cs="Times New Roman" w:eastAsia="Times New Roman" w:hAnsi="Times New Roman"/>
          <w:sz w:val="16"/>
          <w:szCs w:val="16"/>
          <w:color w:val="auto"/>
        </w:rPr>
        <w:t>On March 21, 2023, we entered into a $70 million working capital trade finance facility with multiple financial institutions through our subsidiary, Falcon. The facility is uncommitted and repayable on demand, with certain of Falcon’s assets pledged as collateral against the facility. The facility was set to mature one year from inception. Borrowings under the facility bore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62"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6"/>
          <w:szCs w:val="16"/>
          <w:color w:val="auto"/>
        </w:rPr>
        <w:t>On March 8, 2024, Falcon renewed its working capital trade finance facility with multiple institutions. The facility size was reduced from $70.0 million to $55.0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On August 21, 2024, Falcon amended its working capital trade finance facility. The amendment increased the facility size from $55.0 million to $75.0 million. The interest rates and maturity date were unchanged as a result of the amendment.</w:t>
      </w:r>
    </w:p>
    <w:p>
      <w:pPr>
        <w:spacing w:after="0" w:line="378" w:lineRule="exact"/>
        <w:rPr>
          <w:sz w:val="20"/>
          <w:szCs w:val="20"/>
          <w:color w:val="auto"/>
        </w:rPr>
      </w:pPr>
    </w:p>
    <w:p>
      <w:pPr>
        <w:ind w:left="40" w:right="179"/>
        <w:spacing w:after="0" w:line="252" w:lineRule="auto"/>
        <w:rPr>
          <w:sz w:val="20"/>
          <w:szCs w:val="20"/>
          <w:color w:val="auto"/>
        </w:rPr>
      </w:pPr>
      <w:r>
        <w:rPr>
          <w:rFonts w:ascii="Times New Roman" w:cs="Times New Roman" w:eastAsia="Times New Roman" w:hAnsi="Times New Roman"/>
          <w:sz w:val="18"/>
          <w:szCs w:val="18"/>
          <w:color w:val="auto"/>
        </w:rPr>
        <w:t>At September 30, 2024, there was $48.5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September 30, 2024.</w:t>
      </w:r>
    </w:p>
    <w:p>
      <w:pPr>
        <w:spacing w:after="0" w:line="185" w:lineRule="exact"/>
        <w:rPr>
          <w:sz w:val="20"/>
          <w:szCs w:val="20"/>
          <w:color w:val="auto"/>
        </w:rPr>
      </w:pPr>
    </w:p>
    <w:p>
      <w:pPr>
        <w:jc w:val="both"/>
        <w:ind w:left="40" w:right="219"/>
        <w:spacing w:after="0" w:line="280" w:lineRule="auto"/>
        <w:rPr>
          <w:sz w:val="20"/>
          <w:szCs w:val="20"/>
          <w:color w:val="auto"/>
        </w:rPr>
      </w:pPr>
      <w:r>
        <w:rPr>
          <w:rFonts w:ascii="Times New Roman" w:cs="Times New Roman" w:eastAsia="Times New Roman" w:hAnsi="Times New Roman"/>
          <w:sz w:val="16"/>
          <w:szCs w:val="16"/>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w:t>
      </w:r>
    </w:p>
    <w:p>
      <w:pPr>
        <w:spacing w:after="0" w:line="2" w:lineRule="exact"/>
        <w:rPr>
          <w:sz w:val="20"/>
          <w:szCs w:val="20"/>
          <w:color w:val="auto"/>
        </w:rPr>
      </w:pPr>
    </w:p>
    <w:p>
      <w:pPr>
        <w:ind w:left="40" w:right="99" w:firstLine="8"/>
        <w:spacing w:after="0" w:line="244" w:lineRule="auto"/>
        <w:tabs>
          <w:tab w:leader="none" w:pos="2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September 30, 2024, there was $5.0 million of outstanding borrowings under the facility, of which $4.5 million and $0.5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September 30, 2024.</w:t>
      </w:r>
    </w:p>
    <w:p>
      <w:pPr>
        <w:spacing w:after="0" w:line="197"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8"/>
          <w:szCs w:val="18"/>
          <w:color w:val="auto"/>
        </w:rPr>
        <w:t>Westrock Coffee International, LLC, through its subsidiary Rwanda Trading Company, maintains two mortgage and inventory-backed lending facilities with a local bank in Rwanda: (a) a short-term trade finance facility with a balance of $6.6 million at September 30, 2024 and (b) a long-term note payable with a balance of $0.8 million at September 30, 2024. Additionally, Rwanda Trading Company maintains two short-term futures contract-based lending facilities from international institutions with outstanding balances of $0.6 million and $2.4 million at September 30, 2024.</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12. Series A Preferred Shares</w:t>
      </w:r>
    </w:p>
    <w:p>
      <w:pPr>
        <w:spacing w:after="0" w:line="217"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The Company has 23,510,527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87" w:lineRule="exact"/>
        <w:rPr>
          <w:sz w:val="20"/>
          <w:szCs w:val="20"/>
          <w:color w:val="auto"/>
        </w:rPr>
      </w:pPr>
    </w:p>
    <w:p>
      <w:pPr>
        <w:ind w:left="40" w:right="79"/>
        <w:spacing w:after="0" w:line="250" w:lineRule="auto"/>
        <w:rPr>
          <w:sz w:val="20"/>
          <w:szCs w:val="20"/>
          <w:color w:val="auto"/>
        </w:rPr>
      </w:pPr>
      <w:r>
        <w:rPr>
          <w:rFonts w:ascii="Times New Roman" w:cs="Times New Roman" w:eastAsia="Times New Roman" w:hAnsi="Times New Roman"/>
          <w:sz w:val="18"/>
          <w:szCs w:val="18"/>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 (a) the liquidation preference and (b) the amount such holder would have received had they converted their Westrock Series A Preferred Shares into Common Shares immediately prior to such liquidation event.</w:t>
      </w:r>
    </w:p>
    <w:p>
      <w:pPr>
        <w:spacing w:after="0" w:line="187" w:lineRule="exact"/>
        <w:rPr>
          <w:sz w:val="20"/>
          <w:szCs w:val="20"/>
          <w:color w:val="auto"/>
        </w:rPr>
      </w:pPr>
    </w:p>
    <w:p>
      <w:pPr>
        <w:ind w:left="40" w:right="99"/>
        <w:spacing w:after="0" w:line="247" w:lineRule="auto"/>
        <w:rPr>
          <w:sz w:val="20"/>
          <w:szCs w:val="20"/>
          <w:color w:val="auto"/>
        </w:rPr>
      </w:pPr>
      <w:r>
        <w:rPr>
          <w:rFonts w:ascii="Times New Roman" w:cs="Times New Roman" w:eastAsia="Times New Roman" w:hAnsi="Times New Roman"/>
          <w:sz w:val="18"/>
          <w:szCs w:val="18"/>
          <w:color w:val="auto"/>
        </w:rPr>
        <w:t>Holders of Westrock Series A Preferred Shares may voluntarily convert their Westrock Series A Preferred Shares into a whole number of Common Shares at any time at a rate equal to the quotient of (a) the liquidation preference as of the applicable conversion date, divided by (b) the conversion price as of the applicable conversion date, which is currently $11.50 per Westrock Series A Preferred Share, plus cash in lieu of fractional shares. The initial conversion price of $11.50 per Westrock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w:t>
      </w:r>
    </w:p>
    <w:p>
      <w:pPr>
        <w:spacing w:after="0" w:line="193"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After February 26, 2028,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23,510,527 Series A Preferred Shares outstanding at September 30, 2024 remain outstanding after February 26, 2028, we estimate an aggregate redemption payment of at least approximately $270.4 million.</w:t>
      </w:r>
    </w:p>
    <w:p>
      <w:pPr>
        <w:spacing w:after="0" w:line="188" w:lineRule="exact"/>
        <w:rPr>
          <w:sz w:val="20"/>
          <w:szCs w:val="20"/>
          <w:color w:val="auto"/>
        </w:rPr>
      </w:pPr>
    </w:p>
    <w:p>
      <w:pPr>
        <w:ind w:left="40" w:right="99"/>
        <w:spacing w:after="0" w:line="246" w:lineRule="auto"/>
        <w:rPr>
          <w:sz w:val="20"/>
          <w:szCs w:val="20"/>
          <w:color w:val="auto"/>
        </w:rPr>
      </w:pPr>
      <w:r>
        <w:rPr>
          <w:rFonts w:ascii="Times New Roman" w:cs="Times New Roman" w:eastAsia="Times New Roman" w:hAnsi="Times New Roman"/>
          <w:sz w:val="18"/>
          <w:szCs w:val="18"/>
          <w:color w:val="auto"/>
        </w:rPr>
        <w:t>At any time after February 26, 2028,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pacing w:after="0" w:line="235"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Upon issuance, the Westrock Series A Preferred Shares were recorded on our Condensed Consolidated Balance Sheets at fair value. Subsequently, the Company will accrete changes in the redemption value from the date of issuance to the earliest redemption date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and nine months ended September 30, 2024, the Company recorded $0.1 million and $0.3 million of amortization, respectively,</w:t>
      </w:r>
    </w:p>
    <w:p>
      <w:pPr>
        <w:sectPr>
          <w:pgSz w:w="11900" w:h="16838" w:orient="portrait"/>
          <w:cols w:equalWidth="0" w:num="1">
            <w:col w:w="9019"/>
          </w:cols>
          <w:pgMar w:left="1440" w:top="503" w:right="1440" w:bottom="1440" w:gutter="0" w:footer="0" w:header="0"/>
        </w:sectPr>
      </w:pPr>
    </w:p>
    <w:p>
      <w:pPr>
        <w:spacing w:after="0" w:line="40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519"/>
        <w:spacing w:after="0" w:line="256" w:lineRule="auto"/>
        <w:rPr>
          <w:sz w:val="20"/>
          <w:szCs w:val="20"/>
          <w:color w:val="auto"/>
        </w:rPr>
      </w:pPr>
      <w:r>
        <w:rPr>
          <w:rFonts w:ascii="Times New Roman" w:cs="Times New Roman" w:eastAsia="Times New Roman" w:hAnsi="Times New Roman"/>
          <w:sz w:val="18"/>
          <w:szCs w:val="18"/>
          <w:color w:val="auto"/>
        </w:rPr>
        <w:t>with respect to the Westrock Series A Preferred Shares. For the three and nine months ended September 30, 2023, the Company recorded $0.1 million of amortization and $0.2 million of accretion, respectively, with respect to the Westrock Series A Preferred Shares.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13. Common Stock Warrants</w:t>
      </w:r>
    </w:p>
    <w:p>
      <w:pPr>
        <w:spacing w:after="0" w:line="217"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6"/>
          <w:szCs w:val="16"/>
          <w:color w:val="auto"/>
        </w:rPr>
        <w:t>On August 28, 2024, the Company announced that it had commenced an exchange offer (the “Offer”) and consent solicitation (the “Consent Solicitation”) relating to its outstanding (i) public warrants to purchase Common Shares, which warrants trade on The Nasdaq Global Market (the “Nasdaq”) under the symbol “WESTW” (the “Westrock Public Warrants”), and (ii) private placement warrants to purchase common shares (the “Westrock Private Warrants” and, together with the Westrock Public Warrants, the “Westrock Warrants”). The Company offered to all holders of the Westrock Warrants the opportunity to receive 0.290 common shares in exchange for each of the Westrock Warrants tendered pursuant to the Offer.</w:t>
      </w:r>
    </w:p>
    <w:p>
      <w:pPr>
        <w:spacing w:after="0" w:line="160"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8"/>
          <w:szCs w:val="18"/>
          <w:color w:val="auto"/>
        </w:rPr>
        <w:t>The Offer and Consent Solicitation expired on September 26, 2024 (the “Expiration Date”). As of the Expiration Date, (x) 16,676,541 outstanding Westrock Public Warrants were validly tendered and not validly withdrawn in the Offer and Consent Solicitation, representing approximately 97.42% of the Westrock Public Warrants and (y) 2,026,046 outstanding Westrock Private Warrants were validly tendered and not validly withdrawn in the Offer and Consent Solicitation, representing 100% of the Westrock Private Warrants. On September 30, 2024, the Company issued 5,423,681 Common Shares in exchange for the tendered Westrock Warrants.</w:t>
      </w:r>
    </w:p>
    <w:p>
      <w:pPr>
        <w:spacing w:after="0" w:line="187" w:lineRule="exact"/>
        <w:rPr>
          <w:sz w:val="20"/>
          <w:szCs w:val="20"/>
          <w:color w:val="auto"/>
        </w:rPr>
      </w:pPr>
    </w:p>
    <w:p>
      <w:pPr>
        <w:ind w:left="40" w:right="299"/>
        <w:spacing w:after="0" w:line="256" w:lineRule="auto"/>
        <w:rPr>
          <w:sz w:val="20"/>
          <w:szCs w:val="20"/>
          <w:color w:val="auto"/>
        </w:rPr>
      </w:pPr>
      <w:r>
        <w:rPr>
          <w:rFonts w:ascii="Times New Roman" w:cs="Times New Roman" w:eastAsia="Times New Roman" w:hAnsi="Times New Roman"/>
          <w:sz w:val="18"/>
          <w:szCs w:val="18"/>
          <w:color w:val="auto"/>
        </w:rPr>
        <w:t>At September 30, 2024, following the completion of the Offer, the Company had 441,522 Westrock Public Warrants and no Westrock Private Warrants outstanding. The Westrock Warrants are included in warrant liabilities on the Company’s Condensed Consolidated Balance Sheets.</w:t>
      </w:r>
    </w:p>
    <w:p>
      <w:pPr>
        <w:spacing w:after="0" w:line="181" w:lineRule="exact"/>
        <w:rPr>
          <w:sz w:val="20"/>
          <w:szCs w:val="20"/>
          <w:color w:val="auto"/>
        </w:rPr>
      </w:pPr>
    </w:p>
    <w:p>
      <w:pPr>
        <w:ind w:left="40" w:right="279"/>
        <w:spacing w:after="0" w:line="250" w:lineRule="auto"/>
        <w:rPr>
          <w:sz w:val="20"/>
          <w:szCs w:val="20"/>
          <w:color w:val="auto"/>
        </w:rPr>
      </w:pPr>
      <w:r>
        <w:rPr>
          <w:rFonts w:ascii="Times New Roman" w:cs="Times New Roman" w:eastAsia="Times New Roman" w:hAnsi="Times New Roman"/>
          <w:sz w:val="18"/>
          <w:szCs w:val="18"/>
          <w:color w:val="auto"/>
        </w:rPr>
        <w:t>We account for the Westrock Warrants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Condensed Consolidated Statements of Operations.</w:t>
      </w:r>
    </w:p>
    <w:p>
      <w:pPr>
        <w:spacing w:after="0" w:line="187" w:lineRule="exact"/>
        <w:rPr>
          <w:sz w:val="20"/>
          <w:szCs w:val="20"/>
          <w:color w:val="auto"/>
        </w:rPr>
      </w:pPr>
    </w:p>
    <w:p>
      <w:pPr>
        <w:ind w:left="40" w:right="219"/>
        <w:spacing w:after="0" w:line="286" w:lineRule="auto"/>
        <w:rPr>
          <w:sz w:val="20"/>
          <w:szCs w:val="20"/>
          <w:color w:val="auto"/>
        </w:rPr>
      </w:pPr>
      <w:r>
        <w:rPr>
          <w:rFonts w:ascii="Times New Roman" w:cs="Times New Roman" w:eastAsia="Times New Roman" w:hAnsi="Times New Roman"/>
          <w:sz w:val="16"/>
          <w:szCs w:val="16"/>
          <w:color w:val="auto"/>
        </w:rPr>
        <w:t>The Company re-measures the fair value of the Westrock Public Warrants based on the quoted market price of the Westrock Public Warrants. Prior to the Offer, the Westrock Private Warrants were valued using a binomial lattice valuation model. For the three and nine months ended September 30, 2024, the Company recognized $5.5 million and $7.1 million of gains, respectively, related to the change in fair value of warrant liabilities, which is recognized in other (income) expense in the Condensed Consolidated Statements of Operations. For the three and nine months ended September 30, 2023, the Company recognized $25.1 million and $18.8 million of gains, respectively, related to the change in fair value of warrant liabilities.</w:t>
      </w:r>
    </w:p>
    <w:p>
      <w:pPr>
        <w:spacing w:after="0" w:line="160" w:lineRule="exact"/>
        <w:rPr>
          <w:sz w:val="20"/>
          <w:szCs w:val="20"/>
          <w:color w:val="auto"/>
        </w:rPr>
      </w:pPr>
    </w:p>
    <w:p>
      <w:pPr>
        <w:ind w:left="40" w:right="59"/>
        <w:spacing w:after="0" w:line="278" w:lineRule="auto"/>
        <w:rPr>
          <w:sz w:val="20"/>
          <w:szCs w:val="20"/>
          <w:color w:val="auto"/>
        </w:rPr>
      </w:pPr>
      <w:r>
        <w:rPr>
          <w:rFonts w:ascii="Times New Roman" w:cs="Times New Roman" w:eastAsia="Times New Roman" w:hAnsi="Times New Roman"/>
          <w:sz w:val="16"/>
          <w:szCs w:val="16"/>
          <w:color w:val="auto"/>
        </w:rPr>
        <w:t>Concurrently with the Offer, the Company also solicited consents from the holders of each of the Westrock Public Warrants and the Westrock Private Warrants to amend that certain Warrant Agreement, dated as of August 25, 2022, by and between the Company and Computershare Inc., a Delaware corporation, and its affiliate, Computershare Trust Company, N.A., a federally chartered trust company, as warrant agent (the “Warrant Agent”), which governs all of the Westrock Warrants (the “Warrant Agreement”), to permit the Company to require that (x) each Westrock Public Warrant that is outstanding upon the closing of the Offer be exchanged for 0.261 common shares, which is a ratio 10% less than the exchange ratio applicable to the Offer and</w:t>
      </w:r>
    </w:p>
    <w:p>
      <w:pPr>
        <w:spacing w:after="0" w:line="4" w:lineRule="exact"/>
        <w:rPr>
          <w:sz w:val="20"/>
          <w:szCs w:val="20"/>
          <w:color w:val="auto"/>
        </w:rPr>
      </w:pPr>
    </w:p>
    <w:p>
      <w:pPr>
        <w:ind w:left="40" w:right="279" w:firstLine="8"/>
        <w:spacing w:after="0" w:line="309" w:lineRule="auto"/>
        <w:tabs>
          <w:tab w:leader="none" w:pos="28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Westrock Private Warrant that is outstanding upon the closing of the Offer be exchanged for 0.261 common shares, which is a ratio 10% less than the exchange ratio applicable to the Offer (such amendment, the “Warrant Amendment”).</w:t>
      </w:r>
    </w:p>
    <w:p>
      <w:pPr>
        <w:spacing w:after="0" w:line="141" w:lineRule="exact"/>
        <w:rPr>
          <w:sz w:val="20"/>
          <w:szCs w:val="20"/>
          <w:color w:val="auto"/>
        </w:rPr>
      </w:pPr>
    </w:p>
    <w:p>
      <w:pPr>
        <w:ind w:left="40" w:right="499"/>
        <w:spacing w:after="0" w:line="250" w:lineRule="auto"/>
        <w:rPr>
          <w:sz w:val="20"/>
          <w:szCs w:val="20"/>
          <w:color w:val="auto"/>
        </w:rPr>
      </w:pPr>
      <w:r>
        <w:rPr>
          <w:rFonts w:ascii="Times New Roman" w:cs="Times New Roman" w:eastAsia="Times New Roman" w:hAnsi="Times New Roman"/>
          <w:sz w:val="18"/>
          <w:szCs w:val="18"/>
          <w:color w:val="auto"/>
        </w:rPr>
        <w:t>Pursuant to the Consent Solicitation, the Company received the approval of holders of approximately 97.42% of the outstanding Westrock Public Warrants and 100% of the outstanding Westrock Private Warrants to adopt the Warrant Amendment, which exceeded (x) the 50% threshold of the outstanding Westrock Public Warrants required to amend the Warrant Agreement with respect to the Westrock Public Warrants and (y) the 50% threshold of the outstanding Westrock Private Warrants required to amend the Warrant Agreement with respect to the Westrock Private Warrants.</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8"/>
          <w:szCs w:val="18"/>
          <w:color w:val="auto"/>
        </w:rPr>
        <w:t>Accordingly, the Company and the Warrant Agent entered into the Warrant Amendment, dated September 30, 2024. On September 30, 2024, the Company announced that it would exercise its right, in accordance with the terms of the Warrant Amendment, to exchange each Westrock Public Warrant that is outstanding following the closing of the Offer for 0.261 common shares per warrant (the “Post-Offer Exchange”). The Company fixed the date for the Post-Offer Exchange as October 15, 2024.</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14. Derivatives</w:t>
      </w:r>
    </w:p>
    <w:p>
      <w:pPr>
        <w:spacing w:after="0" w:line="217" w:lineRule="exact"/>
        <w:rPr>
          <w:sz w:val="20"/>
          <w:szCs w:val="20"/>
          <w:color w:val="auto"/>
        </w:rPr>
      </w:pPr>
    </w:p>
    <w:p>
      <w:pPr>
        <w:ind w:left="40" w:right="219"/>
        <w:spacing w:after="0" w:line="249" w:lineRule="auto"/>
        <w:rPr>
          <w:sz w:val="20"/>
          <w:szCs w:val="20"/>
          <w:color w:val="auto"/>
        </w:rPr>
      </w:pPr>
      <w:r>
        <w:rPr>
          <w:rFonts w:ascii="Times New Roman" w:cs="Times New Roman" w:eastAsia="Times New Roman" w:hAnsi="Times New Roman"/>
          <w:sz w:val="18"/>
          <w:szCs w:val="18"/>
          <w:color w:val="auto"/>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spacing w:after="0" w:line="187" w:lineRule="exact"/>
        <w:rPr>
          <w:sz w:val="20"/>
          <w:szCs w:val="20"/>
          <w:color w:val="auto"/>
        </w:rPr>
      </w:pPr>
    </w:p>
    <w:p>
      <w:pPr>
        <w:ind w:left="40" w:right="159"/>
        <w:spacing w:after="0" w:line="247" w:lineRule="auto"/>
        <w:rPr>
          <w:sz w:val="20"/>
          <w:szCs w:val="20"/>
          <w:color w:val="auto"/>
        </w:rPr>
      </w:pPr>
      <w:r>
        <w:rPr>
          <w:rFonts w:ascii="Times New Roman" w:cs="Times New Roman" w:eastAsia="Times New Roman" w:hAnsi="Times New Roman"/>
          <w:sz w:val="18"/>
          <w:szCs w:val="18"/>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spacing w:after="0" w:line="191" w:lineRule="exact"/>
        <w:rPr>
          <w:sz w:val="20"/>
          <w:szCs w:val="20"/>
          <w:color w:val="auto"/>
        </w:rPr>
      </w:pPr>
    </w:p>
    <w:p>
      <w:pPr>
        <w:ind w:left="40" w:right="519"/>
        <w:spacing w:after="0" w:line="250" w:lineRule="auto"/>
        <w:rPr>
          <w:sz w:val="20"/>
          <w:szCs w:val="20"/>
          <w:color w:val="auto"/>
        </w:rPr>
      </w:pPr>
      <w:r>
        <w:rPr>
          <w:rFonts w:ascii="Times New Roman" w:cs="Times New Roman" w:eastAsia="Times New Roman" w:hAnsi="Times New Roman"/>
          <w:sz w:val="18"/>
          <w:szCs w:val="18"/>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87" w:lineRule="exact"/>
        <w:rPr>
          <w:sz w:val="20"/>
          <w:szCs w:val="20"/>
          <w:color w:val="auto"/>
        </w:rPr>
      </w:pPr>
    </w:p>
    <w:p>
      <w:pPr>
        <w:ind w:left="40" w:right="219"/>
        <w:spacing w:after="0" w:line="252" w:lineRule="auto"/>
        <w:rPr>
          <w:sz w:val="20"/>
          <w:szCs w:val="20"/>
          <w:color w:val="auto"/>
        </w:rPr>
      </w:pPr>
      <w:r>
        <w:rPr>
          <w:rFonts w:ascii="Times New Roman" w:cs="Times New Roman" w:eastAsia="Times New Roman" w:hAnsi="Times New Roman"/>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nine months ended September 30, 2024 and 2023.</w:t>
      </w:r>
    </w:p>
    <w:p>
      <w:pPr>
        <w:spacing w:after="0" w:line="185" w:lineRule="exact"/>
        <w:rPr>
          <w:sz w:val="20"/>
          <w:szCs w:val="20"/>
          <w:color w:val="auto"/>
        </w:rPr>
      </w:pPr>
    </w:p>
    <w:p>
      <w:pPr>
        <w:ind w:left="40" w:right="179"/>
        <w:spacing w:after="0" w:line="252" w:lineRule="auto"/>
        <w:rPr>
          <w:sz w:val="20"/>
          <w:szCs w:val="20"/>
          <w:color w:val="auto"/>
        </w:rPr>
      </w:pPr>
      <w:r>
        <w:rPr>
          <w:rFonts w:ascii="Times New Roman" w:cs="Times New Roman" w:eastAsia="Times New Roman" w:hAnsi="Times New Roman"/>
          <w:sz w:val="18"/>
          <w:szCs w:val="18"/>
          <w:color w:val="auto"/>
        </w:rPr>
        <w:t>Within our Beverage Solutions segment, we have entered into coffee futures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85" w:lineRule="exact"/>
        <w:rPr>
          <w:sz w:val="20"/>
          <w:szCs w:val="20"/>
          <w:color w:val="auto"/>
        </w:rPr>
      </w:pPr>
    </w:p>
    <w:p>
      <w:pPr>
        <w:ind w:left="40" w:right="159"/>
        <w:spacing w:after="0" w:line="248" w:lineRule="auto"/>
        <w:rPr>
          <w:sz w:val="20"/>
          <w:szCs w:val="20"/>
          <w:color w:val="auto"/>
        </w:rPr>
      </w:pPr>
      <w:r>
        <w:rPr>
          <w:rFonts w:ascii="Times New Roman" w:cs="Times New Roman" w:eastAsia="Times New Roman" w:hAnsi="Times New Roman"/>
          <w:sz w:val="18"/>
          <w:szCs w:val="18"/>
          <w:color w:val="auto"/>
        </w:rPr>
        <w:t>The notional amount for the coffee futures contracts that were designated and qualified for our commodity cash flow hedging program was 4.8 million pounds and 11.5 million pounds as of September 30, 2024 and December 31, 2023, respectively. During the three and nine months ended September 30, 2024, the Company purchased coffee futures contracts and coffee options contracts under our cash flow hedging program with aggregate notional amounts of 28.7 million pounds and 58.5 million pounds, respectively. During the three and nine months ended September 30, 2023, the Company purchased coffee futures contracts and coffee options contracts under our cash flow hedging program with aggregate notional amounts of 30.3 million pounds and 53.9 million pounds, respectively.</w:t>
      </w:r>
    </w:p>
    <w:p>
      <w:pPr>
        <w:spacing w:after="0" w:line="189"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8"/>
          <w:szCs w:val="18"/>
          <w:color w:val="auto"/>
        </w:rPr>
        <w:t>Approximately $4.3 million and $7.9 million of net realized gains, representing the effective portion of the cash flow hedge, were subsequently reclassified from AOCI to earnings and recognized in costs of sales in the Condensed Consolidated Statements of Operations for the three and nine months ended September 30, 2024, respectively. Approximately $3.1 million and $5.2 million of net realized losses, representing the effective portion of the cash flow hedge, were subsequently reclassified from AOCI to earnings and recognized in costs of sales in the Condensed</w:t>
      </w:r>
    </w:p>
    <w:p>
      <w:pPr>
        <w:sectPr>
          <w:pgSz w:w="11900" w:h="16838" w:orient="portrait"/>
          <w:cols w:equalWidth="0" w:num="1">
            <w:col w:w="9019"/>
          </w:cols>
          <w:pgMar w:left="1440" w:top="503" w:right="1440" w:bottom="1440" w:gutter="0" w:footer="0" w:header="0"/>
        </w:sectPr>
      </w:pPr>
    </w:p>
    <w:p>
      <w:pPr>
        <w:spacing w:after="0" w:line="39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Consolidated Statements of Operations for the three and nine months ended September 30, 2023, respectively. As of September 30, 2024, the estimated amount of net gains reported in AOCI that is expected to be reclassified to the Condensed Consolidated Statements of Operations within the next twelve months is $13.6 million.</w:t>
      </w:r>
    </w:p>
    <w:p>
      <w:pPr>
        <w:spacing w:after="0" w:line="181"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8"/>
          <w:szCs w:val="18"/>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4 for a description of the treatment of realized and unrealized gains and losses on forward sales and forward purchase contracts.</w:t>
      </w:r>
    </w:p>
    <w:p>
      <w:pPr>
        <w:spacing w:after="0" w:line="187" w:lineRule="exact"/>
        <w:rPr>
          <w:sz w:val="20"/>
          <w:szCs w:val="20"/>
          <w:color w:val="auto"/>
        </w:rPr>
      </w:pPr>
    </w:p>
    <w:p>
      <w:pPr>
        <w:ind w:left="40" w:right="439"/>
        <w:spacing w:after="0" w:line="269" w:lineRule="auto"/>
        <w:rPr>
          <w:sz w:val="20"/>
          <w:szCs w:val="20"/>
          <w:color w:val="auto"/>
        </w:rPr>
      </w:pPr>
      <w:r>
        <w:rPr>
          <w:rFonts w:ascii="Times New Roman" w:cs="Times New Roman" w:eastAsia="Times New Roman" w:hAnsi="Times New Roman"/>
          <w:sz w:val="18"/>
          <w:szCs w:val="18"/>
          <w:color w:val="auto"/>
        </w:rPr>
        <w:t>The fair value of our derivative assets and liabilities included in the Condensed Consolidated Balance Sheets are set forth below:</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1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420" w:type="dxa"/>
            <w:vAlign w:val="bottom"/>
            <w:tcBorders>
              <w:top w:val="single" w:sz="8" w:color="auto"/>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80" w:type="dxa"/>
            <w:vAlign w:val="bottom"/>
            <w:tcBorders>
              <w:top w:val="single" w:sz="8" w:color="CCEEFF"/>
            </w:tcBorders>
            <w:shd w:val="clear" w:color="auto" w:fill="CCEEFF"/>
          </w:tcPr>
          <w:p>
            <w:pPr>
              <w:spacing w:after="0"/>
              <w:rPr>
                <w:sz w:val="15"/>
                <w:szCs w:val="15"/>
                <w:color w:val="auto"/>
              </w:rPr>
            </w:pPr>
          </w:p>
        </w:tc>
        <w:tc>
          <w:tcPr>
            <w:tcW w:w="2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gridSpan w:val="3"/>
          </w:tcPr>
          <w:p>
            <w:pPr>
              <w:ind w:left="100"/>
              <w:spacing w:after="0" w:line="211" w:lineRule="exact"/>
              <w:rPr>
                <w:sz w:val="20"/>
                <w:szCs w:val="20"/>
                <w:color w:val="auto"/>
              </w:rPr>
            </w:pPr>
            <w:r>
              <w:rPr>
                <w:rFonts w:ascii="Times New Roman" w:cs="Times New Roman" w:eastAsia="Times New Roman" w:hAnsi="Times New Roman"/>
                <w:sz w:val="16"/>
                <w:szCs w:val="16"/>
                <w:color w:val="auto"/>
              </w:rPr>
              <w:t>Coffee futures contracts</w:t>
            </w:r>
            <w:r>
              <w:rPr>
                <w:rFonts w:ascii="Times New Roman" w:cs="Times New Roman" w:eastAsia="Times New Roman" w:hAnsi="Times New Roman"/>
                <w:sz w:val="24"/>
                <w:szCs w:val="24"/>
                <w:color w:val="auto"/>
                <w:vertAlign w:val="superscript"/>
              </w:rPr>
              <w:t>(1)</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Derivative assets</w:t>
            </w:r>
          </w:p>
        </w:tc>
        <w:tc>
          <w:tcPr>
            <w:tcW w:w="5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5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contracts</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Derivative assets</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00" w:type="dxa"/>
            <w:vAlign w:val="bottom"/>
            <w:gridSpan w:val="3"/>
          </w:tcPr>
          <w:p>
            <w:pPr>
              <w:ind w:left="20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1,357</w:t>
            </w:r>
          </w:p>
        </w:tc>
        <w:tc>
          <w:tcPr>
            <w:tcW w:w="200" w:type="dxa"/>
            <w:vAlign w:val="bottom"/>
          </w:tcPr>
          <w:p>
            <w:pPr>
              <w:spacing w:after="0"/>
              <w:rPr>
                <w:sz w:val="17"/>
                <w:szCs w:val="17"/>
                <w:color w:val="auto"/>
              </w:rPr>
            </w:pPr>
          </w:p>
        </w:tc>
        <w:tc>
          <w:tcPr>
            <w:tcW w:w="38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0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Derivative assets not designated as cash flow</w:t>
            </w:r>
          </w:p>
        </w:tc>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Derivative assets</w:t>
            </w:r>
          </w:p>
        </w:tc>
        <w:tc>
          <w:tcPr>
            <w:tcW w:w="5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5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00" w:type="dxa"/>
            <w:vAlign w:val="bottom"/>
            <w:tcBorders>
              <w:bottom w:val="single" w:sz="8" w:color="CCEEFF"/>
            </w:tcBorders>
            <w:gridSpan w:val="3"/>
          </w:tcPr>
          <w:p>
            <w:pPr>
              <w:ind w:left="20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15,363</w:t>
            </w:r>
          </w:p>
        </w:tc>
        <w:tc>
          <w:tcPr>
            <w:tcW w:w="2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00" w:type="dxa"/>
            <w:vAlign w:val="bottom"/>
            <w:tcBorders>
              <w:bottom w:val="single" w:sz="8" w:color="CCEEFF"/>
            </w:tcBorders>
            <w:gridSpan w:val="3"/>
            <w:shd w:val="clear" w:color="auto" w:fill="CCEEFF"/>
          </w:tcPr>
          <w:p>
            <w:pPr>
              <w:ind w:left="300"/>
              <w:spacing w:after="0" w:line="204" w:lineRule="exact"/>
              <w:rPr>
                <w:sz w:val="20"/>
                <w:szCs w:val="20"/>
                <w:color w:val="auto"/>
              </w:rPr>
            </w:pPr>
            <w:r>
              <w:rPr>
                <w:rFonts w:ascii="Times New Roman" w:cs="Times New Roman" w:eastAsia="Times New Roman" w:hAnsi="Times New Roman"/>
                <w:sz w:val="18"/>
                <w:szCs w:val="18"/>
                <w:color w:val="auto"/>
              </w:rPr>
              <w:t>Total derivative assets</w:t>
            </w:r>
          </w:p>
        </w:tc>
        <w:tc>
          <w:tcPr>
            <w:tcW w:w="2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16,720</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2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0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Derivative liabilities not designated as cash</w:t>
            </w:r>
          </w:p>
        </w:tc>
        <w:tc>
          <w:tcPr>
            <w:tcW w:w="2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Derivative liabilities</w:t>
            </w:r>
          </w:p>
        </w:tc>
        <w:tc>
          <w:tcPr>
            <w:tcW w:w="5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5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00" w:type="dxa"/>
            <w:vAlign w:val="bottom"/>
            <w:tcBorders>
              <w:top w:val="single" w:sz="8" w:color="CCEEFF"/>
              <w:bottom w:val="single" w:sz="8" w:color="CCEEFF"/>
            </w:tcBorders>
            <w:gridSpan w:val="3"/>
            <w:shd w:val="clear" w:color="auto" w:fill="CCEEFF"/>
          </w:tcPr>
          <w:p>
            <w:pPr>
              <w:ind w:left="300"/>
              <w:spacing w:after="0" w:line="204" w:lineRule="exact"/>
              <w:rPr>
                <w:sz w:val="20"/>
                <w:szCs w:val="20"/>
                <w:color w:val="auto"/>
              </w:rPr>
            </w:pPr>
            <w:r>
              <w:rPr>
                <w:rFonts w:ascii="Times New Roman" w:cs="Times New Roman" w:eastAsia="Times New Roman" w:hAnsi="Times New Roman"/>
                <w:sz w:val="18"/>
                <w:szCs w:val="18"/>
                <w:color w:val="auto"/>
              </w:rPr>
              <w:t>Total derivative liabilities</w:t>
            </w:r>
          </w:p>
        </w:tc>
        <w:tc>
          <w:tcPr>
            <w:tcW w:w="24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10,204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 The fair value of coffee futures excludes amounts related to margin accounts.</w:t>
      </w: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660"/>
        <w:spacing w:after="0" w:line="269" w:lineRule="auto"/>
        <w:rPr>
          <w:sz w:val="20"/>
          <w:szCs w:val="20"/>
          <w:color w:val="auto"/>
        </w:rPr>
      </w:pPr>
      <w:r>
        <w:rPr>
          <w:rFonts w:ascii="Times New Roman" w:cs="Times New Roman" w:eastAsia="Times New Roman" w:hAnsi="Times New Roman"/>
          <w:sz w:val="18"/>
          <w:szCs w:val="18"/>
          <w:color w:val="auto"/>
        </w:rPr>
        <w:t>The following table presents the pre-tax net gains and losses for our derivative instruments for the three and nine months ended September 30, 2024 and 2023, respectively: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Statement of</w:t>
            </w:r>
          </w:p>
        </w:tc>
        <w:tc>
          <w:tcPr>
            <w:tcW w:w="23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00"/>
        </w:trPr>
        <w:tc>
          <w:tcPr>
            <w:tcW w:w="3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1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Operations</w:t>
            </w:r>
          </w:p>
        </w:tc>
        <w:tc>
          <w:tcPr>
            <w:tcW w:w="24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9"/>
        </w:trPr>
        <w:tc>
          <w:tcPr>
            <w:tcW w:w="3620" w:type="dxa"/>
            <w:vAlign w:val="bottom"/>
            <w:gridSpan w:val="2"/>
            <w:vMerge w:val="continue"/>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48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realized gains (losses) on coffee derivatives</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Costs of sales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6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4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11"/>
        </w:trPr>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2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Derivative assets and liabilities not designated</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cash flow hedging instruments:</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620" w:type="dxa"/>
            <w:vAlign w:val="bottom"/>
            <w:gridSpan w:val="2"/>
            <w:shd w:val="clear" w:color="auto" w:fill="CCEEFF"/>
          </w:tcPr>
          <w:p>
            <w:pPr>
              <w:ind w:left="120"/>
              <w:spacing w:after="0" w:line="193" w:lineRule="exact"/>
              <w:rPr>
                <w:sz w:val="20"/>
                <w:szCs w:val="20"/>
                <w:color w:val="auto"/>
              </w:rPr>
            </w:pPr>
            <w:r>
              <w:rPr>
                <w:rFonts w:ascii="Times New Roman" w:cs="Times New Roman" w:eastAsia="Times New Roman" w:hAnsi="Times New Roman"/>
                <w:sz w:val="18"/>
                <w:szCs w:val="18"/>
                <w:color w:val="auto"/>
              </w:rPr>
              <w:t>Net unrealized gains (losses) on forward sales</w:t>
            </w: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purchase contracts</w:t>
            </w:r>
          </w:p>
        </w:tc>
        <w:tc>
          <w:tcPr>
            <w:tcW w:w="11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6"/>
              </w:rPr>
              <w:t>Costs of sales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(3,264)</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15" w:lineRule="exact"/>
        <w:rPr>
          <w:sz w:val="20"/>
          <w:szCs w:val="20"/>
          <w:color w:val="auto"/>
        </w:rPr>
      </w:pPr>
    </w:p>
    <w:p>
      <w:pPr>
        <w:ind w:left="40" w:right="560"/>
        <w:spacing w:after="0" w:line="25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4" w:lineRule="exact"/>
        <w:rPr>
          <w:sz w:val="20"/>
          <w:szCs w:val="20"/>
          <w:color w:val="auto"/>
        </w:rPr>
      </w:pPr>
    </w:p>
    <w:p>
      <w:pPr>
        <w:ind w:left="40" w:right="820"/>
        <w:spacing w:after="0" w:line="269" w:lineRule="auto"/>
        <w:rPr>
          <w:sz w:val="20"/>
          <w:szCs w:val="20"/>
          <w:color w:val="auto"/>
        </w:rPr>
      </w:pPr>
      <w:r>
        <w:rPr>
          <w:rFonts w:ascii="Times New Roman" w:cs="Times New Roman" w:eastAsia="Times New Roman" w:hAnsi="Times New Roman"/>
          <w:sz w:val="18"/>
          <w:szCs w:val="18"/>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68" w:lineRule="exact"/>
        <w:rPr>
          <w:sz w:val="20"/>
          <w:szCs w:val="20"/>
          <w:color w:val="auto"/>
        </w:rPr>
      </w:pPr>
    </w:p>
    <w:p>
      <w:pPr>
        <w:ind w:left="700" w:hanging="309"/>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 is based upon quoted prices for identical instruments traded in active markets.</w:t>
      </w:r>
    </w:p>
    <w:p>
      <w:pPr>
        <w:spacing w:after="0" w:line="214" w:lineRule="exact"/>
        <w:rPr>
          <w:rFonts w:ascii="Times New Roman" w:cs="Times New Roman" w:eastAsia="Times New Roman" w:hAnsi="Times New Roman"/>
          <w:sz w:val="18"/>
          <w:szCs w:val="18"/>
          <w:color w:val="auto"/>
        </w:rPr>
      </w:pPr>
    </w:p>
    <w:p>
      <w:pPr>
        <w:ind w:left="700" w:right="240" w:hanging="309"/>
        <w:spacing w:after="0" w:line="248"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89" w:lineRule="exact"/>
        <w:rPr>
          <w:rFonts w:ascii="Times New Roman" w:cs="Times New Roman" w:eastAsia="Times New Roman" w:hAnsi="Times New Roman"/>
          <w:sz w:val="18"/>
          <w:szCs w:val="18"/>
          <w:color w:val="auto"/>
        </w:rPr>
      </w:pPr>
    </w:p>
    <w:p>
      <w:pPr>
        <w:ind w:left="700" w:right="500" w:hanging="309"/>
        <w:spacing w:after="0" w:line="25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395"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180"/>
          </w:cols>
          <w:pgMar w:left="1440" w:top="503" w:right="1279"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September 30, 2024:</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64"/>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43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1"/>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46,064</w:t>
            </w:r>
          </w:p>
        </w:tc>
        <w:tc>
          <w:tcPr>
            <w:tcW w:w="240" w:type="dxa"/>
            <w:vAlign w:val="bottom"/>
          </w:tcPr>
          <w:p>
            <w:pPr>
              <w:spacing w:after="0"/>
              <w:rPr>
                <w:sz w:val="18"/>
                <w:szCs w:val="18"/>
                <w:color w:val="auto"/>
              </w:rPr>
            </w:pPr>
          </w:p>
        </w:tc>
        <w:tc>
          <w:tcPr>
            <w:tcW w:w="680" w:type="dxa"/>
            <w:vAlign w:val="bottom"/>
          </w:tcPr>
          <w:p>
            <w:pPr>
              <w:jc w:val="right"/>
              <w:ind w:right="49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46,064</w:t>
            </w:r>
          </w:p>
        </w:tc>
      </w:tr>
      <w:tr>
        <w:trPr>
          <w:trHeight w:val="211"/>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Coffee futures contracts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11"/>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Options contracts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1"/>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r>
      <w:tr>
        <w:trPr>
          <w:trHeight w:val="244"/>
        </w:trPr>
        <w:tc>
          <w:tcPr>
            <w:tcW w:w="4540" w:type="dxa"/>
            <w:vAlign w:val="bottom"/>
            <w:tcBorders>
              <w:bottom w:val="single" w:sz="8" w:color="CCEEFF"/>
            </w:tcBorders>
            <w:gridSpan w:val="2"/>
          </w:tcPr>
          <w:p>
            <w:pPr>
              <w:ind w:left="22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1,357</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61,427</w:t>
            </w:r>
          </w:p>
        </w:tc>
        <w:tc>
          <w:tcPr>
            <w:tcW w:w="24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97"/>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62,784</w:t>
            </w:r>
          </w:p>
        </w:tc>
      </w:tr>
      <w:tr>
        <w:trPr>
          <w:trHeight w:val="190"/>
        </w:trPr>
        <w:tc>
          <w:tcPr>
            <w:tcW w:w="4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1"/>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1"/>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r>
      <w:tr>
        <w:trPr>
          <w:trHeight w:val="211"/>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Westrock Public Warrants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11"/>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Westrock Private Warrants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4540" w:type="dxa"/>
            <w:vAlign w:val="bottom"/>
            <w:gridSpan w:val="2"/>
          </w:tcPr>
          <w:p>
            <w:pPr>
              <w:ind w:left="22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729</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10,204</w:t>
            </w:r>
          </w:p>
        </w:tc>
        <w:tc>
          <w:tcPr>
            <w:tcW w:w="2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97"/>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10,933</w:t>
            </w: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change in fair value of Level 3 Westrock Private Warrant liabilities:</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Westrock</w:t>
            </w:r>
          </w:p>
        </w:tc>
        <w:tc>
          <w:tcPr>
            <w:tcW w:w="0" w:type="dxa"/>
            <w:vAlign w:val="bottom"/>
          </w:tcPr>
          <w:p>
            <w:pPr>
              <w:spacing w:after="0"/>
              <w:rPr>
                <w:sz w:val="1"/>
                <w:szCs w:val="1"/>
                <w:color w:val="auto"/>
              </w:rPr>
            </w:pPr>
          </w:p>
        </w:tc>
      </w:tr>
      <w:tr>
        <w:trPr>
          <w:trHeight w:val="169"/>
        </w:trPr>
        <w:tc>
          <w:tcPr>
            <w:tcW w:w="4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0" w:type="dxa"/>
            <w:vAlign w:val="bottom"/>
          </w:tcPr>
          <w:p>
            <w:pPr>
              <w:spacing w:after="0"/>
              <w:rPr>
                <w:sz w:val="1"/>
                <w:szCs w:val="1"/>
                <w:color w:val="auto"/>
              </w:rPr>
            </w:pPr>
          </w:p>
        </w:tc>
      </w:tr>
      <w:tr>
        <w:trPr>
          <w:trHeight w:val="204"/>
        </w:trPr>
        <w:tc>
          <w:tcPr>
            <w:tcW w:w="454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Fair value as of December 31, 2023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4"/>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11"/>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exchange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0" w:type="dxa"/>
            <w:vAlign w:val="bottom"/>
          </w:tcPr>
          <w:p>
            <w:pPr>
              <w:spacing w:after="0"/>
              <w:rPr>
                <w:sz w:val="1"/>
                <w:szCs w:val="1"/>
                <w:color w:val="auto"/>
              </w:rPr>
            </w:pPr>
          </w:p>
        </w:tc>
      </w:tr>
      <w:tr>
        <w:trPr>
          <w:trHeight w:val="204"/>
        </w:trPr>
        <w:tc>
          <w:tcPr>
            <w:tcW w:w="45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Fair value as of September 30, 2024</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94"/>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8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2023:</w:t>
            </w: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84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4"/>
                <w:szCs w:val="14"/>
                <w:color w:val="auto"/>
              </w:rPr>
            </w:pPr>
          </w:p>
        </w:tc>
        <w:tc>
          <w:tcPr>
            <w:tcW w:w="74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43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w:t>
            </w: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Coffee futures contracts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0" w:type="dxa"/>
            <w:vAlign w:val="bottom"/>
          </w:tcPr>
          <w:p>
            <w:pPr>
              <w:spacing w:after="0"/>
              <w:rPr>
                <w:sz w:val="1"/>
                <w:szCs w:val="1"/>
                <w:color w:val="auto"/>
              </w:rPr>
            </w:pPr>
          </w:p>
        </w:tc>
      </w:tr>
      <w:tr>
        <w:trPr>
          <w:trHeight w:val="211"/>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04"/>
        </w:trPr>
        <w:tc>
          <w:tcPr>
            <w:tcW w:w="4540" w:type="dxa"/>
            <w:vAlign w:val="bottom"/>
            <w:tcBorders>
              <w:top w:val="single" w:sz="8" w:color="CCEEFF"/>
              <w:bottom w:val="single" w:sz="8" w:color="CCEEFF"/>
            </w:tcBorders>
            <w:gridSpan w:val="2"/>
            <w:shd w:val="clear" w:color="auto" w:fill="CCEEFF"/>
          </w:tcPr>
          <w:p>
            <w:pPr>
              <w:ind w:left="22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3,355</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43,750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47,105</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11"/>
        </w:trPr>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Westrock Public Warrants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39,371</w:t>
            </w:r>
          </w:p>
        </w:tc>
        <w:tc>
          <w:tcPr>
            <w:tcW w:w="0" w:type="dxa"/>
            <w:vAlign w:val="bottom"/>
          </w:tcPr>
          <w:p>
            <w:pPr>
              <w:spacing w:after="0"/>
              <w:rPr>
                <w:sz w:val="1"/>
                <w:szCs w:val="1"/>
                <w:color w:val="auto"/>
              </w:rPr>
            </w:pPr>
          </w:p>
        </w:tc>
      </w:tr>
      <w:tr>
        <w:trPr>
          <w:trHeight w:val="211"/>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Westrock Private Warrants</w:t>
            </w: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0" w:type="dxa"/>
            <w:vAlign w:val="bottom"/>
          </w:tcPr>
          <w:p>
            <w:pPr>
              <w:spacing w:after="0"/>
              <w:rPr>
                <w:sz w:val="1"/>
                <w:szCs w:val="1"/>
                <w:color w:val="auto"/>
              </w:rPr>
            </w:pPr>
          </w:p>
        </w:tc>
      </w:tr>
      <w:tr>
        <w:trPr>
          <w:trHeight w:val="204"/>
        </w:trPr>
        <w:tc>
          <w:tcPr>
            <w:tcW w:w="4540" w:type="dxa"/>
            <w:vAlign w:val="bottom"/>
            <w:tcBorders>
              <w:top w:val="single" w:sz="8" w:color="CCEEFF"/>
              <w:bottom w:val="single" w:sz="8" w:color="CCEEFF"/>
            </w:tcBorders>
            <w:gridSpan w:val="2"/>
            <w:shd w:val="clear" w:color="auto" w:fill="CCEEFF"/>
          </w:tcPr>
          <w:p>
            <w:pPr>
              <w:ind w:left="22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39,371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3,731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5,430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48,532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right="159"/>
        <w:spacing w:after="0" w:line="249" w:lineRule="auto"/>
        <w:rPr>
          <w:sz w:val="20"/>
          <w:szCs w:val="20"/>
          <w:color w:val="auto"/>
        </w:rPr>
      </w:pPr>
      <w:r>
        <w:rPr>
          <w:rFonts w:ascii="Times New Roman" w:cs="Times New Roman" w:eastAsia="Times New Roman" w:hAnsi="Times New Roman"/>
          <w:sz w:val="18"/>
          <w:szCs w:val="18"/>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pacing w:after="0" w:line="39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59"/>
        <w:spacing w:after="0" w:line="294" w:lineRule="auto"/>
        <w:rPr>
          <w:sz w:val="20"/>
          <w:szCs w:val="20"/>
          <w:color w:val="auto"/>
        </w:rPr>
      </w:pPr>
      <w:r>
        <w:rPr>
          <w:rFonts w:ascii="Times New Roman" w:cs="Times New Roman" w:eastAsia="Times New Roman" w:hAnsi="Times New Roman"/>
          <w:sz w:val="16"/>
          <w:szCs w:val="16"/>
          <w:color w:val="auto"/>
        </w:rPr>
        <w:t>Westrock Public Warrants are valued based on their quoted market price of $1.65 and $2.30 per warrant as of September 30, 2024 and December 31, 2023, respectively. At September 30, 2024, there were no outstanding Westrock Private Warrants. As of December 31, 2023, the Westrock Private Warrants price of $2.68 per warrant was valued using a binomial lattice valuation model, which is considered to be a Level 3 fair value measurement. The primary unobservable inputs were as follows: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7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4"/>
        </w:trPr>
        <w:tc>
          <w:tcPr>
            <w:tcW w:w="708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10.21</w:t>
            </w:r>
          </w:p>
        </w:tc>
        <w:tc>
          <w:tcPr>
            <w:tcW w:w="220" w:type="dxa"/>
            <w:vAlign w:val="bottom"/>
            <w:tcBorders>
              <w:top w:val="single" w:sz="8" w:color="CCEEFF"/>
            </w:tcBorders>
            <w:shd w:val="clear" w:color="auto" w:fill="CCEEFF"/>
          </w:tcPr>
          <w:p>
            <w:pPr>
              <w:spacing w:after="0"/>
              <w:rPr>
                <w:sz w:val="17"/>
                <w:szCs w:val="17"/>
                <w:color w:val="auto"/>
              </w:rPr>
            </w:pPr>
          </w:p>
        </w:tc>
      </w:tr>
      <w:tr>
        <w:trPr>
          <w:trHeight w:val="21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18"/>
                <w:szCs w:val="18"/>
                <w:color w:val="auto"/>
              </w:rPr>
            </w:pPr>
          </w:p>
        </w:tc>
      </w:tr>
      <w:tr>
        <w:trPr>
          <w:trHeight w:val="211"/>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r>
      <w:tr>
        <w:trPr>
          <w:trHeight w:val="21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20" w:type="dxa"/>
            <w:vAlign w:val="bottom"/>
          </w:tcPr>
          <w:p>
            <w:pPr>
              <w:spacing w:after="0"/>
              <w:rPr>
                <w:sz w:val="18"/>
                <w:szCs w:val="18"/>
                <w:color w:val="auto"/>
              </w:rPr>
            </w:pPr>
          </w:p>
        </w:tc>
      </w:tr>
      <w:tr>
        <w:trPr>
          <w:trHeight w:val="211"/>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 of return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shd w:val="clear" w:color="auto" w:fill="CCEEFF"/>
          </w:tcPr>
          <w:p>
            <w:pPr>
              <w:spacing w:after="0"/>
              <w:rPr>
                <w:sz w:val="18"/>
                <w:szCs w:val="18"/>
                <w:color w:val="auto"/>
              </w:rPr>
            </w:pPr>
          </w:p>
        </w:tc>
      </w:tr>
      <w:tr>
        <w:trPr>
          <w:trHeight w:val="22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9"/>
                <w:szCs w:val="19"/>
                <w:color w:val="auto"/>
              </w:rPr>
            </w:pPr>
          </w:p>
        </w:tc>
      </w:tr>
    </w:tbl>
    <w:p>
      <w:pPr>
        <w:spacing w:after="0" w:line="175" w:lineRule="exact"/>
        <w:rPr>
          <w:sz w:val="20"/>
          <w:szCs w:val="20"/>
          <w:color w:val="auto"/>
        </w:rPr>
      </w:pPr>
    </w:p>
    <w:p>
      <w:pPr>
        <w:ind w:left="40" w:right="579"/>
        <w:spacing w:after="0" w:line="269" w:lineRule="auto"/>
        <w:rPr>
          <w:sz w:val="20"/>
          <w:szCs w:val="20"/>
          <w:color w:val="auto"/>
        </w:rPr>
      </w:pPr>
      <w:r>
        <w:rPr>
          <w:rFonts w:ascii="Times New Roman" w:cs="Times New Roman" w:eastAsia="Times New Roman" w:hAnsi="Times New Roman"/>
          <w:sz w:val="18"/>
          <w:szCs w:val="18"/>
          <w:color w:val="auto"/>
        </w:rPr>
        <w:t>The most significant of these primary unobservable inputs utilized in determining the fair value of the Westrock Private Warrants is the expected volatility of the stock price, which is determined by use of an option pricing model.</w:t>
      </w:r>
    </w:p>
    <w:p>
      <w:pPr>
        <w:spacing w:after="0" w:line="168" w:lineRule="exact"/>
        <w:rPr>
          <w:sz w:val="20"/>
          <w:szCs w:val="20"/>
          <w:color w:val="auto"/>
        </w:rPr>
      </w:pPr>
    </w:p>
    <w:p>
      <w:pPr>
        <w:ind w:left="40" w:right="79"/>
        <w:spacing w:after="0" w:line="247"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a supply chain finance program,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Revolving Credit Facility and Delayed Draw Term Loan Facility are carried on the Condensed Consolidated Balance Sheets at amortized cost and are estimated by management to approximate fair value as of September 30, 2024 as the interest rate on these facilities is adjusted for changes in the market rates. The Convertible Notes are carried on the Condensed Consolidated Balance Sheets at amortized cost and are estimated by management to approximate fair value as of September 30, 2024. The fair value of the Term Loan Facility, Revolving Credit Facility, Delayed Draw Term Loan Facility and Convertible Notes was determined based on Level 2 inputs under the fair value hierarchy.</w:t>
      </w:r>
    </w:p>
    <w:p>
      <w:pPr>
        <w:spacing w:after="0" w:line="188" w:lineRule="exact"/>
        <w:rPr>
          <w:sz w:val="20"/>
          <w:szCs w:val="20"/>
          <w:color w:val="auto"/>
        </w:rPr>
      </w:pPr>
    </w:p>
    <w:p>
      <w:pPr>
        <w:ind w:left="40" w:right="159"/>
        <w:spacing w:after="0" w:line="249"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goodwill and intangible assets are measured at fair value on a non-recurring basis. No events occurred during the three and nine months ended September 30, 2024 or 2023, requiring these non-financial assets and liabilities to be subsequently recognized at fair value, with the exception of the $1.2 million and $2.0 million of impairment charges for the three and nine months ended September 30, 2024, respectively, on equipment related to the restructuring activities disclosed in Note 3. The equipment is no longer in use and was determined to have no salvage value.</w:t>
      </w:r>
    </w:p>
    <w:p>
      <w:pPr>
        <w:spacing w:after="0" w:line="187"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At September 30, 2024, the Company had an equity investment with a carrying value of approximately $1.0 million, for which there is no readily determinable fair value. This investment is recorded at cost within other long-term assets on the Condensed Consolidated Balance Sheets. As of September 30, 2024, there have been no adjustments, upward or downward, to the carrying value.</w:t>
      </w:r>
    </w:p>
    <w:p>
      <w:pPr>
        <w:spacing w:after="0" w:line="39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16. Accumulated Other Comprehensive Income (Loss)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by component for the three and nine months ended</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September 30, 2024 and 2023 is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164"/>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4"/>
        </w:trPr>
        <w:tc>
          <w:tcPr>
            <w:tcW w:w="54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1"/>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(4,832)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r>
      <w:tr>
        <w:trPr>
          <w:trHeight w:val="211"/>
        </w:trPr>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11"/>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11"/>
        </w:trPr>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04"/>
        </w:trPr>
        <w:tc>
          <w:tcPr>
            <w:tcW w:w="5600" w:type="dxa"/>
            <w:vAlign w:val="bottom"/>
            <w:gridSpan w:val="2"/>
          </w:tcPr>
          <w:p>
            <w:pPr>
              <w:ind w:left="120"/>
              <w:spacing w:after="0" w:line="204" w:lineRule="exact"/>
              <w:rPr>
                <w:sz w:val="20"/>
                <w:szCs w:val="20"/>
                <w:color w:val="auto"/>
              </w:rPr>
            </w:pPr>
            <w:r>
              <w:rPr>
                <w:rFonts w:ascii="Times New Roman" w:cs="Times New Roman" w:eastAsia="Times New Roman" w:hAnsi="Times New Roman"/>
                <w:sz w:val="18"/>
                <w:szCs w:val="18"/>
                <w:color w:val="auto"/>
              </w:rPr>
              <w:t>Net accumulated other comprehensive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11,130</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(1,676)</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11,130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(1,676</w:t>
            </w:r>
          </w:p>
        </w:tc>
      </w:tr>
      <w:tr>
        <w:trPr>
          <w:trHeight w:val="211"/>
        </w:trPr>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5600" w:type="dxa"/>
            <w:vAlign w:val="bottom"/>
            <w:tcBorders>
              <w:bottom w:val="single" w:sz="8" w:color="CCEEFF"/>
            </w:tcBorders>
            <w:gridSpan w:val="2"/>
          </w:tcPr>
          <w:p>
            <w:pPr>
              <w:ind w:left="120"/>
              <w:spacing w:after="0" w:line="204" w:lineRule="exact"/>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11,130</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(1,676)</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11,130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(1,676</w:t>
            </w:r>
          </w:p>
        </w:tc>
      </w:tr>
      <w:tr>
        <w:trPr>
          <w:trHeight w:val="204"/>
        </w:trPr>
        <w:tc>
          <w:tcPr>
            <w:tcW w:w="560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1"/>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1"/>
        </w:trPr>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1"/>
        </w:trPr>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5600" w:type="dxa"/>
            <w:vAlign w:val="bottom"/>
            <w:gridSpan w:val="2"/>
          </w:tcPr>
          <w:p>
            <w:pPr>
              <w:ind w:left="120"/>
              <w:spacing w:after="0" w:line="204" w:lineRule="exact"/>
              <w:rPr>
                <w:sz w:val="20"/>
                <w:szCs w:val="20"/>
                <w:color w:val="auto"/>
              </w:rPr>
            </w:pPr>
            <w:r>
              <w:rPr>
                <w:rFonts w:ascii="Times New Roman" w:cs="Times New Roman" w:eastAsia="Times New Roman" w:hAnsi="Times New Roman"/>
                <w:sz w:val="18"/>
                <w:szCs w:val="18"/>
                <w:color w:val="auto"/>
              </w:rPr>
              <w:t>Net accumulated other comprehensive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659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379</w:t>
            </w:r>
          </w:p>
        </w:tc>
      </w:tr>
      <w:tr>
        <w:trPr>
          <w:trHeight w:val="211"/>
        </w:trPr>
        <w:tc>
          <w:tcPr>
            <w:tcW w:w="5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5600" w:type="dxa"/>
            <w:vAlign w:val="bottom"/>
            <w:tcBorders>
              <w:bottom w:val="single" w:sz="8" w:color="CCEEFF"/>
            </w:tcBorders>
            <w:gridSpan w:val="2"/>
          </w:tcPr>
          <w:p>
            <w:pPr>
              <w:ind w:left="120"/>
              <w:spacing w:after="0" w:line="204" w:lineRule="exact"/>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659</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379</w:t>
            </w:r>
          </w:p>
        </w:tc>
        <w:tc>
          <w:tcPr>
            <w:tcW w:w="2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659</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379</w:t>
            </w:r>
          </w:p>
        </w:tc>
      </w:tr>
      <w:tr>
        <w:trPr>
          <w:trHeight w:val="204"/>
        </w:trPr>
        <w:tc>
          <w:tcPr>
            <w:tcW w:w="560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Accumulated other comprehensive income (loss) at end of period</w:t>
            </w:r>
          </w:p>
        </w:tc>
        <w:tc>
          <w:tcPr>
            <w:tcW w:w="240" w:type="dxa"/>
            <w:vAlign w:val="bottom"/>
            <w:tcBorders>
              <w:bottom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11,789</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(1,297)</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11,789</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(1,297</w:t>
            </w:r>
          </w:p>
        </w:tc>
      </w:tr>
      <w:tr>
        <w:trPr>
          <w:trHeight w:val="20"/>
        </w:trPr>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17. Equity-Based Compensation</w:t>
      </w:r>
    </w:p>
    <w:p>
      <w:pPr>
        <w:spacing w:after="0" w:line="217" w:lineRule="exact"/>
        <w:rPr>
          <w:sz w:val="20"/>
          <w:szCs w:val="20"/>
          <w:color w:val="auto"/>
        </w:rPr>
      </w:pPr>
    </w:p>
    <w:p>
      <w:pPr>
        <w:ind w:left="40" w:right="1280"/>
        <w:spacing w:after="0" w:line="248"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granted three thousand and 1.4 million restricted stock units (“RSUs”), respectively, under the Westrock Coffee Company 2022 Equity Incentive Plan (the “2022 Equity Plan”). The RSUs had a grant date fair value of thirty thousand and $13.2 million, respectively, which was calculated using the closing price of the Common Shares on the applicable date of grant. The RSUs are amortized on a straight-line basis to expense over the vesting period. For RSUs issued during 2024, the vesting period is four years, and for RSUs issued prior to 2024, the vesting period is three years. As of September 30, 2024, there were 2.7 million shares available for future issuance under the 2022 Equity Plan.</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sets forth the RSU activity under the 2022 Equity Plan for the nine months ended September 30, 2024.</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5"/>
        </w:trPr>
        <w:tc>
          <w:tcPr>
            <w:tcW w:w="4860" w:type="dxa"/>
            <w:vAlign w:val="bottom"/>
          </w:tcPr>
          <w:p>
            <w:pPr>
              <w:spacing w:after="0"/>
              <w:rPr>
                <w:sz w:val="12"/>
                <w:szCs w:val="12"/>
                <w:color w:val="auto"/>
              </w:rPr>
            </w:pPr>
          </w:p>
        </w:tc>
        <w:tc>
          <w:tcPr>
            <w:tcW w:w="17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tcPr>
          <w:p>
            <w:pPr>
              <w:spacing w:after="0"/>
              <w:rPr>
                <w:sz w:val="12"/>
                <w:szCs w:val="12"/>
                <w:color w:val="auto"/>
              </w:rPr>
            </w:pPr>
          </w:p>
        </w:tc>
        <w:tc>
          <w:tcPr>
            <w:tcW w:w="1940" w:type="dxa"/>
            <w:vAlign w:val="bottom"/>
          </w:tcPr>
          <w:p>
            <w:pPr>
              <w:jc w:val="center"/>
              <w:ind w:right="278"/>
              <w:spacing w:after="0" w:line="145" w:lineRule="exact"/>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204"/>
        </w:trPr>
        <w:tc>
          <w:tcPr>
            <w:tcW w:w="486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1,989,782</w:t>
            </w: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1,370,222</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(164,374)</w:t>
            </w: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(756,565)</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04"/>
        </w:trPr>
        <w:tc>
          <w:tcPr>
            <w:tcW w:w="486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Outstanding at September 30, 2024</w:t>
            </w:r>
          </w:p>
        </w:tc>
        <w:tc>
          <w:tcPr>
            <w:tcW w:w="14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2,439,065</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9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547"/>
        </w:trPr>
        <w:tc>
          <w:tcPr>
            <w:tcW w:w="48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1440" w:top="503" w:right="239"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18. Earnings per Share</w:t>
      </w:r>
    </w:p>
    <w:p>
      <w:pPr>
        <w:spacing w:after="0" w:line="217"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 xml:space="preserve">Westrock Series A Preferred Shares and our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 w:cs="Times New Roman" w:eastAsia="Times New Roman" w:hAnsi="Times New Roman"/>
          <w:sz w:val="18"/>
          <w:szCs w:val="18"/>
          <w:i w:val="1"/>
          <w:iCs w:val="1"/>
          <w:color w:val="auto"/>
        </w:rPr>
        <w:t>Earnings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 </w:t>
      </w:r>
      <w:r>
        <w:rPr>
          <w:rFonts w:ascii="Times New Roman" w:cs="Times New Roman" w:eastAsia="Times New Roman" w:hAnsi="Times New Roman"/>
          <w:sz w:val="18"/>
          <w:szCs w:val="18"/>
          <w:color w:val="auto"/>
        </w:rPr>
        <w:t>(“ASC 260”)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the Company’s net income position for the three months ended September 30, 2023,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our undistributed earnings have been allocated to participating securities in accordance with the provisions of ASC 260.</w:t>
      </w:r>
    </w:p>
    <w:p>
      <w:pPr>
        <w:spacing w:after="0" w:line="187" w:lineRule="exact"/>
        <w:rPr>
          <w:sz w:val="20"/>
          <w:szCs w:val="20"/>
          <w:color w:val="auto"/>
        </w:rPr>
      </w:pPr>
    </w:p>
    <w:p>
      <w:pPr>
        <w:ind w:left="40" w:right="119"/>
        <w:spacing w:after="0" w:line="250" w:lineRule="auto"/>
        <w:rPr>
          <w:sz w:val="20"/>
          <w:szCs w:val="20"/>
          <w:color w:val="auto"/>
        </w:rPr>
      </w:pPr>
      <w:r>
        <w:rPr>
          <w:rFonts w:ascii="Times New Roman" w:cs="Times New Roman" w:eastAsia="Times New Roman" w:hAnsi="Times New Roman"/>
          <w:sz w:val="18"/>
          <w:szCs w:val="18"/>
          <w:color w:val="auto"/>
        </w:rPr>
        <w:t>The dilutive effect of Westrock Series A Preferred Shares and the Convertible Notes is calculated using the if-converted method, which assumes an add-back of any accretion on preferred shares and interest expense associated with the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pacing w:after="0" w:line="187" w:lineRule="exact"/>
        <w:rPr>
          <w:sz w:val="20"/>
          <w:szCs w:val="20"/>
          <w:color w:val="auto"/>
        </w:rPr>
      </w:pPr>
    </w:p>
    <w:p>
      <w:pPr>
        <w:ind w:left="40" w:right="219"/>
        <w:spacing w:after="0" w:line="269" w:lineRule="auto"/>
        <w:rPr>
          <w:sz w:val="20"/>
          <w:szCs w:val="20"/>
          <w:color w:val="auto"/>
        </w:rPr>
      </w:pPr>
      <w:r>
        <w:rPr>
          <w:rFonts w:ascii="Times New Roman" w:cs="Times New Roman" w:eastAsia="Times New Roman" w:hAnsi="Times New Roman"/>
          <w:sz w:val="18"/>
          <w:szCs w:val="18"/>
          <w:color w:val="auto"/>
        </w:rPr>
        <w:t>The dilutive effect of time-based option awards and RSUs is calculated using the treasury stock method, while performance-based awards are treated as contingently issuable.</w:t>
      </w:r>
    </w:p>
    <w:p>
      <w:pPr>
        <w:spacing w:after="0" w:line="168" w:lineRule="exact"/>
        <w:rPr>
          <w:sz w:val="20"/>
          <w:szCs w:val="20"/>
          <w:color w:val="auto"/>
        </w:rPr>
      </w:pPr>
    </w:p>
    <w:p>
      <w:pPr>
        <w:ind w:left="40" w:right="299"/>
        <w:spacing w:after="0" w:line="269"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shares for the periods indicated because their inclusion would have an anti-dilutive effect on dilutive earnings (loss) per common share.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4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4"/>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04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04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4"/>
        </w:trPr>
        <w:tc>
          <w:tcPr>
            <w:tcW w:w="41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18,941</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19,144</w:t>
            </w: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19,076</w:t>
            </w:r>
          </w:p>
        </w:tc>
        <w:tc>
          <w:tcPr>
            <w:tcW w:w="1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19,151</w:t>
            </w:r>
          </w:p>
        </w:tc>
      </w:tr>
      <w:tr>
        <w:trPr>
          <w:trHeight w:val="211"/>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r>
      <w:tr>
        <w:trPr>
          <w:trHeight w:val="211"/>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If-converted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31,726</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23,564</w:t>
            </w:r>
          </w:p>
        </w:tc>
      </w:tr>
      <w:tr>
        <w:trPr>
          <w:trHeight w:val="627"/>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547"/>
        </w:trPr>
        <w:tc>
          <w:tcPr>
            <w:tcW w:w="4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3"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840"/>
        <w:spacing w:after="0" w:line="269"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under the two-class method for the periods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4"/>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2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gridSpan w:val="2"/>
          </w:tcPr>
          <w:p>
            <w:pPr>
              <w:spacing w:after="0" w:line="204" w:lineRule="exact"/>
              <w:rPr>
                <w:sz w:val="20"/>
                <w:szCs w:val="20"/>
                <w:color w:val="auto"/>
              </w:rPr>
            </w:pPr>
            <w:r>
              <w:rPr>
                <w:rFonts w:ascii="Times New Roman" w:cs="Times New Roman" w:eastAsia="Times New Roman" w:hAnsi="Times New Roman"/>
                <w:sz w:val="18"/>
                <w:szCs w:val="18"/>
                <w:color w:val="auto"/>
              </w:rPr>
              <w:t>Basic earnings (loss) per common share</w:t>
            </w:r>
          </w:p>
        </w:tc>
        <w:tc>
          <w:tcPr>
            <w:tcW w:w="100" w:type="dxa"/>
            <w:vAlign w:val="bottom"/>
            <w:tcBorders>
              <w:bottom w:val="single" w:sz="8" w:color="CCEEFF"/>
            </w:tcBorders>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(0.16)</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(0.63)</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(0.19)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45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(55,429)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participating securities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720" w:type="dxa"/>
            <w:vAlign w:val="bottom"/>
            <w:tcBorders>
              <w:bottom w:val="single" w:sz="8" w:color="CCEEFF"/>
            </w:tcBorders>
            <w:gridSpan w:val="2"/>
          </w:tcPr>
          <w:p>
            <w:pPr>
              <w:spacing w:after="0" w:line="204" w:lineRule="exact"/>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10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(14,171)</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16,295</w:t>
            </w:r>
          </w:p>
        </w:tc>
        <w:tc>
          <w:tcPr>
            <w:tcW w:w="2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(55,429)</w:t>
            </w:r>
          </w:p>
        </w:tc>
        <w:tc>
          <w:tcPr>
            <w:tcW w:w="2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(14,780)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7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participating securities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2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88,540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107,080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88,320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78,203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72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Dilutive (loss) earnings per common share</w:t>
            </w:r>
          </w:p>
        </w:tc>
        <w:tc>
          <w:tcPr>
            <w:tcW w:w="100" w:type="dxa"/>
            <w:vAlign w:val="bottom"/>
            <w:tcBorders>
              <w:bottom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(0.16)</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(0.63)</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47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0" w:right="540"/>
        <w:spacing w:after="0" w:line="281" w:lineRule="auto"/>
        <w:rPr>
          <w:sz w:val="20"/>
          <w:szCs w:val="20"/>
          <w:color w:val="auto"/>
        </w:rPr>
      </w:pPr>
      <w:r>
        <w:rPr>
          <w:rFonts w:ascii="Times New Roman" w:cs="Times New Roman" w:eastAsia="Times New Roman" w:hAnsi="Times New Roman"/>
          <w:sz w:val="16"/>
          <w:szCs w:val="16"/>
          <w:color w:val="auto"/>
        </w:rPr>
        <w:t>Our two operating segments, Beverage Solutions and Sustainable Sourcing &amp; Traceability, are evaluated using Segment Adjusted EBITDA, which is a segment performance measure. We define Segment Adjusted EBITDA as net (loss) income determined in accordance with GAAP, before interest expense, provision for income taxes, depreciation and amortization, equity-based compensation expense and the impact, which may be recurring in nature, of transaction, restructuring and integrations costs, including management services and consulting agreements entered into in connection with the acquisition of S&amp;D Coffee, Inc., impairment charges, changes in fair value of warrant liabilities, non-cash mark-to-market adjustments, certain non-capitalizable costs necessary to place the Conway extract and ready-to-drink facility into commercial production, certain recurring operating costs related to the scale-up of operations of the Conway extract and ready-to-drink facility, the write off of unamortized deferred financing costs, costs incurred as a result of the early repayment of debt, gains or losses on dispositions, and other similar or infrequent items (although we may not have had such charges in the periods presented).</w:t>
      </w:r>
    </w:p>
    <w:p>
      <w:pPr>
        <w:spacing w:after="0" w:line="37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380"/>
          </w:cols>
          <w:pgMar w:left="1440" w:top="503" w:right="1079"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periods indicated: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1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 2024</w:t>
            </w:r>
          </w:p>
        </w:tc>
        <w:tc>
          <w:tcPr>
            <w:tcW w:w="0" w:type="dxa"/>
            <w:vAlign w:val="bottom"/>
          </w:tcPr>
          <w:p>
            <w:pPr>
              <w:spacing w:after="0"/>
              <w:rPr>
                <w:sz w:val="1"/>
                <w:szCs w:val="1"/>
                <w:color w:val="auto"/>
              </w:rPr>
            </w:pPr>
          </w:p>
        </w:tc>
      </w:tr>
      <w:tr>
        <w:trPr>
          <w:trHeight w:val="114"/>
        </w:trPr>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top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3"/>
          </w:tcPr>
          <w:p>
            <w:pPr>
              <w:ind w:left="60"/>
              <w:spacing w:after="0" w:line="114"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4"/>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8"/>
              </w:rPr>
              <w:t>Intersegment</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75"/>
              <w:spacing w:after="0" w:line="114" w:lineRule="exact"/>
              <w:rPr>
                <w:sz w:val="20"/>
                <w:szCs w:val="20"/>
                <w:color w:val="auto"/>
              </w:rPr>
            </w:pPr>
            <w:r>
              <w:rPr>
                <w:rFonts w:ascii="Times New Roman" w:cs="Times New Roman" w:eastAsia="Times New Roman" w:hAnsi="Times New Roman"/>
                <w:sz w:val="13"/>
                <w:szCs w:val="13"/>
                <w:b w:val="1"/>
                <w:bCs w:val="1"/>
                <w:color w:val="auto"/>
              </w:rPr>
              <w:t>Total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Reportable</w:t>
            </w:r>
          </w:p>
        </w:tc>
        <w:tc>
          <w:tcPr>
            <w:tcW w:w="0" w:type="dxa"/>
            <w:vAlign w:val="bottom"/>
          </w:tcPr>
          <w:p>
            <w:pPr>
              <w:spacing w:after="0"/>
              <w:rPr>
                <w:sz w:val="1"/>
                <w:szCs w:val="1"/>
                <w:color w:val="auto"/>
              </w:rPr>
            </w:pPr>
          </w:p>
        </w:tc>
      </w:tr>
      <w:tr>
        <w:trPr>
          <w:trHeight w:val="169"/>
        </w:trPr>
        <w:tc>
          <w:tcPr>
            <w:tcW w:w="5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4"/>
        </w:trPr>
        <w:tc>
          <w:tcPr>
            <w:tcW w:w="500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w w:val="99"/>
              </w:rPr>
              <w:t>$ 164,010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gridSpan w:val="2"/>
            <w:shd w:val="clear" w:color="auto" w:fill="CCEEFF"/>
          </w:tcPr>
          <w:p>
            <w:pPr>
              <w:jc w:val="right"/>
              <w:ind w:right="40"/>
              <w:spacing w:after="0" w:line="204" w:lineRule="exact"/>
              <w:rPr>
                <w:sz w:val="20"/>
                <w:szCs w:val="20"/>
                <w:color w:val="auto"/>
              </w:rPr>
            </w:pPr>
            <w:r>
              <w:rPr>
                <w:rFonts w:ascii="Times New Roman" w:cs="Times New Roman" w:eastAsia="Times New Roman" w:hAnsi="Times New Roman"/>
                <w:sz w:val="18"/>
                <w:szCs w:val="18"/>
                <w:color w:val="auto"/>
              </w:rPr>
              <w:t>60,144</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(3,294)</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220,860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scale up operating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0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(14,259)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973,085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1,077,114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16"/>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0" w:type="dxa"/>
            <w:vAlign w:val="bottom"/>
          </w:tcPr>
          <w:p>
            <w:pPr>
              <w:spacing w:after="0"/>
              <w:rPr>
                <w:sz w:val="1"/>
                <w:szCs w:val="1"/>
                <w:color w:val="auto"/>
              </w:rPr>
            </w:pPr>
          </w:p>
        </w:tc>
      </w:tr>
      <w:tr>
        <w:trPr>
          <w:trHeight w:val="114"/>
        </w:trPr>
        <w:tc>
          <w:tcPr>
            <w:tcW w:w="4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920" w:type="dxa"/>
            <w:vAlign w:val="bottom"/>
            <w:tcBorders>
              <w:top w:val="single" w:sz="8" w:color="auto"/>
            </w:tcBorders>
            <w:gridSpan w:val="4"/>
          </w:tcPr>
          <w:p>
            <w:pPr>
              <w:ind w:left="100"/>
              <w:spacing w:after="0" w:line="114"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1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35"/>
              <w:spacing w:after="0" w:line="114" w:lineRule="exact"/>
              <w:rPr>
                <w:sz w:val="20"/>
                <w:szCs w:val="20"/>
                <w:color w:val="auto"/>
              </w:rPr>
            </w:pPr>
            <w:r>
              <w:rPr>
                <w:rFonts w:ascii="Times New Roman" w:cs="Times New Roman" w:eastAsia="Times New Roman" w:hAnsi="Times New Roman"/>
                <w:sz w:val="13"/>
                <w:szCs w:val="13"/>
                <w:b w:val="1"/>
                <w:bCs w:val="1"/>
                <w:color w:val="auto"/>
              </w:rPr>
              <w:t>Total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20" w:type="dxa"/>
            <w:vAlign w:val="bottom"/>
            <w:gridSpan w:val="4"/>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69"/>
        </w:trPr>
        <w:tc>
          <w:tcPr>
            <w:tcW w:w="5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Segments</w:t>
            </w:r>
          </w:p>
        </w:tc>
        <w:tc>
          <w:tcPr>
            <w:tcW w:w="0" w:type="dxa"/>
            <w:vAlign w:val="bottom"/>
          </w:tcPr>
          <w:p>
            <w:pPr>
              <w:spacing w:after="0"/>
              <w:rPr>
                <w:sz w:val="1"/>
                <w:szCs w:val="1"/>
                <w:color w:val="auto"/>
              </w:rPr>
            </w:pPr>
          </w:p>
        </w:tc>
      </w:tr>
      <w:tr>
        <w:trPr>
          <w:trHeight w:val="204"/>
        </w:trPr>
        <w:tc>
          <w:tcPr>
            <w:tcW w:w="486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  176,818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44,098</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gridSpan w:val="2"/>
            <w:shd w:val="clear" w:color="auto" w:fill="CCEEFF"/>
          </w:tcPr>
          <w:p>
            <w:pPr>
              <w:ind w:left="240"/>
              <w:spacing w:after="0" w:line="204" w:lineRule="exact"/>
              <w:rPr>
                <w:sz w:val="20"/>
                <w:szCs w:val="20"/>
                <w:color w:val="auto"/>
              </w:rPr>
            </w:pPr>
            <w:r>
              <w:rPr>
                <w:rFonts w:ascii="Times New Roman" w:cs="Times New Roman" w:eastAsia="Times New Roman" w:hAnsi="Times New Roman"/>
                <w:sz w:val="18"/>
                <w:szCs w:val="18"/>
                <w:color w:val="auto"/>
                <w:w w:val="95"/>
              </w:rPr>
              <w:t>(1,304)</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219,612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0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16,621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2"/>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547"/>
        </w:trPr>
        <w:tc>
          <w:tcPr>
            <w:tcW w:w="4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gridSpan w:val="16"/>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14"/>
        </w:trPr>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Borders>
              <w:top w:val="single" w:sz="8" w:color="auto"/>
            </w:tcBorders>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3"/>
          </w:tcPr>
          <w:p>
            <w:pPr>
              <w:ind w:left="60"/>
              <w:spacing w:after="0" w:line="114"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95"/>
              <w:spacing w:after="0" w:line="114" w:lineRule="exact"/>
              <w:rPr>
                <w:sz w:val="20"/>
                <w:szCs w:val="20"/>
                <w:color w:val="auto"/>
              </w:rPr>
            </w:pPr>
            <w:r>
              <w:rPr>
                <w:rFonts w:ascii="Times New Roman" w:cs="Times New Roman" w:eastAsia="Times New Roman" w:hAnsi="Times New Roman"/>
                <w:sz w:val="13"/>
                <w:szCs w:val="13"/>
                <w:b w:val="1"/>
                <w:bCs w:val="1"/>
                <w:color w:val="auto"/>
              </w:rPr>
              <w:t>Total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Reportable</w:t>
            </w:r>
          </w:p>
        </w:tc>
        <w:tc>
          <w:tcPr>
            <w:tcW w:w="0" w:type="dxa"/>
            <w:vAlign w:val="bottom"/>
          </w:tcPr>
          <w:p>
            <w:pPr>
              <w:spacing w:after="0"/>
              <w:rPr>
                <w:sz w:val="1"/>
                <w:szCs w:val="1"/>
                <w:color w:val="auto"/>
              </w:rPr>
            </w:pPr>
          </w:p>
        </w:tc>
      </w:tr>
      <w:tr>
        <w:trPr>
          <w:trHeight w:val="169"/>
        </w:trPr>
        <w:tc>
          <w:tcPr>
            <w:tcW w:w="50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Segments</w:t>
            </w:r>
          </w:p>
        </w:tc>
        <w:tc>
          <w:tcPr>
            <w:tcW w:w="0" w:type="dxa"/>
            <w:vAlign w:val="bottom"/>
          </w:tcPr>
          <w:p>
            <w:pPr>
              <w:spacing w:after="0"/>
              <w:rPr>
                <w:sz w:val="1"/>
                <w:szCs w:val="1"/>
                <w:color w:val="auto"/>
              </w:rPr>
            </w:pPr>
          </w:p>
        </w:tc>
      </w:tr>
      <w:tr>
        <w:trPr>
          <w:trHeight w:val="204"/>
        </w:trPr>
        <w:tc>
          <w:tcPr>
            <w:tcW w:w="5020" w:type="dxa"/>
            <w:vAlign w:val="bottom"/>
            <w:tcBorders>
              <w:top w:val="single" w:sz="8" w:color="auto"/>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ind w:right="60"/>
              <w:spacing w:after="0" w:line="204" w:lineRule="exact"/>
              <w:rPr>
                <w:sz w:val="20"/>
                <w:szCs w:val="20"/>
                <w:color w:val="auto"/>
              </w:rPr>
            </w:pPr>
            <w:r>
              <w:rPr>
                <w:rFonts w:ascii="Times New Roman" w:cs="Times New Roman" w:eastAsia="Times New Roman" w:hAnsi="Times New Roman"/>
                <w:sz w:val="18"/>
                <w:szCs w:val="18"/>
                <w:color w:val="auto"/>
                <w:w w:val="97"/>
              </w:rPr>
              <w:t>$ 485,322</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$ 143,204</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(6,777)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621,749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35,797</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scale up operating costs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02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(55,691)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973,085</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1,077,114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40" w:type="dxa"/>
            <w:vAlign w:val="bottom"/>
            <w:gridSpan w:val="16"/>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114"/>
        </w:trPr>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4"/>
          </w:tcPr>
          <w:p>
            <w:pPr>
              <w:ind w:left="80"/>
              <w:spacing w:after="0" w:line="114"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Total of</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Reportable</w:t>
            </w:r>
          </w:p>
        </w:tc>
        <w:tc>
          <w:tcPr>
            <w:tcW w:w="0" w:type="dxa"/>
            <w:vAlign w:val="bottom"/>
          </w:tcPr>
          <w:p>
            <w:pPr>
              <w:spacing w:after="0"/>
              <w:rPr>
                <w:sz w:val="1"/>
                <w:szCs w:val="1"/>
                <w:color w:val="auto"/>
              </w:rPr>
            </w:pPr>
          </w:p>
        </w:tc>
      </w:tr>
      <w:tr>
        <w:trPr>
          <w:trHeight w:val="169"/>
        </w:trPr>
        <w:tc>
          <w:tcPr>
            <w:tcW w:w="50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 w:type="dxa"/>
            <w:vAlign w:val="bottom"/>
          </w:tcPr>
          <w:p>
            <w:pPr>
              <w:spacing w:after="0"/>
              <w:rPr>
                <w:sz w:val="14"/>
                <w:szCs w:val="14"/>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04"/>
        </w:trPr>
        <w:tc>
          <w:tcPr>
            <w:tcW w:w="48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  547,746</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  105,537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(3,535)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649,748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29,965</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Management and consulting fees (S&amp;D acquisition)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tcPr>
          <w:p>
            <w:pPr>
              <w:spacing w:after="0" w:line="204" w:lineRule="exact"/>
              <w:rPr>
                <w:sz w:val="20"/>
                <w:szCs w:val="20"/>
                <w:color w:val="auto"/>
              </w:rPr>
            </w:pPr>
            <w:r>
              <w:rPr>
                <w:rFonts w:ascii="Times New Roman" w:cs="Times New Roman" w:eastAsia="Times New Roman" w:hAnsi="Times New Roman"/>
                <w:sz w:val="18"/>
                <w:szCs w:val="18"/>
                <w:color w:val="auto"/>
              </w:rPr>
              <w:t>Net loss</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(14,516)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801,466</w:t>
            </w: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89,605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8"/>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47"/>
        </w:trPr>
        <w:tc>
          <w:tcPr>
            <w:tcW w:w="4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3"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20. Commitments and Contingencies</w:t>
      </w:r>
    </w:p>
    <w:p>
      <w:pPr>
        <w:spacing w:after="0" w:line="217" w:lineRule="exact"/>
        <w:rPr>
          <w:sz w:val="20"/>
          <w:szCs w:val="20"/>
          <w:color w:val="auto"/>
        </w:rPr>
      </w:pPr>
    </w:p>
    <w:p>
      <w:pPr>
        <w:ind w:left="40" w:right="179"/>
        <w:spacing w:after="0" w:line="256" w:lineRule="auto"/>
        <w:rPr>
          <w:sz w:val="20"/>
          <w:szCs w:val="20"/>
          <w:color w:val="auto"/>
        </w:rPr>
      </w:pPr>
      <w:r>
        <w:rPr>
          <w:rFonts w:ascii="Times New Roman" w:cs="Times New Roman" w:eastAsia="Times New Roman" w:hAnsi="Times New Roman"/>
          <w:sz w:val="18"/>
          <w:szCs w:val="18"/>
          <w:color w:val="auto"/>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81"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We have future purchase obligations of $266.8 million as of September 30, 2024 that consist of commitments for the purchase of inventory over the next 12 months. These obligations represent the minimum contractual obligations expected under the normal course of business.</w:t>
      </w:r>
    </w:p>
    <w:p>
      <w:pPr>
        <w:spacing w:after="0" w:line="181" w:lineRule="exact"/>
        <w:rPr>
          <w:sz w:val="20"/>
          <w:szCs w:val="20"/>
          <w:color w:val="auto"/>
        </w:rPr>
      </w:pPr>
    </w:p>
    <w:p>
      <w:pPr>
        <w:ind w:left="40" w:right="99"/>
        <w:spacing w:after="0" w:line="294" w:lineRule="auto"/>
        <w:rPr>
          <w:sz w:val="20"/>
          <w:szCs w:val="20"/>
          <w:color w:val="auto"/>
        </w:rPr>
      </w:pPr>
      <w:r>
        <w:rPr>
          <w:rFonts w:ascii="Times New Roman" w:cs="Times New Roman" w:eastAsia="Times New Roman" w:hAnsi="Times New Roman"/>
          <w:sz w:val="16"/>
          <w:szCs w:val="16"/>
          <w:color w:val="auto"/>
        </w:rPr>
        <w:t>In addition, at September 30, 2024, we had an obligation to repurchase $1.2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Condensed Consolidated Balance Sheet.</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21. Related Party Transactions</w:t>
      </w:r>
    </w:p>
    <w:p>
      <w:pPr>
        <w:spacing w:after="0" w:line="217" w:lineRule="exact"/>
        <w:rPr>
          <w:sz w:val="20"/>
          <w:szCs w:val="20"/>
          <w:color w:val="auto"/>
        </w:rPr>
      </w:pPr>
    </w:p>
    <w:p>
      <w:pPr>
        <w:ind w:left="40" w:right="219"/>
        <w:spacing w:after="0" w:line="252" w:lineRule="auto"/>
        <w:rPr>
          <w:sz w:val="20"/>
          <w:szCs w:val="20"/>
          <w:color w:val="auto"/>
        </w:rPr>
      </w:pPr>
      <w:r>
        <w:rPr>
          <w:rFonts w:ascii="Times New Roman" w:cs="Times New Roman" w:eastAsia="Times New Roman" w:hAnsi="Times New Roman"/>
          <w:sz w:val="18"/>
          <w:szCs w:val="18"/>
          <w:color w:val="auto"/>
        </w:rPr>
        <w:t>In February 2024, the Company sold and issued Convertible Notes to Westrock Group, LLC (an affiliate of Scott Ford, the Company’s Chief Executive Officer and a member of the board of directors of the Company, “Westrock Group”), Wooster Capital, LLC (an affiliate of Joe Ford, chairman of the board of directors) and HF Direct Investments Pool, LLC (a holder of more than 10% of the outstanding Common Shares), each a related party.</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Condensed Consolidated Financial Statements reflect the following transactions with related parties: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4"/>
        </w:trPr>
        <w:tc>
          <w:tcPr>
            <w:tcW w:w="41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shd w:val="clear" w:color="auto" w:fill="CCEEFF"/>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4140" w:type="dxa"/>
            <w:vAlign w:val="bottom"/>
            <w:tcBorders>
              <w:bottom w:val="single" w:sz="8" w:color="CCEEFF"/>
            </w:tcBorders>
            <w:shd w:val="clear" w:color="auto" w:fill="CCEEFF"/>
          </w:tcPr>
          <w:p>
            <w:pPr>
              <w:ind w:left="20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320</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ind w:left="580"/>
              <w:spacing w:after="0" w:line="204"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586"/>
        </w:trPr>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4"/>
        </w:trPr>
        <w:tc>
          <w:tcPr>
            <w:tcW w:w="416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Convertible notes payable - related party,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shd w:val="clear" w:color="auto" w:fill="CCEEFF"/>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20" w:type="dxa"/>
            <w:vAlign w:val="bottom"/>
            <w:shd w:val="clear" w:color="auto" w:fill="CCEEFF"/>
          </w:tcPr>
          <w:p>
            <w:pPr>
              <w:spacing w:after="0"/>
              <w:rPr>
                <w:sz w:val="17"/>
                <w:szCs w:val="17"/>
                <w:color w:val="auto"/>
              </w:rPr>
            </w:pPr>
          </w:p>
        </w:tc>
        <w:tc>
          <w:tcPr>
            <w:tcW w:w="4140" w:type="dxa"/>
            <w:vAlign w:val="bottom"/>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ind w:left="580"/>
              <w:spacing w:after="0" w:line="204" w:lineRule="exact"/>
              <w:rPr>
                <w:sz w:val="20"/>
                <w:szCs w:val="20"/>
                <w:color w:val="auto"/>
              </w:rPr>
            </w:pPr>
            <w:r>
              <w:rPr>
                <w:rFonts w:ascii="Times New Roman" w:cs="Times New Roman" w:eastAsia="Times New Roman" w:hAnsi="Times New Roman"/>
                <w:sz w:val="18"/>
                <w:szCs w:val="18"/>
                <w:color w:val="auto"/>
              </w:rPr>
              <w:t>—</w:t>
            </w:r>
          </w:p>
        </w:tc>
      </w:tr>
      <w:tr>
        <w:trPr>
          <w:trHeight w:val="251"/>
        </w:trPr>
        <w:tc>
          <w:tcPr>
            <w:tcW w:w="20" w:type="dxa"/>
            <w:vAlign w:val="bottom"/>
            <w:tcBorders>
              <w:bottom w:val="single" w:sz="8" w:color="CCEEFF"/>
            </w:tcBorders>
          </w:tcPr>
          <w:p>
            <w:pPr>
              <w:spacing w:after="0"/>
              <w:rPr>
                <w:sz w:val="21"/>
                <w:szCs w:val="21"/>
                <w:color w:val="auto"/>
              </w:rPr>
            </w:pPr>
          </w:p>
        </w:tc>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Unamortized debt costs</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4140" w:type="dxa"/>
            <w:vAlign w:val="bottom"/>
            <w:tcBorders>
              <w:bottom w:val="single" w:sz="8" w:color="CCEEFF"/>
            </w:tcBorders>
            <w:shd w:val="clear" w:color="auto" w:fill="CCEEFF"/>
          </w:tcPr>
          <w:p>
            <w:pPr>
              <w:ind w:left="100"/>
              <w:spacing w:after="0" w:line="190"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49,689</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ind w:left="580"/>
              <w:spacing w:after="0" w:line="190"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24"/>
                <w:szCs w:val="24"/>
                <w:color w:val="auto"/>
              </w:rPr>
            </w:pPr>
          </w:p>
        </w:tc>
        <w:tc>
          <w:tcPr>
            <w:tcW w:w="222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4"/>
        </w:trPr>
        <w:tc>
          <w:tcPr>
            <w:tcW w:w="20" w:type="dxa"/>
            <w:vAlign w:val="bottom"/>
          </w:tcPr>
          <w:p>
            <w:pPr>
              <w:spacing w:after="0"/>
              <w:rPr>
                <w:sz w:val="17"/>
                <w:szCs w:val="17"/>
                <w:color w:val="auto"/>
              </w:rPr>
            </w:pPr>
          </w:p>
        </w:tc>
        <w:tc>
          <w:tcPr>
            <w:tcW w:w="41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Interest expense:</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36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633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20" w:type="dxa"/>
            <w:vAlign w:val="bottom"/>
          </w:tcPr>
          <w:p>
            <w:pPr>
              <w:spacing w:after="0"/>
              <w:rPr>
                <w:sz w:val="18"/>
                <w:szCs w:val="18"/>
                <w:color w:val="auto"/>
              </w:rPr>
            </w:pPr>
          </w:p>
        </w:tc>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HF Direct Investment Pool, LLC</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792</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2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ind w:left="200"/>
              <w:spacing w:after="0" w:line="204"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639</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1,583</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ind w:left="580"/>
              <w:spacing w:after="0" w:line="204"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40" w:right="239"/>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S&amp;D Coffee, Inc. in February 2020, the Company entered into a Management Services Agreement with Westrock Group, whose controlling manager and controlling member, Greenbrier Holdings, LLC, is owned and controlled by our co-founder and Chief Executive Officer Scott Ford. Under the terms of the</w:t>
      </w: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59"/>
        <w:spacing w:after="0" w:line="246" w:lineRule="auto"/>
        <w:rPr>
          <w:sz w:val="20"/>
          <w:szCs w:val="20"/>
          <w:color w:val="auto"/>
        </w:rPr>
      </w:pPr>
      <w:r>
        <w:rPr>
          <w:rFonts w:ascii="Times New Roman" w:cs="Times New Roman" w:eastAsia="Times New Roman" w:hAnsi="Times New Roman"/>
          <w:sz w:val="18"/>
          <w:szCs w:val="18"/>
          <w:color w:val="auto"/>
        </w:rPr>
        <w:t>agreement, which expired in February 2023, Westrock Group was paid $10.0 million in return for financial, managerial, operational, and strategic services. The associated expense is recorded within selling, general and administrative expense in our Condensed Consolidated Statements of Operations. The Company recognized no such expenses during the three or nine months ended September 30, 2024. The Company recognized no expenses and $0.6 million of such expenses during the three and nine months ended September 30, 2023. In addition, the Company reimburses Westrock Group for the usage of a corporate aircraft, and its portion of shared administrative expenses. For the three and nine months ended September 30, 2024, the Company recognized expenses of $0.1 million and $0.7 million, respectively, for such items, which are recorded in selling, general and administrative expenses in our Condensed Consolidated Statements of Operations. For the three and nine months ended September 30, 2023, the Company recognized expenses of $0.5 million and $1.3 million, respectively, for such items. At September 30, 2024 and December 31, 2023, we had no amounts payable and $0.2 million payable to Westrock Group, respectively, related to such items.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22. Subsequent Events</w:t>
      </w:r>
    </w:p>
    <w:p>
      <w:pPr>
        <w:spacing w:after="0" w:line="217" w:lineRule="exact"/>
        <w:rPr>
          <w:sz w:val="20"/>
          <w:szCs w:val="20"/>
          <w:color w:val="auto"/>
        </w:rPr>
      </w:pPr>
    </w:p>
    <w:p>
      <w:pPr>
        <w:ind w:left="40" w:right="139"/>
        <w:spacing w:after="0" w:line="294" w:lineRule="auto"/>
        <w:rPr>
          <w:sz w:val="20"/>
          <w:szCs w:val="20"/>
          <w:color w:val="auto"/>
        </w:rPr>
      </w:pPr>
      <w:r>
        <w:rPr>
          <w:rFonts w:ascii="Times New Roman" w:cs="Times New Roman" w:eastAsia="Times New Roman" w:hAnsi="Times New Roman"/>
          <w:sz w:val="16"/>
          <w:szCs w:val="16"/>
          <w:color w:val="auto"/>
        </w:rPr>
        <w:t>On October 16, 2024, the Post-Offer Exchange (Note 13) related to the Westrock Public Warrants was completed, resulting in the issuance of 115,220 Common Shares in exchange for then outstanding Westrock Public Warrants. Following the completion of the Post-Offer Exchange, no Westrock Warrants remain outstanding. Accordingly, the Westrock Public Warrants were suspended from trading on the Nasdaq as of the close of business on October 15, 2024, and were delisted.</w:t>
      </w:r>
    </w:p>
    <w:p>
      <w:pPr>
        <w:spacing w:after="0" w:line="36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5" w:lineRule="exact"/>
        <w:rPr>
          <w:sz w:val="20"/>
          <w:szCs w:val="20"/>
          <w:color w:val="auto"/>
        </w:rPr>
      </w:pPr>
    </w:p>
    <w:p>
      <w:pPr>
        <w:ind w:left="40" w:right="219"/>
        <w:spacing w:after="0" w:line="249"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describes the principal factors affecting the results of operations, financial condition, and changes in financial condition for the three and nine months ended September 30, 2024. This discussion should be read in conjunction with the accompanying Condensed Consolidated Financial Statements, and the notes thereto set forth in Part I, Item 1 of this Quarterly Report on Form 10-Q and our December 31, 2023 Audited Consolidated Financial Statements and notes thereto included in our Annual Report on Form 10-K filed with the U.S. Securities and Exchange Commission (“SEC”) on March 15, 2024.</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7" w:lineRule="exact"/>
        <w:rPr>
          <w:sz w:val="20"/>
          <w:szCs w:val="20"/>
          <w:color w:val="auto"/>
        </w:rPr>
      </w:pPr>
    </w:p>
    <w:p>
      <w:pPr>
        <w:ind w:left="40" w:right="199"/>
        <w:spacing w:after="0" w:line="294" w:lineRule="auto"/>
        <w:rPr>
          <w:sz w:val="20"/>
          <w:szCs w:val="20"/>
          <w:color w:val="auto"/>
        </w:rPr>
      </w:pPr>
      <w:r>
        <w:rPr>
          <w:rFonts w:ascii="Times New Roman" w:cs="Times New Roman" w:eastAsia="Times New Roman" w:hAnsi="Times New Roman"/>
          <w:sz w:val="16"/>
          <w:szCs w:val="16"/>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52"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8"/>
          <w:szCs w:val="18"/>
          <w:color w:val="auto"/>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operate our business in two segments: Beverage Solutions and Sustainable Sourcing &amp; Traceability (“SS&amp;T”).</w:t>
      </w:r>
    </w:p>
    <w:p>
      <w:pPr>
        <w:spacing w:after="0" w:line="215"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40" w:right="439"/>
        <w:spacing w:after="0" w:line="252"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17" w:lineRule="exact"/>
        <w:rPr>
          <w:sz w:val="20"/>
          <w:szCs w:val="20"/>
          <w:color w:val="auto"/>
        </w:rPr>
      </w:pPr>
    </w:p>
    <w:p>
      <w:pPr>
        <w:ind w:left="40" w:right="219"/>
        <w:spacing w:after="0" w:line="269" w:lineRule="auto"/>
        <w:rPr>
          <w:sz w:val="20"/>
          <w:szCs w:val="20"/>
          <w:color w:val="auto"/>
        </w:rPr>
      </w:pPr>
      <w:r>
        <w:rPr>
          <w:rFonts w:ascii="Times New Roman" w:cs="Times New Roman" w:eastAsia="Times New Roman" w:hAnsi="Times New Roman"/>
          <w:sz w:val="18"/>
          <w:szCs w:val="18"/>
          <w:color w:val="auto"/>
        </w:rPr>
        <w:t>We use Consolidated Adjusted EBITDA to evaluate our performance, identify trends, formulate financial projections, and to make strategic decisions.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19"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8"/>
          <w:szCs w:val="18"/>
          <w:color w:val="auto"/>
        </w:rPr>
        <w:t>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w:t>
      </w:r>
    </w:p>
    <w:p>
      <w:pPr>
        <w:sectPr>
          <w:pgSz w:w="11900" w:h="16838" w:orient="portrait"/>
          <w:cols w:equalWidth="0" w:num="1">
            <w:col w:w="9019"/>
          </w:cols>
          <w:pgMar w:left="1440" w:top="503" w:right="1440" w:bottom="1440" w:gutter="0" w:footer="0" w:header="0"/>
        </w:sectPr>
      </w:pPr>
    </w:p>
    <w:p>
      <w:pPr>
        <w:spacing w:after="0" w:line="39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219"/>
        <w:spacing w:after="0" w:line="269" w:lineRule="auto"/>
        <w:rPr>
          <w:sz w:val="20"/>
          <w:szCs w:val="20"/>
          <w:color w:val="auto"/>
        </w:rPr>
      </w:pPr>
      <w:r>
        <w:rPr>
          <w:rFonts w:ascii="Times New Roman" w:cs="Times New Roman" w:eastAsia="Times New Roman" w:hAnsi="Times New Roman"/>
          <w:sz w:val="18"/>
          <w:szCs w:val="18"/>
          <w:color w:val="auto"/>
        </w:rPr>
        <w:t>financial measures helps investors evaluate the Company’s operating performance, profitability and business trends in a way that is consistent with how management evaluates such performance.</w:t>
      </w:r>
    </w:p>
    <w:p>
      <w:pPr>
        <w:spacing w:after="0" w:line="168" w:lineRule="exact"/>
        <w:rPr>
          <w:sz w:val="20"/>
          <w:szCs w:val="20"/>
          <w:color w:val="auto"/>
        </w:rPr>
      </w:pPr>
    </w:p>
    <w:p>
      <w:pPr>
        <w:ind w:left="40" w:right="99"/>
        <w:spacing w:after="0" w:line="281" w:lineRule="auto"/>
        <w:rPr>
          <w:sz w:val="20"/>
          <w:szCs w:val="20"/>
          <w:color w:val="auto"/>
        </w:rPr>
      </w:pPr>
      <w:r>
        <w:rPr>
          <w:rFonts w:ascii="Times New Roman" w:cs="Times New Roman" w:eastAsia="Times New Roman" w:hAnsi="Times New Roman"/>
          <w:sz w:val="16"/>
          <w:szCs w:val="16"/>
          <w:color w:val="auto"/>
        </w:rPr>
        <w:t>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non-capitalizable costs necessary to place the Conway extract and ready-to-drink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w:t>
      </w:r>
    </w:p>
    <w:p>
      <w:pPr>
        <w:spacing w:after="0" w:line="380" w:lineRule="exact"/>
        <w:rPr>
          <w:sz w:val="20"/>
          <w:szCs w:val="20"/>
          <w:color w:val="auto"/>
        </w:rPr>
      </w:pPr>
    </w:p>
    <w:p>
      <w:pPr>
        <w:ind w:left="40" w:right="219"/>
        <w:spacing w:after="0" w:line="252" w:lineRule="auto"/>
        <w:rPr>
          <w:sz w:val="20"/>
          <w:szCs w:val="20"/>
          <w:color w:val="auto"/>
        </w:rPr>
      </w:pPr>
      <w:r>
        <w:rPr>
          <w:rFonts w:ascii="Times New Roman" w:cs="Times New Roman" w:eastAsia="Times New Roman" w:hAnsi="Times New Roman"/>
          <w:sz w:val="18"/>
          <w:szCs w:val="18"/>
          <w:color w:val="auto"/>
        </w:rPr>
        <w:t>Since EBITDA and Consolidated Adjusted EBITDA are not measures calculated in accordance with GAAP, they should be viewed in addition to, and not be considered as alternatives for, net (loss) income determined in accordance with GAAP. Further, our computations of EBITDA and Consolidated Adjusted EBITDA may not be comparable to that reported by other companies that define EBITDA and Consolidated Adjusted EBITDA differently than we do.</w:t>
      </w:r>
    </w:p>
    <w:p>
      <w:pPr>
        <w:spacing w:after="0" w:line="185" w:lineRule="exact"/>
        <w:rPr>
          <w:sz w:val="20"/>
          <w:szCs w:val="20"/>
          <w:color w:val="auto"/>
        </w:rPr>
      </w:pPr>
    </w:p>
    <w:p>
      <w:pPr>
        <w:ind w:left="40" w:right="359"/>
        <w:spacing w:after="0" w:line="269" w:lineRule="auto"/>
        <w:rPr>
          <w:sz w:val="20"/>
          <w:szCs w:val="20"/>
          <w:color w:val="auto"/>
        </w:rPr>
      </w:pPr>
      <w:r>
        <w:rPr>
          <w:rFonts w:ascii="Times New Roman" w:cs="Times New Roman" w:eastAsia="Times New Roman" w:hAnsi="Times New Roman"/>
          <w:sz w:val="18"/>
          <w:szCs w:val="18"/>
          <w:color w:val="auto"/>
        </w:rPr>
        <w:t>The reconciliation of our net (loss) income to EBITDA and Consolidated Adjusted EBITDA for the three and nine months ended September 30, 2024 and 2023 is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4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40" w:type="dxa"/>
            <w:vAlign w:val="bottom"/>
            <w:gridSpan w:val="5"/>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1"/>
        </w:trPr>
        <w:tc>
          <w:tcPr>
            <w:tcW w:w="4220" w:type="dxa"/>
            <w:vAlign w:val="bottom"/>
            <w:gridSpan w:val="2"/>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4040" w:type="dxa"/>
            <w:vAlign w:val="bottom"/>
            <w:tcBorders>
              <w:top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8"/>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(14,259)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16,621</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8"/>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(55,691)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(14,516)</w:t>
            </w:r>
          </w:p>
        </w:tc>
        <w:tc>
          <w:tcPr>
            <w:tcW w:w="0" w:type="dxa"/>
            <w:vAlign w:val="bottom"/>
          </w:tcPr>
          <w:p>
            <w:pPr>
              <w:spacing w:after="0"/>
              <w:rPr>
                <w:sz w:val="1"/>
                <w:szCs w:val="1"/>
                <w:color w:val="auto"/>
              </w:rPr>
            </w:pPr>
          </w:p>
        </w:tc>
      </w:tr>
      <w:tr>
        <w:trPr>
          <w:trHeight w:val="211"/>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0" w:type="dxa"/>
            <w:vAlign w:val="bottom"/>
          </w:tcPr>
          <w:p>
            <w:pPr>
              <w:spacing w:after="0"/>
              <w:rPr>
                <w:sz w:val="1"/>
                <w:szCs w:val="1"/>
                <w:color w:val="auto"/>
              </w:rPr>
            </w:pPr>
          </w:p>
        </w:tc>
      </w:tr>
      <w:tr>
        <w:trPr>
          <w:trHeight w:val="211"/>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(5,212)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1"/>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18,419</w:t>
            </w:r>
          </w:p>
        </w:tc>
        <w:tc>
          <w:tcPr>
            <w:tcW w:w="0" w:type="dxa"/>
            <w:vAlign w:val="bottom"/>
          </w:tcPr>
          <w:p>
            <w:pPr>
              <w:spacing w:after="0"/>
              <w:rPr>
                <w:sz w:val="1"/>
                <w:szCs w:val="1"/>
                <w:color w:val="auto"/>
              </w:rPr>
            </w:pPr>
          </w:p>
        </w:tc>
      </w:tr>
      <w:tr>
        <w:trPr>
          <w:trHeight w:val="204"/>
        </w:trPr>
        <w:tc>
          <w:tcPr>
            <w:tcW w:w="422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394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25,576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(9,320)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21,788</w:t>
            </w:r>
          </w:p>
        </w:tc>
        <w:tc>
          <w:tcPr>
            <w:tcW w:w="0" w:type="dxa"/>
            <w:vAlign w:val="bottom"/>
          </w:tcPr>
          <w:p>
            <w:pPr>
              <w:spacing w:after="0"/>
              <w:rPr>
                <w:sz w:val="1"/>
                <w:szCs w:val="1"/>
                <w:color w:val="auto"/>
              </w:rPr>
            </w:pPr>
          </w:p>
        </w:tc>
      </w:tr>
      <w:tr>
        <w:trPr>
          <w:trHeight w:val="211"/>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0" w:type="dxa"/>
            <w:vAlign w:val="bottom"/>
          </w:tcPr>
          <w:p>
            <w:pPr>
              <w:spacing w:after="0"/>
              <w:rPr>
                <w:sz w:val="1"/>
                <w:szCs w:val="1"/>
                <w:color w:val="auto"/>
              </w:rPr>
            </w:pPr>
          </w:p>
        </w:tc>
      </w:tr>
      <w:tr>
        <w:trPr>
          <w:trHeight w:val="211"/>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(5,481)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(25,105)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w:t>
            </w:r>
          </w:p>
        </w:tc>
        <w:tc>
          <w:tcPr>
            <w:tcW w:w="0" w:type="dxa"/>
            <w:vAlign w:val="bottom"/>
          </w:tcPr>
          <w:p>
            <w:pPr>
              <w:spacing w:after="0"/>
              <w:rPr>
                <w:sz w:val="1"/>
                <w:szCs w:val="1"/>
                <w:color w:val="auto"/>
              </w:rPr>
            </w:pPr>
          </w:p>
        </w:tc>
      </w:tr>
      <w:tr>
        <w:trPr>
          <w:trHeight w:val="192"/>
        </w:trPr>
        <w:tc>
          <w:tcPr>
            <w:tcW w:w="4220" w:type="dxa"/>
            <w:vAlign w:val="bottom"/>
            <w:gridSpan w:val="2"/>
          </w:tcPr>
          <w:p>
            <w:pPr>
              <w:ind w:left="120"/>
              <w:spacing w:after="0" w:line="193" w:lineRule="exact"/>
              <w:rPr>
                <w:sz w:val="20"/>
                <w:szCs w:val="20"/>
                <w:color w:val="auto"/>
              </w:rPr>
            </w:pPr>
            <w:r>
              <w:rPr>
                <w:rFonts w:ascii="Times New Roman" w:cs="Times New Roman" w:eastAsia="Times New Roman" w:hAnsi="Times New Roman"/>
                <w:sz w:val="18"/>
                <w:szCs w:val="18"/>
                <w:color w:val="auto"/>
              </w:rPr>
              <w:t>Management and consulting fees (S&amp;D Coffee, Inc.</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acquisition)</w:t>
            </w:r>
          </w:p>
        </w:tc>
        <w:tc>
          <w:tcPr>
            <w:tcW w:w="2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1"/>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11"/>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CCEEFF"/>
          </w:tcPr>
          <w:p>
            <w:pPr>
              <w:ind w:left="120"/>
              <w:spacing w:after="0" w:line="193" w:lineRule="exact"/>
              <w:rPr>
                <w:sz w:val="20"/>
                <w:szCs w:val="20"/>
                <w:color w:val="auto"/>
              </w:rPr>
            </w:pPr>
            <w:r>
              <w:rPr>
                <w:rFonts w:ascii="Times New Roman" w:cs="Times New Roman" w:eastAsia="Times New Roman" w:hAnsi="Times New Roman"/>
                <w:sz w:val="18"/>
                <w:szCs w:val="18"/>
                <w:color w:val="auto"/>
              </w:rPr>
              <w:t>Conway extract and ready-to-drink facility pre-</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production costs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0" w:type="dxa"/>
            <w:vAlign w:val="bottom"/>
          </w:tcPr>
          <w:p>
            <w:pPr>
              <w:spacing w:after="0"/>
              <w:rPr>
                <w:sz w:val="1"/>
                <w:szCs w:val="1"/>
                <w:color w:val="auto"/>
              </w:rPr>
            </w:pPr>
          </w:p>
        </w:tc>
      </w:tr>
      <w:tr>
        <w:trPr>
          <w:trHeight w:val="211"/>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1"/>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1"/>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04"/>
        </w:trPr>
        <w:tc>
          <w:tcPr>
            <w:tcW w:w="422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40" w:type="dxa"/>
            <w:vAlign w:val="bottom"/>
            <w:tcBorders>
              <w:bottom w:val="single" w:sz="8" w:color="auto"/>
            </w:tcBorders>
            <w:shd w:val="clear" w:color="auto" w:fill="CCEEFF"/>
          </w:tcPr>
          <w:p>
            <w:pPr>
              <w:jc w:val="right"/>
              <w:ind w:right="58"/>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10,269</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11,595</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8"/>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33,845</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31,358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547"/>
        </w:trPr>
        <w:tc>
          <w:tcPr>
            <w:tcW w:w="4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3"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spacing w:after="0" w:line="247" w:lineRule="auto"/>
        <w:rPr>
          <w:sz w:val="20"/>
          <w:szCs w:val="20"/>
          <w:color w:val="auto"/>
        </w:rPr>
      </w:pPr>
      <w:r>
        <w:rPr>
          <w:rFonts w:ascii="Times New Roman" w:cs="Times New Roman" w:eastAsia="Times New Roman" w:hAnsi="Times New Roman"/>
          <w:sz w:val="18"/>
          <w:szCs w:val="18"/>
          <w:color w:val="auto"/>
        </w:rPr>
        <w:t>The Company presents Consolidated Adjusted EBITDA as excluding certain Conway extract and ready-to-drink facility start-up costs (“Conway Start-up Costs”). Prior to the third quarter of 2024, Conway Start-up Costs included two categories: (i) non-capitalizable costs necessary to place production and packaging capabilities into commercial production (“pre-production costs”), and (ii) recurring operating costs incurred once a capability is placed into commercial production but before completion of the production scale up (“scale up operating costs”). Beginning in the third quarter of 2024, the Company no longer excludes scale up operating costs in the determination of Consolidated Adjusted EBITDA. Consolidated Adjusted EBITDA for the three and six months ended June 30, 2024 has been revised to exclude the impact of scale up operating costs,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00" w:type="dxa"/>
            <w:vAlign w:val="bottom"/>
          </w:tcPr>
          <w:p>
            <w:pPr>
              <w:spacing w:after="0"/>
              <w:rPr>
                <w:sz w:val="20"/>
                <w:szCs w:val="20"/>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04"/>
        </w:trPr>
        <w:tc>
          <w:tcPr>
            <w:tcW w:w="5440" w:type="dxa"/>
            <w:vAlign w:val="bottom"/>
            <w:tcBorders>
              <w:top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Consolidated Adjusted EBITDA, as presented</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13,664</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24,806</w:t>
            </w:r>
          </w:p>
        </w:tc>
      </w:tr>
      <w:tr>
        <w:trPr>
          <w:trHeight w:val="211"/>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scale-up costs</w:t>
            </w:r>
          </w:p>
        </w:tc>
        <w:tc>
          <w:tcPr>
            <w:tcW w:w="20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04"/>
        </w:trPr>
        <w:tc>
          <w:tcPr>
            <w:tcW w:w="562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Consolidated Adjusted EBITDA, as revised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12,434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23,576</w:t>
            </w:r>
          </w:p>
        </w:tc>
      </w:tr>
      <w:tr>
        <w:trPr>
          <w:trHeight w:val="20"/>
        </w:trPr>
        <w:tc>
          <w:tcPr>
            <w:tcW w:w="5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19" w:lineRule="exact"/>
        <w:rPr>
          <w:sz w:val="20"/>
          <w:szCs w:val="20"/>
          <w:color w:val="auto"/>
        </w:rPr>
      </w:pPr>
    </w:p>
    <w:p>
      <w:pPr>
        <w:ind w:left="40" w:right="79"/>
        <w:spacing w:after="0" w:line="246" w:lineRule="auto"/>
        <w:rPr>
          <w:sz w:val="20"/>
          <w:szCs w:val="20"/>
          <w:color w:val="auto"/>
        </w:rPr>
      </w:pPr>
      <w:r>
        <w:rPr>
          <w:rFonts w:ascii="Times New Roman" w:cs="Times New Roman" w:eastAsia="Times New Roman" w:hAnsi="Times New Roman"/>
          <w:sz w:val="18"/>
          <w:szCs w:val="18"/>
          <w:color w:val="auto"/>
        </w:rPr>
        <w:t>On August 28, 2024, the Company announced that it had commenced an exchange offer (the “Offer”) and consent solicitation (the “Consent Solicitation”) relating to its outstanding (i) public warrants to purchase shares of common stock of the Company, par value $0.01 per share (the “Common Shares”), which warrants trade on The Nasdaq Global Market (the “Nasdaq”) under the symbol “WESTW” (the “Westrock Public Warrants”), and (ii) private placement warrants to purchase common shares (the “Westrock Private Warrants” and, together with the Westrock Public Warrants, the “Westrock Warrants”). The Company offered to all holders of the Westrock Warrants the opportunity to receive 0.290 common shares in exchange for each of the Westrock Warrants tendered pursuant to the Offer. Concurrently with the Offer, the Company also solicited consents from the holders of each of the Westrock Public Warrants and the Westrock Private Warrants to amend that certain Warrant Agreement, dated as of August 25, 2022, by and between the Company and Computershare Inc., a Delaware corporation, and its affiliate, Computershare Trust Company, N.A., a federally chartered trust company, as warrant agent (the “Warrant Agent”), which governs all of the Warrants (the “Warrant Agreement”), to permit the Company to require that (x) each Westrock Public Warrant that is outstanding upon the closing of the Offer be exchanged for 0.261 common shares, which is a ratio 10% less than the exchange ratio applicable to the Offer and (y) each Westrock Private Warrant that is outstanding upon the closing of the Offer be exchanged for 0.261 common shares, which is a ratio 10% less than the exchange ratio applicable to the Offer (such amendment, the “Warrant Amendment”).</w:t>
      </w:r>
    </w:p>
    <w:p>
      <w:pPr>
        <w:spacing w:after="0" w:line="190" w:lineRule="exact"/>
        <w:rPr>
          <w:sz w:val="20"/>
          <w:szCs w:val="20"/>
          <w:color w:val="auto"/>
        </w:rPr>
      </w:pPr>
    </w:p>
    <w:p>
      <w:pPr>
        <w:ind w:left="40" w:right="119"/>
        <w:spacing w:after="0" w:line="249" w:lineRule="auto"/>
        <w:rPr>
          <w:sz w:val="20"/>
          <w:szCs w:val="20"/>
          <w:color w:val="auto"/>
        </w:rPr>
      </w:pPr>
      <w:r>
        <w:rPr>
          <w:rFonts w:ascii="Times New Roman" w:cs="Times New Roman" w:eastAsia="Times New Roman" w:hAnsi="Times New Roman"/>
          <w:sz w:val="18"/>
          <w:szCs w:val="18"/>
          <w:color w:val="auto"/>
        </w:rPr>
        <w:t>The Offer and Consent Solicitation expired on September 26, 2024 (the “Expiration Date”). As of the Expiration Date, (x) 16,676,541 outstanding Westrock Public Warrants were validly tendered and not validly withdrawn in the Offer and Consent Solicitation, representing approximately 97.42% of the Westrock Public Warrants and (y) 2,026,046 outstanding Westrock Private Warrants were validly tendered and not validly withdrawn in the Offer and Consent Solicitation, representing 100% of the Westrock Private Warrants. On September 30, 2024, the Company issued 5,423,681 Common Shares in exchange for the tendered Westrock Warrants.</w:t>
      </w:r>
    </w:p>
    <w:p>
      <w:pPr>
        <w:spacing w:after="0" w:line="187" w:lineRule="exact"/>
        <w:rPr>
          <w:sz w:val="20"/>
          <w:szCs w:val="20"/>
          <w:color w:val="auto"/>
        </w:rPr>
      </w:pPr>
    </w:p>
    <w:p>
      <w:pPr>
        <w:ind w:left="40" w:right="79"/>
        <w:spacing w:after="0" w:line="246" w:lineRule="auto"/>
        <w:rPr>
          <w:sz w:val="20"/>
          <w:szCs w:val="20"/>
          <w:color w:val="auto"/>
        </w:rPr>
      </w:pPr>
      <w:r>
        <w:rPr>
          <w:rFonts w:ascii="Times New Roman" w:cs="Times New Roman" w:eastAsia="Times New Roman" w:hAnsi="Times New Roman"/>
          <w:sz w:val="18"/>
          <w:szCs w:val="18"/>
          <w:color w:val="auto"/>
        </w:rPr>
        <w:t>In addition, pursuant to the Consent Solicitation, the Company received the approval of holders of approximately 97.42% of the outstanding Westrock Public Warrants and 100% of the outstanding Westrock Private Warrants to adopt the Warrant Amendment, which exceeded (x) the 50% threshold of the outstanding Westrock Public Warrants required to amend the Warrant Agreement with respect to the Westrock Public Warrants and (y) the 50% threshold of the outstanding Westrock Private Warrants required to amend the Warrant Agreement with respect to the Westrock Private Warrants. Accordingly, the Company and the Warrant Agent entered into the Warrant Amendment, dated September 30, 2024. On September 30, 2024, the Company announced that it would exercise its right, in accordance with the terms of the Warrant Amendment, to exchange each Westrock Public Warrant that is outstanding following the closing of the Offer for 0.261 common shares per warrant (the “Post-Offer Exchange”). In lieu of issuing fractional shares, any holder of warrants who would otherwise have been entitled to receive fractional shares, after aggregating all such fractional shares of such holder, was paid in cash (without interest) in an amount equal to such fractional part of a share multiplied</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43" w:name="page44"/>
    <w:bookmarkEnd w:id="4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39"/>
        <w:spacing w:after="0" w:line="252" w:lineRule="auto"/>
        <w:rPr>
          <w:sz w:val="20"/>
          <w:szCs w:val="20"/>
          <w:color w:val="auto"/>
        </w:rPr>
      </w:pPr>
      <w:r>
        <w:rPr>
          <w:rFonts w:ascii="Times New Roman" w:cs="Times New Roman" w:eastAsia="Times New Roman" w:hAnsi="Times New Roman"/>
          <w:sz w:val="18"/>
          <w:szCs w:val="18"/>
          <w:color w:val="auto"/>
        </w:rPr>
        <w:t>by $6.74. The Company fixed the date for the Post-Offer Exchange as October 15, 2024. On October 16, 2024, the Company issued 115,220 Common Shares for the untendered Westrock Public Warrants. Following the completion of the Offer and Post-Offer Exchange, no Westrock Warrants remain outstanding. Accordingly, the Westrock Public Warrants were suspended from trading on the Nasdaq as of the close of business on October 15, 2024, and were delisted.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Falcon Credit Agreement Amendment</w:t>
      </w:r>
    </w:p>
    <w:p>
      <w:pPr>
        <w:spacing w:after="0" w:line="219" w:lineRule="exact"/>
        <w:rPr>
          <w:sz w:val="20"/>
          <w:szCs w:val="20"/>
          <w:color w:val="auto"/>
        </w:rPr>
      </w:pPr>
    </w:p>
    <w:p>
      <w:pPr>
        <w:ind w:left="40" w:right="179"/>
        <w:spacing w:after="0" w:line="252" w:lineRule="auto"/>
        <w:rPr>
          <w:sz w:val="20"/>
          <w:szCs w:val="20"/>
          <w:color w:val="auto"/>
        </w:rPr>
      </w:pPr>
      <w:r>
        <w:rPr>
          <w:rFonts w:ascii="Times New Roman" w:cs="Times New Roman" w:eastAsia="Times New Roman" w:hAnsi="Times New Roman"/>
          <w:sz w:val="18"/>
          <w:szCs w:val="18"/>
          <w:color w:val="auto"/>
        </w:rPr>
        <w:t>On August 21, 2024, Falcon Coffees Limited, a wholly owned subsidiary of the Company, amended its working capital trade finance facility. The amendment increased the facility size from $55.0 million to $75.0 million. The interest rates and maturity date were unchanged as a result of the amendment. See Note 11 to our Condensed Consolidated Financial Statements for additional discussion related to the working capital trade finance facility.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217" w:lineRule="exact"/>
        <w:rPr>
          <w:sz w:val="20"/>
          <w:szCs w:val="20"/>
          <w:color w:val="auto"/>
        </w:rPr>
      </w:pPr>
    </w:p>
    <w:p>
      <w:pPr>
        <w:ind w:left="40" w:right="559"/>
        <w:spacing w:after="0" w:line="269"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740" w:type="dxa"/>
            <w:vAlign w:val="bottom"/>
            <w:gridSpan w:val="2"/>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gridSpan w:val="2"/>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5"/>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Ended</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40" w:type="dxa"/>
            <w:vAlign w:val="bottom"/>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13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76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0" w:type="dxa"/>
            <w:vAlign w:val="bottom"/>
          </w:tcPr>
          <w:p>
            <w:pPr>
              <w:spacing w:after="0"/>
              <w:rPr>
                <w:sz w:val="1"/>
                <w:szCs w:val="1"/>
                <w:color w:val="auto"/>
              </w:rPr>
            </w:pPr>
          </w:p>
        </w:tc>
      </w:tr>
      <w:tr>
        <w:trPr>
          <w:trHeight w:val="204"/>
        </w:trPr>
        <w:tc>
          <w:tcPr>
            <w:tcW w:w="4520" w:type="dxa"/>
            <w:vAlign w:val="bottom"/>
            <w:tcBorders>
              <w:top w:val="single" w:sz="8" w:color="auto"/>
            </w:tcBorders>
            <w:shd w:val="clear" w:color="auto" w:fill="CCEEFF"/>
          </w:tcPr>
          <w:p>
            <w:pPr>
              <w:ind w:left="10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220,860</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219,612</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1"/>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Costs of sales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183,775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83.2 %</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184,546</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84.0 %</w:t>
            </w:r>
          </w:p>
        </w:tc>
        <w:tc>
          <w:tcPr>
            <w:tcW w:w="0" w:type="dxa"/>
            <w:vAlign w:val="bottom"/>
          </w:tcPr>
          <w:p>
            <w:pPr>
              <w:spacing w:after="0"/>
              <w:rPr>
                <w:sz w:val="1"/>
                <w:szCs w:val="1"/>
                <w:color w:val="auto"/>
              </w:rPr>
            </w:pPr>
          </w:p>
        </w:tc>
      </w:tr>
      <w:tr>
        <w:trPr>
          <w:trHeight w:val="204"/>
        </w:trPr>
        <w:tc>
          <w:tcPr>
            <w:tcW w:w="4520" w:type="dxa"/>
            <w:vAlign w:val="bottom"/>
            <w:tcBorders>
              <w:top w:val="single" w:sz="8" w:color="CCEEFF"/>
            </w:tcBorders>
            <w:shd w:val="clear" w:color="auto" w:fill="CCEEFF"/>
          </w:tcPr>
          <w:p>
            <w:pPr>
              <w:ind w:left="200"/>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37,085</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35,066</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16.0</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1"/>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11"/>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Impairment charges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1"/>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04"/>
        </w:trPr>
        <w:tc>
          <w:tcPr>
            <w:tcW w:w="4520" w:type="dxa"/>
            <w:vAlign w:val="bottom"/>
            <w:tcBorders>
              <w:top w:val="single" w:sz="8" w:color="CCEEFF"/>
            </w:tcBorders>
            <w:shd w:val="clear" w:color="auto" w:fill="CCEEFF"/>
          </w:tcPr>
          <w:p>
            <w:pPr>
              <w:ind w:left="200"/>
              <w:spacing w:after="0" w:line="204"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49,827</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22.6</w:t>
            </w:r>
          </w:p>
        </w:tc>
        <w:tc>
          <w:tcPr>
            <w:tcW w:w="14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40,435</w:t>
            </w: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4"/>
        </w:trPr>
        <w:tc>
          <w:tcPr>
            <w:tcW w:w="4520" w:type="dxa"/>
            <w:vAlign w:val="bottom"/>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(12,742)</w:t>
            </w:r>
          </w:p>
        </w:tc>
        <w:tc>
          <w:tcPr>
            <w:tcW w:w="140" w:type="dxa"/>
            <w:vAlign w:val="bottom"/>
          </w:tcPr>
          <w:p>
            <w:pPr>
              <w:spacing w:after="0"/>
              <w:rPr>
                <w:sz w:val="17"/>
                <w:szCs w:val="17"/>
                <w:color w:val="auto"/>
              </w:rPr>
            </w:pPr>
          </w:p>
        </w:tc>
        <w:tc>
          <w:tcPr>
            <w:tcW w:w="74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7"/>
                <w:szCs w:val="17"/>
                <w:color w:val="auto"/>
              </w:rPr>
            </w:pPr>
          </w:p>
        </w:tc>
        <w:tc>
          <w:tcPr>
            <w:tcW w:w="110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(5,369)</w:t>
            </w:r>
          </w:p>
        </w:tc>
        <w:tc>
          <w:tcPr>
            <w:tcW w:w="140" w:type="dxa"/>
            <w:vAlign w:val="bottom"/>
          </w:tcPr>
          <w:p>
            <w:pPr>
              <w:spacing w:after="0"/>
              <w:rPr>
                <w:sz w:val="17"/>
                <w:szCs w:val="17"/>
                <w:color w:val="auto"/>
              </w:rPr>
            </w:pPr>
          </w:p>
        </w:tc>
        <w:tc>
          <w:tcPr>
            <w:tcW w:w="76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1"/>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(25,105)</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170"/>
        </w:trPr>
        <w:tc>
          <w:tcPr>
            <w:tcW w:w="4520" w:type="dxa"/>
            <w:vAlign w:val="bottom"/>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(Loss) income before income taxes and equity in earnings</w:t>
            </w:r>
          </w:p>
        </w:tc>
        <w:tc>
          <w:tcPr>
            <w:tcW w:w="1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from unconsolidated entities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1"/>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04"/>
        </w:trPr>
        <w:tc>
          <w:tcPr>
            <w:tcW w:w="452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(14,259)</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16,621</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7.6</w:t>
            </w:r>
          </w:p>
        </w:tc>
        <w:tc>
          <w:tcPr>
            <w:tcW w:w="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shareholders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1"/>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Accretion of Series A Convertible Preferred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4"/>
        </w:trPr>
        <w:tc>
          <w:tcPr>
            <w:tcW w:w="452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(14,171)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(6.4)</w:t>
            </w:r>
          </w:p>
        </w:tc>
        <w:tc>
          <w:tcPr>
            <w:tcW w:w="14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12,802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5.8</w:t>
            </w:r>
          </w:p>
        </w:tc>
        <w:tc>
          <w:tcPr>
            <w:tcW w:w="16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90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204"/>
        </w:trPr>
        <w:tc>
          <w:tcPr>
            <w:tcW w:w="60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72"/>
              <w:spacing w:after="0" w:line="204"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2"/>
              <w:spacing w:after="0" w:line="204"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4"/>
        </w:trPr>
        <w:tc>
          <w:tcPr>
            <w:tcW w:w="5840" w:type="dxa"/>
            <w:vAlign w:val="bottom"/>
            <w:tcBorders>
              <w:top w:val="single" w:sz="8" w:color="auto"/>
            </w:tcBorders>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Beverage Solutions</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164,010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176,818</w:t>
            </w:r>
          </w:p>
        </w:tc>
        <w:tc>
          <w:tcPr>
            <w:tcW w:w="0" w:type="dxa"/>
            <w:vAlign w:val="bottom"/>
          </w:tcPr>
          <w:p>
            <w:pPr>
              <w:spacing w:after="0"/>
              <w:rPr>
                <w:sz w:val="1"/>
                <w:szCs w:val="1"/>
                <w:color w:val="auto"/>
              </w:rPr>
            </w:pPr>
          </w:p>
        </w:tc>
      </w:tr>
      <w:tr>
        <w:trPr>
          <w:trHeight w:val="211"/>
        </w:trPr>
        <w:tc>
          <w:tcPr>
            <w:tcW w:w="6020" w:type="dxa"/>
            <w:vAlign w:val="bottom"/>
            <w:tcBorders>
              <w:bottom w:val="single" w:sz="8" w:color="CCEEFF"/>
            </w:tcBorders>
            <w:gridSpan w:val="3"/>
          </w:tcPr>
          <w:p>
            <w:pPr>
              <w:ind w:left="120"/>
              <w:spacing w:after="0" w:line="211" w:lineRule="exact"/>
              <w:rPr>
                <w:sz w:val="20"/>
                <w:szCs w:val="20"/>
                <w:color w:val="auto"/>
              </w:rPr>
            </w:pPr>
            <w:r>
              <w:rPr>
                <w:rFonts w:ascii="Times New Roman" w:cs="Times New Roman" w:eastAsia="Times New Roman" w:hAnsi="Times New Roman"/>
                <w:sz w:val="16"/>
                <w:szCs w:val="16"/>
                <w:color w:val="auto"/>
              </w:rPr>
              <w:t>Sustainable Sourcing &amp; Traceability</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56,850</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42,794</w:t>
            </w:r>
          </w:p>
        </w:tc>
        <w:tc>
          <w:tcPr>
            <w:tcW w:w="0" w:type="dxa"/>
            <w:vAlign w:val="bottom"/>
          </w:tcPr>
          <w:p>
            <w:pPr>
              <w:spacing w:after="0"/>
              <w:rPr>
                <w:sz w:val="1"/>
                <w:szCs w:val="1"/>
                <w:color w:val="auto"/>
              </w:rPr>
            </w:pPr>
          </w:p>
        </w:tc>
      </w:tr>
      <w:tr>
        <w:trPr>
          <w:trHeight w:val="204"/>
        </w:trPr>
        <w:tc>
          <w:tcPr>
            <w:tcW w:w="6020" w:type="dxa"/>
            <w:vAlign w:val="bottom"/>
            <w:tcBorders>
              <w:bottom w:val="single" w:sz="8" w:color="CCEEFF"/>
            </w:tcBorders>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bottom w:val="single" w:sz="8" w:color="auto"/>
            </w:tcBorders>
            <w:shd w:val="clear" w:color="auto" w:fill="CCEEFF"/>
          </w:tcPr>
          <w:p>
            <w:pPr>
              <w:jc w:val="right"/>
              <w:ind w:right="9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220,860</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219,612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40" w:type="dxa"/>
            <w:vAlign w:val="bottom"/>
            <w:tcBorders>
              <w:bottom w:val="single" w:sz="8" w:color="auto"/>
            </w:tcBorders>
          </w:tcPr>
          <w:p>
            <w:pPr>
              <w:spacing w:after="0"/>
              <w:rPr>
                <w:sz w:val="7"/>
                <w:szCs w:val="7"/>
                <w:color w:val="auto"/>
              </w:rPr>
            </w:pPr>
          </w:p>
        </w:tc>
        <w:tc>
          <w:tcPr>
            <w:tcW w:w="3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00"/>
        <w:spacing w:after="0"/>
        <w:tabs>
          <w:tab w:leader="none" w:pos="68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Net of intersegment revenues.</w:t>
      </w:r>
    </w:p>
    <w:p>
      <w:pPr>
        <w:spacing w:after="0" w:line="220" w:lineRule="exact"/>
        <w:rPr>
          <w:sz w:val="20"/>
          <w:szCs w:val="20"/>
          <w:color w:val="auto"/>
        </w:rPr>
      </w:pPr>
    </w:p>
    <w:p>
      <w:pPr>
        <w:ind w:left="40" w:right="59"/>
        <w:spacing w:after="0" w:line="289" w:lineRule="auto"/>
        <w:rPr>
          <w:sz w:val="20"/>
          <w:szCs w:val="20"/>
          <w:color w:val="auto"/>
        </w:rPr>
      </w:pPr>
      <w:r>
        <w:rPr>
          <w:rFonts w:ascii="Times New Roman" w:cs="Times New Roman" w:eastAsia="Times New Roman" w:hAnsi="Times New Roman"/>
          <w:sz w:val="16"/>
          <w:szCs w:val="16"/>
          <w:color w:val="auto"/>
        </w:rPr>
        <w:t>Net Sales from our Beverage Solutions segment were $164.0 million for the three months ended September 30, 2024, compared to $176.8 million for the three months ended September 30, 2023, a decrease of approximately 7.2%. The decrease was primarily due to a $16.4 million decrease in the sale of coffee and tea products, driven by a 6.4% decrease in roast and ground coffee volumes and a 24.4% decrease in single serve cup volumes, partially offset by a $3.1 million increase in the sale of flavors, extracts and ingredients products, driven by an 18.5% increase in flavors, extracts and ingredients volumes.</w:t>
      </w:r>
    </w:p>
    <w:p>
      <w:pPr>
        <w:spacing w:after="0" w:line="157" w:lineRule="exact"/>
        <w:rPr>
          <w:sz w:val="20"/>
          <w:szCs w:val="20"/>
          <w:color w:val="auto"/>
        </w:rPr>
      </w:pPr>
    </w:p>
    <w:p>
      <w:pPr>
        <w:ind w:left="40" w:right="559"/>
        <w:spacing w:after="0" w:line="252" w:lineRule="auto"/>
        <w:rPr>
          <w:sz w:val="20"/>
          <w:szCs w:val="20"/>
          <w:color w:val="auto"/>
        </w:rPr>
      </w:pPr>
      <w:r>
        <w:rPr>
          <w:rFonts w:ascii="Times New Roman" w:cs="Times New Roman" w:eastAsia="Times New Roman" w:hAnsi="Times New Roman"/>
          <w:sz w:val="18"/>
          <w:szCs w:val="18"/>
          <w:color w:val="auto"/>
        </w:rPr>
        <w:t>Net Sales from our SS&amp;T segment, net of intersegment revenues, totaled $56.9 million for the three months ended September 30, 2024, increasing 32.8% compared to $42.8 million for the three months ended September 30, 2023. The increase is driven by an increase in sales volume, which increased 35.9% compared to the three months ended September 30, 2023.</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900" w:type="dxa"/>
            <w:vAlign w:val="bottom"/>
            <w:tcBorders>
              <w:bottom w:val="single" w:sz="8" w:color="auto"/>
            </w:tcBorders>
            <w:gridSpan w:val="5"/>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0" w:type="dxa"/>
            <w:vAlign w:val="bottom"/>
          </w:tcPr>
          <w:p>
            <w:pPr>
              <w:spacing w:after="0"/>
              <w:rPr>
                <w:sz w:val="1"/>
                <w:szCs w:val="1"/>
                <w:color w:val="auto"/>
              </w:rPr>
            </w:pPr>
          </w:p>
        </w:tc>
      </w:tr>
      <w:tr>
        <w:trPr>
          <w:trHeight w:val="204"/>
        </w:trPr>
        <w:tc>
          <w:tcPr>
            <w:tcW w:w="60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372"/>
              <w:spacing w:after="0" w:line="204"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ind w:right="392"/>
              <w:spacing w:after="0" w:line="204"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4"/>
        </w:trPr>
        <w:tc>
          <w:tcPr>
            <w:tcW w:w="5840" w:type="dxa"/>
            <w:vAlign w:val="bottom"/>
            <w:tcBorders>
              <w:top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Beverage Solutions</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131,762</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144,920</w:t>
            </w:r>
          </w:p>
        </w:tc>
        <w:tc>
          <w:tcPr>
            <w:tcW w:w="0" w:type="dxa"/>
            <w:vAlign w:val="bottom"/>
          </w:tcPr>
          <w:p>
            <w:pPr>
              <w:spacing w:after="0"/>
              <w:rPr>
                <w:sz w:val="1"/>
                <w:szCs w:val="1"/>
                <w:color w:val="auto"/>
              </w:rPr>
            </w:pPr>
          </w:p>
        </w:tc>
      </w:tr>
      <w:tr>
        <w:trPr>
          <w:trHeight w:val="211"/>
        </w:trPr>
        <w:tc>
          <w:tcPr>
            <w:tcW w:w="6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52,013</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39,626</w:t>
            </w:r>
          </w:p>
        </w:tc>
        <w:tc>
          <w:tcPr>
            <w:tcW w:w="0" w:type="dxa"/>
            <w:vAlign w:val="bottom"/>
          </w:tcPr>
          <w:p>
            <w:pPr>
              <w:spacing w:after="0"/>
              <w:rPr>
                <w:sz w:val="1"/>
                <w:szCs w:val="1"/>
                <w:color w:val="auto"/>
              </w:rPr>
            </w:pPr>
          </w:p>
        </w:tc>
      </w:tr>
      <w:tr>
        <w:trPr>
          <w:trHeight w:val="204"/>
        </w:trPr>
        <w:tc>
          <w:tcPr>
            <w:tcW w:w="602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costs of sales</w:t>
            </w:r>
          </w:p>
        </w:tc>
        <w:tc>
          <w:tcPr>
            <w:tcW w:w="280" w:type="dxa"/>
            <w:vAlign w:val="bottom"/>
            <w:tcBorders>
              <w:bottom w:val="single" w:sz="8" w:color="auto"/>
            </w:tcBorders>
            <w:shd w:val="clear" w:color="auto" w:fill="CCEEFF"/>
          </w:tcPr>
          <w:p>
            <w:pPr>
              <w:jc w:val="right"/>
              <w:ind w:right="9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183,775</w:t>
            </w: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184,546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In our Beverage Solutions segment, costs of sales decreased to $131.8 million for the three months ended September 30, 2024, from $144.9 million for the three months ended September 30, 2023. The decrease in costs of sales was primarily driven by a decrease in the sale of coffee and tea products and single serve cup volumes for the three months ended September 30, 2024 compared to the three months ended September 30, 2023.</w:t>
      </w:r>
    </w:p>
    <w:p>
      <w:pPr>
        <w:spacing w:after="0" w:line="185" w:lineRule="exact"/>
        <w:rPr>
          <w:sz w:val="20"/>
          <w:szCs w:val="20"/>
          <w:color w:val="auto"/>
        </w:rPr>
      </w:pPr>
    </w:p>
    <w:p>
      <w:pPr>
        <w:ind w:left="40" w:right="179"/>
        <w:spacing w:after="0" w:line="250" w:lineRule="auto"/>
        <w:rPr>
          <w:sz w:val="20"/>
          <w:szCs w:val="20"/>
          <w:color w:val="auto"/>
        </w:rPr>
      </w:pPr>
      <w:r>
        <w:rPr>
          <w:rFonts w:ascii="Times New Roman" w:cs="Times New Roman" w:eastAsia="Times New Roman" w:hAnsi="Times New Roman"/>
          <w:sz w:val="18"/>
          <w:szCs w:val="18"/>
          <w:color w:val="auto"/>
        </w:rPr>
        <w:t>In our SS&amp;T segment, costs of sales increased $12.4 million to $52.0 million for the three months ended September 30, 2024 compared to the three months ended September 30, 2023. This increase is primarily due to an increase in green coffee sales volume. Costs of sales in our SS&amp;T segment for the three months ended September 30, 2024 included $0.5 million of net unrealized losses on forward sales and purchase contracts and mark-to-market adjustments on green coffee inventory compared to $1.2 million of net unrealized losses for the three months ended September 30, 2023.</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160" w:type="dxa"/>
            <w:vAlign w:val="bottom"/>
            <w:gridSpan w:val="7"/>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38"/>
        </w:trPr>
        <w:tc>
          <w:tcPr>
            <w:tcW w:w="4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22"/>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642"/>
              <w:spacing w:after="0" w:line="138"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6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8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40" w:type="dxa"/>
            <w:vAlign w:val="bottom"/>
          </w:tcPr>
          <w:p>
            <w:pPr>
              <w:spacing w:after="0"/>
              <w:rPr>
                <w:sz w:val="9"/>
                <w:szCs w:val="9"/>
                <w:color w:val="auto"/>
              </w:rPr>
            </w:pPr>
          </w:p>
        </w:tc>
        <w:tc>
          <w:tcPr>
            <w:tcW w:w="70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8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0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4"/>
        </w:trPr>
        <w:tc>
          <w:tcPr>
            <w:tcW w:w="4940" w:type="dxa"/>
            <w:vAlign w:val="bottom"/>
            <w:tcBorders>
              <w:top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Beverage Solutions</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8"/>
              </w:rPr>
              <w:t>$ 43,126</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26.3</w:t>
            </w:r>
          </w:p>
        </w:tc>
        <w:tc>
          <w:tcPr>
            <w:tcW w:w="240" w:type="dxa"/>
            <w:vAlign w:val="bottom"/>
            <w:tcBorders>
              <w:top w:val="single" w:sz="8" w:color="CCEEFF"/>
            </w:tcBorders>
            <w:shd w:val="clear" w:color="auto" w:fill="CCEEFF"/>
          </w:tcPr>
          <w:p>
            <w:pPr>
              <w:jc w:val="right"/>
              <w:ind w:right="12"/>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8"/>
              </w:rPr>
              <w:t>$ 34,577</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1"/>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6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5.3 %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4"/>
        </w:trPr>
        <w:tc>
          <w:tcPr>
            <w:tcW w:w="508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6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8"/>
              </w:rPr>
              <w:t>$ 46,132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20.9</w:t>
            </w:r>
          </w:p>
        </w:tc>
        <w:tc>
          <w:tcPr>
            <w:tcW w:w="240" w:type="dxa"/>
            <w:vAlign w:val="bottom"/>
            <w:tcBorders>
              <w:top w:val="single" w:sz="8" w:color="CCEEFF"/>
              <w:bottom w:val="single" w:sz="8" w:color="CCEEFF"/>
            </w:tcBorders>
            <w:shd w:val="clear" w:color="auto" w:fill="CCEEFF"/>
          </w:tcPr>
          <w:p>
            <w:pPr>
              <w:jc w:val="right"/>
              <w:ind w:right="12"/>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8"/>
              </w:rPr>
              <w:t>$ 37,050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16.9</w:t>
            </w:r>
          </w:p>
        </w:tc>
        <w:tc>
          <w:tcPr>
            <w:tcW w:w="18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40" w:right="199"/>
        <w:spacing w:after="0" w:line="269" w:lineRule="auto"/>
        <w:rPr>
          <w:sz w:val="20"/>
          <w:szCs w:val="20"/>
          <w:color w:val="auto"/>
        </w:rPr>
      </w:pPr>
      <w:r>
        <w:rPr>
          <w:rFonts w:ascii="Times New Roman" w:cs="Times New Roman" w:eastAsia="Times New Roman" w:hAnsi="Times New Roman"/>
          <w:sz w:val="18"/>
          <w:szCs w:val="18"/>
          <w:color w:val="auto"/>
        </w:rPr>
        <w:t>Total selling, general and administrative expenses in our Beverage Solutions segment increased $8.5 million to $43.1 million for the three months ended September 30, 2024, compared to the three months ended September 30, 2023. The</w:t>
      </w:r>
    </w:p>
    <w:p>
      <w:pPr>
        <w:spacing w:after="0" w:line="37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59"/>
        <w:spacing w:after="0" w:line="256" w:lineRule="auto"/>
        <w:rPr>
          <w:sz w:val="20"/>
          <w:szCs w:val="20"/>
          <w:color w:val="auto"/>
        </w:rPr>
      </w:pPr>
      <w:r>
        <w:rPr>
          <w:rFonts w:ascii="Times New Roman" w:cs="Times New Roman" w:eastAsia="Times New Roman" w:hAnsi="Times New Roman"/>
          <w:sz w:val="18"/>
          <w:szCs w:val="18"/>
          <w:color w:val="auto"/>
        </w:rPr>
        <w:t>increase is primarily due to an $8.9 million increase in expenses associated with the start-up of our extract and ready-to-drink facility in Conway, Arkansas. In our SS&amp;T segment, selling, general and administrative costs were relatively unchanged compared to the three months ended September 30, 2023.</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19" w:lineRule="exact"/>
        <w:rPr>
          <w:sz w:val="20"/>
          <w:szCs w:val="20"/>
          <w:color w:val="auto"/>
        </w:rPr>
      </w:pPr>
    </w:p>
    <w:p>
      <w:pPr>
        <w:ind w:left="40" w:right="79"/>
        <w:spacing w:after="0" w:line="248" w:lineRule="auto"/>
        <w:rPr>
          <w:sz w:val="20"/>
          <w:szCs w:val="20"/>
          <w:color w:val="auto"/>
        </w:rPr>
      </w:pPr>
      <w:r>
        <w:rPr>
          <w:rFonts w:ascii="Times New Roman" w:cs="Times New Roman" w:eastAsia="Times New Roman" w:hAnsi="Times New Roman"/>
          <w:sz w:val="18"/>
          <w:szCs w:val="18"/>
          <w:color w:val="auto"/>
        </w:rPr>
        <w:t>Transaction, restructuring and integration expenses for the three months ended September 30, 2024 were $2.5 million, approximately $1.4 million of which related to professional and legal costs associated with the Westrock Warrant exchange and $1.0 million of which related to plant closure costs. During the three months ended September 30, 2023, we incurred $3.1 million of transaction, restructuring and integration expenses, approximately $1.2 million of which related to the costs associated with the integration of our new enterprise resource planning system, including internal and external costs related to post go-live system support and duplicative system costs and $1.0 million of which primarily related to non-capitalizable costs associated with registration statements.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4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38"/>
        </w:trPr>
        <w:tc>
          <w:tcPr>
            <w:tcW w:w="652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3"/>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6380" w:type="dxa"/>
            <w:vAlign w:val="bottom"/>
            <w:tcBorders>
              <w:top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and delayed draw term loan facilities</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20" w:type="dxa"/>
            <w:vAlign w:val="bottom"/>
            <w:gridSpan w:val="2"/>
            <w:shd w:val="clear" w:color="auto" w:fill="CCEEFF"/>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Total cash interest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10,142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8,267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(3,970)</w:t>
            </w: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04"/>
        </w:trPr>
        <w:tc>
          <w:tcPr>
            <w:tcW w:w="6520" w:type="dxa"/>
            <w:vAlign w:val="bottom"/>
            <w:tcBorders>
              <w:top w:val="single" w:sz="8" w:color="CCEEFF"/>
            </w:tcBorders>
            <w:gridSpan w:val="2"/>
            <w:shd w:val="clear" w:color="auto" w:fill="CCEEFF"/>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(3,253)</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(464)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2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40" w:type="dxa"/>
            <w:vAlign w:val="bottom"/>
            <w:tcBorders>
              <w:bottom w:val="single" w:sz="8" w:color="auto"/>
            </w:tcBorders>
          </w:tcPr>
          <w:p>
            <w:pPr>
              <w:jc w:val="right"/>
              <w:ind w:right="58"/>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6,889</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7,803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 w:right="59"/>
        <w:spacing w:after="0" w:line="249"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2024 was $6.9 million compared to $7.8 million for the three months ended September 30, 2023. Interest expense associated with our revolving credit facility increased $1.4 million, primarily due to higher outstanding borrowings, and interest on our Convertible Notes increased $0.9 million. During the three months ended September 30, 2024, the Company capitalized approximately $4.0 million of interest costs associated with the build-out of our extract and ready-to-drink facility in Conway, Arkansas, compared to $1.0 million of such interest for the three months ended September 30, 2023.</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19" w:lineRule="exact"/>
        <w:rPr>
          <w:sz w:val="20"/>
          <w:szCs w:val="20"/>
          <w:color w:val="auto"/>
        </w:rPr>
      </w:pPr>
    </w:p>
    <w:p>
      <w:pPr>
        <w:ind w:left="40" w:right="199"/>
        <w:spacing w:after="0" w:line="252" w:lineRule="auto"/>
        <w:rPr>
          <w:sz w:val="20"/>
          <w:szCs w:val="20"/>
          <w:color w:val="auto"/>
        </w:rPr>
      </w:pPr>
      <w:r>
        <w:rPr>
          <w:rFonts w:ascii="Times New Roman" w:cs="Times New Roman" w:eastAsia="Times New Roman" w:hAnsi="Times New Roman"/>
          <w:sz w:val="18"/>
          <w:szCs w:val="18"/>
          <w:color w:val="auto"/>
        </w:rPr>
        <w:t>Warrant liabilities are adjusted to fair value at each reporting period, with any change in fair value recognized in the Condensed Consolidated Statement of Operations. The change in fair value of warrant liabilities for the three months ended September 30, 2024 resulted in recognition of $5.5 million of gains compared to recognition of $25.1 million of gains during the three months ended September 30, 2023.</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19" w:lineRule="exact"/>
        <w:rPr>
          <w:sz w:val="20"/>
          <w:szCs w:val="20"/>
          <w:color w:val="auto"/>
        </w:rPr>
      </w:pPr>
    </w:p>
    <w:p>
      <w:pPr>
        <w:ind w:left="40" w:right="479"/>
        <w:spacing w:after="0" w:line="332" w:lineRule="auto"/>
        <w:rPr>
          <w:sz w:val="20"/>
          <w:szCs w:val="20"/>
          <w:color w:val="auto"/>
        </w:rPr>
      </w:pPr>
      <w:r>
        <w:rPr>
          <w:rFonts w:ascii="Times New Roman" w:cs="Times New Roman" w:eastAsia="Times New Roman" w:hAnsi="Times New Roman"/>
          <w:sz w:val="16"/>
          <w:szCs w:val="16"/>
          <w:color w:val="auto"/>
        </w:rPr>
        <w:t>Income tax expense for the three months ended September 30, 2024 was $0.1 million, resulting in an effective tax rate of (0.6%). The effective tax rate for the current period differs from the federal statutory rate primarily due to an increase in</w:t>
      </w:r>
    </w:p>
    <w:p>
      <w:pPr>
        <w:sectPr>
          <w:pgSz w:w="11900" w:h="16838" w:orient="portrait"/>
          <w:cols w:equalWidth="0" w:num="1">
            <w:col w:w="9019"/>
          </w:cols>
          <w:pgMar w:left="1440" w:top="503" w:right="1440" w:bottom="1440" w:gutter="0" w:footer="0" w:header="0"/>
        </w:sectPr>
      </w:pPr>
    </w:p>
    <w:p>
      <w:pPr>
        <w:spacing w:after="0" w:line="33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46" w:name="page47"/>
    <w:bookmarkEnd w:id="4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379"/>
        <w:spacing w:after="0" w:line="269" w:lineRule="auto"/>
        <w:rPr>
          <w:sz w:val="20"/>
          <w:szCs w:val="20"/>
          <w:color w:val="auto"/>
        </w:rPr>
      </w:pPr>
      <w:r>
        <w:rPr>
          <w:rFonts w:ascii="Times New Roman" w:cs="Times New Roman" w:eastAsia="Times New Roman" w:hAnsi="Times New Roman"/>
          <w:sz w:val="18"/>
          <w:szCs w:val="18"/>
          <w:color w:val="auto"/>
        </w:rPr>
        <w:t>the valuation allowance against domestic deferred tax assets. Income tax benefit for the three months ended September 30, 2023 was $5.2 million, resulting in an effective tax rate of (45.7%).</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217" w:lineRule="exact"/>
        <w:rPr>
          <w:sz w:val="20"/>
          <w:szCs w:val="20"/>
          <w:color w:val="auto"/>
        </w:rPr>
      </w:pPr>
    </w:p>
    <w:p>
      <w:pPr>
        <w:ind w:left="40" w:right="559"/>
        <w:spacing w:after="0" w:line="269"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 of</w:t>
            </w: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3"/>
                <w:szCs w:val="13"/>
                <w:color w:val="auto"/>
              </w:rPr>
            </w:pPr>
          </w:p>
        </w:tc>
        <w:tc>
          <w:tcPr>
            <w:tcW w:w="780" w:type="dxa"/>
            <w:vAlign w:val="bottom"/>
            <w:gridSpan w:val="2"/>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9"/>
        </w:trPr>
        <w:tc>
          <w:tcPr>
            <w:tcW w:w="4620" w:type="dxa"/>
            <w:vAlign w:val="bottom"/>
            <w:gridSpan w:val="3"/>
            <w:vMerge w:val="continue"/>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4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4"/>
                <w:szCs w:val="14"/>
                <w:color w:val="auto"/>
              </w:rPr>
            </w:pPr>
          </w:p>
        </w:tc>
        <w:tc>
          <w:tcPr>
            <w:tcW w:w="78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4"/>
        </w:trPr>
        <w:tc>
          <w:tcPr>
            <w:tcW w:w="4480" w:type="dxa"/>
            <w:vAlign w:val="bottom"/>
            <w:tcBorders>
              <w:top w:val="single" w:sz="8" w:color="auto"/>
            </w:tcBorders>
            <w:gridSpan w:val="2"/>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621,749</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right w:val="single" w:sz="8" w:color="CCEEFF"/>
            </w:tcBorders>
            <w:gridSpan w:val="3"/>
            <w:shd w:val="clear" w:color="auto" w:fill="CCEEFF"/>
          </w:tcPr>
          <w:p>
            <w:pPr>
              <w:jc w:val="right"/>
              <w:ind w:right="16"/>
              <w:spacing w:after="0" w:line="204" w:lineRule="exact"/>
              <w:rPr>
                <w:sz w:val="20"/>
                <w:szCs w:val="20"/>
                <w:color w:val="auto"/>
              </w:rPr>
            </w:pPr>
            <w:r>
              <w:rPr>
                <w:rFonts w:ascii="Times New Roman" w:cs="Times New Roman" w:eastAsia="Times New Roman" w:hAnsi="Times New Roman"/>
                <w:sz w:val="18"/>
                <w:szCs w:val="18"/>
                <w:color w:val="auto"/>
                <w:w w:val="95"/>
              </w:rPr>
              <w:t>649,748</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1"/>
        </w:trPr>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Costs of sales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505,987</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81.4 %</w:t>
            </w:r>
          </w:p>
        </w:tc>
        <w:tc>
          <w:tcPr>
            <w:tcW w:w="640" w:type="dxa"/>
            <w:vAlign w:val="bottom"/>
          </w:tcPr>
          <w:p>
            <w:pPr>
              <w:spacing w:after="0"/>
              <w:rPr>
                <w:sz w:val="18"/>
                <w:szCs w:val="18"/>
                <w:color w:val="auto"/>
              </w:rPr>
            </w:pPr>
          </w:p>
        </w:tc>
        <w:tc>
          <w:tcPr>
            <w:tcW w:w="6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w w:val="95"/>
              </w:rPr>
              <w:t>544,707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83.8 %</w:t>
            </w:r>
          </w:p>
        </w:tc>
        <w:tc>
          <w:tcPr>
            <w:tcW w:w="0" w:type="dxa"/>
            <w:vAlign w:val="bottom"/>
          </w:tcPr>
          <w:p>
            <w:pPr>
              <w:spacing w:after="0"/>
              <w:rPr>
                <w:sz w:val="1"/>
                <w:szCs w:val="1"/>
                <w:color w:val="auto"/>
              </w:rPr>
            </w:pPr>
          </w:p>
        </w:tc>
      </w:tr>
      <w:tr>
        <w:trPr>
          <w:trHeight w:val="204"/>
        </w:trPr>
        <w:tc>
          <w:tcPr>
            <w:tcW w:w="4620" w:type="dxa"/>
            <w:vAlign w:val="bottom"/>
            <w:tcBorders>
              <w:top w:val="single" w:sz="8" w:color="CCEEFF"/>
            </w:tcBorders>
            <w:gridSpan w:val="3"/>
            <w:shd w:val="clear" w:color="auto" w:fill="CCEEFF"/>
          </w:tcPr>
          <w:p>
            <w:pPr>
              <w:ind w:left="220"/>
              <w:spacing w:after="0" w:line="204" w:lineRule="exact"/>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115,762</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18.6</w:t>
            </w:r>
          </w:p>
        </w:tc>
        <w:tc>
          <w:tcPr>
            <w:tcW w:w="14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3"/>
            <w:shd w:val="clear" w:color="auto" w:fill="CCEEFF"/>
          </w:tcPr>
          <w:p>
            <w:pPr>
              <w:jc w:val="right"/>
              <w:ind w:right="16"/>
              <w:spacing w:after="0" w:line="204" w:lineRule="exact"/>
              <w:rPr>
                <w:sz w:val="20"/>
                <w:szCs w:val="20"/>
                <w:color w:val="auto"/>
              </w:rPr>
            </w:pPr>
            <w:r>
              <w:rPr>
                <w:rFonts w:ascii="Times New Roman" w:cs="Times New Roman" w:eastAsia="Times New Roman" w:hAnsi="Times New Roman"/>
                <w:sz w:val="18"/>
                <w:szCs w:val="18"/>
                <w:color w:val="auto"/>
                <w:w w:val="95"/>
              </w:rPr>
              <w:t>105,041</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142,182</w:t>
            </w: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6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5"/>
              </w:rPr>
              <w:t>105,275</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r>
        <w:trPr>
          <w:trHeight w:val="211"/>
        </w:trPr>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40" w:type="dxa"/>
            <w:vAlign w:val="bottom"/>
          </w:tcPr>
          <w:p>
            <w:pPr>
              <w:spacing w:after="0"/>
              <w:rPr>
                <w:sz w:val="18"/>
                <w:szCs w:val="18"/>
                <w:color w:val="auto"/>
              </w:rPr>
            </w:pPr>
          </w:p>
        </w:tc>
        <w:tc>
          <w:tcPr>
            <w:tcW w:w="6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12,682</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11"/>
        </w:trPr>
        <w:tc>
          <w:tcPr>
            <w:tcW w:w="4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1"/>
        </w:trPr>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plant and equipment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40" w:type="dxa"/>
            <w:vAlign w:val="bottom"/>
          </w:tcPr>
          <w:p>
            <w:pPr>
              <w:spacing w:after="0"/>
              <w:rPr>
                <w:sz w:val="18"/>
                <w:szCs w:val="18"/>
                <w:color w:val="auto"/>
              </w:rPr>
            </w:pPr>
          </w:p>
        </w:tc>
        <w:tc>
          <w:tcPr>
            <w:tcW w:w="6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1,145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4"/>
        </w:trPr>
        <w:tc>
          <w:tcPr>
            <w:tcW w:w="4620" w:type="dxa"/>
            <w:vAlign w:val="bottom"/>
            <w:tcBorders>
              <w:top w:val="single" w:sz="8" w:color="CCEEFF"/>
            </w:tcBorders>
            <w:gridSpan w:val="3"/>
            <w:shd w:val="clear" w:color="auto" w:fill="CCEEFF"/>
          </w:tcPr>
          <w:p>
            <w:pPr>
              <w:ind w:left="220"/>
              <w:spacing w:after="0" w:line="204" w:lineRule="exact"/>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155,044</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right w:val="single" w:sz="8" w:color="CCEEFF"/>
            </w:tcBorders>
            <w:gridSpan w:val="3"/>
            <w:shd w:val="clear" w:color="auto" w:fill="CCEEFF"/>
          </w:tcPr>
          <w:p>
            <w:pPr>
              <w:jc w:val="right"/>
              <w:ind w:right="16"/>
              <w:spacing w:after="0" w:line="204" w:lineRule="exact"/>
              <w:rPr>
                <w:sz w:val="20"/>
                <w:szCs w:val="20"/>
                <w:color w:val="auto"/>
              </w:rPr>
            </w:pPr>
            <w:r>
              <w:rPr>
                <w:rFonts w:ascii="Times New Roman" w:cs="Times New Roman" w:eastAsia="Times New Roman" w:hAnsi="Times New Roman"/>
                <w:sz w:val="18"/>
                <w:szCs w:val="18"/>
                <w:color w:val="auto"/>
                <w:w w:val="95"/>
              </w:rPr>
              <w:t>119,102</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18.3</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4"/>
        </w:trPr>
        <w:tc>
          <w:tcPr>
            <w:tcW w:w="462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(39,282)</w:t>
            </w:r>
          </w:p>
        </w:tc>
        <w:tc>
          <w:tcPr>
            <w:tcW w:w="140" w:type="dxa"/>
            <w:vAlign w:val="bottom"/>
          </w:tcPr>
          <w:p>
            <w:pPr>
              <w:spacing w:after="0"/>
              <w:rPr>
                <w:sz w:val="17"/>
                <w:szCs w:val="17"/>
                <w:color w:val="auto"/>
              </w:rPr>
            </w:pPr>
          </w:p>
        </w:tc>
        <w:tc>
          <w:tcPr>
            <w:tcW w:w="74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rPr>
              <w:t>(6.3)%</w:t>
            </w:r>
          </w:p>
        </w:tc>
        <w:tc>
          <w:tcPr>
            <w:tcW w:w="640" w:type="dxa"/>
            <w:vAlign w:val="bottom"/>
          </w:tcPr>
          <w:p>
            <w:pPr>
              <w:spacing w:after="0"/>
              <w:rPr>
                <w:sz w:val="17"/>
                <w:szCs w:val="17"/>
                <w:color w:val="auto"/>
              </w:rPr>
            </w:pPr>
          </w:p>
        </w:tc>
        <w:tc>
          <w:tcPr>
            <w:tcW w:w="6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auto"/>
                <w:w w:val="97"/>
              </w:rPr>
              <w:t>(14,061)</w:t>
            </w:r>
          </w:p>
        </w:tc>
        <w:tc>
          <w:tcPr>
            <w:tcW w:w="80" w:type="dxa"/>
            <w:vAlign w:val="bottom"/>
          </w:tcPr>
          <w:p>
            <w:pPr>
              <w:spacing w:after="0"/>
              <w:rPr>
                <w:sz w:val="17"/>
                <w:szCs w:val="17"/>
                <w:color w:val="auto"/>
              </w:rPr>
            </w:pPr>
          </w:p>
        </w:tc>
        <w:tc>
          <w:tcPr>
            <w:tcW w:w="7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22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140" w:type="dxa"/>
            <w:vAlign w:val="bottom"/>
            <w:tcBorders>
              <w:right w:val="single" w:sz="8" w:color="CCEEFF"/>
            </w:tcBorders>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640" w:type="dxa"/>
            <w:vAlign w:val="bottom"/>
            <w:shd w:val="clear" w:color="auto" w:fill="CCEEFF"/>
          </w:tcPr>
          <w:p>
            <w:pPr>
              <w:spacing w:after="0"/>
              <w:rPr>
                <w:sz w:val="20"/>
                <w:szCs w:val="20"/>
                <w:color w:val="auto"/>
              </w:rPr>
            </w:pPr>
          </w:p>
        </w:tc>
        <w:tc>
          <w:tcPr>
            <w:tcW w:w="680" w:type="dxa"/>
            <w:vAlign w:val="bottom"/>
            <w:tcBorders>
              <w:right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21,216</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11"/>
        </w:trPr>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(7,134)</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(18,833)</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1"/>
        </w:trPr>
        <w:tc>
          <w:tcPr>
            <w:tcW w:w="4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1,323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170"/>
        </w:trPr>
        <w:tc>
          <w:tcPr>
            <w:tcW w:w="4620" w:type="dxa"/>
            <w:vAlign w:val="bottom"/>
            <w:gridSpan w:val="3"/>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Loss before income taxes and equity in earnings from</w:t>
            </w:r>
          </w:p>
        </w:tc>
        <w:tc>
          <w:tcPr>
            <w:tcW w:w="3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3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(54,292)</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4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(17,767)</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1"/>
        </w:trPr>
        <w:tc>
          <w:tcPr>
            <w:tcW w:w="46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4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4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1"/>
        </w:trPr>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tcPr>
          <w:p>
            <w:pPr>
              <w:spacing w:after="0"/>
              <w:rPr>
                <w:sz w:val="18"/>
                <w:szCs w:val="18"/>
                <w:color w:val="auto"/>
              </w:rPr>
            </w:pPr>
          </w:p>
        </w:tc>
        <w:tc>
          <w:tcPr>
            <w:tcW w:w="6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(55,691)</w:t>
            </w:r>
          </w:p>
        </w:tc>
        <w:tc>
          <w:tcPr>
            <w:tcW w:w="140" w:type="dxa"/>
            <w:vAlign w:val="bottom"/>
            <w:tcBorders>
              <w:right w:val="single" w:sz="8" w:color="CCEEFF"/>
            </w:tcBorders>
            <w:vMerge w:val="continue"/>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(9.0)%</w:t>
            </w:r>
          </w:p>
        </w:tc>
        <w:tc>
          <w:tcPr>
            <w:tcW w:w="6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7"/>
              </w:rPr>
              <w:t>(14,516)</w:t>
            </w:r>
          </w:p>
        </w:tc>
        <w:tc>
          <w:tcPr>
            <w:tcW w:w="8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1"/>
        </w:trPr>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tcPr>
          <w:p>
            <w:pPr>
              <w:spacing w:after="0"/>
              <w:rPr>
                <w:sz w:val="18"/>
                <w:szCs w:val="18"/>
                <w:color w:val="auto"/>
              </w:rPr>
            </w:pPr>
          </w:p>
        </w:tc>
        <w:tc>
          <w:tcPr>
            <w:tcW w:w="68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shareholders</w:t>
            </w: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(55,691)</w:t>
            </w:r>
          </w:p>
        </w:tc>
        <w:tc>
          <w:tcPr>
            <w:tcW w:w="140" w:type="dxa"/>
            <w:vAlign w:val="bottom"/>
            <w:tcBorders>
              <w:right w:val="single" w:sz="8" w:color="CCEEFF"/>
            </w:tcBorders>
            <w:vMerge w:val="continue"/>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(9.0)%</w:t>
            </w:r>
          </w:p>
        </w:tc>
        <w:tc>
          <w:tcPr>
            <w:tcW w:w="640" w:type="dxa"/>
            <w:vAlign w:val="bottom"/>
            <w:shd w:val="clear" w:color="auto" w:fill="CCEEFF"/>
          </w:tcPr>
          <w:p>
            <w:pPr>
              <w:spacing w:after="0"/>
              <w:rPr>
                <w:sz w:val="17"/>
                <w:szCs w:val="17"/>
                <w:color w:val="auto"/>
              </w:rPr>
            </w:pPr>
          </w:p>
        </w:tc>
        <w:tc>
          <w:tcPr>
            <w:tcW w:w="680" w:type="dxa"/>
            <w:vAlign w:val="bottom"/>
            <w:tcBorders>
              <w:right w:val="single" w:sz="8" w:color="CCEEFF"/>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7"/>
              </w:rPr>
              <w:t>(14,531)</w:t>
            </w:r>
          </w:p>
        </w:tc>
        <w:tc>
          <w:tcPr>
            <w:tcW w:w="80" w:type="dxa"/>
            <w:vAlign w:val="bottom"/>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1"/>
        </w:trPr>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Accretion of Series A Convertible Preferred Shares</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4"/>
        </w:trPr>
        <w:tc>
          <w:tcPr>
            <w:tcW w:w="4620" w:type="dxa"/>
            <w:vAlign w:val="bottom"/>
            <w:tcBorders>
              <w:top w:val="single" w:sz="8" w:color="CCEEFF"/>
              <w:bottom w:val="single" w:sz="8" w:color="CCEEFF"/>
            </w:tcBorders>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Net loss attributable to common shareholders</w:t>
            </w:r>
          </w:p>
        </w:tc>
        <w:tc>
          <w:tcPr>
            <w:tcW w:w="360" w:type="dxa"/>
            <w:vAlign w:val="bottom"/>
            <w:tcBorders>
              <w:top w:val="single" w:sz="8" w:color="auto"/>
              <w:bottom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(55,429)</w:t>
            </w:r>
          </w:p>
        </w:tc>
        <w:tc>
          <w:tcPr>
            <w:tcW w:w="1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2"/>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bottom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right w:val="single" w:sz="8" w:color="CCEEFF"/>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7"/>
              </w:rPr>
              <w:t>(14,780)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8"/>
        </w:trPr>
        <w:tc>
          <w:tcPr>
            <w:tcW w:w="46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auto"/>
            </w:tcBorders>
            <w:gridSpan w:val="9"/>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05"/>
        </w:trPr>
        <w:tc>
          <w:tcPr>
            <w:tcW w:w="4620" w:type="dxa"/>
            <w:vAlign w:val="bottom"/>
            <w:tcBorders>
              <w:bottom w:val="single" w:sz="8" w:color="auto"/>
            </w:tcBorders>
            <w:gridSpan w:val="3"/>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3"/>
          </w:tcPr>
          <w:p>
            <w:pPr>
              <w:jc w:val="right"/>
              <w:ind w:right="337"/>
              <w:spacing w:after="0" w:line="205" w:lineRule="exact"/>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176"/>
              <w:spacing w:after="0" w:line="205" w:lineRule="exact"/>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gridSpan w:val="3"/>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Beverage Solutions</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40"/>
              <w:spacing w:after="0" w:line="204" w:lineRule="exact"/>
              <w:rPr>
                <w:sz w:val="20"/>
                <w:szCs w:val="20"/>
                <w:color w:val="auto"/>
              </w:rPr>
            </w:pPr>
            <w:r>
              <w:rPr>
                <w:rFonts w:ascii="Times New Roman" w:cs="Times New Roman" w:eastAsia="Times New Roman" w:hAnsi="Times New Roman"/>
                <w:sz w:val="18"/>
                <w:szCs w:val="18"/>
                <w:color w:val="auto"/>
                <w:w w:val="99"/>
              </w:rPr>
              <w:t>485,322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547,746</w:t>
            </w:r>
          </w:p>
        </w:tc>
        <w:tc>
          <w:tcPr>
            <w:tcW w:w="0" w:type="dxa"/>
            <w:vAlign w:val="bottom"/>
          </w:tcPr>
          <w:p>
            <w:pPr>
              <w:spacing w:after="0"/>
              <w:rPr>
                <w:sz w:val="1"/>
                <w:szCs w:val="1"/>
                <w:color w:val="auto"/>
              </w:rPr>
            </w:pPr>
          </w:p>
        </w:tc>
      </w:tr>
      <w:tr>
        <w:trPr>
          <w:trHeight w:val="211"/>
        </w:trPr>
        <w:tc>
          <w:tcPr>
            <w:tcW w:w="4620" w:type="dxa"/>
            <w:vAlign w:val="bottom"/>
            <w:tcBorders>
              <w:bottom w:val="single" w:sz="8" w:color="CCEEFF"/>
            </w:tcBorders>
            <w:gridSpan w:val="3"/>
          </w:tcPr>
          <w:p>
            <w:pPr>
              <w:ind w:left="120"/>
              <w:spacing w:after="0" w:line="211" w:lineRule="exact"/>
              <w:rPr>
                <w:sz w:val="20"/>
                <w:szCs w:val="20"/>
                <w:color w:val="auto"/>
              </w:rPr>
            </w:pPr>
            <w:r>
              <w:rPr>
                <w:rFonts w:ascii="Times New Roman" w:cs="Times New Roman" w:eastAsia="Times New Roman" w:hAnsi="Times New Roman"/>
                <w:sz w:val="16"/>
                <w:szCs w:val="16"/>
                <w:color w:val="auto"/>
              </w:rPr>
              <w:t>Sustainable Sourcing &amp; Traceability</w:t>
            </w:r>
            <w:r>
              <w:rPr>
                <w:rFonts w:ascii="Times New Roman" w:cs="Times New Roman" w:eastAsia="Times New Roman" w:hAnsi="Times New Roman"/>
                <w:sz w:val="24"/>
                <w:szCs w:val="24"/>
                <w:color w:val="auto"/>
                <w:vertAlign w:val="superscript"/>
              </w:rPr>
              <w:t>1</w:t>
            </w:r>
          </w:p>
        </w:tc>
        <w:tc>
          <w:tcPr>
            <w:tcW w:w="3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136,427</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102,002</w:t>
            </w:r>
          </w:p>
        </w:tc>
        <w:tc>
          <w:tcPr>
            <w:tcW w:w="0" w:type="dxa"/>
            <w:vAlign w:val="bottom"/>
          </w:tcPr>
          <w:p>
            <w:pPr>
              <w:spacing w:after="0"/>
              <w:rPr>
                <w:sz w:val="1"/>
                <w:szCs w:val="1"/>
                <w:color w:val="auto"/>
              </w:rPr>
            </w:pPr>
          </w:p>
        </w:tc>
      </w:tr>
      <w:tr>
        <w:trPr>
          <w:trHeight w:val="204"/>
        </w:trPr>
        <w:tc>
          <w:tcPr>
            <w:tcW w:w="4620" w:type="dxa"/>
            <w:vAlign w:val="bottom"/>
            <w:tcBorders>
              <w:bottom w:val="single" w:sz="8" w:color="CCEEFF"/>
            </w:tcBorders>
            <w:gridSpan w:val="3"/>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net sales</w:t>
            </w: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ind w:left="40"/>
              <w:spacing w:after="0" w:line="204" w:lineRule="exact"/>
              <w:rPr>
                <w:sz w:val="20"/>
                <w:szCs w:val="20"/>
                <w:color w:val="auto"/>
              </w:rPr>
            </w:pPr>
            <w:r>
              <w:rPr>
                <w:rFonts w:ascii="Times New Roman" w:cs="Times New Roman" w:eastAsia="Times New Roman" w:hAnsi="Times New Roman"/>
                <w:sz w:val="18"/>
                <w:szCs w:val="18"/>
                <w:color w:val="auto"/>
                <w:w w:val="99"/>
              </w:rPr>
              <w:t>621,749</w:t>
            </w:r>
          </w:p>
        </w:tc>
        <w:tc>
          <w:tcPr>
            <w:tcW w:w="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right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gridSpan w:val="3"/>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649,748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4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400"/>
        <w:spacing w:after="0"/>
        <w:tabs>
          <w:tab w:leader="none" w:pos="68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Net of intersegment revenues.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Net Sales from our Beverage Solutions segment were $485.3 million for the nine months ended September 30, 2024, compared to $547.7 million for the nine months ended September 30, 2023, a decrease of approximately 11.4%. The decrease was primarily due to a $75.9 million decrease in the sale of coffee and tea products, driven by a 17.8% decrease in roast and ground coffee volumes and a 15.0% decrease in single serve cup volumes, partially offset by an $11.2</w:t>
      </w:r>
    </w:p>
    <w:p>
      <w:pPr>
        <w:sectPr>
          <w:pgSz w:w="11900" w:h="16838" w:orient="portrait"/>
          <w:cols w:equalWidth="0" w:num="1">
            <w:col w:w="9019"/>
          </w:cols>
          <w:pgMar w:left="1440" w:top="503" w:right="1440" w:bottom="1440" w:gutter="0" w:footer="0" w:header="0"/>
        </w:sectPr>
      </w:pPr>
    </w:p>
    <w:p>
      <w:pPr>
        <w:spacing w:after="0" w:line="39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47" w:name="page48"/>
    <w:bookmarkEnd w:id="4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319"/>
        <w:spacing w:after="0" w:line="269" w:lineRule="auto"/>
        <w:rPr>
          <w:sz w:val="20"/>
          <w:szCs w:val="20"/>
          <w:color w:val="auto"/>
        </w:rPr>
      </w:pPr>
      <w:r>
        <w:rPr>
          <w:rFonts w:ascii="Times New Roman" w:cs="Times New Roman" w:eastAsia="Times New Roman" w:hAnsi="Times New Roman"/>
          <w:sz w:val="18"/>
          <w:szCs w:val="18"/>
          <w:color w:val="auto"/>
        </w:rPr>
        <w:t>million increase in the sale of flavors, extracts and ingredients products, driven by a 28.9% increase in flavors, extracts and ingredients volumes.</w:t>
      </w:r>
    </w:p>
    <w:p>
      <w:pPr>
        <w:spacing w:after="0" w:line="168"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8"/>
          <w:szCs w:val="18"/>
          <w:color w:val="auto"/>
        </w:rPr>
        <w:t>Net Sales from our SS&amp;T segment, net of intersegment revenues, totaled $136.4 million for the nine months ended September 30, 2024, increasing 33.7% compared to $102.0 million for the nine months ended September 30, 2023. The increase is driven by an increase in sales volume, which increased 43.9%, partially offset by a 7.7% decrease in average sales price per pound for the nine months ended September 30, 2024 compared to the nine months ended September 30, 2023. The decrease in the average sales price per pound is directly correlated to the global commodities price.</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760" w:type="dxa"/>
            <w:vAlign w:val="bottom"/>
            <w:tcBorders>
              <w:bottom w:val="single" w:sz="8" w:color="auto"/>
            </w:tcBorders>
            <w:gridSpan w:val="5"/>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04"/>
        </w:trPr>
        <w:tc>
          <w:tcPr>
            <w:tcW w:w="6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52"/>
              <w:spacing w:after="0" w:line="204" w:lineRule="exact"/>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52"/>
              <w:spacing w:after="0" w:line="204"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4"/>
        </w:trPr>
        <w:tc>
          <w:tcPr>
            <w:tcW w:w="5980" w:type="dxa"/>
            <w:vAlign w:val="bottom"/>
            <w:tcBorders>
              <w:top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Beverage Solutions</w:t>
            </w: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383,460</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452,878</w:t>
            </w:r>
          </w:p>
        </w:tc>
        <w:tc>
          <w:tcPr>
            <w:tcW w:w="0" w:type="dxa"/>
            <w:vAlign w:val="bottom"/>
          </w:tcPr>
          <w:p>
            <w:pPr>
              <w:spacing w:after="0"/>
              <w:rPr>
                <w:sz w:val="1"/>
                <w:szCs w:val="1"/>
                <w:color w:val="auto"/>
              </w:rPr>
            </w:pPr>
          </w:p>
        </w:tc>
      </w:tr>
      <w:tr>
        <w:trPr>
          <w:trHeight w:val="211"/>
        </w:trPr>
        <w:tc>
          <w:tcPr>
            <w:tcW w:w="6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122,527</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91,829</w:t>
            </w:r>
          </w:p>
        </w:tc>
        <w:tc>
          <w:tcPr>
            <w:tcW w:w="0" w:type="dxa"/>
            <w:vAlign w:val="bottom"/>
          </w:tcPr>
          <w:p>
            <w:pPr>
              <w:spacing w:after="0"/>
              <w:rPr>
                <w:sz w:val="1"/>
                <w:szCs w:val="1"/>
                <w:color w:val="auto"/>
              </w:rPr>
            </w:pPr>
          </w:p>
        </w:tc>
      </w:tr>
      <w:tr>
        <w:trPr>
          <w:trHeight w:val="204"/>
        </w:trPr>
        <w:tc>
          <w:tcPr>
            <w:tcW w:w="6160" w:type="dxa"/>
            <w:vAlign w:val="bottom"/>
            <w:tcBorders>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costs of sales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505,987</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544,707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In our Beverage Solutions segment, costs of sales decreased to $383.5 million for the nine months ended September 30, 2024, from $452.9 million for the nine months ended September 30, 2023. The decrease in costs of sales was primarily driven by a decrease in the sale of coffee and tea products and single serve cup volumes for the nine months ended September 30, 2024 compared to the nine months ended September 30, 2023.</w:t>
      </w:r>
    </w:p>
    <w:p>
      <w:pPr>
        <w:spacing w:after="0" w:line="185"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8"/>
          <w:szCs w:val="18"/>
          <w:color w:val="auto"/>
        </w:rPr>
        <w:t>In our SS&amp;T segment, costs of sales increased $30.7 million to $122.5 million for the nine months ended September 30, 2024 compared to the nine months ended September 30, 2023. This increase is primarily due to an increase in green coffee sales volume. Costs of sales in our SS&amp;T segment for the nine months ended September 30, 2024 included $2.7 million of net unrealized gains on forward sales and purchase contracts and mark-to-market adjustments on green coffee inventory compared to $1.0 million of net unrealized gains for the nine months ended September 30, 2023.</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320" w:type="dxa"/>
            <w:vAlign w:val="bottom"/>
            <w:gridSpan w:val="8"/>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8"/>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702"/>
              <w:spacing w:after="0" w:line="138"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702"/>
              <w:spacing w:after="0" w:line="138"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78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8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880" w:type="dxa"/>
            <w:vAlign w:val="bottom"/>
          </w:tcPr>
          <w:p>
            <w:pPr>
              <w:jc w:val="right"/>
              <w:spacing w:after="0" w:line="114"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82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4"/>
        </w:trPr>
        <w:tc>
          <w:tcPr>
            <w:tcW w:w="4680" w:type="dxa"/>
            <w:vAlign w:val="bottom"/>
            <w:tcBorders>
              <w:top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Beverage Solutions</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$ 133,920</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27.6</w:t>
            </w:r>
          </w:p>
        </w:tc>
        <w:tc>
          <w:tcPr>
            <w:tcW w:w="240" w:type="dxa"/>
            <w:vAlign w:val="bottom"/>
            <w:tcBorders>
              <w:top w:val="single" w:sz="8" w:color="CCEEFF"/>
            </w:tcBorders>
            <w:shd w:val="clear" w:color="auto" w:fill="CCEEFF"/>
          </w:tcPr>
          <w:p>
            <w:pPr>
              <w:jc w:val="right"/>
              <w:ind w:right="12"/>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97,798</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17.9</w:t>
            </w:r>
          </w:p>
        </w:tc>
        <w:tc>
          <w:tcPr>
            <w:tcW w:w="180" w:type="dxa"/>
            <w:vAlign w:val="bottom"/>
            <w:tcBorders>
              <w:top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1"/>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w:t>
            </w:r>
          </w:p>
        </w:tc>
        <w:tc>
          <w:tcPr>
            <w:tcW w:w="130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4"/>
        </w:trPr>
        <w:tc>
          <w:tcPr>
            <w:tcW w:w="4820" w:type="dxa"/>
            <w:vAlign w:val="bottom"/>
            <w:tcBorders>
              <w:top w:val="single" w:sz="8" w:color="CCEEFF"/>
              <w:bottom w:val="single" w:sz="8" w:color="CCEEFF"/>
            </w:tcBorders>
            <w:gridSpan w:val="2"/>
            <w:shd w:val="clear" w:color="auto" w:fill="CCEEFF"/>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7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$ 142,182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22.9</w:t>
            </w:r>
          </w:p>
        </w:tc>
        <w:tc>
          <w:tcPr>
            <w:tcW w:w="240" w:type="dxa"/>
            <w:vAlign w:val="bottom"/>
            <w:tcBorders>
              <w:top w:val="single" w:sz="8" w:color="CCEEFF"/>
              <w:bottom w:val="single" w:sz="8" w:color="CCEEFF"/>
            </w:tcBorders>
            <w:shd w:val="clear" w:color="auto" w:fill="CCEEFF"/>
          </w:tcPr>
          <w:p>
            <w:pPr>
              <w:jc w:val="right"/>
              <w:ind w:right="12"/>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9"/>
              </w:rPr>
              <w:t>105,275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top w:val="single" w:sz="8" w:color="CCEEFF"/>
              <w:bottom w:val="single" w:sz="8" w:color="CCEE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 w:right="59"/>
        <w:spacing w:after="0" w:line="250" w:lineRule="auto"/>
        <w:rPr>
          <w:sz w:val="20"/>
          <w:szCs w:val="20"/>
          <w:color w:val="auto"/>
        </w:rPr>
      </w:pPr>
      <w:r>
        <w:rPr>
          <w:rFonts w:ascii="Times New Roman" w:cs="Times New Roman" w:eastAsia="Times New Roman" w:hAnsi="Times New Roman"/>
          <w:sz w:val="18"/>
          <w:szCs w:val="18"/>
          <w:color w:val="auto"/>
        </w:rPr>
        <w:t>Total selling, general and administrative expenses in our Beverage Solutions segment increased $36.1 million to $133.9 million for the nine months ended September 30, 2024, compared to the nine months ended September 30, 2023. The increase is primarily due to a $28.7 million increase in expenses associated with the start-up of our extract and ready-to-drink facility in Conway, Arkansas. In our SS&amp;T segment, selling, general and administrative costs were relatively unchanged compared to the nine months ended September 30, 2023.</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19"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8"/>
          <w:szCs w:val="18"/>
          <w:color w:val="auto"/>
        </w:rPr>
        <w:t>Transaction, restructuring and integration expenses for the nine months ended September 30, 2024 were $9.9 million, approximately $3.5 million of which related to severance and other employee termination and benefit costs associated with the elimination of various positions as part of cost reduction objectives, $2.4 million of which related to the establishment of our at-the-market common stock offering program and $1.4 million of which related to professional and legal costs associated with the Westrock Warrant exchange. During the nine months ended September 30, 2023, we incurred $12.7 million of transaction, restructuring and integration expenses, approximately $9.7 million of which related to the costs associated with the integration of our new enterprise resource planning system, including internal and external costs related to post go-live system support and duplicative system costs and $2.0 million of non-capitalizable costs associated with acquisitions and registration statements.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38"/>
        </w:trPr>
        <w:tc>
          <w:tcPr>
            <w:tcW w:w="6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3"/>
              <w:spacing w:after="0" w:line="138"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9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4"/>
        </w:trPr>
        <w:tc>
          <w:tcPr>
            <w:tcW w:w="6560" w:type="dxa"/>
            <w:vAlign w:val="bottom"/>
            <w:tcBorders>
              <w:top w:val="single" w:sz="8" w:color="auto"/>
            </w:tcBorders>
            <w:shd w:val="clear" w:color="auto" w:fill="CCEEFF"/>
          </w:tcPr>
          <w:p>
            <w:pPr>
              <w:ind w:left="120"/>
              <w:spacing w:after="0" w:line="204" w:lineRule="exact"/>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and delayed draw term loan facilities</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0" w:type="dxa"/>
            <w:vAlign w:val="bottom"/>
          </w:tcPr>
          <w:p>
            <w:pPr>
              <w:spacing w:after="0"/>
              <w:rPr>
                <w:sz w:val="1"/>
                <w:szCs w:val="1"/>
                <w:color w:val="auto"/>
              </w:rPr>
            </w:pPr>
          </w:p>
        </w:tc>
      </w:tr>
      <w:tr>
        <w:trPr>
          <w:trHeight w:val="211"/>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0" w:type="dxa"/>
            <w:vAlign w:val="bottom"/>
          </w:tcPr>
          <w:p>
            <w:pPr>
              <w:spacing w:after="0"/>
              <w:rPr>
                <w:sz w:val="1"/>
                <w:szCs w:val="1"/>
                <w:color w:val="auto"/>
              </w:rPr>
            </w:pPr>
          </w:p>
        </w:tc>
      </w:tr>
      <w:tr>
        <w:trPr>
          <w:trHeight w:val="211"/>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1"/>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11"/>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1"/>
        </w:trPr>
        <w:tc>
          <w:tcPr>
            <w:tcW w:w="67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04"/>
        </w:trPr>
        <w:tc>
          <w:tcPr>
            <w:tcW w:w="6700" w:type="dxa"/>
            <w:vAlign w:val="bottom"/>
            <w:gridSpan w:val="2"/>
            <w:shd w:val="clear" w:color="auto" w:fill="CCEEFF"/>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Total cash interest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30,622</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20,691</w:t>
            </w:r>
          </w:p>
        </w:tc>
        <w:tc>
          <w:tcPr>
            <w:tcW w:w="0" w:type="dxa"/>
            <w:vAlign w:val="bottom"/>
          </w:tcPr>
          <w:p>
            <w:pPr>
              <w:spacing w:after="0"/>
              <w:rPr>
                <w:sz w:val="1"/>
                <w:szCs w:val="1"/>
                <w:color w:val="auto"/>
              </w:rPr>
            </w:pPr>
          </w:p>
        </w:tc>
      </w:tr>
      <w:tr>
        <w:trPr>
          <w:trHeight w:val="211"/>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11"/>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(11,133)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04"/>
        </w:trPr>
        <w:tc>
          <w:tcPr>
            <w:tcW w:w="6700" w:type="dxa"/>
            <w:vAlign w:val="bottom"/>
            <w:tcBorders>
              <w:top w:val="single" w:sz="8" w:color="CCEEFF"/>
            </w:tcBorders>
            <w:gridSpan w:val="2"/>
            <w:shd w:val="clear" w:color="auto" w:fill="CCEEFF"/>
          </w:tcPr>
          <w:p>
            <w:pPr>
              <w:ind w:left="320"/>
              <w:spacing w:after="0" w:line="204" w:lineRule="exact"/>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(8,701)</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04"/>
        </w:trPr>
        <w:tc>
          <w:tcPr>
            <w:tcW w:w="67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21,921</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204" w:lineRule="exact"/>
              <w:rPr>
                <w:sz w:val="20"/>
                <w:szCs w:val="20"/>
                <w:color w:val="auto"/>
              </w:rPr>
            </w:pPr>
            <w:r>
              <w:rPr>
                <w:rFonts w:ascii="Times New Roman" w:cs="Times New Roman" w:eastAsia="Times New Roman" w:hAnsi="Times New Roman"/>
                <w:sz w:val="18"/>
                <w:szCs w:val="18"/>
                <w:color w:val="auto"/>
              </w:rPr>
              <w:t>21,216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40" w:right="139"/>
        <w:spacing w:after="0" w:line="250"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2024 was $21.9 million compared to $21.2 million for the nine months ended September 30, 2023. $4.1 million of the increase is attributable to interest expense associated with our term loan and delayed draw term loan facilities, primarily due to higher outstanding borrowings, and $2.3 million of the increase is due to interest on our Convertible Notes. In addition, we incurred $4.9 million in interest on our supply chain finance program borrowings for the nine months ended September 30, 2024, compared to $1.2 million of such</w:t>
      </w:r>
    </w:p>
    <w:p>
      <w:pPr>
        <w:sectPr>
          <w:pgSz w:w="11900" w:h="16838" w:orient="portrait"/>
          <w:cols w:equalWidth="0" w:num="1">
            <w:col w:w="9019"/>
          </w:cols>
          <w:pgMar w:left="1440" w:top="503" w:right="1440" w:bottom="1440" w:gutter="0" w:footer="0" w:header="0"/>
        </w:sectPr>
      </w:pPr>
    </w:p>
    <w:p>
      <w:pPr>
        <w:spacing w:after="0" w:line="39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49" w:name="page50"/>
    <w:bookmarkEnd w:id="4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59"/>
        <w:spacing w:after="0" w:line="303" w:lineRule="auto"/>
        <w:rPr>
          <w:sz w:val="20"/>
          <w:szCs w:val="20"/>
          <w:color w:val="auto"/>
        </w:rPr>
      </w:pPr>
      <w:r>
        <w:rPr>
          <w:rFonts w:ascii="Times New Roman" w:cs="Times New Roman" w:eastAsia="Times New Roman" w:hAnsi="Times New Roman"/>
          <w:sz w:val="16"/>
          <w:szCs w:val="16"/>
          <w:color w:val="auto"/>
        </w:rPr>
        <w:t>interest for the nine months ended September 30, 2023. Furthermore, during the nine months ended September 30, 2024, the Company capitalized approximately $11.1 million of interest costs associated with the build-out of our extract and ready-to-drink facility in Conway, Arkansas, compared to $1.0 million of such interest for the nine months ended September 30, 2023.</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19" w:lineRule="exact"/>
        <w:rPr>
          <w:sz w:val="20"/>
          <w:szCs w:val="20"/>
          <w:color w:val="auto"/>
        </w:rPr>
      </w:pPr>
    </w:p>
    <w:p>
      <w:pPr>
        <w:ind w:left="40" w:right="299"/>
        <w:spacing w:after="0" w:line="332" w:lineRule="auto"/>
        <w:rPr>
          <w:sz w:val="20"/>
          <w:szCs w:val="20"/>
          <w:color w:val="auto"/>
        </w:rPr>
      </w:pPr>
      <w:r>
        <w:rPr>
          <w:rFonts w:ascii="Times New Roman" w:cs="Times New Roman" w:eastAsia="Times New Roman" w:hAnsi="Times New Roman"/>
          <w:sz w:val="16"/>
          <w:szCs w:val="16"/>
          <w:color w:val="auto"/>
        </w:rPr>
        <w:t>The change in fair value of warrant liabilities for the nine months ended September 30, 2024 resulted in recognition of $7.1 million of gains compared to recognition of $18.8 million of gains during the nine months ended September 30, 2023.</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expense for the nine months ended September 30, 2024 was $1.3 million, resulting in an effective tax rate of</w:t>
      </w:r>
    </w:p>
    <w:p>
      <w:pPr>
        <w:spacing w:after="0" w:line="21" w:lineRule="exact"/>
        <w:rPr>
          <w:sz w:val="20"/>
          <w:szCs w:val="20"/>
          <w:color w:val="auto"/>
        </w:rPr>
      </w:pPr>
    </w:p>
    <w:p>
      <w:pPr>
        <w:jc w:val="both"/>
        <w:ind w:left="40" w:right="219"/>
        <w:spacing w:after="0" w:line="246" w:lineRule="auto"/>
        <w:rPr>
          <w:sz w:val="20"/>
          <w:szCs w:val="20"/>
          <w:color w:val="auto"/>
        </w:rPr>
      </w:pPr>
      <w:r>
        <w:rPr>
          <w:rFonts w:ascii="Times New Roman" w:cs="Times New Roman" w:eastAsia="Times New Roman" w:hAnsi="Times New Roman"/>
          <w:sz w:val="18"/>
          <w:szCs w:val="18"/>
          <w:color w:val="auto"/>
        </w:rPr>
        <w:t>(2.3%). The effective tax rate for the current period differs from the federal statutory rate primarily due to an increase in the valuation allowance against domestic deferred tax assets. Income tax benefit for the nine months ended September 30, 2023 was $3.3 million, resulting in an effective tax rate of 18.7%.</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7" w:lineRule="exact"/>
        <w:rPr>
          <w:sz w:val="20"/>
          <w:szCs w:val="20"/>
          <w:color w:val="auto"/>
        </w:rPr>
      </w:pPr>
    </w:p>
    <w:p>
      <w:pPr>
        <w:ind w:left="40" w:right="419"/>
        <w:spacing w:after="0" w:line="303" w:lineRule="auto"/>
        <w:rPr>
          <w:sz w:val="20"/>
          <w:szCs w:val="20"/>
          <w:color w:val="auto"/>
        </w:rPr>
      </w:pPr>
      <w:r>
        <w:rPr>
          <w:rFonts w:ascii="Times New Roman" w:cs="Times New Roman" w:eastAsia="Times New Roman" w:hAnsi="Times New Roman"/>
          <w:sz w:val="16"/>
          <w:szCs w:val="16"/>
          <w:color w:val="auto"/>
        </w:rPr>
        <w:t>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w:t>
      </w:r>
    </w:p>
    <w:p>
      <w:pPr>
        <w:spacing w:after="0" w:line="146"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spacing w:after="0" w:line="185"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filed with the SEC on March 15, 2024. As of September 30, 2024, there have been no material changes to these estimates.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7"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 (as defined herein).</w:t>
      </w:r>
    </w:p>
    <w:p>
      <w:pPr>
        <w:spacing w:after="0" w:line="181" w:lineRule="exact"/>
        <w:rPr>
          <w:sz w:val="20"/>
          <w:szCs w:val="20"/>
          <w:color w:val="auto"/>
        </w:rPr>
      </w:pPr>
    </w:p>
    <w:p>
      <w:pPr>
        <w:ind w:left="40" w:right="79"/>
        <w:spacing w:after="0" w:line="246" w:lineRule="auto"/>
        <w:rPr>
          <w:sz w:val="20"/>
          <w:szCs w:val="20"/>
          <w:color w:val="auto"/>
        </w:rPr>
      </w:pPr>
      <w:r>
        <w:rPr>
          <w:rFonts w:ascii="Times New Roman" w:cs="Times New Roman" w:eastAsia="Times New Roman" w:hAnsi="Times New Roman"/>
          <w:sz w:val="18"/>
          <w:szCs w:val="18"/>
          <w:color w:val="auto"/>
        </w:rPr>
        <w:t>Our ability to generate cash provided by operating activities is dependent on several factors, including our ability to generate net sales and manage costs in line with our expectations. Failure to meet our financial targets, including any adverse impact from changes or further delays in the estimated timing and volume of products to be commercialized in our extract and ready-to-drink manufacturing facility in Conway, Arkansas,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19" w:lineRule="exact"/>
        <w:rPr>
          <w:sz w:val="20"/>
          <w:szCs w:val="20"/>
          <w:color w:val="auto"/>
        </w:rPr>
      </w:pPr>
    </w:p>
    <w:p>
      <w:pPr>
        <w:ind w:left="40" w:right="99"/>
        <w:spacing w:after="0" w:line="246" w:lineRule="auto"/>
        <w:rPr>
          <w:sz w:val="20"/>
          <w:szCs w:val="20"/>
          <w:color w:val="auto"/>
        </w:rPr>
      </w:pPr>
      <w:r>
        <w:rPr>
          <w:rFonts w:ascii="Times New Roman" w:cs="Times New Roman" w:eastAsia="Times New Roman" w:hAnsi="Times New Roman"/>
          <w:sz w:val="18"/>
          <w:szCs w:val="18"/>
          <w:color w:val="auto"/>
        </w:rPr>
        <w:t>The Company is party 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(b) a senior secured first lien term loan facility in an initial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6" w:lineRule="exact"/>
        <w:rPr>
          <w:sz w:val="20"/>
          <w:szCs w:val="20"/>
          <w:color w:val="auto"/>
        </w:rPr>
      </w:pPr>
    </w:p>
    <w:p>
      <w:pPr>
        <w:ind w:left="40" w:right="79"/>
        <w:spacing w:after="0" w:line="279" w:lineRule="auto"/>
        <w:rPr>
          <w:sz w:val="20"/>
          <w:szCs w:val="20"/>
          <w:color w:val="auto"/>
        </w:rPr>
      </w:pPr>
      <w:r>
        <w:rPr>
          <w:rFonts w:ascii="Times New Roman" w:cs="Times New Roman" w:eastAsia="Times New Roman" w:hAnsi="Times New Roman"/>
          <w:sz w:val="16"/>
          <w:szCs w:val="16"/>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w:t>
      </w:r>
    </w:p>
    <w:p>
      <w:pPr>
        <w:spacing w:after="0" w:line="2" w:lineRule="exact"/>
        <w:rPr>
          <w:sz w:val="20"/>
          <w:szCs w:val="20"/>
          <w:color w:val="auto"/>
        </w:rPr>
      </w:pPr>
    </w:p>
    <w:p>
      <w:pPr>
        <w:ind w:left="40" w:right="399" w:firstLine="8"/>
        <w:spacing w:after="0" w:line="248" w:lineRule="auto"/>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NYFRB Rate from time to time plus 0.50% and (iii) the Adjusted Term SOFR for a one month interest period plus 1.00%, (the “Base Rate”)), in each case plus an applicable margin.</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At September 30, 2024, we had $107.5 million of outstanding borrowings under the Revolving Credit Facility, with a</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interest rate of 8.8% and we had $2.6 million of standby letters of credit outstanding. At</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September 30, 2024 the interest rate applicable to our Term Loan Facility was 8.0% and the interest rate applicable to our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Delayed Draw Term Loan Facility was 8.9%.</w:t>
      </w:r>
    </w:p>
    <w:p>
      <w:pPr>
        <w:spacing w:after="0" w:line="197" w:lineRule="exact"/>
        <w:rPr>
          <w:sz w:val="20"/>
          <w:szCs w:val="20"/>
          <w:color w:val="auto"/>
        </w:rPr>
      </w:pPr>
    </w:p>
    <w:p>
      <w:pPr>
        <w:ind w:left="40" w:right="59"/>
        <w:spacing w:after="0" w:line="248" w:lineRule="auto"/>
        <w:rPr>
          <w:sz w:val="20"/>
          <w:szCs w:val="20"/>
          <w:color w:val="auto"/>
        </w:rPr>
      </w:pPr>
      <w:r>
        <w:rPr>
          <w:rFonts w:ascii="Times New Roman" w:cs="Times New Roman" w:eastAsia="Times New Roman" w:hAnsi="Times New Roman"/>
          <w:sz w:val="18"/>
          <w:szCs w:val="18"/>
          <w:color w:val="auto"/>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herein).</w:t>
      </w:r>
    </w:p>
    <w:p>
      <w:pPr>
        <w:spacing w:after="0" w:line="189"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5" w:lineRule="exact"/>
        <w:rPr>
          <w:sz w:val="20"/>
          <w:szCs w:val="20"/>
          <w:color w:val="auto"/>
        </w:rPr>
      </w:pPr>
    </w:p>
    <w:p>
      <w:pPr>
        <w:ind w:left="40" w:right="119"/>
        <w:spacing w:after="0" w:line="246" w:lineRule="auto"/>
        <w:rPr>
          <w:sz w:val="20"/>
          <w:szCs w:val="20"/>
          <w:color w:val="auto"/>
        </w:rPr>
      </w:pPr>
      <w:r>
        <w:rPr>
          <w:rFonts w:ascii="Times New Roman" w:cs="Times New Roman" w:eastAsia="Times New Roman" w:hAnsi="Times New Roman"/>
          <w:sz w:val="18"/>
          <w:szCs w:val="18"/>
          <w:color w:val="auto"/>
        </w:rPr>
        <w:t>The Credit Agreement, as amended, requires the Borrower to maintain compliance with (i) a secured net leverage ratio at levels ranging from 4.50:1.00 to 6.25:1.00 and stepping down to 4.50:1.00 by April 2026 and (ii) an interest coverage ratio of at least 1.50:1.00 on and prior to September 30, 2025 and at least 2.00:1.00 on December 31, 2025 and thereafter. The Credit Agreement, as amended, also includes (i) a minimum liquidity covenant requiring the Borrower not to permit its liquidity, measured as of the last business day of each calendar month commencing March 29, 2024, to be less than $15 million and (ii) an anti-cash hoarding covenant, which shall be effective only during the Covenant Relief Period, requiring the Borrower to have no more than $20 million of unrestricted cash on the last day of each calendar month when revolving loans or letters of credit are outstanding or on the date of borrowing of a revolving loan. Failure to comply with these covenants or make payments when due could result in an event of default, which, if not cured or waived, could accelerate our repayment obligations under the Credit Agreement and could result in a default and acceleration under other agreements containing cross-default provisions. Under these circumstances, we might not have sufficient funds or other resources to satisfy all of our obligations. As of the date of this Quarterly Report on Form 10-Q, the Company was in compliance with its financial covenants.</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51" w:name="page52"/>
    <w:bookmarkEnd w:id="5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40" w:right="299"/>
        <w:spacing w:after="0" w:line="303" w:lineRule="auto"/>
        <w:rPr>
          <w:sz w:val="20"/>
          <w:szCs w:val="20"/>
          <w:color w:val="auto"/>
        </w:rPr>
      </w:pPr>
      <w:r>
        <w:rPr>
          <w:rFonts w:ascii="Times New Roman" w:cs="Times New Roman" w:eastAsia="Times New Roman" w:hAnsi="Times New Roman"/>
          <w:sz w:val="16"/>
          <w:szCs w:val="16"/>
          <w:color w:val="auto"/>
        </w:rPr>
        <w:t>The Term Loan Facility and Delayed Draw Term Loan Facility require quarterly principal payments totaling approximately $2.8 million (1.25% of the original principal balance). Quarterly payments increase to approximately $4.2 million and $5.6 million (1.875% and 2.5% of the original principal balance) during the final two years of the agreements, respectively.</w:t>
      </w:r>
    </w:p>
    <w:p>
      <w:pPr>
        <w:spacing w:after="0" w:line="146"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We incurred a total of $2.4 million in financing fees in connection with the Third Amendment. Approximately $1.3 million of the fees were allocated to the Term Loan Facility and are being amortized over the remaining term of the Term Loan Facility utilizing the frozen effective yield method based on the interest rate in place at the issuance of the Term Loan Facility. Approximately $1.0 million of the fees were allocated to the Revolving Credit Facility, are reported within other long-term assets on the Condensed Consolidated Balance Sheets and are being amortized ratably over the remaining term of the Revolving Credit Facility.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19" w:lineRule="exact"/>
        <w:rPr>
          <w:sz w:val="20"/>
          <w:szCs w:val="20"/>
          <w:color w:val="auto"/>
        </w:rPr>
      </w:pPr>
    </w:p>
    <w:p>
      <w:pPr>
        <w:jc w:val="both"/>
        <w:ind w:left="40" w:right="359"/>
        <w:spacing w:after="0" w:line="303" w:lineRule="auto"/>
        <w:rPr>
          <w:sz w:val="20"/>
          <w:szCs w:val="20"/>
          <w:color w:val="auto"/>
        </w:rPr>
      </w:pPr>
      <w:r>
        <w:rPr>
          <w:rFonts w:ascii="Times New Roman" w:cs="Times New Roman" w:eastAsia="Times New Roman" w:hAnsi="Times New Roman"/>
          <w:sz w:val="16"/>
          <w:szCs w:val="16"/>
          <w:color w:val="auto"/>
        </w:rPr>
        <w:t>On February 15, 2024, the Company sold and issued in a private placement $72.0 million in aggregate principal amount of 5.00% convertible senior notes due 2029 (the “Convertible Notes”), of which $50.0 million was from related parties. The Convertible Notes are unsecured, senior obligations of the Company and accrue interest at a rate of 5.00% per annum.</w:t>
      </w:r>
    </w:p>
    <w:p>
      <w:pPr>
        <w:spacing w:after="0" w:line="146" w:lineRule="exact"/>
        <w:rPr>
          <w:sz w:val="20"/>
          <w:szCs w:val="20"/>
          <w:color w:val="auto"/>
        </w:rPr>
      </w:pPr>
    </w:p>
    <w:p>
      <w:pPr>
        <w:ind w:left="40" w:right="99"/>
        <w:spacing w:after="0" w:line="249" w:lineRule="auto"/>
        <w:rPr>
          <w:sz w:val="20"/>
          <w:szCs w:val="20"/>
          <w:color w:val="auto"/>
        </w:rPr>
      </w:pPr>
      <w:r>
        <w:rPr>
          <w:rFonts w:ascii="Times New Roman" w:cs="Times New Roman" w:eastAsia="Times New Roman" w:hAnsi="Times New Roman"/>
          <w:sz w:val="18"/>
          <w:szCs w:val="18"/>
          <w:color w:val="auto"/>
        </w:rPr>
        <w:t>The Convertible Notes are carried at amortized cost and are recorded in long-term debt, net and convertible notes payable – related party, net on the Condensed Consolidated Balance Sheets. At September 30, 2024, the carrying value of the Convertible Notes was $71.6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w:t>
      </w:r>
    </w:p>
    <w:p>
      <w:pPr>
        <w:spacing w:after="0" w:line="187" w:lineRule="exact"/>
        <w:rPr>
          <w:sz w:val="20"/>
          <w:szCs w:val="20"/>
          <w:color w:val="auto"/>
        </w:rPr>
      </w:pPr>
    </w:p>
    <w:p>
      <w:pPr>
        <w:ind w:left="40" w:right="119"/>
        <w:spacing w:after="0" w:line="247"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3" w:lineRule="exact"/>
        <w:rPr>
          <w:sz w:val="20"/>
          <w:szCs w:val="20"/>
          <w:color w:val="auto"/>
        </w:rPr>
      </w:pPr>
    </w:p>
    <w:p>
      <w:pPr>
        <w:jc w:val="both"/>
        <w:ind w:left="40" w:right="159"/>
        <w:spacing w:after="0" w:line="249"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Debt and Lending Facilities</w:t>
      </w:r>
    </w:p>
    <w:p>
      <w:pPr>
        <w:spacing w:after="0" w:line="219"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8"/>
          <w:szCs w:val="18"/>
          <w:color w:val="auto"/>
        </w:rPr>
        <w:t>On March 21, 2023, we entered into a $70 million working capital trade finance facility with multiple financial institutions through our subsidiary, Falcon Coffees Limited (“Falcon”). The facility was set to mature one year from inception. Borrowings under the facility bore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89" w:lineRule="exact"/>
        <w:rPr>
          <w:sz w:val="20"/>
          <w:szCs w:val="20"/>
          <w:color w:val="auto"/>
        </w:rPr>
      </w:pPr>
    </w:p>
    <w:p>
      <w:pPr>
        <w:ind w:left="40" w:right="239"/>
        <w:spacing w:after="0" w:line="269" w:lineRule="auto"/>
        <w:rPr>
          <w:sz w:val="20"/>
          <w:szCs w:val="20"/>
          <w:color w:val="auto"/>
        </w:rPr>
      </w:pPr>
      <w:r>
        <w:rPr>
          <w:rFonts w:ascii="Times New Roman" w:cs="Times New Roman" w:eastAsia="Times New Roman" w:hAnsi="Times New Roman"/>
          <w:sz w:val="18"/>
          <w:szCs w:val="18"/>
          <w:color w:val="auto"/>
        </w:rPr>
        <w:t>On March 8, 2024, Falcon renewed its working capital trade finance facility with multiple institutions. The facility size was reduced from $70.0 million to $55.0 million and remains uncommitted and repayable on demand, with certain of</w:t>
      </w:r>
    </w:p>
    <w:p>
      <w:pPr>
        <w:spacing w:after="0" w:line="37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2" w:name="page53"/>
    <w:bookmarkEnd w:id="5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119"/>
        <w:spacing w:after="0" w:line="246" w:lineRule="auto"/>
        <w:rPr>
          <w:sz w:val="20"/>
          <w:szCs w:val="20"/>
          <w:color w:val="auto"/>
        </w:rPr>
      </w:pPr>
      <w:r>
        <w:rPr>
          <w:rFonts w:ascii="Times New Roman" w:cs="Times New Roman" w:eastAsia="Times New Roman" w:hAnsi="Times New Roman"/>
          <w:sz w:val="18"/>
          <w:szCs w:val="18"/>
          <w:color w:val="auto"/>
        </w:rPr>
        <w:t>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On August 21, 2024, Falcon amended its working capital trade finance facility. The amendment increased the facility size from $55.0 million to $75.0 million. The interest rates and maturity date were unchanged as a result of the amendment. At September 30, 2024, there was $48.5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September 30, 2024.</w:t>
      </w:r>
    </w:p>
    <w:p>
      <w:pPr>
        <w:spacing w:after="0" w:line="196" w:lineRule="exact"/>
        <w:rPr>
          <w:sz w:val="20"/>
          <w:szCs w:val="20"/>
          <w:color w:val="auto"/>
        </w:rPr>
      </w:pPr>
    </w:p>
    <w:p>
      <w:pPr>
        <w:jc w:val="both"/>
        <w:ind w:left="40" w:right="219"/>
        <w:spacing w:after="0" w:line="280" w:lineRule="auto"/>
        <w:rPr>
          <w:sz w:val="20"/>
          <w:szCs w:val="20"/>
          <w:color w:val="auto"/>
        </w:rPr>
      </w:pPr>
      <w:r>
        <w:rPr>
          <w:rFonts w:ascii="Times New Roman" w:cs="Times New Roman" w:eastAsia="Times New Roman" w:hAnsi="Times New Roman"/>
          <w:sz w:val="16"/>
          <w:szCs w:val="16"/>
          <w:color w:val="auto"/>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w:t>
      </w:r>
    </w:p>
    <w:p>
      <w:pPr>
        <w:spacing w:after="0" w:line="2" w:lineRule="exact"/>
        <w:rPr>
          <w:sz w:val="20"/>
          <w:szCs w:val="20"/>
          <w:color w:val="auto"/>
        </w:rPr>
      </w:pPr>
    </w:p>
    <w:p>
      <w:pPr>
        <w:ind w:left="40" w:right="99" w:firstLine="8"/>
        <w:spacing w:after="0" w:line="244" w:lineRule="auto"/>
        <w:tabs>
          <w:tab w:leader="none" w:pos="2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September 30, 2024, there was $5.0 million of outstanding borrowings under the facility, of which $4.5 million and $0.5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September 30, 2024.</w:t>
      </w:r>
    </w:p>
    <w:p>
      <w:pPr>
        <w:spacing w:after="0" w:line="197" w:lineRule="exact"/>
        <w:rPr>
          <w:sz w:val="20"/>
          <w:szCs w:val="20"/>
          <w:color w:val="auto"/>
        </w:rPr>
      </w:pPr>
    </w:p>
    <w:p>
      <w:pPr>
        <w:ind w:left="40" w:right="159"/>
        <w:spacing w:after="0" w:line="250" w:lineRule="auto"/>
        <w:rPr>
          <w:sz w:val="20"/>
          <w:szCs w:val="20"/>
          <w:color w:val="auto"/>
        </w:rPr>
      </w:pPr>
      <w:r>
        <w:rPr>
          <w:rFonts w:ascii="Times New Roman" w:cs="Times New Roman" w:eastAsia="Times New Roman" w:hAnsi="Times New Roman"/>
          <w:sz w:val="18"/>
          <w:szCs w:val="18"/>
          <w:color w:val="auto"/>
        </w:rPr>
        <w:t>Westrock Coffee International, LLC, through its subsidiary Rwanda Trading Company, maintains two mortgage and inventory-backed lending facilities with a local bank in Rwanda: (a) a short-term trade finance facility with a balance of $6.6 million at September 30, 2024 and (b) a long-term note payable with a balance of $0.8 million at September 30, 2024. Additionally, Rwanda Trading Company maintains two short-term futures contract-based lending facilities from international institutions with outstanding balances of $0.6 million and $2.4 million at September 30, 2024.</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 Program</w:t>
      </w:r>
    </w:p>
    <w:p>
      <w:pPr>
        <w:spacing w:after="0" w:line="219"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As of September 30, 2024, there were $70.9 million obligations outstanding under the Program.</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Stock Offering Program</w:t>
      </w:r>
    </w:p>
    <w:p>
      <w:pPr>
        <w:spacing w:after="0" w:line="219" w:lineRule="exact"/>
        <w:rPr>
          <w:sz w:val="20"/>
          <w:szCs w:val="20"/>
          <w:color w:val="auto"/>
        </w:rPr>
      </w:pPr>
    </w:p>
    <w:p>
      <w:pPr>
        <w:jc w:val="both"/>
        <w:ind w:left="40" w:right="199"/>
        <w:spacing w:after="0" w:line="282" w:lineRule="auto"/>
        <w:rPr>
          <w:sz w:val="20"/>
          <w:szCs w:val="20"/>
          <w:color w:val="auto"/>
        </w:rPr>
      </w:pPr>
      <w:r>
        <w:rPr>
          <w:rFonts w:ascii="Times New Roman" w:cs="Times New Roman" w:eastAsia="Times New Roman" w:hAnsi="Times New Roman"/>
          <w:sz w:val="16"/>
          <w:szCs w:val="16"/>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Common Shares in the aggregate.</w:t>
      </w:r>
    </w:p>
    <w:p>
      <w:pPr>
        <w:spacing w:after="0" w:line="1" w:lineRule="exact"/>
        <w:rPr>
          <w:sz w:val="20"/>
          <w:szCs w:val="20"/>
          <w:color w:val="auto"/>
        </w:rPr>
      </w:pPr>
    </w:p>
    <w:p>
      <w:pPr>
        <w:ind w:left="40" w:right="479"/>
        <w:spacing w:after="0" w:line="248"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60,000 Common Shares under the ATM Program, resulting in net proceeds of $0.6 million. This program is intended to provide additional financial</w:t>
      </w:r>
    </w:p>
    <w:p>
      <w:pPr>
        <w:spacing w:after="0" w:line="39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right="479"/>
        <w:spacing w:after="0" w:line="269" w:lineRule="auto"/>
        <w:rPr>
          <w:sz w:val="20"/>
          <w:szCs w:val="20"/>
          <w:color w:val="auto"/>
        </w:rPr>
      </w:pPr>
      <w:r>
        <w:rPr>
          <w:rFonts w:ascii="Times New Roman" w:cs="Times New Roman" w:eastAsia="Times New Roman" w:hAnsi="Times New Roman"/>
          <w:sz w:val="18"/>
          <w:szCs w:val="18"/>
          <w:color w:val="auto"/>
        </w:rPr>
        <w:t>flexibility and an alternative mechanism to access the capital markets at an efficient cost as and when we need financing, including for acquisitions.</w:t>
      </w:r>
    </w:p>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Current and Long-Term Liquidity</w:t>
      </w:r>
    </w:p>
    <w:p>
      <w:pPr>
        <w:spacing w:after="0" w:line="219" w:lineRule="exact"/>
        <w:rPr>
          <w:sz w:val="20"/>
          <w:szCs w:val="20"/>
          <w:color w:val="auto"/>
        </w:rPr>
      </w:pPr>
    </w:p>
    <w:p>
      <w:pPr>
        <w:ind w:left="40" w:right="79"/>
        <w:spacing w:after="0" w:line="249" w:lineRule="auto"/>
        <w:rPr>
          <w:sz w:val="20"/>
          <w:szCs w:val="20"/>
          <w:color w:val="auto"/>
        </w:rPr>
      </w:pPr>
      <w:r>
        <w:rPr>
          <w:rFonts w:ascii="Times New Roman" w:cs="Times New Roman" w:eastAsia="Times New Roman" w:hAnsi="Times New Roman"/>
          <w:sz w:val="18"/>
          <w:szCs w:val="18"/>
          <w:color w:val="auto"/>
        </w:rPr>
        <w:t>A key component of our long-term growth strategy is to complete the build-out of our extract and ready-to-drink manufacturing facility in Conway, Arkansas, which utilizes state-of-the-art equipment specifically designed to efficiently manufacture and package a wide range of beverages, such as canned or bottled cold brew coffees, lattes, assorted teas, and juice-based products. During the second quarter of 2024, we commenced commercial production in a portion of the facility. We are continuing to build out the remaining portions of the facility and expect that the material capital expenditures related to the facility will be completed by the first quarter of 2025.</w:t>
      </w:r>
    </w:p>
    <w:p>
      <w:pPr>
        <w:spacing w:after="0" w:line="187" w:lineRule="exact"/>
        <w:rPr>
          <w:sz w:val="20"/>
          <w:szCs w:val="20"/>
          <w:color w:val="auto"/>
        </w:rPr>
      </w:pPr>
    </w:p>
    <w:p>
      <w:pPr>
        <w:ind w:left="40" w:right="59"/>
        <w:spacing w:after="0" w:line="247" w:lineRule="auto"/>
        <w:rPr>
          <w:sz w:val="20"/>
          <w:szCs w:val="20"/>
          <w:color w:val="auto"/>
        </w:rPr>
      </w:pPr>
      <w:r>
        <w:rPr>
          <w:rFonts w:ascii="Times New Roman" w:cs="Times New Roman" w:eastAsia="Times New Roman" w:hAnsi="Times New Roman"/>
          <w:sz w:val="18"/>
          <w:szCs w:val="18"/>
          <w:color w:val="auto"/>
        </w:rPr>
        <w:t>We believe proceeds from the Delayed Draw Term Loan Facility, Convertible Notes, cash from operations and borrowings available under the Revolving Credit Facility will provide sufficient cash on-hand to fund our near-term growth strategies, which include, (i) extending and enhancing product offerings through innovation, (ii) expanding our customer base, (iii) expanding geographically, (iv) funding accretive acquisitions, (v) continuing to drive margin expansion and (vi) completing the build-out of our extract and ready-to-drink manufacturing facility in Conway, Arkansas. However, the Company will continuously evaluate its liquidity needs, and may seek to opportunistically access additional liquidity, including through either the debt or equity capital markets. If it is determined that we have insufficient liquidity to fund the Conway facility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w:t>
      </w:r>
    </w:p>
    <w:p>
      <w:pPr>
        <w:spacing w:after="0" w:line="1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Series A Preferred Shares</w:t>
      </w:r>
    </w:p>
    <w:p>
      <w:pPr>
        <w:spacing w:after="0" w:line="219" w:lineRule="exact"/>
        <w:rPr>
          <w:sz w:val="20"/>
          <w:szCs w:val="20"/>
          <w:color w:val="auto"/>
        </w:rPr>
      </w:pPr>
    </w:p>
    <w:p>
      <w:pPr>
        <w:ind w:left="40" w:right="79"/>
        <w:spacing w:after="0" w:line="278" w:lineRule="auto"/>
        <w:rPr>
          <w:sz w:val="20"/>
          <w:szCs w:val="20"/>
          <w:color w:val="auto"/>
        </w:rPr>
      </w:pPr>
      <w:r>
        <w:rPr>
          <w:rFonts w:ascii="Times New Roman" w:cs="Times New Roman" w:eastAsia="Times New Roman" w:hAnsi="Times New Roman"/>
          <w:sz w:val="16"/>
          <w:szCs w:val="16"/>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4" w:name="page55"/>
    <w:bookmarkEnd w:id="5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19" w:lineRule="exact"/>
        <w:rPr>
          <w:sz w:val="20"/>
          <w:szCs w:val="20"/>
          <w:color w:val="auto"/>
        </w:rPr>
      </w:pPr>
    </w:p>
    <w:p>
      <w:pPr>
        <w:ind w:left="40" w:right="99"/>
        <w:spacing w:after="0" w:line="250" w:lineRule="auto"/>
        <w:rPr>
          <w:sz w:val="20"/>
          <w:szCs w:val="20"/>
          <w:color w:val="auto"/>
        </w:rPr>
      </w:pPr>
      <w:r>
        <w:rPr>
          <w:rFonts w:ascii="Times New Roman" w:cs="Times New Roman" w:eastAsia="Times New Roman" w:hAnsi="Times New Roman"/>
          <w:sz w:val="18"/>
          <w:szCs w:val="18"/>
          <w:color w:val="auto"/>
        </w:rPr>
        <w:t>Our material contractual and other obligations include the payment of principal and interest under our debt obligations and future purchase of inventory obligations. Our Term Loan Facility and Delayed Draw Term Loan Facility require quarterly principal payments of 1.25% of the original principal. Quarterly payments increase 1.875% and 2.5% of the original principal balance during the fourth and fifth years of the Credit Agreement, respectively. We have no other material obligations to pay principal amounts of our long-term debt obligations prior to their maturity.</w:t>
      </w:r>
    </w:p>
    <w:p>
      <w:pPr>
        <w:spacing w:after="0" w:line="187" w:lineRule="exact"/>
        <w:rPr>
          <w:sz w:val="20"/>
          <w:szCs w:val="20"/>
          <w:color w:val="auto"/>
        </w:rPr>
      </w:pPr>
    </w:p>
    <w:p>
      <w:pPr>
        <w:jc w:val="both"/>
        <w:ind w:left="40" w:right="119"/>
        <w:spacing w:after="0" w:line="256" w:lineRule="auto"/>
        <w:rPr>
          <w:sz w:val="20"/>
          <w:szCs w:val="20"/>
          <w:color w:val="auto"/>
        </w:rPr>
      </w:pPr>
      <w:r>
        <w:rPr>
          <w:rFonts w:ascii="Times New Roman" w:cs="Times New Roman" w:eastAsia="Times New Roman" w:hAnsi="Times New Roman"/>
          <w:sz w:val="18"/>
          <w:szCs w:val="18"/>
          <w:color w:val="auto"/>
        </w:rPr>
        <w:t>Future purchase obligations of $266.8 million as of September 30, 2024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81"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We have future obligations to repurchase $1.2 million of inventory associated with repurchase agreements in which the Company’s SS&amp;T segment has sold inventory to a third party and from whom the Company’s Beverage Solution segment has an obligation to repurchase.</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categorize our capital expenditures as (i) growth, (ii) maintenance, (iii) customer beverage equipment or (iv) other.</w:t>
      </w:r>
    </w:p>
    <w:p>
      <w:pPr>
        <w:spacing w:after="0" w:line="215"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Capital expenditures for the nine months ended September 30, 2024 and 2023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880" w:type="dxa"/>
            <w:vAlign w:val="bottom"/>
            <w:gridSpan w:val="3"/>
          </w:tcPr>
          <w:p>
            <w:pPr>
              <w:ind w:left="100"/>
              <w:spacing w:after="0" w:line="145"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68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4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32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Nine months ended September 30, 2024</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97"/>
              </w:rPr>
              <w:t>$ 137,977</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1,532</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745</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1,197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141,451</w:t>
            </w:r>
          </w:p>
        </w:tc>
        <w:tc>
          <w:tcPr>
            <w:tcW w:w="0" w:type="dxa"/>
            <w:vAlign w:val="bottom"/>
          </w:tcPr>
          <w:p>
            <w:pPr>
              <w:spacing w:after="0"/>
              <w:rPr>
                <w:sz w:val="1"/>
                <w:szCs w:val="1"/>
                <w:color w:val="auto"/>
              </w:rPr>
            </w:pPr>
          </w:p>
        </w:tc>
      </w:tr>
      <w:tr>
        <w:trPr>
          <w:trHeight w:val="22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Nine months ended September 30,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$ 113,594</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6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 w:right="339"/>
        <w:spacing w:after="0" w:line="269" w:lineRule="auto"/>
        <w:rPr>
          <w:sz w:val="20"/>
          <w:szCs w:val="20"/>
          <w:color w:val="auto"/>
        </w:rPr>
      </w:pPr>
      <w:r>
        <w:rPr>
          <w:rFonts w:ascii="Times New Roman" w:cs="Times New Roman" w:eastAsia="Times New Roman" w:hAnsi="Times New Roman"/>
          <w:sz w:val="18"/>
          <w:szCs w:val="18"/>
          <w:color w:val="auto"/>
        </w:rPr>
        <w:t>During the remainder of 2024, we expect to invest approximately $30.0 million to continue the build out of our extract and ready-to-drink product manufacturing facility in Conway, Arkansas.</w:t>
      </w:r>
    </w:p>
    <w:p>
      <w:pPr>
        <w:spacing w:after="0" w:line="168" w:lineRule="exact"/>
        <w:rPr>
          <w:sz w:val="20"/>
          <w:szCs w:val="20"/>
          <w:color w:val="auto"/>
        </w:rPr>
      </w:pPr>
    </w:p>
    <w:p>
      <w:pPr>
        <w:ind w:left="40" w:right="219"/>
        <w:spacing w:after="0" w:line="256"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of the date of this Quarterly Report on Form 10-Q, we do not have any off-balance sheet arrangements.</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7" w:lineRule="exact"/>
        <w:rPr>
          <w:sz w:val="20"/>
          <w:szCs w:val="20"/>
          <w:color w:val="auto"/>
        </w:rPr>
      </w:pPr>
    </w:p>
    <w:p>
      <w:pPr>
        <w:ind w:left="40" w:right="339"/>
        <w:spacing w:after="0" w:line="332" w:lineRule="auto"/>
        <w:rPr>
          <w:sz w:val="20"/>
          <w:szCs w:val="20"/>
          <w:color w:val="auto"/>
        </w:rPr>
      </w:pPr>
      <w:r>
        <w:rPr>
          <w:rFonts w:ascii="Times New Roman" w:cs="Times New Roman" w:eastAsia="Times New Roman" w:hAnsi="Times New Roman"/>
          <w:sz w:val="16"/>
          <w:szCs w:val="16"/>
          <w:color w:val="auto"/>
        </w:rPr>
        <w:t>See Note 3, Summary of Significant Accounting Policies, to the Condensed Consolidated Financial Statements included in Item I of Part 1 of this Quarterly Report on Form 10-Q for a detailed discussion of recent accounting pronouncements.</w:t>
      </w:r>
    </w:p>
    <w:p>
      <w:pPr>
        <w:spacing w:after="0" w:line="33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7" w:lineRule="exact"/>
        <w:rPr>
          <w:sz w:val="20"/>
          <w:szCs w:val="20"/>
          <w:color w:val="auto"/>
        </w:rPr>
      </w:pPr>
    </w:p>
    <w:p>
      <w:pPr>
        <w:ind w:left="40" w:right="519"/>
        <w:spacing w:after="0" w:line="269" w:lineRule="auto"/>
        <w:rPr>
          <w:sz w:val="20"/>
          <w:szCs w:val="20"/>
          <w:color w:val="auto"/>
        </w:rPr>
      </w:pPr>
      <w:r>
        <w:rPr>
          <w:rFonts w:ascii="Times New Roman" w:cs="Times New Roman" w:eastAsia="Times New Roman" w:hAnsi="Times New Roman"/>
          <w:sz w:val="18"/>
          <w:szCs w:val="18"/>
          <w:color w:val="auto"/>
        </w:rPr>
        <w:t>There have been no material changes in the market risks discussed in Item 7A “Quantitative and Qualitative Disclosures About Market Risk” in our Annual Report on Form 10-K filed with the SEC on March 15, 2024.</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17" w:lineRule="exact"/>
        <w:rPr>
          <w:sz w:val="20"/>
          <w:szCs w:val="20"/>
          <w:color w:val="auto"/>
        </w:rPr>
      </w:pPr>
    </w:p>
    <w:p>
      <w:pPr>
        <w:ind w:left="40" w:right="99"/>
        <w:spacing w:after="0" w:line="286" w:lineRule="auto"/>
        <w:rPr>
          <w:sz w:val="20"/>
          <w:szCs w:val="20"/>
          <w:color w:val="auto"/>
        </w:rPr>
      </w:pPr>
      <w:r>
        <w:rPr>
          <w:rFonts w:ascii="Times New Roman" w:cs="Times New Roman" w:eastAsia="Times New Roman" w:hAnsi="Times New Roman"/>
          <w:sz w:val="16"/>
          <w:szCs w:val="16"/>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60" w:lineRule="exact"/>
        <w:rPr>
          <w:sz w:val="20"/>
          <w:szCs w:val="20"/>
          <w:color w:val="auto"/>
        </w:rPr>
      </w:pPr>
    </w:p>
    <w:p>
      <w:pPr>
        <w:ind w:left="40" w:right="399"/>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September 30, 2024, the end of the period covered by this Quarterly Report on Form 10-Q. Based on this evaluation, our Principal Executive Officer and Principal Financial Officer concluded that our disclosure controls and procedures were not effective as of September 30, 2024, due to the material weaknesses in our internal control over financial reporting, described below.</w:t>
      </w:r>
    </w:p>
    <w:p>
      <w:pPr>
        <w:spacing w:after="0" w:line="187" w:lineRule="exact"/>
        <w:rPr>
          <w:sz w:val="20"/>
          <w:szCs w:val="20"/>
          <w:color w:val="auto"/>
        </w:rPr>
      </w:pPr>
    </w:p>
    <w:p>
      <w:pPr>
        <w:ind w:left="40" w:right="79"/>
        <w:spacing w:after="0" w:line="289" w:lineRule="auto"/>
        <w:rPr>
          <w:sz w:val="20"/>
          <w:szCs w:val="20"/>
          <w:color w:val="auto"/>
        </w:rPr>
      </w:pPr>
      <w:r>
        <w:rPr>
          <w:rFonts w:ascii="Times New Roman" w:cs="Times New Roman" w:eastAsia="Times New Roman" w:hAnsi="Times New Roman"/>
          <w:sz w:val="16"/>
          <w:szCs w:val="16"/>
          <w:color w:val="auto"/>
        </w:rPr>
        <w:t>However, after giving full consideration to the material weaknesses, 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 Over Financial Reporting</w:t>
      </w:r>
    </w:p>
    <w:p>
      <w:pPr>
        <w:spacing w:after="0" w:line="217" w:lineRule="exact"/>
        <w:rPr>
          <w:sz w:val="20"/>
          <w:szCs w:val="20"/>
          <w:color w:val="auto"/>
        </w:rPr>
      </w:pPr>
    </w:p>
    <w:p>
      <w:pPr>
        <w:ind w:left="40" w:right="59"/>
        <w:spacing w:after="0" w:line="25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September 30, 2024.</w:t>
      </w:r>
    </w:p>
    <w:p>
      <w:pPr>
        <w:spacing w:after="0" w:line="185" w:lineRule="exact"/>
        <w:rPr>
          <w:sz w:val="20"/>
          <w:szCs w:val="20"/>
          <w:color w:val="auto"/>
        </w:rPr>
      </w:pPr>
    </w:p>
    <w:p>
      <w:pPr>
        <w:ind w:left="40" w:right="519"/>
        <w:spacing w:after="0" w:line="252" w:lineRule="auto"/>
        <w:rPr>
          <w:sz w:val="20"/>
          <w:szCs w:val="20"/>
          <w:color w:val="auto"/>
        </w:rPr>
      </w:pPr>
      <w:r>
        <w:rPr>
          <w:rFonts w:ascii="Times New Roman" w:cs="Times New Roman" w:eastAsia="Times New Roman" w:hAnsi="Times New Roman"/>
          <w:sz w:val="18"/>
          <w:szCs w:val="18"/>
          <w:color w:val="auto"/>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w:t>
      </w:r>
    </w:p>
    <w:p>
      <w:pPr>
        <w:spacing w:after="0" w:line="185" w:lineRule="exact"/>
        <w:rPr>
          <w:sz w:val="20"/>
          <w:szCs w:val="20"/>
          <w:color w:val="auto"/>
        </w:rPr>
      </w:pPr>
    </w:p>
    <w:p>
      <w:pPr>
        <w:ind w:left="40" w:right="139"/>
        <w:spacing w:after="0" w:line="247" w:lineRule="auto"/>
        <w:rPr>
          <w:sz w:val="20"/>
          <w:szCs w:val="20"/>
          <w:color w:val="auto"/>
        </w:rPr>
      </w:pPr>
      <w:r>
        <w:rPr>
          <w:rFonts w:ascii="Times New Roman" w:cs="Times New Roman" w:eastAsia="Times New Roman" w:hAnsi="Times New Roman"/>
          <w:sz w:val="18"/>
          <w:szCs w:val="18"/>
          <w:color w:val="auto"/>
        </w:rPr>
        <w:t>Westrock did not design and maintain effective controls over the period-end financial reporting process to achieve complete and accurate financial accounting, reporting and disclosures, including the presentation and classification of various accounts and the recognition of operating lease right-of-use assets and operating lease liabilities in the consolidated financial statements, which resulted in immaterial adjustments to certain interim and annual periods for the years ending December 31, 2020 through June 30, 2024, and material adjustments to the cash flow presentation of net repayments from repurchase agreements within financing activities within the condensed consolidated statement of cash flows for the six months ended June 30, 2023 and to operating lease right-of-use assets and operating lease liabilities within the consolidated balance sheet as of December 31, 2023.</w:t>
      </w:r>
    </w:p>
    <w:p>
      <w:pPr>
        <w:spacing w:after="0" w:line="193"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Additionally, the material weaknesses could result in a misstatement of substantially all of Westrock’s accounts or disclosures that would result in a material misstatement to the annual or interim consolidated financial statements that would not be prevented or detected.</w:t>
      </w:r>
    </w:p>
    <w:p>
      <w:pPr>
        <w:spacing w:after="0" w:line="39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Remediation Activities</w:t>
      </w:r>
    </w:p>
    <w:p>
      <w:pPr>
        <w:spacing w:after="0" w:line="217" w:lineRule="exact"/>
        <w:rPr>
          <w:sz w:val="20"/>
          <w:szCs w:val="20"/>
          <w:color w:val="auto"/>
        </w:rPr>
      </w:pPr>
    </w:p>
    <w:p>
      <w:pPr>
        <w:ind w:left="40" w:right="599"/>
        <w:spacing w:after="0" w:line="269" w:lineRule="auto"/>
        <w:rPr>
          <w:sz w:val="20"/>
          <w:szCs w:val="20"/>
          <w:color w:val="auto"/>
        </w:rPr>
      </w:pPr>
      <w:r>
        <w:rPr>
          <w:rFonts w:ascii="Times New Roman" w:cs="Times New Roman" w:eastAsia="Times New Roman" w:hAnsi="Times New Roman"/>
          <w:sz w:val="18"/>
          <w:szCs w:val="18"/>
          <w:color w:val="auto"/>
        </w:rPr>
        <w:t>Westrock has taken and is taking certain measures to remediate the material weaknesses described above, including the following:</w:t>
      </w:r>
    </w:p>
    <w:p>
      <w:pPr>
        <w:spacing w:after="0" w:line="168" w:lineRule="exact"/>
        <w:rPr>
          <w:sz w:val="20"/>
          <w:szCs w:val="20"/>
          <w:color w:val="auto"/>
        </w:rPr>
      </w:pPr>
    </w:p>
    <w:p>
      <w:pPr>
        <w:ind w:left="700" w:right="139" w:hanging="309"/>
        <w:spacing w:after="0" w:line="24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additional accounting and information technology (“IT”) personnel, including a new chief accounting officer hired in May 2021, a new technical accounting resource hired in April 2022, a new IT compliance resource hired in March 2023, a new internal controls resource hired in April 2023 with the appropriate level of knowledge, training, and experience to establish an internal audit function responsible for testing internal controls to improve our internal control over financial reporting and IT capabilities, and a Chief Information Officer in November 2023 with public company IT compliance and cybersecurity experience.</w:t>
      </w:r>
    </w:p>
    <w:p>
      <w:pPr>
        <w:spacing w:after="0" w:line="186" w:lineRule="exact"/>
        <w:rPr>
          <w:rFonts w:ascii="Times New Roman" w:cs="Times New Roman" w:eastAsia="Times New Roman" w:hAnsi="Times New Roman"/>
          <w:sz w:val="18"/>
          <w:szCs w:val="18"/>
          <w:color w:val="auto"/>
        </w:rPr>
      </w:pPr>
    </w:p>
    <w:p>
      <w:pPr>
        <w:ind w:left="700" w:right="79" w:hanging="309"/>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formalized a risk assessment process across the organization to identify risks and design new controls or enhance existing controls responsive to such risks to ensure timely and accurate financial reporting based on criteria established in the COSO Framework. Entity level controls necessary to support management’s risk assessment and a process to evaluate the control environment in accordance with the COSO Framework were improved or implemented throughout 2023.</w:t>
      </w:r>
    </w:p>
    <w:p>
      <w:pPr>
        <w:spacing w:after="0" w:line="199" w:lineRule="exact"/>
        <w:rPr>
          <w:rFonts w:ascii="Times New Roman" w:cs="Times New Roman" w:eastAsia="Times New Roman" w:hAnsi="Times New Roman"/>
          <w:sz w:val="18"/>
          <w:szCs w:val="18"/>
          <w:color w:val="auto"/>
        </w:rPr>
      </w:pPr>
    </w:p>
    <w:p>
      <w:pPr>
        <w:ind w:left="700" w:hanging="309"/>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assist in designing and implementing controls related to period-end financial reporting.</w:t>
      </w:r>
    </w:p>
    <w:p>
      <w:pPr>
        <w:spacing w:after="0" w:line="240" w:lineRule="exact"/>
        <w:rPr>
          <w:rFonts w:ascii="Times New Roman" w:cs="Times New Roman" w:eastAsia="Times New Roman" w:hAnsi="Times New Roman"/>
          <w:sz w:val="18"/>
          <w:szCs w:val="18"/>
          <w:color w:val="auto"/>
        </w:rPr>
      </w:pPr>
    </w:p>
    <w:p>
      <w:pPr>
        <w:ind w:left="700" w:right="279" w:hanging="309"/>
        <w:spacing w:after="0" w:line="249"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formal accounting procedures and controls during the quarters ended September 30, 2023, December 31, 2023, March 31, 2024 and June 30, 2024 that support Westrock’s period-end financial accounting, reporting and disclosures, including controls over close procedures workflow, preparation, review and oversight of account reconciliations and journal entries, presentation and classification, evaluation of internal information for disclosure, recognition of operating lease right-of-use assets and operating lease liabilities, and controls to reconcile financial statement and disclosure information to source documentation.</w:t>
      </w:r>
    </w:p>
    <w:p>
      <w:pPr>
        <w:spacing w:after="0" w:line="200" w:lineRule="exact"/>
        <w:rPr>
          <w:sz w:val="20"/>
          <w:szCs w:val="20"/>
          <w:color w:val="auto"/>
        </w:rPr>
      </w:pPr>
    </w:p>
    <w:p>
      <w:pPr>
        <w:ind w:left="40" w:right="419"/>
        <w:spacing w:after="0" w:line="269" w:lineRule="auto"/>
        <w:rPr>
          <w:sz w:val="20"/>
          <w:szCs w:val="20"/>
          <w:color w:val="auto"/>
        </w:rPr>
      </w:pPr>
      <w:r>
        <w:rPr>
          <w:rFonts w:ascii="Times New Roman" w:cs="Times New Roman" w:eastAsia="Times New Roman" w:hAnsi="Times New Roman"/>
          <w:sz w:val="18"/>
          <w:szCs w:val="18"/>
          <w:color w:val="auto"/>
        </w:rPr>
        <w:t>The enhancements are expected to remediate the material weaknesses when they have operated effectively for a sufficient period of time.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Remediation of Material Weakness in Internal Control Over Financial Reporting</w:t>
      </w:r>
    </w:p>
    <w:p>
      <w:pPr>
        <w:spacing w:after="0" w:line="217" w:lineRule="exact"/>
        <w:rPr>
          <w:sz w:val="20"/>
          <w:szCs w:val="20"/>
          <w:color w:val="auto"/>
        </w:rPr>
      </w:pPr>
    </w:p>
    <w:p>
      <w:pPr>
        <w:ind w:left="40" w:right="239"/>
        <w:spacing w:after="0" w:line="256" w:lineRule="auto"/>
        <w:rPr>
          <w:sz w:val="20"/>
          <w:szCs w:val="20"/>
          <w:color w:val="auto"/>
        </w:rPr>
      </w:pPr>
      <w:r>
        <w:rPr>
          <w:rFonts w:ascii="Times New Roman" w:cs="Times New Roman" w:eastAsia="Times New Roman" w:hAnsi="Times New Roman"/>
          <w:sz w:val="18"/>
          <w:szCs w:val="18"/>
          <w:color w:val="auto"/>
        </w:rPr>
        <w:t>As previously disclosed, 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remediate the material weakness, management has taken certain measures including the following:</w:t>
      </w:r>
    </w:p>
    <w:p>
      <w:pPr>
        <w:spacing w:after="0" w:line="228" w:lineRule="exact"/>
        <w:rPr>
          <w:sz w:val="20"/>
          <w:szCs w:val="20"/>
          <w:color w:val="auto"/>
        </w:rPr>
      </w:pPr>
    </w:p>
    <w:p>
      <w:pPr>
        <w:ind w:left="700" w:hanging="309"/>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 party to assist in designing and implementing controls related to segregation of duties.</w:t>
      </w:r>
    </w:p>
    <w:p>
      <w:pPr>
        <w:spacing w:after="0" w:line="240" w:lineRule="exact"/>
        <w:rPr>
          <w:rFonts w:ascii="Times New Roman" w:cs="Times New Roman" w:eastAsia="Times New Roman" w:hAnsi="Times New Roman"/>
          <w:sz w:val="18"/>
          <w:szCs w:val="18"/>
          <w:color w:val="auto"/>
        </w:rPr>
      </w:pPr>
    </w:p>
    <w:p>
      <w:pPr>
        <w:ind w:left="700" w:right="119" w:hanging="309"/>
        <w:spacing w:after="0" w:line="294" w:lineRule="auto"/>
        <w:tabs>
          <w:tab w:leader="none" w:pos="7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implemented controls during the quarters ended June 30, September 30, and December 31, 2023, to formalize roles and review responsibilities to align with Westrock’s team’s skills and experience and designed and implemented controls over segregation of duties that include documentation, task reassignment, and policies and procedures enhancement around the preparation, review and oversight of account reconciliations and journal entries.</w:t>
      </w:r>
    </w:p>
    <w:p>
      <w:pPr>
        <w:spacing w:after="0" w:line="152" w:lineRule="exact"/>
        <w:rPr>
          <w:sz w:val="20"/>
          <w:szCs w:val="20"/>
          <w:color w:val="auto"/>
        </w:rPr>
      </w:pPr>
    </w:p>
    <w:p>
      <w:pPr>
        <w:ind w:left="40" w:right="179"/>
        <w:spacing w:after="0" w:line="252" w:lineRule="auto"/>
        <w:rPr>
          <w:sz w:val="20"/>
          <w:szCs w:val="20"/>
          <w:color w:val="auto"/>
        </w:rPr>
      </w:pPr>
      <w:r>
        <w:rPr>
          <w:rFonts w:ascii="Times New Roman" w:cs="Times New Roman" w:eastAsia="Times New Roman" w:hAnsi="Times New Roman"/>
          <w:sz w:val="18"/>
          <w:szCs w:val="18"/>
          <w:color w:val="auto"/>
        </w:rPr>
        <w:t>During the fourth quarter of 2023 and the three quarters ending September 30, 2024, management completed the testing necessary to conclude that the newly implemented and enhanced controls were appropriately designed, implemented and operating effectively as of September 30, 2024, and concluded that the material weakness related to segregation of duties has been remediated.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7" w:name="page58"/>
    <w:bookmarkEnd w:id="5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24" w:lineRule="exact"/>
        <w:rPr>
          <w:sz w:val="20"/>
          <w:szCs w:val="20"/>
          <w:color w:val="auto"/>
        </w:rPr>
      </w:pPr>
    </w:p>
    <w:p>
      <w:pPr>
        <w:ind w:left="40" w:right="339"/>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8" w:name="page59"/>
    <w:bookmarkEnd w:id="5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7" w:lineRule="exact"/>
        <w:rPr>
          <w:sz w:val="20"/>
          <w:szCs w:val="20"/>
          <w:color w:val="auto"/>
        </w:rPr>
      </w:pPr>
    </w:p>
    <w:p>
      <w:pPr>
        <w:ind w:left="40" w:right="159"/>
        <w:spacing w:after="0" w:line="303" w:lineRule="auto"/>
        <w:rPr>
          <w:sz w:val="20"/>
          <w:szCs w:val="20"/>
          <w:color w:val="auto"/>
        </w:rPr>
      </w:pPr>
      <w:r>
        <w:rPr>
          <w:rFonts w:ascii="Times New Roman" w:cs="Times New Roman" w:eastAsia="Times New Roman" w:hAnsi="Times New Roman"/>
          <w:sz w:val="16"/>
          <w:szCs w:val="16"/>
          <w:color w:val="auto"/>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ind w:left="40" w:right="599"/>
        <w:spacing w:after="0" w:line="269"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described under Item 1A “Risk Factors” discussed in our Annual Report on Form 10-K filed with the SEC on March 15, 2024.</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7" w:lineRule="exact"/>
        <w:rPr>
          <w:sz w:val="20"/>
          <w:szCs w:val="20"/>
          <w:color w:val="auto"/>
        </w:rPr>
      </w:pPr>
    </w:p>
    <w:p>
      <w:pPr>
        <w:ind w:left="680" w:hanging="63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4" w:lineRule="exact"/>
        <w:rPr>
          <w:rFonts w:ascii="Times New Roman" w:cs="Times New Roman" w:eastAsia="Times New Roman" w:hAnsi="Times New Roman"/>
          <w:sz w:val="18"/>
          <w:szCs w:val="18"/>
          <w:color w:val="auto"/>
        </w:rPr>
      </w:pPr>
    </w:p>
    <w:p>
      <w:pPr>
        <w:ind w:left="680" w:hanging="632"/>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4" w:lineRule="exact"/>
        <w:rPr>
          <w:rFonts w:ascii="Times New Roman" w:cs="Times New Roman" w:eastAsia="Times New Roman" w:hAnsi="Times New Roman"/>
          <w:sz w:val="18"/>
          <w:szCs w:val="18"/>
          <w:color w:val="auto"/>
        </w:rPr>
      </w:pPr>
    </w:p>
    <w:p>
      <w:pPr>
        <w:ind w:left="680" w:right="119" w:hanging="632"/>
        <w:spacing w:after="0" w:line="25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none of the Company’s directors or officers (as defined in Rule 16a-1(f) of the Securities Exchange Act of 1934)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59" w:name="page60"/>
    <w:bookmarkEnd w:id="5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w w:val="96"/>
              </w:rPr>
              <w:t>Filing</w:t>
            </w:r>
          </w:p>
        </w:tc>
        <w:tc>
          <w:tcPr>
            <w:tcW w:w="720" w:type="dxa"/>
            <w:vAlign w:val="bottom"/>
          </w:tcPr>
          <w:p>
            <w:pPr>
              <w:jc w:val="right"/>
              <w:ind w:right="136"/>
              <w:spacing w:after="0" w:line="127"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21"/>
          </w:tcPr>
          <w:p>
            <w:pPr>
              <w:ind w:left="6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 w:type="dxa"/>
            <w:vAlign w:val="bottom"/>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67"/>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Incorporation of Westrock Coffee</w:t>
              </w:r>
            </w:hyperlink>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4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40" w:type="dxa"/>
            <w:vAlign w:val="bottom"/>
            <w:tcBorders>
              <w:top w:val="single" w:sz="8" w:color="0000EE"/>
            </w:tcBorders>
            <w:gridSpan w:val="7"/>
          </w:tcPr>
          <w:p>
            <w:pPr>
              <w:spacing w:after="0" w:line="191"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Company</w:t>
              </w:r>
            </w:hyperlink>
          </w:p>
        </w:tc>
        <w:tc>
          <w:tcPr>
            <w:tcW w:w="600" w:type="dxa"/>
            <w:vAlign w:val="bottom"/>
            <w:gridSpan w:val="16"/>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2022</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3940" w:type="dxa"/>
            <w:vAlign w:val="bottom"/>
            <w:gridSpan w:val="23"/>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Bylaws of Westrock Coffee Company</w:t>
              </w:r>
            </w:hyperlink>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10-Q</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40" w:type="dxa"/>
            <w:vAlign w:val="bottom"/>
            <w:gridSpan w:val="3"/>
          </w:tcPr>
          <w:p>
            <w:pPr>
              <w:jc w:val="center"/>
              <w:ind w:left="95"/>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68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3"/>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80" w:type="dxa"/>
            <w:vAlign w:val="bottom"/>
          </w:tcPr>
          <w:p>
            <w:pPr>
              <w:spacing w:after="0"/>
              <w:rPr>
                <w:sz w:val="24"/>
                <w:szCs w:val="24"/>
                <w:color w:val="auto"/>
              </w:rPr>
            </w:pPr>
          </w:p>
        </w:tc>
        <w:tc>
          <w:tcPr>
            <w:tcW w:w="3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66">
              <w:r>
                <w:rPr>
                  <w:rFonts w:ascii="Times New Roman" w:cs="Times New Roman" w:eastAsia="Times New Roman" w:hAnsi="Times New Roman"/>
                  <w:sz w:val="18"/>
                  <w:szCs w:val="18"/>
                  <w:color w:val="0000EE"/>
                  <w:w w:val="97"/>
                </w:rPr>
                <w:t>Dealer Manager Agreement, dated as of August 28,</w:t>
              </w:r>
            </w:hyperlink>
          </w:p>
        </w:tc>
        <w:tc>
          <w:tcPr>
            <w:tcW w:w="300" w:type="dxa"/>
            <w:vAlign w:val="bottom"/>
            <w:gridSpan w:val="5"/>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84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w w:val="98"/>
              </w:rPr>
              <w:t>10.20</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August 28,</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Borders>
              <w:bottom w:val="single" w:sz="8" w:color="0000EE"/>
            </w:tcBorders>
            <w:gridSpan w:val="10"/>
          </w:tcPr>
          <w:p>
            <w:pPr>
              <w:spacing w:after="0" w:line="191" w:lineRule="exact"/>
              <w:rPr>
                <w:rFonts w:ascii="Times New Roman" w:cs="Times New Roman" w:eastAsia="Times New Roman" w:hAnsi="Times New Roman"/>
                <w:sz w:val="18"/>
                <w:szCs w:val="18"/>
                <w:color w:val="0000EE"/>
                <w:w w:val="96"/>
              </w:rPr>
            </w:pPr>
            <w:hyperlink r:id="rId66">
              <w:r>
                <w:rPr>
                  <w:rFonts w:ascii="Times New Roman" w:cs="Times New Roman" w:eastAsia="Times New Roman" w:hAnsi="Times New Roman"/>
                  <w:sz w:val="18"/>
                  <w:szCs w:val="18"/>
                  <w:color w:val="0000EE"/>
                  <w:w w:val="96"/>
                </w:rPr>
                <w:t>2024, by and among Westrock Coffee Company,</w:t>
              </w:r>
            </w:hyperlink>
          </w:p>
        </w:tc>
        <w:tc>
          <w:tcPr>
            <w:tcW w:w="520" w:type="dxa"/>
            <w:vAlign w:val="bottom"/>
            <w:gridSpan w:val="13"/>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281807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3"/>
          </w:tcPr>
          <w:p>
            <w:pPr>
              <w:spacing w:after="0" w:line="191"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Stifel, Nicolaus &amp; Company, Incorporated, as dealer</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0000EE"/>
              <w:bottom w:val="single" w:sz="8" w:color="0000EE"/>
            </w:tcBorders>
          </w:tcPr>
          <w:p>
            <w:pPr>
              <w:spacing w:after="0" w:line="191" w:lineRule="exact"/>
              <w:rPr>
                <w:rFonts w:ascii="Times New Roman" w:cs="Times New Roman" w:eastAsia="Times New Roman" w:hAnsi="Times New Roman"/>
                <w:sz w:val="18"/>
                <w:szCs w:val="18"/>
                <w:color w:val="0000EE"/>
                <w:w w:val="96"/>
              </w:rPr>
            </w:pPr>
            <w:hyperlink r:id="rId66">
              <w:r>
                <w:rPr>
                  <w:rFonts w:ascii="Times New Roman" w:cs="Times New Roman" w:eastAsia="Times New Roman" w:hAnsi="Times New Roman"/>
                  <w:sz w:val="18"/>
                  <w:szCs w:val="18"/>
                  <w:color w:val="0000EE"/>
                  <w:w w:val="96"/>
                </w:rPr>
                <w:t>manager.</w:t>
              </w:r>
            </w:hyperlink>
          </w:p>
        </w:tc>
        <w:tc>
          <w:tcPr>
            <w:tcW w:w="3000" w:type="dxa"/>
            <w:vAlign w:val="bottom"/>
            <w:tcBorders>
              <w:top w:val="single" w:sz="8" w:color="0000EE"/>
            </w:tcBorders>
            <w:gridSpan w:val="18"/>
          </w:tcPr>
          <w:p>
            <w:pPr>
              <w:spacing w:after="0"/>
              <w:rPr>
                <w:sz w:val="16"/>
                <w:szCs w:val="16"/>
                <w:color w:val="auto"/>
              </w:rPr>
            </w:pPr>
          </w:p>
        </w:tc>
        <w:tc>
          <w:tcPr>
            <w:tcW w:w="260" w:type="dxa"/>
            <w:vAlign w:val="bottom"/>
            <w:gridSpan w:val="4"/>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80" w:type="dxa"/>
            <w:vAlign w:val="bottom"/>
          </w:tcPr>
          <w:p>
            <w:pPr>
              <w:spacing w:after="0"/>
              <w:rPr>
                <w:sz w:val="24"/>
                <w:szCs w:val="24"/>
                <w:color w:val="auto"/>
              </w:rPr>
            </w:pPr>
          </w:p>
        </w:tc>
        <w:tc>
          <w:tcPr>
            <w:tcW w:w="36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Tender and Support Agreement, dated as of August</w:t>
              </w:r>
            </w:hyperlink>
          </w:p>
        </w:tc>
        <w:tc>
          <w:tcPr>
            <w:tcW w:w="320" w:type="dxa"/>
            <w:vAlign w:val="bottom"/>
            <w:gridSpan w:val="6"/>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S-4</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84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w w:val="98"/>
              </w:rPr>
              <w:t>10.21</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August 28,</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3"/>
          </w:tcPr>
          <w:p>
            <w:pPr>
              <w:spacing w:after="0" w:line="191"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28, 2024, by and among Westrock Coffee Company</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281807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4"/>
          </w:tcPr>
          <w:p>
            <w:pPr>
              <w:spacing w:after="0" w:line="191" w:lineRule="exact"/>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and the warrant holders party thereto.</w:t>
              </w:r>
            </w:hyperlink>
          </w:p>
        </w:tc>
        <w:tc>
          <w:tcPr>
            <w:tcW w:w="1000" w:type="dxa"/>
            <w:vAlign w:val="bottom"/>
            <w:tcBorders>
              <w:top w:val="single" w:sz="8" w:color="0000EE"/>
            </w:tcBorders>
            <w:gridSpan w:val="14"/>
          </w:tcPr>
          <w:p>
            <w:pPr>
              <w:spacing w:after="0"/>
              <w:rPr>
                <w:sz w:val="16"/>
                <w:szCs w:val="16"/>
                <w:color w:val="auto"/>
              </w:rPr>
            </w:pPr>
          </w:p>
        </w:tc>
        <w:tc>
          <w:tcPr>
            <w:tcW w:w="300" w:type="dxa"/>
            <w:vAlign w:val="bottom"/>
            <w:gridSpan w:val="5"/>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80" w:type="dxa"/>
            <w:vAlign w:val="bottom"/>
          </w:tcPr>
          <w:p>
            <w:pPr>
              <w:spacing w:after="0"/>
              <w:rPr>
                <w:sz w:val="24"/>
                <w:szCs w:val="24"/>
                <w:color w:val="auto"/>
              </w:rPr>
            </w:pPr>
          </w:p>
        </w:tc>
        <w:tc>
          <w:tcPr>
            <w:tcW w:w="3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r:id="rId68">
              <w:r>
                <w:rPr>
                  <w:rFonts w:ascii="Times New Roman" w:cs="Times New Roman" w:eastAsia="Times New Roman" w:hAnsi="Times New Roman"/>
                  <w:sz w:val="18"/>
                  <w:szCs w:val="18"/>
                  <w:color w:val="0000EE"/>
                  <w:w w:val="97"/>
                </w:rPr>
                <w:t>Amendment No. 1 to Warrant Agreement, dated</w:t>
              </w:r>
            </w:hyperlink>
          </w:p>
        </w:tc>
        <w:tc>
          <w:tcPr>
            <w:tcW w:w="540" w:type="dxa"/>
            <w:vAlign w:val="bottom"/>
            <w:gridSpan w:val="14"/>
          </w:tcPr>
          <w:p>
            <w:pPr>
              <w:spacing w:after="0"/>
              <w:rPr>
                <w:sz w:val="24"/>
                <w:szCs w:val="24"/>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2"/>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4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30,</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3"/>
          </w:tcPr>
          <w:p>
            <w:pPr>
              <w:spacing w:after="0" w:line="191"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September 30, 2024, by and between Westrock Coffee</w:t>
              </w:r>
            </w:hyperlink>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tcBorders>
              <w:top w:val="single" w:sz="8" w:color="0000EE"/>
            </w:tcBorders>
            <w:gridSpan w:val="21"/>
          </w:tcPr>
          <w:p>
            <w:pPr>
              <w:spacing w:after="0" w:line="191"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Company, Computershare, Inc. and Computershare</w:t>
              </w:r>
            </w:hyperlink>
          </w:p>
        </w:tc>
        <w:tc>
          <w:tcPr>
            <w:tcW w:w="120" w:type="dxa"/>
            <w:vAlign w:val="bottom"/>
            <w:gridSpan w:val="2"/>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top w:val="single" w:sz="8" w:color="0000EE"/>
              <w:bottom w:val="single" w:sz="8" w:color="0000EE"/>
            </w:tcBorders>
            <w:gridSpan w:val="3"/>
          </w:tcPr>
          <w:p>
            <w:pPr>
              <w:spacing w:after="0" w:line="191" w:lineRule="exact"/>
              <w:rPr>
                <w:rFonts w:ascii="Times New Roman" w:cs="Times New Roman" w:eastAsia="Times New Roman" w:hAnsi="Times New Roman"/>
                <w:sz w:val="18"/>
                <w:szCs w:val="18"/>
                <w:color w:val="0000EE"/>
                <w:w w:val="95"/>
              </w:rPr>
            </w:pPr>
            <w:hyperlink r:id="rId68">
              <w:r>
                <w:rPr>
                  <w:rFonts w:ascii="Times New Roman" w:cs="Times New Roman" w:eastAsia="Times New Roman" w:hAnsi="Times New Roman"/>
                  <w:sz w:val="18"/>
                  <w:szCs w:val="18"/>
                  <w:color w:val="0000EE"/>
                  <w:w w:val="95"/>
                </w:rPr>
                <w:t>Trust Company, N.A.</w:t>
              </w:r>
            </w:hyperlink>
          </w:p>
        </w:tc>
        <w:tc>
          <w:tcPr>
            <w:tcW w:w="2080" w:type="dxa"/>
            <w:vAlign w:val="bottom"/>
            <w:tcBorders>
              <w:top w:val="single" w:sz="8" w:color="0000EE"/>
            </w:tcBorders>
            <w:gridSpan w:val="13"/>
          </w:tcPr>
          <w:p>
            <w:pPr>
              <w:spacing w:after="0"/>
              <w:rPr>
                <w:sz w:val="16"/>
                <w:szCs w:val="16"/>
                <w:color w:val="auto"/>
              </w:rPr>
            </w:pPr>
          </w:p>
        </w:tc>
        <w:tc>
          <w:tcPr>
            <w:tcW w:w="340" w:type="dxa"/>
            <w:vAlign w:val="bottom"/>
            <w:gridSpan w:val="7"/>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8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7"/>
              </w:rPr>
              <w:t>Chief Executive Officer—Certification pursuant to</w:t>
            </w:r>
          </w:p>
        </w:tc>
        <w:tc>
          <w:tcPr>
            <w:tcW w:w="36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tcBorders>
              <w:bottom w:val="single" w:sz="8" w:color="0000EE"/>
            </w:tcBorders>
            <w:gridSpan w:val="14"/>
          </w:tcPr>
          <w:p>
            <w:pPr>
              <w:spacing w:after="0" w:line="191" w:lineRule="exact"/>
              <w:rPr>
                <w:sz w:val="20"/>
                <w:szCs w:val="20"/>
                <w:color w:val="auto"/>
              </w:rPr>
            </w:pPr>
            <w:r>
              <w:rPr>
                <w:rFonts w:ascii="Times New Roman" w:cs="Times New Roman" w:eastAsia="Times New Roman" w:hAnsi="Times New Roman"/>
                <w:sz w:val="18"/>
                <w:szCs w:val="18"/>
                <w:color w:val="0000EE"/>
                <w:w w:val="97"/>
              </w:rPr>
              <w:t>Rule 13a-14(a) or Rule 15d-14(a) of the Securities</w:t>
            </w:r>
          </w:p>
        </w:tc>
        <w:tc>
          <w:tcPr>
            <w:tcW w:w="380" w:type="dxa"/>
            <w:vAlign w:val="bottom"/>
            <w:gridSpan w:val="9"/>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Borders>
              <w:bottom w:val="single" w:sz="8" w:color="0000EE"/>
            </w:tcBorders>
            <w:gridSpan w:val="6"/>
          </w:tcPr>
          <w:p>
            <w:pPr>
              <w:spacing w:after="0" w:line="191" w:lineRule="exact"/>
              <w:rPr>
                <w:sz w:val="20"/>
                <w:szCs w:val="20"/>
                <w:color w:val="auto"/>
              </w:rPr>
            </w:pPr>
            <w:r>
              <w:rPr>
                <w:rFonts w:ascii="Times New Roman" w:cs="Times New Roman" w:eastAsia="Times New Roman" w:hAnsi="Times New Roman"/>
                <w:sz w:val="18"/>
                <w:szCs w:val="18"/>
                <w:color w:val="0000EE"/>
                <w:w w:val="96"/>
              </w:rPr>
              <w:t>Exchange Act of 1934, as adopted pursuant to</w:t>
            </w:r>
          </w:p>
        </w:tc>
        <w:tc>
          <w:tcPr>
            <w:tcW w:w="700" w:type="dxa"/>
            <w:vAlign w:val="bottom"/>
            <w:gridSpan w:val="17"/>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tcBorders>
              <w:bottom w:val="single" w:sz="8" w:color="0000EE"/>
            </w:tcBorders>
            <w:gridSpan w:val="8"/>
          </w:tcPr>
          <w:p>
            <w:pPr>
              <w:spacing w:after="0" w:line="191" w:lineRule="exact"/>
              <w:rPr>
                <w:sz w:val="20"/>
                <w:szCs w:val="20"/>
                <w:color w:val="auto"/>
              </w:rPr>
            </w:pPr>
            <w:r>
              <w:rPr>
                <w:rFonts w:ascii="Times New Roman" w:cs="Times New Roman" w:eastAsia="Times New Roman" w:hAnsi="Times New Roman"/>
                <w:sz w:val="18"/>
                <w:szCs w:val="18"/>
                <w:color w:val="0000EE"/>
                <w:w w:val="97"/>
              </w:rPr>
              <w:t>Section 302 of the Sarbanes-Oxley Act of 2002.</w:t>
            </w:r>
          </w:p>
        </w:tc>
        <w:tc>
          <w:tcPr>
            <w:tcW w:w="560" w:type="dxa"/>
            <w:vAlign w:val="bottom"/>
            <w:gridSpan w:val="15"/>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80" w:type="dxa"/>
            <w:vAlign w:val="bottom"/>
          </w:tcPr>
          <w:p>
            <w:pPr>
              <w:spacing w:after="0"/>
              <w:rPr>
                <w:sz w:val="24"/>
                <w:szCs w:val="24"/>
                <w:color w:val="auto"/>
              </w:rPr>
            </w:pPr>
          </w:p>
        </w:tc>
        <w:tc>
          <w:tcPr>
            <w:tcW w:w="35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Chief Financial Officer—Certification pursuant to</w:t>
            </w:r>
          </w:p>
        </w:tc>
        <w:tc>
          <w:tcPr>
            <w:tcW w:w="40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60" w:type="dxa"/>
            <w:vAlign w:val="bottom"/>
            <w:tcBorders>
              <w:bottom w:val="single" w:sz="8" w:color="0000EE"/>
            </w:tcBorders>
            <w:gridSpan w:val="14"/>
          </w:tcPr>
          <w:p>
            <w:pPr>
              <w:spacing w:after="0" w:line="191" w:lineRule="exact"/>
              <w:rPr>
                <w:sz w:val="20"/>
                <w:szCs w:val="20"/>
                <w:color w:val="auto"/>
              </w:rPr>
            </w:pPr>
            <w:r>
              <w:rPr>
                <w:rFonts w:ascii="Times New Roman" w:cs="Times New Roman" w:eastAsia="Times New Roman" w:hAnsi="Times New Roman"/>
                <w:sz w:val="18"/>
                <w:szCs w:val="18"/>
                <w:color w:val="0000EE"/>
                <w:w w:val="97"/>
              </w:rPr>
              <w:t>Rule 13a-14(a) or Rule 15d-14(a) of the Securities</w:t>
            </w:r>
          </w:p>
        </w:tc>
        <w:tc>
          <w:tcPr>
            <w:tcW w:w="380" w:type="dxa"/>
            <w:vAlign w:val="bottom"/>
            <w:gridSpan w:val="9"/>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Borders>
              <w:bottom w:val="single" w:sz="8" w:color="0000EE"/>
            </w:tcBorders>
            <w:gridSpan w:val="6"/>
          </w:tcPr>
          <w:p>
            <w:pPr>
              <w:spacing w:after="0" w:line="191" w:lineRule="exact"/>
              <w:rPr>
                <w:sz w:val="20"/>
                <w:szCs w:val="20"/>
                <w:color w:val="auto"/>
              </w:rPr>
            </w:pPr>
            <w:r>
              <w:rPr>
                <w:rFonts w:ascii="Times New Roman" w:cs="Times New Roman" w:eastAsia="Times New Roman" w:hAnsi="Times New Roman"/>
                <w:sz w:val="18"/>
                <w:szCs w:val="18"/>
                <w:color w:val="0000EE"/>
                <w:w w:val="96"/>
              </w:rPr>
              <w:t>Exchange Act of 1934, as adopted pursuant to</w:t>
            </w:r>
          </w:p>
        </w:tc>
        <w:tc>
          <w:tcPr>
            <w:tcW w:w="700" w:type="dxa"/>
            <w:vAlign w:val="bottom"/>
            <w:gridSpan w:val="17"/>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80" w:type="dxa"/>
            <w:vAlign w:val="bottom"/>
            <w:tcBorders>
              <w:bottom w:val="single" w:sz="8" w:color="0000EE"/>
            </w:tcBorders>
            <w:gridSpan w:val="8"/>
          </w:tcPr>
          <w:p>
            <w:pPr>
              <w:spacing w:after="0" w:line="191" w:lineRule="exact"/>
              <w:rPr>
                <w:sz w:val="20"/>
                <w:szCs w:val="20"/>
                <w:color w:val="auto"/>
              </w:rPr>
            </w:pPr>
            <w:r>
              <w:rPr>
                <w:rFonts w:ascii="Times New Roman" w:cs="Times New Roman" w:eastAsia="Times New Roman" w:hAnsi="Times New Roman"/>
                <w:sz w:val="18"/>
                <w:szCs w:val="18"/>
                <w:color w:val="0000EE"/>
                <w:w w:val="97"/>
              </w:rPr>
              <w:t>Section 302 of the Sarbanes-Oxley Act of 2002.</w:t>
            </w:r>
          </w:p>
        </w:tc>
        <w:tc>
          <w:tcPr>
            <w:tcW w:w="560" w:type="dxa"/>
            <w:vAlign w:val="bottom"/>
            <w:gridSpan w:val="15"/>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8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7"/>
              </w:rPr>
              <w:t>Chief Executive Officer—Certification pursuant to</w:t>
            </w:r>
          </w:p>
        </w:tc>
        <w:tc>
          <w:tcPr>
            <w:tcW w:w="36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3"/>
          </w:tcPr>
          <w:p>
            <w:pPr>
              <w:spacing w:after="0" w:line="191" w:lineRule="exact"/>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3"/>
          </w:tcPr>
          <w:p>
            <w:pPr>
              <w:spacing w:after="0" w:line="191" w:lineRule="exact"/>
              <w:rPr>
                <w:sz w:val="20"/>
                <w:szCs w:val="20"/>
                <w:color w:val="auto"/>
              </w:rPr>
            </w:pPr>
            <w:r>
              <w:rPr>
                <w:rFonts w:ascii="Times New Roman" w:cs="Times New Roman" w:eastAsia="Times New Roman" w:hAnsi="Times New Roman"/>
                <w:sz w:val="18"/>
                <w:szCs w:val="18"/>
                <w:color w:val="0000EE"/>
              </w:rPr>
              <w:t>Exchange Act of 1934 and 18 U.S.C. Section 1350, as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top w:val="single" w:sz="8" w:color="0000EE"/>
            </w:tcBorders>
            <w:gridSpan w:val="20"/>
          </w:tcPr>
          <w:p>
            <w:pPr>
              <w:spacing w:after="0" w:line="191" w:lineRule="exact"/>
              <w:rPr>
                <w:sz w:val="20"/>
                <w:szCs w:val="20"/>
                <w:color w:val="auto"/>
              </w:rPr>
            </w:pPr>
            <w:r>
              <w:rPr>
                <w:rFonts w:ascii="Times New Roman" w:cs="Times New Roman" w:eastAsia="Times New Roman" w:hAnsi="Times New Roman"/>
                <w:sz w:val="18"/>
                <w:szCs w:val="18"/>
                <w:color w:val="0000EE"/>
              </w:rPr>
              <w:t>adopted pursuant to Section 906 of the Sarbanes-</w:t>
            </w:r>
          </w:p>
        </w:tc>
        <w:tc>
          <w:tcPr>
            <w:tcW w:w="14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0000EE"/>
              <w:bottom w:val="single" w:sz="8" w:color="0000EE"/>
            </w:tcBorders>
            <w:gridSpan w:val="2"/>
          </w:tcPr>
          <w:p>
            <w:pPr>
              <w:spacing w:after="0" w:line="191" w:lineRule="exact"/>
              <w:rPr>
                <w:sz w:val="20"/>
                <w:szCs w:val="20"/>
                <w:color w:val="auto"/>
              </w:rPr>
            </w:pPr>
            <w:r>
              <w:rPr>
                <w:rFonts w:ascii="Times New Roman" w:cs="Times New Roman" w:eastAsia="Times New Roman" w:hAnsi="Times New Roman"/>
                <w:sz w:val="18"/>
                <w:szCs w:val="18"/>
                <w:color w:val="0000EE"/>
                <w:w w:val="96"/>
              </w:rPr>
              <w:t>Oxley Act of 2002.</w:t>
            </w:r>
          </w:p>
        </w:tc>
        <w:tc>
          <w:tcPr>
            <w:tcW w:w="2080" w:type="dxa"/>
            <w:vAlign w:val="bottom"/>
            <w:tcBorders>
              <w:top w:val="single" w:sz="8" w:color="0000EE"/>
            </w:tcBorders>
            <w:gridSpan w:val="9"/>
          </w:tcPr>
          <w:p>
            <w:pPr>
              <w:spacing w:after="0"/>
              <w:rPr>
                <w:sz w:val="16"/>
                <w:szCs w:val="16"/>
                <w:color w:val="auto"/>
              </w:rPr>
            </w:pPr>
          </w:p>
        </w:tc>
        <w:tc>
          <w:tcPr>
            <w:tcW w:w="500" w:type="dxa"/>
            <w:vAlign w:val="bottom"/>
            <w:gridSpan w:val="12"/>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80" w:type="dxa"/>
            <w:vAlign w:val="bottom"/>
          </w:tcPr>
          <w:p>
            <w:pPr>
              <w:spacing w:after="0"/>
              <w:rPr>
                <w:sz w:val="24"/>
                <w:szCs w:val="24"/>
                <w:color w:val="auto"/>
              </w:rPr>
            </w:pPr>
          </w:p>
        </w:tc>
        <w:tc>
          <w:tcPr>
            <w:tcW w:w="35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Chief Financial Officer—Certification pursuant to</w:t>
            </w:r>
          </w:p>
        </w:tc>
        <w:tc>
          <w:tcPr>
            <w:tcW w:w="40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3"/>
          </w:tcPr>
          <w:p>
            <w:pPr>
              <w:spacing w:after="0" w:line="191" w:lineRule="exact"/>
              <w:rPr>
                <w:sz w:val="20"/>
                <w:szCs w:val="20"/>
                <w:color w:val="auto"/>
              </w:rPr>
            </w:pPr>
            <w:r>
              <w:rPr>
                <w:rFonts w:ascii="Times New Roman" w:cs="Times New Roman" w:eastAsia="Times New Roman" w:hAnsi="Times New Roman"/>
                <w:sz w:val="18"/>
                <w:szCs w:val="18"/>
                <w:color w:val="0000EE"/>
              </w:rPr>
              <w:t>Rule 13a-14(b) or Rule 15d-14(b) of the Securities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14"/>
            <w:shd w:val="clear" w:color="auto" w:fill="0000EE"/>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23"/>
          </w:tcPr>
          <w:p>
            <w:pPr>
              <w:spacing w:after="0" w:line="191" w:lineRule="exact"/>
              <w:rPr>
                <w:sz w:val="20"/>
                <w:szCs w:val="20"/>
                <w:color w:val="auto"/>
              </w:rPr>
            </w:pPr>
            <w:r>
              <w:rPr>
                <w:rFonts w:ascii="Times New Roman" w:cs="Times New Roman" w:eastAsia="Times New Roman" w:hAnsi="Times New Roman"/>
                <w:sz w:val="18"/>
                <w:szCs w:val="18"/>
                <w:color w:val="0000EE"/>
              </w:rPr>
              <w:t>Exchange Act of 1934 and 18 U.S.C. Section 1350, as</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0" w:type="dxa"/>
            <w:vAlign w:val="bottom"/>
            <w:tcBorders>
              <w:top w:val="single" w:sz="8" w:color="0000EE"/>
            </w:tcBorders>
            <w:gridSpan w:val="20"/>
          </w:tcPr>
          <w:p>
            <w:pPr>
              <w:spacing w:after="0" w:line="191" w:lineRule="exact"/>
              <w:rPr>
                <w:sz w:val="20"/>
                <w:szCs w:val="20"/>
                <w:color w:val="auto"/>
              </w:rPr>
            </w:pPr>
            <w:r>
              <w:rPr>
                <w:rFonts w:ascii="Times New Roman" w:cs="Times New Roman" w:eastAsia="Times New Roman" w:hAnsi="Times New Roman"/>
                <w:sz w:val="18"/>
                <w:szCs w:val="18"/>
                <w:color w:val="0000EE"/>
              </w:rPr>
              <w:t>adopted pursuant to Section 906 of the Sarbanes-</w:t>
            </w:r>
          </w:p>
        </w:tc>
        <w:tc>
          <w:tcPr>
            <w:tcW w:w="14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0000EE"/>
              <w:bottom w:val="single" w:sz="8" w:color="0000EE"/>
            </w:tcBorders>
            <w:gridSpan w:val="2"/>
          </w:tcPr>
          <w:p>
            <w:pPr>
              <w:spacing w:after="0" w:line="191" w:lineRule="exact"/>
              <w:rPr>
                <w:sz w:val="20"/>
                <w:szCs w:val="20"/>
                <w:color w:val="auto"/>
              </w:rPr>
            </w:pPr>
            <w:r>
              <w:rPr>
                <w:rFonts w:ascii="Times New Roman" w:cs="Times New Roman" w:eastAsia="Times New Roman" w:hAnsi="Times New Roman"/>
                <w:sz w:val="18"/>
                <w:szCs w:val="18"/>
                <w:color w:val="0000EE"/>
                <w:w w:val="96"/>
              </w:rPr>
              <w:t>Oxley Act of 2002.</w:t>
            </w:r>
          </w:p>
        </w:tc>
        <w:tc>
          <w:tcPr>
            <w:tcW w:w="2080" w:type="dxa"/>
            <w:vAlign w:val="bottom"/>
            <w:tcBorders>
              <w:top w:val="single" w:sz="8" w:color="0000EE"/>
            </w:tcBorders>
            <w:gridSpan w:val="9"/>
          </w:tcPr>
          <w:p>
            <w:pPr>
              <w:spacing w:after="0"/>
              <w:rPr>
                <w:sz w:val="16"/>
                <w:szCs w:val="16"/>
                <w:color w:val="auto"/>
              </w:rPr>
            </w:pPr>
          </w:p>
        </w:tc>
        <w:tc>
          <w:tcPr>
            <w:tcW w:w="500" w:type="dxa"/>
            <w:vAlign w:val="bottom"/>
            <w:gridSpan w:val="12"/>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101.INS</w:t>
            </w:r>
          </w:p>
        </w:tc>
        <w:tc>
          <w:tcPr>
            <w:tcW w:w="80" w:type="dxa"/>
            <w:vAlign w:val="bottom"/>
          </w:tcPr>
          <w:p>
            <w:pPr>
              <w:spacing w:after="0"/>
              <w:rPr>
                <w:sz w:val="24"/>
                <w:szCs w:val="24"/>
                <w:color w:val="auto"/>
              </w:rPr>
            </w:pPr>
          </w:p>
        </w:tc>
        <w:tc>
          <w:tcPr>
            <w:tcW w:w="3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w w:val="99"/>
              </w:rPr>
              <w:t>does not appear in the Interactive Data File because its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document.</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80" w:type="dxa"/>
            <w:vAlign w:val="bottom"/>
          </w:tcPr>
          <w:p>
            <w:pPr>
              <w:spacing w:after="0"/>
              <w:rPr>
                <w:sz w:val="24"/>
                <w:szCs w:val="24"/>
                <w:color w:val="auto"/>
              </w:rPr>
            </w:pPr>
          </w:p>
        </w:tc>
        <w:tc>
          <w:tcPr>
            <w:tcW w:w="394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2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3" w:right="1440" w:bottom="1440" w:gutter="0" w:footer="0" w:header="0"/>
        </w:sectPr>
      </w:pPr>
    </w:p>
    <w:bookmarkStart w:id="60" w:name="page61"/>
    <w:bookmarkEnd w:id="6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3"/>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5" w:lineRule="exact"/>
        <w:rPr>
          <w:sz w:val="20"/>
          <w:szCs w:val="20"/>
          <w:color w:val="auto"/>
        </w:rPr>
      </w:pPr>
    </w:p>
    <w:p>
      <w:pPr>
        <w:ind w:left="860" w:right="4339" w:hanging="565"/>
        <w:spacing w:after="0" w:line="252" w:lineRule="auto"/>
        <w:tabs>
          <w:tab w:leader="none" w:pos="8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84"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1" w:lineRule="exact"/>
        <w:rPr>
          <w:rFonts w:ascii="Times New Roman" w:cs="Times New Roman" w:eastAsia="Times New Roman" w:hAnsi="Times New Roman"/>
          <w:sz w:val="18"/>
          <w:szCs w:val="18"/>
          <w:color w:val="auto"/>
        </w:rPr>
      </w:pPr>
    </w:p>
    <w:p>
      <w:pPr>
        <w:ind w:left="360" w:hanging="31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-330835</wp:posOffset>
            </wp:positionV>
            <wp:extent cx="14135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38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61" w:name="page62"/>
    <w:bookmarkEnd w:id="6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88" w:lineRule="exact"/>
        <w:rPr>
          <w:sz w:val="20"/>
          <w:szCs w:val="20"/>
          <w:color w:val="auto"/>
        </w:rPr>
      </w:pPr>
    </w:p>
    <w:p>
      <w:pPr>
        <w:ind w:left="40" w:right="119"/>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80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Westrock Coffee Company</w:t>
            </w:r>
          </w:p>
        </w:tc>
      </w:tr>
      <w:tr>
        <w:trPr>
          <w:trHeight w:val="24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1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T. Christopher Pledger</w:t>
            </w:r>
          </w:p>
        </w:tc>
      </w:tr>
      <w:tr>
        <w:trPr>
          <w:trHeight w:val="219"/>
        </w:trPr>
        <w:tc>
          <w:tcPr>
            <w:tcW w:w="3120" w:type="dxa"/>
            <w:vAlign w:val="bottom"/>
          </w:tcPr>
          <w:p>
            <w:pPr>
              <w:spacing w:after="0"/>
              <w:rPr>
                <w:sz w:val="19"/>
                <w:szCs w:val="19"/>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 Christopher Pledger</w:t>
            </w:r>
          </w:p>
        </w:tc>
      </w:tr>
      <w:tr>
        <w:trPr>
          <w:trHeight w:val="228"/>
        </w:trPr>
        <w:tc>
          <w:tcPr>
            <w:tcW w:w="3120" w:type="dxa"/>
            <w:vAlign w:val="bottom"/>
          </w:tcPr>
          <w:p>
            <w:pPr>
              <w:spacing w:after="0"/>
              <w:rPr>
                <w:sz w:val="19"/>
                <w:szCs w:val="19"/>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7"/>
        </w:trPr>
        <w:tc>
          <w:tcPr>
            <w:tcW w:w="3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1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 Blake Schuhmacher</w:t>
            </w:r>
          </w:p>
        </w:tc>
      </w:tr>
      <w:tr>
        <w:trPr>
          <w:trHeight w:val="219"/>
        </w:trPr>
        <w:tc>
          <w:tcPr>
            <w:tcW w:w="3120" w:type="dxa"/>
            <w:vAlign w:val="bottom"/>
          </w:tcPr>
          <w:p>
            <w:pPr>
              <w:spacing w:after="0"/>
              <w:rPr>
                <w:sz w:val="19"/>
                <w:szCs w:val="19"/>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Blake Schuhmacher</w:t>
            </w:r>
          </w:p>
        </w:tc>
      </w:tr>
      <w:tr>
        <w:trPr>
          <w:trHeight w:val="228"/>
        </w:trPr>
        <w:tc>
          <w:tcPr>
            <w:tcW w:w="3120" w:type="dxa"/>
            <w:vAlign w:val="bottom"/>
          </w:tcPr>
          <w:p>
            <w:pPr>
              <w:spacing w:after="0"/>
              <w:rPr>
                <w:sz w:val="19"/>
                <w:szCs w:val="19"/>
                <w:color w:val="auto"/>
              </w:rPr>
            </w:pPr>
          </w:p>
        </w:tc>
        <w:tc>
          <w:tcPr>
            <w:tcW w:w="19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Accounting Officer</w:t>
            </w:r>
          </w:p>
        </w:tc>
      </w:tr>
      <w:tr>
        <w:trPr>
          <w:trHeight w:val="237"/>
        </w:trPr>
        <w:tc>
          <w:tcPr>
            <w:tcW w:w="3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348615</wp:posOffset>
            </wp:positionV>
            <wp:extent cx="56635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5663565" cy="2540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4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Ford, certify that:</w:t>
      </w:r>
    </w:p>
    <w:p>
      <w:pPr>
        <w:spacing w:after="0" w:line="215" w:lineRule="exact"/>
        <w:rPr>
          <w:sz w:val="20"/>
          <w:szCs w:val="20"/>
          <w:color w:val="auto"/>
        </w:rPr>
      </w:pPr>
    </w:p>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Westrock Coffee Company;</w:t>
      </w:r>
    </w:p>
    <w:p>
      <w:pPr>
        <w:spacing w:after="0" w:line="214" w:lineRule="exact"/>
        <w:rPr>
          <w:rFonts w:ascii="Times New Roman" w:cs="Times New Roman" w:eastAsia="Times New Roman" w:hAnsi="Times New Roman"/>
          <w:sz w:val="18"/>
          <w:szCs w:val="18"/>
          <w:color w:val="auto"/>
        </w:rPr>
      </w:pPr>
    </w:p>
    <w:p>
      <w:pPr>
        <w:ind w:left="320" w:right="60" w:hanging="314"/>
        <w:spacing w:after="0" w:line="249"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Times New Roman" w:cs="Times New Roman" w:eastAsia="Times New Roman" w:hAnsi="Times New Roman"/>
          <w:sz w:val="18"/>
          <w:szCs w:val="18"/>
          <w:color w:val="auto"/>
        </w:rPr>
      </w:pPr>
    </w:p>
    <w:p>
      <w:pPr>
        <w:ind w:left="320" w:right="120" w:hanging="314"/>
        <w:spacing w:after="0" w:line="315"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320" w:right="320" w:hanging="314"/>
        <w:spacing w:after="0" w:line="256"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18"/>
          <w:szCs w:val="18"/>
          <w:color w:val="auto"/>
        </w:rPr>
      </w:pPr>
    </w:p>
    <w:p>
      <w:pPr>
        <w:ind w:left="960" w:right="80" w:hanging="322"/>
        <w:spacing w:after="0" w:line="256" w:lineRule="auto"/>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960" w:right="120" w:hanging="322"/>
        <w:spacing w:after="0" w:line="256" w:lineRule="auto"/>
        <w:tabs>
          <w:tab w:leader="none" w:pos="9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960" w:right="180" w:hanging="322"/>
        <w:spacing w:after="0" w:line="256" w:lineRule="auto"/>
        <w:tabs>
          <w:tab w:leader="none" w:pos="97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8"/>
          <w:szCs w:val="18"/>
          <w:color w:val="auto"/>
        </w:rPr>
      </w:pPr>
    </w:p>
    <w:p>
      <w:pPr>
        <w:ind w:left="960" w:right="220" w:hanging="322"/>
        <w:spacing w:after="0" w:line="303" w:lineRule="auto"/>
        <w:tabs>
          <w:tab w:leader="none" w:pos="98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6"/>
          <w:szCs w:val="16"/>
          <w:color w:val="auto"/>
        </w:rPr>
      </w:pPr>
    </w:p>
    <w:p>
      <w:pPr>
        <w:ind w:left="320" w:right="40" w:hanging="314"/>
        <w:spacing w:after="0" w:line="256"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Times New Roman" w:cs="Times New Roman" w:eastAsia="Times New Roman" w:hAnsi="Times New Roman"/>
          <w:sz w:val="18"/>
          <w:szCs w:val="18"/>
          <w:color w:val="auto"/>
        </w:rPr>
      </w:pPr>
    </w:p>
    <w:p>
      <w:pPr>
        <w:ind w:left="960" w:right="440" w:hanging="322"/>
        <w:spacing w:after="0" w:line="249" w:lineRule="auto"/>
        <w:tabs>
          <w:tab w:leader="none" w:pos="96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Times New Roman" w:cs="Times New Roman" w:eastAsia="Times New Roman" w:hAnsi="Times New Roman"/>
          <w:sz w:val="18"/>
          <w:szCs w:val="18"/>
          <w:color w:val="auto"/>
        </w:rPr>
      </w:pPr>
    </w:p>
    <w:p>
      <w:pPr>
        <w:ind w:left="960" w:right="800" w:hanging="322"/>
        <w:spacing w:after="0" w:line="269" w:lineRule="auto"/>
        <w:tabs>
          <w:tab w:leader="none" w:pos="9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31121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1121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629920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299200" cy="1651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4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Pledger, certify that:</w:t>
      </w:r>
    </w:p>
    <w:p>
      <w:pPr>
        <w:spacing w:after="0" w:line="215"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Westrock Coffee Company;</w:t>
      </w:r>
    </w:p>
    <w:p>
      <w:pPr>
        <w:spacing w:after="0" w:line="214" w:lineRule="exact"/>
        <w:rPr>
          <w:rFonts w:ascii="Times New Roman" w:cs="Times New Roman" w:eastAsia="Times New Roman" w:hAnsi="Times New Roman"/>
          <w:sz w:val="18"/>
          <w:szCs w:val="18"/>
          <w:color w:val="auto"/>
        </w:rPr>
      </w:pPr>
    </w:p>
    <w:p>
      <w:pPr>
        <w:ind w:left="320" w:right="60" w:hanging="314"/>
        <w:spacing w:after="0" w:line="249"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Times New Roman" w:cs="Times New Roman" w:eastAsia="Times New Roman" w:hAnsi="Times New Roman"/>
          <w:sz w:val="18"/>
          <w:szCs w:val="18"/>
          <w:color w:val="auto"/>
        </w:rPr>
      </w:pPr>
    </w:p>
    <w:p>
      <w:pPr>
        <w:ind w:left="320" w:right="120" w:hanging="314"/>
        <w:spacing w:after="0" w:line="315"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320" w:right="320" w:hanging="314"/>
        <w:spacing w:after="0" w:line="256"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Times New Roman" w:cs="Times New Roman" w:eastAsia="Times New Roman" w:hAnsi="Times New Roman"/>
          <w:sz w:val="18"/>
          <w:szCs w:val="18"/>
          <w:color w:val="auto"/>
        </w:rPr>
      </w:pPr>
    </w:p>
    <w:p>
      <w:pPr>
        <w:ind w:left="960" w:right="80" w:hanging="322"/>
        <w:spacing w:after="0" w:line="256"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960" w:right="120" w:hanging="322"/>
        <w:spacing w:after="0" w:line="256" w:lineRule="auto"/>
        <w:tabs>
          <w:tab w:leader="none" w:pos="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960" w:right="180" w:hanging="322"/>
        <w:spacing w:after="0" w:line="256" w:lineRule="auto"/>
        <w:tabs>
          <w:tab w:leader="none" w:pos="9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7" w:lineRule="exact"/>
        <w:rPr>
          <w:rFonts w:ascii="Times New Roman" w:cs="Times New Roman" w:eastAsia="Times New Roman" w:hAnsi="Times New Roman"/>
          <w:sz w:val="18"/>
          <w:szCs w:val="18"/>
          <w:color w:val="auto"/>
        </w:rPr>
      </w:pPr>
    </w:p>
    <w:p>
      <w:pPr>
        <w:ind w:left="960" w:right="220" w:hanging="322"/>
        <w:spacing w:after="0" w:line="303" w:lineRule="auto"/>
        <w:tabs>
          <w:tab w:leader="none" w:pos="98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6"/>
          <w:szCs w:val="16"/>
          <w:color w:val="auto"/>
        </w:rPr>
      </w:pPr>
    </w:p>
    <w:p>
      <w:pPr>
        <w:ind w:left="320" w:right="40" w:hanging="314"/>
        <w:spacing w:after="0" w:line="256"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Times New Roman" w:cs="Times New Roman" w:eastAsia="Times New Roman" w:hAnsi="Times New Roman"/>
          <w:sz w:val="18"/>
          <w:szCs w:val="18"/>
          <w:color w:val="auto"/>
        </w:rPr>
      </w:pPr>
    </w:p>
    <w:p>
      <w:pPr>
        <w:ind w:left="960" w:right="440" w:hanging="322"/>
        <w:spacing w:after="0" w:line="249" w:lineRule="auto"/>
        <w:tabs>
          <w:tab w:leader="none" w:pos="96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Times New Roman" w:cs="Times New Roman" w:eastAsia="Times New Roman" w:hAnsi="Times New Roman"/>
          <w:sz w:val="18"/>
          <w:szCs w:val="18"/>
          <w:color w:val="auto"/>
        </w:rPr>
      </w:pPr>
    </w:p>
    <w:p>
      <w:pPr>
        <w:ind w:left="960" w:right="800" w:hanging="322"/>
        <w:spacing w:after="0" w:line="269" w:lineRule="auto"/>
        <w:tabs>
          <w:tab w:leader="none" w:pos="9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31203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629920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299200" cy="1651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7" w:lineRule="exact"/>
        <w:rPr>
          <w:sz w:val="20"/>
          <w:szCs w:val="20"/>
          <w:color w:val="auto"/>
        </w:rPr>
      </w:pPr>
    </w:p>
    <w:p>
      <w:pPr>
        <w:ind w:right="80" w:firstLine="632"/>
        <w:spacing w:after="0" w:line="252" w:lineRule="auto"/>
        <w:rPr>
          <w:sz w:val="20"/>
          <w:szCs w:val="20"/>
          <w:color w:val="auto"/>
        </w:rPr>
      </w:pPr>
      <w:r>
        <w:rPr>
          <w:rFonts w:ascii="Times New Roman" w:cs="Times New Roman" w:eastAsia="Times New Roman" w:hAnsi="Times New Roman"/>
          <w:sz w:val="18"/>
          <w:szCs w:val="18"/>
          <w:color w:val="auto"/>
        </w:rPr>
        <w:t>In connection with the accompanying Quarterly Report of Westrock Coffee Company (the “Company”) on Form 10-Q for the period ended September 30, 2024,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71" w:lineRule="exact"/>
        <w:rPr>
          <w:sz w:val="20"/>
          <w:szCs w:val="20"/>
          <w:color w:val="auto"/>
        </w:rPr>
      </w:pPr>
    </w:p>
    <w:p>
      <w:pPr>
        <w:ind w:left="640" w:hanging="31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14" w:lineRule="exact"/>
        <w:rPr>
          <w:rFonts w:ascii="Times New Roman" w:cs="Times New Roman" w:eastAsia="Times New Roman" w:hAnsi="Times New Roman"/>
          <w:sz w:val="18"/>
          <w:szCs w:val="18"/>
          <w:color w:val="auto"/>
        </w:rPr>
      </w:pPr>
    </w:p>
    <w:p>
      <w:pPr>
        <w:ind w:left="640" w:right="120" w:hanging="318"/>
        <w:spacing w:after="0" w:line="269"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30949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629920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299200" cy="1651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7" w:lineRule="exact"/>
        <w:rPr>
          <w:sz w:val="20"/>
          <w:szCs w:val="20"/>
          <w:color w:val="auto"/>
        </w:rPr>
      </w:pPr>
    </w:p>
    <w:p>
      <w:pPr>
        <w:ind w:right="20" w:firstLine="632"/>
        <w:spacing w:after="0" w:line="252" w:lineRule="auto"/>
        <w:rPr>
          <w:sz w:val="20"/>
          <w:szCs w:val="20"/>
          <w:color w:val="auto"/>
        </w:rPr>
      </w:pPr>
      <w:r>
        <w:rPr>
          <w:rFonts w:ascii="Times New Roman" w:cs="Times New Roman" w:eastAsia="Times New Roman" w:hAnsi="Times New Roman"/>
          <w:sz w:val="18"/>
          <w:szCs w:val="18"/>
          <w:color w:val="auto"/>
        </w:rPr>
        <w:t>In connection with the accompanying Quarterly Report of Westrock Coffee Company (the “Company”) on Form 10-Q for the period ended September 30, 2024,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71" w:lineRule="exact"/>
        <w:rPr>
          <w:sz w:val="20"/>
          <w:szCs w:val="20"/>
          <w:color w:val="auto"/>
        </w:rPr>
      </w:pPr>
    </w:p>
    <w:p>
      <w:pPr>
        <w:ind w:left="640" w:hanging="31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14" w:lineRule="exact"/>
        <w:rPr>
          <w:rFonts w:ascii="Times New Roman" w:cs="Times New Roman" w:eastAsia="Times New Roman" w:hAnsi="Times New Roman"/>
          <w:sz w:val="18"/>
          <w:szCs w:val="18"/>
          <w:color w:val="auto"/>
        </w:rPr>
      </w:pPr>
    </w:p>
    <w:p>
      <w:pPr>
        <w:ind w:left="640" w:right="120" w:hanging="318"/>
        <w:spacing w:after="0" w:line="269"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3094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30949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629920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299200" cy="16510"/>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lowerLetter"/>
      <w:start w:val="25"/>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Roman"/>
      <w:start w:val="2"/>
    </w:lvl>
  </w:abstractNum>
  <w:abstractNum w:abstractNumId="9">
    <w:nsid w:val="7FDCC233"/>
    <w:multiLevelType w:val="hybridMultilevel"/>
    <w:lvl w:ilvl="0">
      <w:lvlJc w:val="left"/>
      <w:lvlText w:val="(%1)"/>
      <w:numFmt w:val="lowerRoman"/>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
      <w:numFmt w:val="bullet"/>
      <w:start w:val="1"/>
    </w:lvl>
    <w:lvl w:ilvl="1">
      <w:lvlJc w:val="left"/>
      <w:lvlText w:val="%2"/>
      <w:numFmt w:val="decimal"/>
      <w:start w:val="104"/>
    </w:lvl>
  </w:abstractNum>
  <w:abstractNum w:abstractNumId="14">
    <w:nsid w:val="25E45D32"/>
    <w:multiLevelType w:val="hybridMultilevel"/>
    <w:lvl w:ilvl="0">
      <w:lvlJc w:val="left"/>
      <w:lvlText w:val="**"/>
      <w:numFmt w:val="bullet"/>
      <w:start w:val="1"/>
    </w:lvl>
    <w:lvl w:ilvl="1">
      <w:lvlJc w:val="left"/>
      <w:lvlText w:val="%2"/>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64" Type="http://schemas.openxmlformats.org/officeDocument/2006/relationships/hyperlink" Target="https://www.sec.gov/Archives/edgar/data/1806347/000155837022014048/west-20220630xex3d1.htm" TargetMode="External"/><Relationship Id="rId65" Type="http://schemas.openxmlformats.org/officeDocument/2006/relationships/hyperlink" Target="https://www.sec.gov/Archives/edgar/data/1806347/000155837022014048/west-20220630xex3d2.htm" TargetMode="External"/><Relationship Id="rId66" Type="http://schemas.openxmlformats.org/officeDocument/2006/relationships/hyperlink" Target="https://www.sec.gov/Archives/edgar/data/1806347/000110465924093733/tm2421376d2_ex10-20.htm" TargetMode="External"/><Relationship Id="rId67" Type="http://schemas.openxmlformats.org/officeDocument/2006/relationships/hyperlink" Target="https://www.sec.gov/Archives/edgar/data/1806347/000110465924093733/tm2421376d2_ex10-21.htm" TargetMode="External"/><Relationship Id="rId68" Type="http://schemas.openxmlformats.org/officeDocument/2006/relationships/hyperlink" Target="https://www.sec.gov/Archives/edgar/data/1806347/000110465924104339/tm242518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2024-11-07T16:39:39Z</dcterms:created>
  <dcterms:modified xsi:type="dcterms:W3CDTF">2024-11-07T16:39:39Z</dcterms:modified>
</cp:coreProperties>
</file>