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auto"/>
        </w:rPr>
        <w:t>​</w:t>
      </w:r>
    </w:p>
    <w:p>
      <w:pPr>
        <w:spacing w:after="0" w:line="200" w:lineRule="exact"/>
        <w:rPr>
          <w:sz w:val="24"/>
          <w:szCs w:val="24"/>
          <w:color w:val="auto"/>
        </w:rPr>
      </w:pPr>
    </w:p>
    <w:p>
      <w:pPr>
        <w:spacing w:after="0" w:line="28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5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219075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25"/>
          <w:szCs w:val="25"/>
          <w:b w:val="1"/>
          <w:bCs w:val="1"/>
          <w:color w:val="auto"/>
        </w:rPr>
        <w:t>SCHEDULE TO</w:t>
      </w:r>
      <w:r>
        <w:rPr>
          <w:rFonts w:ascii="Times New Roman" w:cs="Times New Roman" w:eastAsia="Times New Roman" w:hAnsi="Times New Roman"/>
          <w:sz w:val="17"/>
          <w:szCs w:val="17"/>
          <w:b w:val="1"/>
          <w:bCs w:val="1"/>
          <w:color w:val="auto"/>
        </w:rPr>
        <w:t>​</w:t>
      </w:r>
    </w:p>
    <w:p>
      <w:pPr>
        <w:spacing w:after="0" w:line="70"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20"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20"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225425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WESTROCK COFFEE COMPANY</w:t>
      </w:r>
    </w:p>
    <w:p>
      <w:pPr>
        <w:spacing w:after="0" w:line="1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4"/>
          <w:szCs w:val="14"/>
          <w:color w:val="auto"/>
        </w:rPr>
        <w:t>(Name of Subject Company and Filing Person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210820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both"/>
        <w:ind w:left="1260"/>
        <w:spacing w:after="0"/>
        <w:tabs>
          <w:tab w:leader="none" w:pos="2180" w:val="left"/>
          <w:tab w:leader="none" w:pos="5300" w:val="left"/>
          <w:tab w:leader="none" w:pos="9440" w:val="left"/>
        </w:tabs>
        <w:rPr>
          <w:sz w:val="20"/>
          <w:szCs w:val="20"/>
          <w:color w:val="auto"/>
        </w:rPr>
      </w:pPr>
      <w:r>
        <w:rPr>
          <w:rFonts w:ascii="Times New Roman" w:cs="Times New Roman" w:eastAsia="Times New Roman" w:hAnsi="Times New Roman"/>
          <w:sz w:val="17"/>
          <w:szCs w:val="17"/>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Warrants to Acquire Shares of</w:t>
      </w:r>
      <w:r>
        <w:rPr>
          <w:sz w:val="20"/>
          <w:szCs w:val="20"/>
          <w:color w:val="auto"/>
        </w:rPr>
        <w:tab/>
      </w:r>
      <w:r>
        <w:rPr>
          <w:rFonts w:ascii="Times New Roman" w:cs="Times New Roman" w:eastAsia="Times New Roman" w:hAnsi="Times New Roman"/>
          <w:sz w:val="17"/>
          <w:szCs w:val="17"/>
          <w:b w:val="1"/>
          <w:bCs w:val="1"/>
          <w:color w:val="auto"/>
        </w:rPr>
        <w:t>​ ​</w:t>
      </w:r>
      <w:r>
        <w:rPr>
          <w:sz w:val="20"/>
          <w:szCs w:val="20"/>
          <w:color w:val="auto"/>
        </w:rPr>
        <w:tab/>
      </w:r>
      <w:r>
        <w:rPr>
          <w:rFonts w:ascii="Times New Roman" w:cs="Times New Roman" w:eastAsia="Times New Roman" w:hAnsi="Times New Roman"/>
          <w:sz w:val="17"/>
          <w:szCs w:val="17"/>
          <w:b w:val="1"/>
          <w:bCs w:val="1"/>
          <w:color w:val="auto"/>
        </w:rPr>
        <w:t>​</w:t>
      </w:r>
    </w:p>
    <w:p>
      <w:pPr>
        <w:ind w:left="2740"/>
        <w:spacing w:after="0"/>
        <w:tabs>
          <w:tab w:leader="none" w:pos="6500" w:val="left"/>
        </w:tabs>
        <w:rPr>
          <w:sz w:val="20"/>
          <w:szCs w:val="20"/>
          <w:color w:val="auto"/>
        </w:rPr>
      </w:pPr>
      <w:r>
        <w:rPr>
          <w:rFonts w:ascii="Times New Roman" w:cs="Times New Roman" w:eastAsia="Times New Roman" w:hAnsi="Times New Roman"/>
          <w:sz w:val="17"/>
          <w:szCs w:val="17"/>
          <w:b w:val="1"/>
          <w:bCs w:val="1"/>
          <w:color w:val="auto"/>
        </w:rPr>
        <w:t>Common Stock</w:t>
      </w:r>
      <w:r>
        <w:rPr>
          <w:sz w:val="20"/>
          <w:szCs w:val="20"/>
          <w:color w:val="auto"/>
        </w:rPr>
        <w:tab/>
      </w:r>
      <w:r>
        <w:rPr>
          <w:rFonts w:ascii="Times New Roman" w:cs="Times New Roman" w:eastAsia="Times New Roman" w:hAnsi="Times New Roman"/>
          <w:sz w:val="14"/>
          <w:szCs w:val="14"/>
          <w:b w:val="1"/>
          <w:bCs w:val="1"/>
          <w:color w:val="auto"/>
        </w:rPr>
        <w:t>96145W111 and 96145W129</w:t>
      </w:r>
    </w:p>
    <w:p>
      <w:pPr>
        <w:ind w:left="2400"/>
        <w:spacing w:after="0"/>
        <w:tabs>
          <w:tab w:leader="none" w:pos="6260" w:val="left"/>
        </w:tabs>
        <w:rPr>
          <w:sz w:val="20"/>
          <w:szCs w:val="20"/>
          <w:color w:val="auto"/>
        </w:rPr>
      </w:pPr>
      <w:r>
        <w:rPr>
          <w:rFonts w:ascii="Times New Roman" w:cs="Times New Roman" w:eastAsia="Times New Roman" w:hAnsi="Times New Roman"/>
          <w:sz w:val="14"/>
          <w:szCs w:val="14"/>
          <w:color w:val="auto"/>
        </w:rPr>
        <w:t>(Title of Class of Securities)</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4"/>
          <w:szCs w:val="14"/>
          <w:color w:val="auto"/>
        </w:rPr>
        <w:t>(CUSIP Number of Class of Securities)</w:t>
      </w:r>
    </w:p>
    <w:p>
      <w:pPr>
        <w:spacing w:after="0" w:line="21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Robert P. McKinney</w:t>
      </w:r>
    </w:p>
    <w:p>
      <w:pPr>
        <w:spacing w:after="0" w:line="15"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4009 N. Rodney Parham Rd.</w:t>
      </w: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4th Floor</w:t>
      </w:r>
    </w:p>
    <w:p>
      <w:pPr>
        <w:spacing w:after="0" w:line="5" w:lineRule="exact"/>
        <w:rPr>
          <w:sz w:val="24"/>
          <w:szCs w:val="24"/>
          <w:color w:val="auto"/>
        </w:rPr>
      </w:pPr>
    </w:p>
    <w:p>
      <w:pPr>
        <w:jc w:val="right"/>
        <w:ind w:right="3499"/>
        <w:spacing w:after="0"/>
        <w:rPr>
          <w:sz w:val="20"/>
          <w:szCs w:val="20"/>
          <w:color w:val="auto"/>
        </w:rPr>
      </w:pPr>
      <w:r>
        <w:rPr>
          <w:rFonts w:ascii="Times New Roman" w:cs="Times New Roman" w:eastAsia="Times New Roman" w:hAnsi="Times New Roman"/>
          <w:sz w:val="18"/>
          <w:szCs w:val="18"/>
          <w:b w:val="1"/>
          <w:bCs w:val="1"/>
          <w:color w:val="auto"/>
        </w:rPr>
        <w:t>Little Rock, Arkansas 72212</w:t>
      </w:r>
    </w:p>
    <w:p>
      <w:pPr>
        <w:jc w:val="right"/>
        <w:ind w:right="3559"/>
        <w:spacing w:after="0"/>
        <w:rPr>
          <w:sz w:val="20"/>
          <w:szCs w:val="20"/>
          <w:color w:val="auto"/>
        </w:rPr>
      </w:pPr>
      <w:r>
        <w:rPr>
          <w:rFonts w:ascii="Times New Roman" w:cs="Times New Roman" w:eastAsia="Times New Roman" w:hAnsi="Times New Roman"/>
          <w:sz w:val="18"/>
          <w:szCs w:val="18"/>
          <w:b w:val="1"/>
          <w:bCs w:val="1"/>
          <w:color w:val="auto"/>
        </w:rPr>
        <w:t>Telephone: (501) 918-9358</w:t>
      </w:r>
    </w:p>
    <w:p>
      <w:pPr>
        <w:spacing w:after="0" w:line="25"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4"/>
          <w:szCs w:val="14"/>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229235</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i w:val="1"/>
          <w:iCs w:val="1"/>
          <w:color w:val="auto"/>
        </w:rPr>
        <w:t>Copies of communications to:</w:t>
      </w:r>
    </w:p>
    <w:p>
      <w:pPr>
        <w:spacing w:after="0" w:line="15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Brandon C. Price, Esq.</w:t>
      </w:r>
    </w:p>
    <w:p>
      <w:pPr>
        <w:spacing w:after="0" w:line="20"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Wachtell, Lipton, Rosen &amp; Katz</w:t>
      </w:r>
    </w:p>
    <w:p>
      <w:pPr>
        <w:spacing w:after="0" w:line="5"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51 West 52nd Street</w:t>
      </w:r>
    </w:p>
    <w:p>
      <w:pPr>
        <w:jc w:val="center"/>
        <w:ind w:right="-800"/>
        <w:spacing w:after="0" w:line="234" w:lineRule="auto"/>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Telephone: (212) 403-1000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219075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left="1980" w:right="419" w:hanging="360"/>
        <w:spacing w:after="0" w:line="282" w:lineRule="auto"/>
        <w:tabs>
          <w:tab w:leader="none" w:pos="1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before the commencement of a tender offer.</w:t>
      </w:r>
    </w:p>
    <w:p>
      <w:pPr>
        <w:spacing w:after="0" w:line="9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144" w:lineRule="exact"/>
        <w:rPr>
          <w:sz w:val="24"/>
          <w:szCs w:val="24"/>
          <w:color w:val="auto"/>
        </w:rPr>
      </w:pPr>
    </w:p>
    <w:p>
      <w:pPr>
        <w:ind w:left="1980" w:hanging="360"/>
        <w:spacing w:after="0"/>
        <w:tabs>
          <w:tab w:leader="none" w:pos="1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144" w:lineRule="exact"/>
        <w:rPr>
          <w:sz w:val="24"/>
          <w:szCs w:val="24"/>
          <w:color w:val="auto"/>
        </w:rPr>
      </w:pPr>
    </w:p>
    <w:p>
      <w:pPr>
        <w:ind w:left="1980" w:hanging="360"/>
        <w:spacing w:after="0"/>
        <w:tabs>
          <w:tab w:leader="none" w:pos="19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144" w:lineRule="exact"/>
        <w:rPr>
          <w:sz w:val="24"/>
          <w:szCs w:val="24"/>
          <w:color w:val="auto"/>
        </w:rPr>
      </w:pPr>
    </w:p>
    <w:p>
      <w:pPr>
        <w:ind w:left="1980" w:hanging="360"/>
        <w:spacing w:after="0"/>
        <w:tabs>
          <w:tab w:leader="none" w:pos="19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144" w:lineRule="exact"/>
        <w:rPr>
          <w:rFonts w:ascii="MS PGothic" w:cs="MS PGothic" w:eastAsia="MS PGothic" w:hAnsi="MS PGothic"/>
          <w:sz w:val="18"/>
          <w:szCs w:val="18"/>
          <w:color w:val="auto"/>
        </w:rPr>
      </w:pPr>
    </w:p>
    <w:p>
      <w:pPr>
        <w:ind w:left="1980" w:hanging="360"/>
        <w:spacing w:after="0"/>
        <w:tabs>
          <w:tab w:leader="none" w:pos="19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17"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19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44" w:lineRule="exact"/>
        <w:rPr>
          <w:sz w:val="24"/>
          <w:szCs w:val="24"/>
          <w:color w:val="auto"/>
        </w:rPr>
      </w:pPr>
    </w:p>
    <w:p>
      <w:pPr>
        <w:ind w:left="1980" w:hanging="360"/>
        <w:spacing w:after="0"/>
        <w:tabs>
          <w:tab w:leader="none" w:pos="19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144" w:lineRule="exact"/>
        <w:rPr>
          <w:rFonts w:ascii="MS PGothic" w:cs="MS PGothic" w:eastAsia="MS PGothic" w:hAnsi="MS PGothic"/>
          <w:sz w:val="18"/>
          <w:szCs w:val="18"/>
          <w:color w:val="auto"/>
        </w:rPr>
      </w:pPr>
    </w:p>
    <w:p>
      <w:pPr>
        <w:ind w:left="1980" w:hanging="360"/>
        <w:spacing w:after="0"/>
        <w:tabs>
          <w:tab w:leader="none" w:pos="19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137160</wp:posOffset>
            </wp:positionV>
            <wp:extent cx="5212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This Amendment No. 1 amends and supplements the Tender Offer Statement on Schedule TO filed by Westrock Coffee Company, a Delaware corporation (the “Company,” “us,” or “we”), with the U.S. Securities and Exchange Commission (“the SEC”) on August 28, 2024 (as so amended, this “Schedule TO”). This Schedule TO relates to an offer by the Company to all holders of the Company’s warrants, including the public warrants and the private placement warrants to purchase shares of the Company’s common stock, par value $0.01 per share (“common shares”), to receive 0.290 common shares in exchange for each outstanding warrant tendered by the holder and exchanged pursuant to the offer (the “Offer”).</w:t>
      </w:r>
    </w:p>
    <w:p>
      <w:pPr>
        <w:spacing w:after="0" w:line="12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Concurrently with the Offer, we are also soliciting consents (the “Consent Solicitation”) from holders of the warrants to amend that certain amended and restated warrant agreement, dated as of August 25, 2022, by and between the Company and Computershare Inc., a Delaware corporation, and its affiliate, Computershare Trust Company, N.A., a federally chartered trust company, as warrant agent, to permit the Company to require that each (x) public warrant that is outstanding upon the closing of the Offer be exchanged for 0.261 common shares, which is a ratio 10% less than the exchange ratio applicable to the Offer and (y) that each private placement warrant that is outstanding upon the closing of the Offer be exchanged for 0.261 common shares, which is a ratio 10% less than the exchange ratio applicable to the Offer.</w:t>
      </w:r>
    </w:p>
    <w:p>
      <w:pPr>
        <w:spacing w:after="0" w:line="340"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On September 6, 2024, the Company filed an amendment to its Registration Statement on Form S-4 relating to the Offer and Consent Solicitation. This Amendment No. 1 is being filed to replace the Prospectus/​Offer to Exchange which was attached as Exhibit (a)(1)(A) to the original Schedule TO filed on August 28, 2024.</w:t>
      </w:r>
    </w:p>
    <w:p>
      <w:pPr>
        <w:spacing w:after="0" w:line="99"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This Amendment No. 1 shall be read together with the Schedule TO. Except as specifically provided herein, this Amendment No. 1 does not modify any of the information previously reported on the Schedule TO.</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12. Exhibits.</w:t>
      </w:r>
    </w:p>
    <w:p>
      <w:pPr>
        <w:spacing w:after="0" w:line="158" w:lineRule="exact"/>
        <w:rPr>
          <w:sz w:val="20"/>
          <w:szCs w:val="20"/>
          <w:color w:val="auto"/>
        </w:rPr>
      </w:pPr>
    </w:p>
    <w:p>
      <w:pPr>
        <w:ind w:left="1980" w:hanging="360"/>
        <w:spacing w:after="0"/>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Exhibits.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Item 12(a) of the Schedule TO is amended by replacing Exhibit (a)(1)(A) with the following exhibit:</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365"/>
        </w:trPr>
        <w:tc>
          <w:tcPr>
            <w:tcW w:w="780" w:type="dxa"/>
            <w:vAlign w:val="bottom"/>
            <w:gridSpan w:val="2"/>
          </w:tcPr>
          <w:p>
            <w:pPr>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Exhibit No. </w:t>
            </w:r>
            <w:r>
              <w:rPr>
                <w:rFonts w:ascii="Times New Roman" w:cs="Times New Roman" w:eastAsia="Times New Roman" w:hAnsi="Times New Roman"/>
                <w:sz w:val="28"/>
                <w:szCs w:val="28"/>
                <w:b w:val="1"/>
                <w:bCs w:val="1"/>
                <w:color w:val="auto"/>
                <w:vertAlign w:val="subscript"/>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300" w:type="dxa"/>
            <w:vAlign w:val="bottom"/>
            <w:gridSpan w:val="2"/>
          </w:tcPr>
          <w:p>
            <w:pPr>
              <w:ind w:left="3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5"/>
        </w:trPr>
        <w:tc>
          <w:tcPr>
            <w:tcW w:w="68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w:t>
            </w:r>
          </w:p>
        </w:tc>
        <w:tc>
          <w:tcPr>
            <w:tcW w:w="7100" w:type="dxa"/>
            <w:vAlign w:val="bottom"/>
            <w:tcBorders>
              <w:top w:val="single" w:sz="8" w:color="auto"/>
            </w:tcBorders>
            <w:vMerge w:val="restart"/>
          </w:tcPr>
          <w:p>
            <w:pPr>
              <w:spacing w:after="0" w:line="19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Prospectus/Offer to Exchange (incorporated by reference to the Prospectus/Offer to Exchange</w:t>
              </w:r>
            </w:hyperlink>
          </w:p>
        </w:tc>
        <w:tc>
          <w:tcPr>
            <w:tcW w:w="200" w:type="dxa"/>
            <w:vAlign w:val="bottom"/>
            <w:tcBorders>
              <w:top w:val="single" w:sz="8" w:color="auto"/>
            </w:tcBorders>
            <w:vMerge w:val="restart"/>
          </w:tcPr>
          <w:p>
            <w:pPr>
              <w:spacing w:after="0"/>
              <w:rPr>
                <w:sz w:val="13"/>
                <w:szCs w:val="13"/>
                <w:color w:val="auto"/>
              </w:rPr>
            </w:pPr>
          </w:p>
        </w:tc>
        <w:tc>
          <w:tcPr>
            <w:tcW w:w="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
        </w:trPr>
        <w:tc>
          <w:tcPr>
            <w:tcW w:w="680" w:type="dxa"/>
            <w:vAlign w:val="bottom"/>
          </w:tcPr>
          <w:p>
            <w:pPr>
              <w:spacing w:after="0" w:line="41" w:lineRule="exact"/>
              <w:rPr>
                <w:sz w:val="20"/>
                <w:szCs w:val="20"/>
                <w:color w:val="auto"/>
              </w:rPr>
            </w:pPr>
            <w:r>
              <w:rPr>
                <w:rFonts w:ascii="Times New Roman" w:cs="Times New Roman" w:eastAsia="Times New Roman" w:hAnsi="Times New Roman"/>
                <w:sz w:val="4"/>
                <w:szCs w:val="4"/>
                <w:color w:val="auto"/>
              </w:rPr>
              <w:t>(a)(l)(A)</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100" w:type="dxa"/>
            <w:vAlign w:val="bottom"/>
            <w:tcBorders>
              <w:bottom w:val="single" w:sz="8" w:color="0000EE"/>
            </w:tcBorders>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160" w:right="479"/>
        <w:spacing w:after="0" w:line="282" w:lineRule="auto"/>
        <w:rPr>
          <w:rFonts w:ascii="Times New Roman" w:cs="Times New Roman" w:eastAsia="Times New Roman" w:hAnsi="Times New Roman"/>
          <w:sz w:val="18"/>
          <w:szCs w:val="18"/>
          <w:u w:val="single" w:color="auto"/>
          <w:color w:val="0000EE"/>
        </w:rPr>
      </w:pPr>
      <w:hyperlink r:id="rId16">
        <w:r>
          <w:rPr>
            <w:rFonts w:ascii="Times New Roman" w:cs="Times New Roman" w:eastAsia="Times New Roman" w:hAnsi="Times New Roman"/>
            <w:sz w:val="18"/>
            <w:szCs w:val="18"/>
            <w:u w:val="single" w:color="auto"/>
            <w:color w:val="0000EE"/>
          </w:rPr>
          <w:t>that is included in Westrock Coffee Company’s Amendment No. 1 to the Registration Statement</w:t>
        </w:r>
      </w:hyperlink>
      <w:r>
        <w:rPr>
          <w:rFonts w:ascii="Times New Roman" w:cs="Times New Roman" w:eastAsia="Times New Roman" w:hAnsi="Times New Roman"/>
          <w:sz w:val="18"/>
          <w:szCs w:val="18"/>
          <w:u w:val="single" w:color="auto"/>
          <w:color w:val="0000EE"/>
        </w:rPr>
        <w:t xml:space="preserve"> </w:t>
      </w:r>
      <w:hyperlink r:id="rId16">
        <w:r>
          <w:rPr>
            <w:rFonts w:ascii="Times New Roman" w:cs="Times New Roman" w:eastAsia="Times New Roman" w:hAnsi="Times New Roman"/>
            <w:sz w:val="18"/>
            <w:szCs w:val="18"/>
            <w:u w:val="single" w:color="auto"/>
            <w:color w:val="0000EE"/>
          </w:rPr>
          <w:t>on Form S-4, filed with the SEC on September 6, 2024).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200" w:lineRule="exact"/>
        <w:rPr>
          <w:sz w:val="20"/>
          <w:szCs w:val="20"/>
          <w:color w:val="auto"/>
        </w:rPr>
      </w:pPr>
    </w:p>
    <w:p>
      <w:pPr>
        <w:spacing w:after="0" w:line="245" w:lineRule="exact"/>
        <w:rPr>
          <w:sz w:val="20"/>
          <w:szCs w:val="20"/>
          <w:color w:val="auto"/>
        </w:rPr>
      </w:pPr>
    </w:p>
    <w:p>
      <w:pPr>
        <w:ind w:left="5220"/>
        <w:spacing w:after="0"/>
        <w:tabs>
          <w:tab w:leader="none" w:pos="5640" w:val="left"/>
        </w:tabs>
        <w:rPr>
          <w:sz w:val="20"/>
          <w:szCs w:val="20"/>
          <w:color w:val="auto"/>
        </w:rPr>
      </w:pPr>
      <w:r>
        <w:rPr>
          <w:rFonts w:ascii="Times New Roman" w:cs="Times New Roman" w:eastAsia="Times New Roman" w:hAnsi="Times New Roman"/>
          <w:sz w:val="18"/>
          <w:szCs w:val="18"/>
          <w:color w:val="auto"/>
        </w:rPr>
        <w:t>By:</w:t>
        <w:tab/>
        <w:t>/s/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51435</wp:posOffset>
            </wp:positionV>
            <wp:extent cx="2425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84" w:lineRule="exact"/>
        <w:rPr>
          <w:sz w:val="20"/>
          <w:szCs w:val="20"/>
          <w:color w:val="auto"/>
        </w:rPr>
      </w:pPr>
    </w:p>
    <w:p>
      <w:pPr>
        <w:ind w:left="5660"/>
        <w:spacing w:after="0"/>
        <w:tabs>
          <w:tab w:leader="none" w:pos="6280" w:val="left"/>
        </w:tabs>
        <w:rPr>
          <w:sz w:val="20"/>
          <w:szCs w:val="20"/>
          <w:color w:val="auto"/>
        </w:rPr>
      </w:pPr>
      <w:r>
        <w:rPr>
          <w:rFonts w:ascii="Times New Roman" w:cs="Times New Roman" w:eastAsia="Times New Roman" w:hAnsi="Times New Roman"/>
          <w:sz w:val="18"/>
          <w:szCs w:val="18"/>
          <w:color w:val="auto"/>
        </w:rPr>
        <w:t>Name:</w:t>
        <w:tab/>
        <w:t>T. Christopher Pledger</w:t>
      </w:r>
    </w:p>
    <w:p>
      <w:pPr>
        <w:spacing w:after="0" w:line="27" w:lineRule="exact"/>
        <w:rPr>
          <w:sz w:val="20"/>
          <w:szCs w:val="20"/>
          <w:color w:val="auto"/>
        </w:rPr>
      </w:pPr>
    </w:p>
    <w:p>
      <w:pPr>
        <w:ind w:left="564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Dated: September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6" Type="http://schemas.openxmlformats.org/officeDocument/2006/relationships/hyperlink" Target="https://www.sec.gov/Archives/edgar/data/1806347/000110465924097571/tm2421376-3_s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2024-09-06T07:23:25Z</dcterms:created>
  <dcterms:modified xsi:type="dcterms:W3CDTF">2024-09-06T07:23:25Z</dcterms:modified>
</cp:coreProperties>
</file>