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99060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04" w:lineRule="exact"/>
        <w:rPr>
          <w:sz w:val="24"/>
          <w:szCs w:val="24"/>
          <w:color w:val="auto"/>
        </w:rPr>
      </w:pPr>
    </w:p>
    <w:p>
      <w:pPr>
        <w:ind w:left="660" w:hanging="326"/>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82"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660" w:hanging="326"/>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128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4400" w:type="dxa"/>
            <w:vAlign w:val="bottom"/>
            <w:gridSpan w:val="3"/>
          </w:tcPr>
          <w:p>
            <w:pPr>
              <w:ind w:left="120"/>
              <w:spacing w:after="0"/>
              <w:rPr>
                <w:sz w:val="20"/>
                <w:szCs w:val="20"/>
                <w:color w:val="auto"/>
              </w:rPr>
            </w:pPr>
            <w:r>
              <w:rPr>
                <w:rFonts w:ascii="Arial" w:cs="Arial" w:eastAsia="Arial" w:hAnsi="Arial"/>
                <w:sz w:val="14"/>
                <w:szCs w:val="14"/>
                <w:b w:val="1"/>
                <w:bCs w:val="1"/>
                <w:color w:val="auto"/>
              </w:rPr>
              <w:t>For the transition period from _____ to _____.</w:t>
            </w:r>
          </w:p>
        </w:tc>
      </w:tr>
      <w:tr>
        <w:trPr>
          <w:trHeight w:val="243"/>
        </w:trPr>
        <w:tc>
          <w:tcPr>
            <w:tcW w:w="2560" w:type="dxa"/>
            <w:vAlign w:val="bottom"/>
          </w:tcPr>
          <w:p>
            <w:pPr>
              <w:spacing w:after="0"/>
              <w:rPr>
                <w:sz w:val="21"/>
                <w:szCs w:val="21"/>
                <w:color w:val="auto"/>
              </w:rPr>
            </w:pPr>
          </w:p>
        </w:tc>
        <w:tc>
          <w:tcPr>
            <w:tcW w:w="3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Commission File Number: 001-41485</w:t>
            </w:r>
          </w:p>
        </w:tc>
        <w:tc>
          <w:tcPr>
            <w:tcW w:w="1340" w:type="dxa"/>
            <w:vAlign w:val="bottom"/>
          </w:tcPr>
          <w:p>
            <w:pPr>
              <w:spacing w:after="0"/>
              <w:rPr>
                <w:sz w:val="21"/>
                <w:szCs w:val="21"/>
                <w:color w:val="auto"/>
              </w:rPr>
            </w:pPr>
          </w:p>
        </w:tc>
      </w:tr>
      <w:tr>
        <w:trPr>
          <w:trHeight w:val="174"/>
        </w:trPr>
        <w:tc>
          <w:tcPr>
            <w:tcW w:w="2560" w:type="dxa"/>
            <w:vAlign w:val="bottom"/>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840" w:type="dxa"/>
            <w:vAlign w:val="bottom"/>
            <w:gridSpan w:val="2"/>
          </w:tcPr>
          <w:p>
            <w:pPr>
              <w:spacing w:after="0"/>
              <w:rPr>
                <w:sz w:val="15"/>
                <w:szCs w:val="15"/>
                <w:color w:val="auto"/>
              </w:rPr>
            </w:pPr>
          </w:p>
        </w:tc>
      </w:tr>
      <w:tr>
        <w:trPr>
          <w:trHeight w:val="447"/>
        </w:trPr>
        <w:tc>
          <w:tcPr>
            <w:tcW w:w="6960" w:type="dxa"/>
            <w:vAlign w:val="bottom"/>
            <w:gridSpan w:val="4"/>
          </w:tcPr>
          <w:p>
            <w:pPr>
              <w:jc w:val="center"/>
              <w:ind w:left="665"/>
              <w:spacing w:after="0"/>
              <w:rPr>
                <w:sz w:val="20"/>
                <w:szCs w:val="20"/>
                <w:color w:val="auto"/>
              </w:rPr>
            </w:pPr>
            <w:r>
              <w:rPr>
                <w:rFonts w:ascii="Arial" w:cs="Arial" w:eastAsia="Arial" w:hAnsi="Arial"/>
                <w:sz w:val="27"/>
                <w:szCs w:val="27"/>
                <w:b w:val="1"/>
                <w:bCs w:val="1"/>
                <w:color w:val="auto"/>
                <w:w w:val="99"/>
              </w:rPr>
              <w:t>WESTROCK COFFEE COMPANY</w:t>
            </w:r>
          </w:p>
        </w:tc>
      </w:tr>
      <w:tr>
        <w:trPr>
          <w:trHeight w:val="182"/>
        </w:trPr>
        <w:tc>
          <w:tcPr>
            <w:tcW w:w="5620" w:type="dxa"/>
            <w:vAlign w:val="bottom"/>
            <w:gridSpan w:val="3"/>
          </w:tcPr>
          <w:p>
            <w:pPr>
              <w:jc w:val="center"/>
              <w:ind w:left="1985"/>
              <w:spacing w:after="0"/>
              <w:rPr>
                <w:sz w:val="20"/>
                <w:szCs w:val="20"/>
                <w:color w:val="auto"/>
              </w:rPr>
            </w:pPr>
            <w:r>
              <w:rPr>
                <w:rFonts w:ascii="Arial" w:cs="Arial" w:eastAsia="Arial" w:hAnsi="Arial"/>
                <w:sz w:val="14"/>
                <w:szCs w:val="14"/>
                <w:color w:val="auto"/>
                <w:w w:val="99"/>
              </w:rPr>
              <w:t>(Exact Name of Registrant as Specified in Its Charter)</w:t>
            </w:r>
          </w:p>
        </w:tc>
        <w:tc>
          <w:tcPr>
            <w:tcW w:w="1340" w:type="dxa"/>
            <w:vAlign w:val="bottom"/>
          </w:tcPr>
          <w:p>
            <w:pPr>
              <w:spacing w:after="0"/>
              <w:rPr>
                <w:sz w:val="15"/>
                <w:szCs w:val="15"/>
                <w:color w:val="auto"/>
              </w:rPr>
            </w:pPr>
          </w:p>
        </w:tc>
      </w:tr>
      <w:tr>
        <w:trPr>
          <w:trHeight w:val="257"/>
        </w:trPr>
        <w:tc>
          <w:tcPr>
            <w:tcW w:w="5620" w:type="dxa"/>
            <w:vAlign w:val="bottom"/>
            <w:gridSpan w:val="3"/>
          </w:tcPr>
          <w:p>
            <w:pPr>
              <w:jc w:val="center"/>
              <w:ind w:right="2960"/>
              <w:spacing w:after="0"/>
              <w:rPr>
                <w:sz w:val="20"/>
                <w:szCs w:val="20"/>
                <w:color w:val="auto"/>
              </w:rPr>
            </w:pPr>
            <w:r>
              <w:rPr>
                <w:rFonts w:ascii="Arial" w:cs="Arial" w:eastAsia="Arial" w:hAnsi="Arial"/>
                <w:sz w:val="14"/>
                <w:szCs w:val="14"/>
                <w:b w:val="1"/>
                <w:bCs w:val="1"/>
                <w:color w:val="auto"/>
              </w:rPr>
              <w:t>Delaware</w:t>
            </w:r>
          </w:p>
        </w:tc>
        <w:tc>
          <w:tcPr>
            <w:tcW w:w="1340" w:type="dxa"/>
            <w:vAlign w:val="bottom"/>
          </w:tcPr>
          <w:p>
            <w:pPr>
              <w:jc w:val="right"/>
              <w:ind w:right="153"/>
              <w:spacing w:after="0"/>
              <w:rPr>
                <w:sz w:val="20"/>
                <w:szCs w:val="20"/>
                <w:color w:val="auto"/>
              </w:rPr>
            </w:pPr>
            <w:r>
              <w:rPr>
                <w:rFonts w:ascii="Arial" w:cs="Arial" w:eastAsia="Arial" w:hAnsi="Arial"/>
                <w:sz w:val="14"/>
                <w:szCs w:val="14"/>
                <w:b w:val="1"/>
                <w:bCs w:val="1"/>
                <w:color w:val="auto"/>
              </w:rPr>
              <w:t>80-0977200</w:t>
            </w:r>
          </w:p>
        </w:tc>
      </w:tr>
      <w:tr>
        <w:trPr>
          <w:trHeight w:val="185"/>
        </w:trPr>
        <w:tc>
          <w:tcPr>
            <w:tcW w:w="5620" w:type="dxa"/>
            <w:vAlign w:val="bottom"/>
            <w:gridSpan w:val="3"/>
          </w:tcPr>
          <w:p>
            <w:pPr>
              <w:jc w:val="center"/>
              <w:ind w:right="2940"/>
              <w:spacing w:after="0"/>
              <w:rPr>
                <w:sz w:val="20"/>
                <w:szCs w:val="20"/>
                <w:color w:val="auto"/>
              </w:rPr>
            </w:pPr>
            <w:r>
              <w:rPr>
                <w:rFonts w:ascii="Arial" w:cs="Arial" w:eastAsia="Arial" w:hAnsi="Arial"/>
                <w:sz w:val="13"/>
                <w:szCs w:val="13"/>
                <w:color w:val="auto"/>
                <w:w w:val="92"/>
              </w:rPr>
              <w:t>(State or Other Jurisdiction of</w:t>
            </w:r>
          </w:p>
        </w:tc>
        <w:tc>
          <w:tcPr>
            <w:tcW w:w="1340" w:type="dxa"/>
            <w:vAlign w:val="bottom"/>
          </w:tcPr>
          <w:p>
            <w:pPr>
              <w:jc w:val="center"/>
              <w:ind w:left="53"/>
              <w:spacing w:after="0"/>
              <w:rPr>
                <w:sz w:val="20"/>
                <w:szCs w:val="20"/>
                <w:color w:val="auto"/>
              </w:rPr>
            </w:pPr>
            <w:r>
              <w:rPr>
                <w:rFonts w:ascii="Arial" w:cs="Arial" w:eastAsia="Arial" w:hAnsi="Arial"/>
                <w:sz w:val="13"/>
                <w:szCs w:val="13"/>
                <w:color w:val="auto"/>
                <w:w w:val="90"/>
              </w:rPr>
              <w:t>(I.R.S. Employer</w:t>
            </w:r>
          </w:p>
        </w:tc>
      </w:tr>
      <w:tr>
        <w:trPr>
          <w:trHeight w:val="162"/>
        </w:trPr>
        <w:tc>
          <w:tcPr>
            <w:tcW w:w="5620" w:type="dxa"/>
            <w:vAlign w:val="bottom"/>
            <w:gridSpan w:val="3"/>
          </w:tcPr>
          <w:p>
            <w:pPr>
              <w:jc w:val="center"/>
              <w:ind w:right="2940"/>
              <w:spacing w:after="0"/>
              <w:rPr>
                <w:sz w:val="20"/>
                <w:szCs w:val="20"/>
                <w:color w:val="auto"/>
              </w:rPr>
            </w:pPr>
            <w:r>
              <w:rPr>
                <w:rFonts w:ascii="Arial" w:cs="Arial" w:eastAsia="Arial" w:hAnsi="Arial"/>
                <w:sz w:val="13"/>
                <w:szCs w:val="13"/>
                <w:color w:val="auto"/>
                <w:w w:val="92"/>
              </w:rPr>
              <w:t>Incorporation or Organization)</w:t>
            </w:r>
          </w:p>
        </w:tc>
        <w:tc>
          <w:tcPr>
            <w:tcW w:w="1340" w:type="dxa"/>
            <w:vAlign w:val="bottom"/>
          </w:tcPr>
          <w:p>
            <w:pPr>
              <w:jc w:val="center"/>
              <w:ind w:left="53"/>
              <w:spacing w:after="0"/>
              <w:rPr>
                <w:sz w:val="20"/>
                <w:szCs w:val="20"/>
                <w:color w:val="auto"/>
              </w:rPr>
            </w:pPr>
            <w:r>
              <w:rPr>
                <w:rFonts w:ascii="Arial" w:cs="Arial" w:eastAsia="Arial" w:hAnsi="Arial"/>
                <w:sz w:val="13"/>
                <w:szCs w:val="13"/>
                <w:color w:val="auto"/>
                <w:w w:val="95"/>
              </w:rPr>
              <w:t>Identification Number)</w:t>
            </w:r>
          </w:p>
        </w:tc>
      </w:tr>
      <w:tr>
        <w:trPr>
          <w:trHeight w:val="304"/>
        </w:trPr>
        <w:tc>
          <w:tcPr>
            <w:tcW w:w="56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rPr>
              <w:t>4009 N. Rodney Parham Road, 3</w:t>
            </w:r>
            <w:r>
              <w:rPr>
                <w:rFonts w:ascii="Arial" w:cs="Arial" w:eastAsia="Arial" w:hAnsi="Arial"/>
                <w:sz w:val="21"/>
                <w:szCs w:val="21"/>
                <w:b w:val="1"/>
                <w:bCs w:val="1"/>
                <w:color w:val="auto"/>
                <w:vertAlign w:val="superscript"/>
              </w:rPr>
              <w:t>rd</w:t>
            </w:r>
            <w:r>
              <w:rPr>
                <w:rFonts w:ascii="Arial" w:cs="Arial" w:eastAsia="Arial" w:hAnsi="Arial"/>
                <w:sz w:val="14"/>
                <w:szCs w:val="14"/>
                <w:b w:val="1"/>
                <w:bCs w:val="1"/>
                <w:color w:val="auto"/>
              </w:rPr>
              <w:t xml:space="preserve"> Floor</w:t>
            </w:r>
          </w:p>
        </w:tc>
        <w:tc>
          <w:tcPr>
            <w:tcW w:w="1340" w:type="dxa"/>
            <w:vAlign w:val="bottom"/>
          </w:tcPr>
          <w:p>
            <w:pPr>
              <w:spacing w:after="0"/>
              <w:rPr>
                <w:sz w:val="24"/>
                <w:szCs w:val="24"/>
                <w:color w:val="auto"/>
              </w:rPr>
            </w:pPr>
          </w:p>
        </w:tc>
      </w:tr>
      <w:tr>
        <w:trPr>
          <w:trHeight w:val="186"/>
        </w:trPr>
        <w:tc>
          <w:tcPr>
            <w:tcW w:w="56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98"/>
              </w:rPr>
              <w:t>Little Rock, Arkansas</w:t>
            </w:r>
          </w:p>
        </w:tc>
        <w:tc>
          <w:tcPr>
            <w:tcW w:w="1340" w:type="dxa"/>
            <w:vAlign w:val="bottom"/>
          </w:tcPr>
          <w:p>
            <w:pPr>
              <w:jc w:val="right"/>
              <w:ind w:right="353"/>
              <w:spacing w:after="0"/>
              <w:rPr>
                <w:sz w:val="20"/>
                <w:szCs w:val="20"/>
                <w:color w:val="auto"/>
              </w:rPr>
            </w:pPr>
            <w:r>
              <w:rPr>
                <w:rFonts w:ascii="Arial" w:cs="Arial" w:eastAsia="Arial" w:hAnsi="Arial"/>
                <w:sz w:val="14"/>
                <w:szCs w:val="14"/>
                <w:b w:val="1"/>
                <w:bCs w:val="1"/>
                <w:color w:val="auto"/>
              </w:rPr>
              <w:t>72212</w:t>
            </w:r>
          </w:p>
        </w:tc>
      </w:tr>
      <w:tr>
        <w:trPr>
          <w:trHeight w:val="185"/>
        </w:trPr>
        <w:tc>
          <w:tcPr>
            <w:tcW w:w="5620" w:type="dxa"/>
            <w:vAlign w:val="bottom"/>
            <w:gridSpan w:val="3"/>
          </w:tcPr>
          <w:p>
            <w:pPr>
              <w:jc w:val="center"/>
              <w:ind w:right="2940"/>
              <w:spacing w:after="0"/>
              <w:rPr>
                <w:sz w:val="20"/>
                <w:szCs w:val="20"/>
                <w:color w:val="auto"/>
              </w:rPr>
            </w:pPr>
            <w:r>
              <w:rPr>
                <w:rFonts w:ascii="Arial" w:cs="Arial" w:eastAsia="Arial" w:hAnsi="Arial"/>
                <w:sz w:val="13"/>
                <w:szCs w:val="13"/>
                <w:color w:val="auto"/>
                <w:w w:val="92"/>
              </w:rPr>
              <w:t>(Address of Principal Executive Offices)</w:t>
            </w:r>
          </w:p>
        </w:tc>
        <w:tc>
          <w:tcPr>
            <w:tcW w:w="1340" w:type="dxa"/>
            <w:vAlign w:val="bottom"/>
          </w:tcPr>
          <w:p>
            <w:pPr>
              <w:jc w:val="center"/>
              <w:ind w:left="53"/>
              <w:spacing w:after="0"/>
              <w:rPr>
                <w:sz w:val="20"/>
                <w:szCs w:val="20"/>
                <w:color w:val="auto"/>
              </w:rPr>
            </w:pPr>
            <w:r>
              <w:rPr>
                <w:rFonts w:ascii="Arial" w:cs="Arial" w:eastAsia="Arial" w:hAnsi="Arial"/>
                <w:sz w:val="13"/>
                <w:szCs w:val="13"/>
                <w:color w:val="auto"/>
                <w:w w:val="94"/>
              </w:rPr>
              <w:t>(Zip Code)</w:t>
            </w:r>
          </w:p>
        </w:tc>
      </w:tr>
      <w:tr>
        <w:trPr>
          <w:trHeight w:val="258"/>
        </w:trPr>
        <w:tc>
          <w:tcPr>
            <w:tcW w:w="5120" w:type="dxa"/>
            <w:vAlign w:val="bottom"/>
            <w:gridSpan w:val="2"/>
          </w:tcPr>
          <w:p>
            <w:pPr>
              <w:jc w:val="center"/>
              <w:ind w:left="2485"/>
              <w:spacing w:after="0"/>
              <w:rPr>
                <w:sz w:val="20"/>
                <w:szCs w:val="20"/>
                <w:color w:val="auto"/>
              </w:rPr>
            </w:pPr>
            <w:r>
              <w:rPr>
                <w:rFonts w:ascii="Arial" w:cs="Arial" w:eastAsia="Arial" w:hAnsi="Arial"/>
                <w:sz w:val="14"/>
                <w:szCs w:val="14"/>
                <w:b w:val="1"/>
                <w:bCs w:val="1"/>
                <w:color w:val="auto"/>
              </w:rPr>
              <w:t>(501) 320-4880</w:t>
            </w: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60"/>
        </w:trPr>
        <w:tc>
          <w:tcPr>
            <w:tcW w:w="5620" w:type="dxa"/>
            <w:vAlign w:val="bottom"/>
            <w:gridSpan w:val="3"/>
          </w:tcPr>
          <w:p>
            <w:pPr>
              <w:jc w:val="center"/>
              <w:ind w:left="1985"/>
              <w:spacing w:after="0"/>
              <w:rPr>
                <w:sz w:val="20"/>
                <w:szCs w:val="20"/>
                <w:color w:val="auto"/>
              </w:rPr>
            </w:pPr>
            <w:r>
              <w:rPr>
                <w:rFonts w:ascii="Arial" w:cs="Arial" w:eastAsia="Arial" w:hAnsi="Arial"/>
                <w:sz w:val="13"/>
                <w:szCs w:val="13"/>
                <w:color w:val="auto"/>
                <w:w w:val="89"/>
              </w:rPr>
              <w:t>(Registrant’s Telephone Number, Including Area Code)</w:t>
            </w:r>
          </w:p>
        </w:tc>
        <w:tc>
          <w:tcPr>
            <w:tcW w:w="1340" w:type="dxa"/>
            <w:vAlign w:val="bottom"/>
          </w:tcPr>
          <w:p>
            <w:pPr>
              <w:spacing w:after="0"/>
              <w:rPr>
                <w:sz w:val="13"/>
                <w:szCs w:val="13"/>
                <w:color w:val="auto"/>
              </w:rPr>
            </w:pPr>
          </w:p>
        </w:tc>
      </w:tr>
    </w:tbl>
    <w:p>
      <w:pPr>
        <w:spacing w:after="0" w:line="1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199"/>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Name of each exchange on which registered</w:t>
            </w:r>
          </w:p>
        </w:tc>
      </w:tr>
      <w:tr>
        <w:trPr>
          <w:trHeight w:val="186"/>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Shares of 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WEST</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123"/>
        </w:trPr>
        <w:tc>
          <w:tcPr>
            <w:tcW w:w="3880" w:type="dxa"/>
            <w:vAlign w:val="bottom"/>
            <w:tcBorders>
              <w:left w:val="single" w:sz="8" w:color="auto"/>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Warrants, each whole warrant exercisable for one share of</w:t>
            </w:r>
          </w:p>
        </w:tc>
        <w:tc>
          <w:tcPr>
            <w:tcW w:w="2500" w:type="dxa"/>
            <w:vAlign w:val="bottom"/>
            <w:tcBorders>
              <w:right w:val="single" w:sz="8" w:color="auto"/>
            </w:tcBorders>
          </w:tcPr>
          <w:p>
            <w:pPr>
              <w:spacing w:after="0"/>
              <w:rPr>
                <w:sz w:val="10"/>
                <w:szCs w:val="10"/>
                <w:color w:val="auto"/>
              </w:rPr>
            </w:pPr>
          </w:p>
        </w:tc>
        <w:tc>
          <w:tcPr>
            <w:tcW w:w="3860" w:type="dxa"/>
            <w:vAlign w:val="bottom"/>
            <w:tcBorders>
              <w:right w:val="single" w:sz="8" w:color="auto"/>
            </w:tcBorders>
          </w:tcPr>
          <w:p>
            <w:pPr>
              <w:spacing w:after="0"/>
              <w:rPr>
                <w:sz w:val="10"/>
                <w:szCs w:val="10"/>
                <w:color w:val="auto"/>
              </w:rPr>
            </w:pPr>
          </w:p>
        </w:tc>
      </w:tr>
      <w:tr>
        <w:trPr>
          <w:trHeight w:val="208"/>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WESTW</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188595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66" w:lineRule="exact"/>
        <w:rPr>
          <w:sz w:val="24"/>
          <w:szCs w:val="24"/>
          <w:color w:val="auto"/>
        </w:rPr>
      </w:pPr>
    </w:p>
    <w:p>
      <w:pPr>
        <w:ind w:left="20" w:right="240" w:firstLine="441"/>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20"/>
        <w:spacing w:after="0" w:line="188" w:lineRule="exact"/>
        <w:rPr>
          <w:sz w:val="20"/>
          <w:szCs w:val="20"/>
          <w:color w:val="auto"/>
        </w:rPr>
      </w:pPr>
      <w:r>
        <w:rPr>
          <w:rFonts w:ascii="Arial" w:cs="Arial" w:eastAsia="Arial" w:hAnsi="Arial"/>
          <w:sz w:val="14"/>
          <w:szCs w:val="14"/>
          <w:color w:val="auto"/>
        </w:rPr>
        <w:t xml:space="preserve">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left="20" w:right="380" w:firstLine="441"/>
        <w:spacing w:after="0" w:line="23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ind w:left="20"/>
        <w:spacing w:after="0" w:line="188" w:lineRule="exact"/>
        <w:rPr>
          <w:sz w:val="20"/>
          <w:szCs w:val="20"/>
          <w:color w:val="auto"/>
        </w:rPr>
      </w:pPr>
      <w:r>
        <w:rPr>
          <w:rFonts w:ascii="Arial" w:cs="Arial" w:eastAsia="Arial" w:hAnsi="Arial"/>
          <w:sz w:val="14"/>
          <w:szCs w:val="14"/>
          <w:color w:val="auto"/>
        </w:rPr>
        <w:t xml:space="preserve">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left="20" w:right="22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75" w:lineRule="exact"/>
        <w:rPr>
          <w:sz w:val="24"/>
          <w:szCs w:val="24"/>
          <w:color w:val="auto"/>
        </w:rPr>
      </w:pPr>
    </w:p>
    <w:p>
      <w:pPr>
        <w:ind w:left="20"/>
        <w:spacing w:after="0" w:line="293" w:lineRule="auto"/>
        <w:rPr>
          <w:sz w:val="20"/>
          <w:szCs w:val="20"/>
          <w:color w:val="auto"/>
        </w:rPr>
      </w:pPr>
      <w:r>
        <w:rPr>
          <w:rFonts w:ascii="Arial" w:cs="Arial" w:eastAsia="Arial" w:hAnsi="Arial"/>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3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79" w:lineRule="exact"/>
        <w:rPr>
          <w:sz w:val="24"/>
          <w:szCs w:val="24"/>
          <w:color w:val="auto"/>
        </w:rPr>
      </w:pPr>
    </w:p>
    <w:p>
      <w:pPr>
        <w:sectPr>
          <w:pgSz w:w="11900" w:h="16838" w:orient="portrait"/>
          <w:cols w:equalWidth="0" w:num="8">
            <w:col w:w="1720" w:space="280"/>
            <w:col w:w="140" w:space="520"/>
            <w:col w:w="1020" w:space="540"/>
            <w:col w:w="140" w:space="600"/>
            <w:col w:w="1300" w:space="520"/>
            <w:col w:w="140" w:space="360"/>
            <w:col w:w="1860" w:space="720"/>
            <w:col w:w="380"/>
          </w:cols>
          <w:pgMar w:left="820" w:top="665" w:right="839" w:bottom="1440" w:gutter="0" w:footer="0" w:header="0"/>
          <w:type w:val="continuous"/>
        </w:sectPr>
      </w:pPr>
    </w:p>
    <w:p>
      <w:pPr>
        <w:ind w:left="20" w:right="160" w:firstLine="44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left="460" w:right="1720"/>
        <w:spacing w:after="0" w:line="23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As of May 5, 2023, the Registrant had 75,777,920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822325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33655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On August 26, 2022, the registrant converted from a Delaware limited liability company, called Westrock Coffee Holdings, LLC, to a Delaware corporation called “Westrock Coffee Company” in connection with the closing of its de-SPAC merger transaction with Riverview Acquisition Corp., a special purpose acquisition vehicle and a Delaware corporation. References to “Westrock,” “we,” “us,” “our,” and similar terms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9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Prior to the conversion on August 26, 2022, when the Company was a Delaware limited liability company, the Company’s equity interests consisted of common units and two series of common equivalent preferred units. In connection with the conversion of the Company to a corporation, the Company’s outstanding common units and common equivalent preferred units were converted into shares of the Company’s common stock, par value $0.01 per share (“Common Shares”) and shares of the Company’s Series A convertible preferred shares, par value $0.01 per share, respectively. See Note 4, De-SPAC Merger Transaction, to the Condensed Consolidated Financial Statements included in Item 1 of Part I of this Quarterly Report on Form 10-Q for a discussion of the conversion of common units to Common Shares. The number of outstanding units, weighted average number of outstanding units, loss per common unit, equity-based compensation and other financial amounts previously expressed on the basis of common units have been retroactively adjusted on the basis of Common Shares to reflect the conversion of common units to Common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auto"/>
        </w:rPr>
        <w:t>This Quarterly Report on Form 10-Q includes forward-looking statements as defined under U.S. federal securities laws. Forward-looking statements include all statements that are not historical statements of fact and statements regarding, but not limited to, statements regarding our expectations, hopes, beliefs, intentions or strategies regarding the future, our expectations regarding the build-out of the Conway, Arkansas facility and when it will begin commercial production; our expectations regarding capital expenditures; our future liquidity needs and access to capital.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9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84" w:lineRule="exact"/>
        <w:rPr>
          <w:sz w:val="20"/>
          <w:szCs w:val="20"/>
          <w:color w:val="auto"/>
        </w:rPr>
      </w:pP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net losses;</w:t>
      </w:r>
    </w:p>
    <w:p>
      <w:pPr>
        <w:spacing w:after="0" w:line="23" w:lineRule="exact"/>
        <w:rPr>
          <w:rFonts w:ascii="Arial" w:cs="Arial" w:eastAsia="Arial" w:hAnsi="Arial"/>
          <w:sz w:val="18"/>
          <w:szCs w:val="18"/>
          <w:color w:val="auto"/>
        </w:rPr>
      </w:pPr>
    </w:p>
    <w:p>
      <w:pPr>
        <w:ind w:left="1700" w:right="31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increases in the cost of green coffee, tea and other ingredients and packaging, and our inability to pass these costs on to customers;</w:t>
      </w:r>
    </w:p>
    <w:p>
      <w:pPr>
        <w:ind w:left="1700" w:right="7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an adequate supply of key raw materials, including green coffee and tea, or disruption in our supply chain;</w:t>
      </w:r>
    </w:p>
    <w:p>
      <w:pPr>
        <w:ind w:left="1700" w:right="13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general macroeconomic conditions and/or decreases in consumer spending on discretionary items;</w:t>
      </w:r>
    </w:p>
    <w:p>
      <w:pPr>
        <w:ind w:left="1700" w:right="519" w:hanging="327"/>
        <w:spacing w:after="0" w:line="273" w:lineRule="auto"/>
        <w:tabs>
          <w:tab w:leader="none" w:pos="1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 in operations at any of our, our suppliers’ or our co-manufacturers’ production, distribution or manufacturing facilities or other loss of manufacturing capacity;</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anticipate customer preferences and successfully develop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1700" w:right="33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change, which may increase commodity costs, damage our facilities and disrupt our production capabilities and supply chain;</w:t>
      </w:r>
    </w:p>
    <w:p>
      <w:pPr>
        <w:spacing w:after="0" w:line="1"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retain key personnel or recruit qualified personnel;</w:t>
      </w:r>
    </w:p>
    <w:p>
      <w:pPr>
        <w:spacing w:after="0" w:line="22"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operating a coffee trading business and a coffee exporting business;</w:t>
      </w:r>
    </w:p>
    <w:p>
      <w:pPr>
        <w:spacing w:after="0" w:line="22"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hedge commodity risks</w:t>
      </w:r>
    </w:p>
    <w:p>
      <w:pPr>
        <w:spacing w:after="0" w:line="9"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 among our distributors and customers or the loss of any key customer;</w:t>
      </w:r>
    </w:p>
    <w:p>
      <w:pPr>
        <w:spacing w:after="0" w:line="22" w:lineRule="exact"/>
        <w:rPr>
          <w:rFonts w:ascii="Arial" w:cs="Arial" w:eastAsia="Arial" w:hAnsi="Arial"/>
          <w:sz w:val="18"/>
          <w:szCs w:val="18"/>
          <w:color w:val="auto"/>
        </w:rPr>
      </w:pPr>
    </w:p>
    <w:p>
      <w:pPr>
        <w:ind w:left="1700" w:right="67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and evolving U.S. and international laws and regulations, and noncompliance therewith subjecting us to criminal or civil liability;</w:t>
      </w:r>
    </w:p>
    <w:p>
      <w:pPr>
        <w:ind w:left="1700" w:right="7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of businesses, which may divert our management’s attention, prove difficult to effectively integrate and fail to achieve their projected benefits;</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effectively manage the growth and increased complexity of our business;</w:t>
      </w:r>
    </w:p>
    <w:p>
      <w:pPr>
        <w:spacing w:after="0" w:line="22" w:lineRule="exact"/>
        <w:rPr>
          <w:rFonts w:ascii="Arial" w:cs="Arial" w:eastAsia="Arial" w:hAnsi="Arial"/>
          <w:sz w:val="18"/>
          <w:szCs w:val="18"/>
          <w:color w:val="auto"/>
        </w:rPr>
      </w:pPr>
    </w:p>
    <w:p>
      <w:pPr>
        <w:ind w:left="1700" w:right="67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maintain or grow market share through continued differentiation of our product and competitive pricing;</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secure the additional capital needed to operate and grow our business;</w:t>
      </w:r>
    </w:p>
    <w:p>
      <w:pPr>
        <w:spacing w:after="0" w:line="22" w:lineRule="exact"/>
        <w:rPr>
          <w:rFonts w:ascii="Arial" w:cs="Arial" w:eastAsia="Arial" w:hAnsi="Arial"/>
          <w:sz w:val="18"/>
          <w:szCs w:val="18"/>
          <w:color w:val="auto"/>
        </w:rPr>
      </w:pPr>
    </w:p>
    <w:p>
      <w:pPr>
        <w:ind w:left="1700" w:right="13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 or legal disputes, which could lead us to incur significant liabilities and costs or harm our reputation;</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material failure, inadequacy or interruption of our information technology systems;</w:t>
      </w:r>
    </w:p>
    <w:p>
      <w:pPr>
        <w:spacing w:after="0" w:line="22" w:lineRule="exact"/>
        <w:rPr>
          <w:rFonts w:ascii="Arial" w:cs="Arial" w:eastAsia="Arial" w:hAnsi="Arial"/>
          <w:sz w:val="18"/>
          <w:szCs w:val="18"/>
          <w:color w:val="auto"/>
        </w:rPr>
      </w:pPr>
    </w:p>
    <w:p>
      <w:pPr>
        <w:ind w:left="1700" w:right="33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unauthorized access, theft, use or destruction of personal, financial or other confidential information relating to our customers, suppliers, employees or business;</w:t>
      </w:r>
    </w:p>
    <w:p>
      <w:pPr>
        <w:ind w:left="1700" w:right="9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level of indebtedness, which may reduce funds available for other business purposes and reduce our operational flexibility;</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comply with the financial covenants contained in our credit agreement;</w:t>
      </w:r>
    </w:p>
    <w:p>
      <w:pPr>
        <w:spacing w:after="0" w:line="22" w:lineRule="exact"/>
        <w:rPr>
          <w:rFonts w:ascii="Arial" w:cs="Arial" w:eastAsia="Arial" w:hAnsi="Arial"/>
          <w:sz w:val="18"/>
          <w:szCs w:val="18"/>
          <w:color w:val="auto"/>
        </w:rPr>
      </w:pPr>
    </w:p>
    <w:p>
      <w:pPr>
        <w:ind w:left="1700" w:right="25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complete the construction of our new facility in Conway, Arkansas in time or incurring additional expenses in the process;</w:t>
      </w:r>
    </w:p>
    <w:p>
      <w:pPr>
        <w:ind w:left="1700" w:right="41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structure and organization, which may prevent or delay attempts to acquire a controlling interest in the Company;</w:t>
      </w:r>
    </w:p>
    <w:p>
      <w:pPr>
        <w:ind w:left="1700" w:right="119" w:hanging="327"/>
        <w:spacing w:after="0" w:line="255"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1" w:lineRule="exact"/>
        <w:rPr>
          <w:rFonts w:ascii="Arial" w:cs="Arial" w:eastAsia="Arial" w:hAnsi="Arial"/>
          <w:sz w:val="18"/>
          <w:szCs w:val="18"/>
          <w:color w:val="auto"/>
        </w:rPr>
      </w:pPr>
    </w:p>
    <w:p>
      <w:pPr>
        <w:ind w:left="1700" w:right="99" w:hanging="327"/>
        <w:spacing w:after="0" w:line="267" w:lineRule="auto"/>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global economic conditions, including those caused by economic slowdowns or recessions, changes in political, economic or industry conditions, global conflicts (including the ongoing military conflict between Russia and Ukraine and recent conflicts in Brazil),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3" w:lineRule="exact"/>
        <w:rPr>
          <w:rFonts w:ascii="Arial" w:cs="Arial" w:eastAsia="Arial" w:hAnsi="Arial"/>
          <w:sz w:val="17"/>
          <w:szCs w:val="17"/>
          <w:color w:val="auto"/>
        </w:rPr>
      </w:pPr>
    </w:p>
    <w:p>
      <w:pPr>
        <w:ind w:left="1700" w:right="139" w:hanging="327"/>
        <w:spacing w:after="0" w:line="25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the “Risk Factors” section in the Company’s Annual Report on Form 10-K filed with the U.S. Securities and Exchange Commission (“SEC”) on March 21, 2023 (“Annual Report”) and in the “Management’s Discussion and Analysis” and “Risk Factors” sections of this Quarterly Report on Form 10-Q, as well as those described from time to time in our future reports filed with the SEC.</w:t>
      </w:r>
    </w:p>
    <w:p>
      <w:pPr>
        <w:spacing w:after="0" w:line="201"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741045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871855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40" w:type="dxa"/>
            <w:vAlign w:val="bottom"/>
            <w:gridSpan w:val="53"/>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20"/>
          </w:tcPr>
          <w:p>
            <w:pPr>
              <w:jc w:val="center"/>
              <w:ind w:right="2060"/>
              <w:spacing w:after="0"/>
              <w:rPr>
                <w:sz w:val="20"/>
                <w:szCs w:val="20"/>
                <w:color w:val="auto"/>
              </w:rPr>
            </w:pPr>
            <w:r>
              <w:rPr>
                <w:rFonts w:ascii="Arial" w:cs="Arial" w:eastAsia="Arial" w:hAnsi="Arial"/>
                <w:sz w:val="18"/>
                <w:szCs w:val="18"/>
                <w:b w:val="1"/>
                <w:bCs w:val="1"/>
                <w:color w:val="auto"/>
                <w:w w:val="96"/>
              </w:rPr>
              <w:t>WESTROCK COFFEE COMPANY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gridSpan w:val="12"/>
          </w:tcPr>
          <w:p>
            <w:pPr>
              <w:jc w:val="center"/>
              <w:ind w:right="2940"/>
              <w:spacing w:after="0"/>
              <w:rPr>
                <w:sz w:val="20"/>
                <w:szCs w:val="20"/>
                <w:color w:val="auto"/>
              </w:rPr>
            </w:pPr>
            <w:r>
              <w:rPr>
                <w:rFonts w:ascii="Arial" w:cs="Arial" w:eastAsia="Arial" w:hAnsi="Arial"/>
                <w:sz w:val="18"/>
                <w:szCs w:val="18"/>
                <w:b w:val="1"/>
                <w:bCs w:val="1"/>
                <w:color w:val="auto"/>
                <w:w w:val="95"/>
              </w:rPr>
              <w:t>FORM 10-Q</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60" w:type="dxa"/>
            <w:vAlign w:val="bottom"/>
            <w:gridSpan w:val="13"/>
          </w:tcPr>
          <w:p>
            <w:pPr>
              <w:jc w:val="center"/>
              <w:ind w:right="2740"/>
              <w:spacing w:after="0"/>
              <w:rPr>
                <w:sz w:val="20"/>
                <w:szCs w:val="20"/>
                <w:color w:val="auto"/>
              </w:rPr>
            </w:pPr>
            <w:r>
              <w:rPr>
                <w:rFonts w:ascii="Arial" w:cs="Arial" w:eastAsia="Arial" w:hAnsi="Arial"/>
                <w:sz w:val="18"/>
                <w:szCs w:val="18"/>
                <w:b w:val="1"/>
                <w:bCs w:val="1"/>
                <w:color w:val="auto"/>
                <w:w w:val="93"/>
              </w:rPr>
              <w:t>March 31, 2023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3"/>
          </w:tcPr>
          <w:p>
            <w:pPr>
              <w:jc w:val="center"/>
              <w:ind w:right="2740"/>
              <w:spacing w:after="0"/>
              <w:rPr>
                <w:sz w:val="20"/>
                <w:szCs w:val="20"/>
                <w:color w:val="auto"/>
              </w:rPr>
            </w:pPr>
            <w:r>
              <w:rPr>
                <w:rFonts w:ascii="Arial" w:cs="Arial" w:eastAsia="Arial" w:hAnsi="Arial"/>
                <w:sz w:val="18"/>
                <w:szCs w:val="18"/>
                <w:b w:val="1"/>
                <w:bCs w:val="1"/>
                <w:color w:val="auto"/>
                <w:w w:val="86"/>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0" w:type="dxa"/>
            <w:vAlign w:val="bottom"/>
            <w:gridSpan w:val="5"/>
          </w:tcPr>
          <w:p>
            <w:pPr>
              <w:spacing w:after="0"/>
              <w:rPr>
                <w:sz w:val="20"/>
                <w:szCs w:val="20"/>
                <w:color w:val="auto"/>
              </w:rPr>
            </w:pPr>
            <w:r>
              <w:rPr>
                <w:rFonts w:ascii="Arial" w:cs="Arial" w:eastAsia="Arial" w:hAnsi="Arial"/>
                <w:sz w:val="18"/>
                <w:szCs w:val="18"/>
                <w:b w:val="1"/>
                <w:bCs w:val="1"/>
                <w:color w:val="0000EE"/>
              </w:rPr>
              <w:t>Part I.</w:t>
            </w:r>
          </w:p>
        </w:tc>
        <w:tc>
          <w:tcPr>
            <w:tcW w:w="7260" w:type="dxa"/>
            <w:vAlign w:val="bottom"/>
            <w:gridSpan w:val="48"/>
          </w:tcPr>
          <w:p>
            <w:pPr>
              <w:spacing w:after="0"/>
              <w:rPr>
                <w:sz w:val="20"/>
                <w:szCs w:val="20"/>
                <w:color w:val="auto"/>
              </w:rPr>
            </w:pPr>
            <w:r>
              <w:rPr>
                <w:rFonts w:ascii="Arial" w:cs="Arial" w:eastAsia="Arial" w:hAnsi="Arial"/>
                <w:sz w:val="18"/>
                <w:szCs w:val="18"/>
                <w:b w:val="1"/>
                <w:bCs w:val="1"/>
                <w:color w:val="0000EE"/>
              </w:rPr>
              <w:t>Financial Information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line="156" w:lineRule="exact"/>
              <w:rPr>
                <w:sz w:val="20"/>
                <w:szCs w:val="20"/>
                <w:color w:val="auto"/>
              </w:rPr>
            </w:pPr>
            <w:r>
              <w:rPr>
                <w:rFonts w:ascii="Arial" w:cs="Arial" w:eastAsia="Arial" w:hAnsi="Arial"/>
                <w:sz w:val="18"/>
                <w:szCs w:val="18"/>
                <w:color w:val="0000EE"/>
                <w:w w:val="83"/>
              </w:rPr>
              <w:t>Item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EE"/>
            </w:tcBorders>
            <w:gridSpan w:val="15"/>
          </w:tcPr>
          <w:p>
            <w:pPr>
              <w:spacing w:after="0" w:line="156" w:lineRule="exact"/>
              <w:rPr>
                <w:sz w:val="20"/>
                <w:szCs w:val="20"/>
                <w:color w:val="auto"/>
              </w:rPr>
            </w:pPr>
            <w:r>
              <w:rPr>
                <w:rFonts w:ascii="Arial" w:cs="Arial" w:eastAsia="Arial" w:hAnsi="Arial"/>
                <w:sz w:val="18"/>
                <w:szCs w:val="18"/>
                <w:color w:val="0000EE"/>
                <w:w w:val="98"/>
              </w:rPr>
              <w:t>Financial Statements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7240" w:type="dxa"/>
            <w:vAlign w:val="bottom"/>
            <w:gridSpan w:val="47"/>
          </w:tcPr>
          <w:p>
            <w:pPr>
              <w:spacing w:after="0" w:line="169" w:lineRule="exact"/>
              <w:rPr>
                <w:sz w:val="20"/>
                <w:szCs w:val="20"/>
                <w:color w:val="auto"/>
              </w:rPr>
            </w:pPr>
            <w:r>
              <w:rPr>
                <w:rFonts w:ascii="Arial" w:cs="Arial" w:eastAsia="Arial" w:hAnsi="Arial"/>
                <w:sz w:val="18"/>
                <w:szCs w:val="18"/>
                <w:color w:val="0000EE"/>
              </w:rPr>
              <w:t>Condensed Consolidated Balance Sheets</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0000EE"/>
            </w:tcBorders>
            <w:gridSpan w:val="35"/>
          </w:tcPr>
          <w:p>
            <w:pPr>
              <w:spacing w:after="0" w:line="182" w:lineRule="exact"/>
              <w:rPr>
                <w:sz w:val="20"/>
                <w:szCs w:val="20"/>
                <w:color w:val="auto"/>
              </w:rPr>
            </w:pPr>
            <w:r>
              <w:rPr>
                <w:rFonts w:ascii="Arial" w:cs="Arial" w:eastAsia="Arial" w:hAnsi="Arial"/>
                <w:sz w:val="18"/>
                <w:szCs w:val="18"/>
                <w:color w:val="0000EE"/>
                <w:w w:val="93"/>
              </w:rPr>
              <w:t>Condensed Consolidated Statements of</w:t>
            </w:r>
          </w:p>
        </w:tc>
        <w:tc>
          <w:tcPr>
            <w:tcW w:w="4260" w:type="dxa"/>
            <w:vAlign w:val="bottom"/>
            <w:gridSpan w:val="13"/>
          </w:tcPr>
          <w:p>
            <w:pPr>
              <w:spacing w:after="0" w:line="182" w:lineRule="exact"/>
              <w:rPr>
                <w:sz w:val="20"/>
                <w:szCs w:val="20"/>
                <w:color w:val="auto"/>
              </w:rPr>
            </w:pPr>
            <w:r>
              <w:rPr>
                <w:rFonts w:ascii="Arial" w:cs="Arial" w:eastAsia="Arial" w:hAnsi="Arial"/>
                <w:sz w:val="18"/>
                <w:szCs w:val="18"/>
                <w:color w:val="0000EE"/>
              </w:rPr>
              <w:t>Operations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60" w:type="dxa"/>
            <w:vAlign w:val="bottom"/>
            <w:gridSpan w:val="48"/>
          </w:tcPr>
          <w:p>
            <w:pPr>
              <w:spacing w:after="0" w:line="182" w:lineRule="exact"/>
              <w:rPr>
                <w:sz w:val="20"/>
                <w:szCs w:val="20"/>
                <w:color w:val="auto"/>
              </w:rPr>
            </w:pPr>
            <w:r>
              <w:rPr>
                <w:rFonts w:ascii="Arial" w:cs="Arial" w:eastAsia="Arial" w:hAnsi="Arial"/>
                <w:sz w:val="18"/>
                <w:szCs w:val="18"/>
                <w:color w:val="0000EE"/>
              </w:rPr>
              <w:t>Condensed Consolidated Statements of Comprehensive Income (Loss)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120" w:type="dxa"/>
            <w:vAlign w:val="bottom"/>
            <w:tcBorders>
              <w:top w:val="single" w:sz="8" w:color="0000EE"/>
            </w:tcBorders>
            <w:gridSpan w:val="46"/>
          </w:tcPr>
          <w:p>
            <w:pPr>
              <w:spacing w:after="0" w:line="169" w:lineRule="exact"/>
              <w:rPr>
                <w:sz w:val="20"/>
                <w:szCs w:val="20"/>
                <w:color w:val="auto"/>
              </w:rPr>
            </w:pPr>
            <w:r>
              <w:rPr>
                <w:rFonts w:ascii="Arial" w:cs="Arial" w:eastAsia="Arial" w:hAnsi="Arial"/>
                <w:sz w:val="18"/>
                <w:szCs w:val="18"/>
                <w:color w:val="0000EE"/>
                <w:w w:val="91"/>
              </w:rPr>
              <w:t>Condensed Consolidated Statements of Shareholders’ Equity (Deficit</w:t>
            </w:r>
            <w:r>
              <w:rPr>
                <w:rFonts w:ascii="Arial" w:cs="Arial" w:eastAsia="Arial" w:hAnsi="Arial"/>
                <w:sz w:val="18"/>
                <w:szCs w:val="18"/>
                <w:color w:val="000000"/>
                <w:w w:val="91"/>
              </w:rPr>
              <w:t>)</w:t>
            </w: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41"/>
          </w:tcPr>
          <w:p>
            <w:pPr>
              <w:spacing w:after="0" w:line="182" w:lineRule="exact"/>
              <w:rPr>
                <w:sz w:val="20"/>
                <w:szCs w:val="20"/>
                <w:color w:val="auto"/>
              </w:rPr>
            </w:pPr>
            <w:r>
              <w:rPr>
                <w:rFonts w:ascii="Arial" w:cs="Arial" w:eastAsia="Arial" w:hAnsi="Arial"/>
                <w:sz w:val="18"/>
                <w:szCs w:val="18"/>
                <w:color w:val="0000EE"/>
                <w:w w:val="89"/>
              </w:rPr>
              <w:t>Condensed Consolidated Statements of Cash Flows</w:t>
            </w:r>
          </w:p>
        </w:tc>
        <w:tc>
          <w:tcPr>
            <w:tcW w:w="1280" w:type="dxa"/>
            <w:vAlign w:val="bottom"/>
            <w:tcBorders>
              <w:top w:val="single" w:sz="8" w:color="0000EE"/>
            </w:tcBorders>
            <w:gridSpan w:val="4"/>
          </w:tcPr>
          <w:p>
            <w:pPr>
              <w:spacing w:after="0"/>
              <w:rPr>
                <w:sz w:val="15"/>
                <w:szCs w:val="15"/>
                <w:color w:val="auto"/>
              </w:rPr>
            </w:pPr>
          </w:p>
        </w:tc>
        <w:tc>
          <w:tcPr>
            <w:tcW w:w="14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60" w:type="dxa"/>
            <w:vAlign w:val="bottom"/>
            <w:gridSpan w:val="48"/>
          </w:tcPr>
          <w:p>
            <w:pPr>
              <w:spacing w:after="0" w:line="182" w:lineRule="exact"/>
              <w:rPr>
                <w:sz w:val="20"/>
                <w:szCs w:val="20"/>
                <w:color w:val="auto"/>
              </w:rPr>
            </w:pPr>
            <w:r>
              <w:rPr>
                <w:rFonts w:ascii="Arial" w:cs="Arial" w:eastAsia="Arial" w:hAnsi="Arial"/>
                <w:sz w:val="18"/>
                <w:szCs w:val="18"/>
                <w:color w:val="0000EE"/>
              </w:rPr>
              <w:t>Notes to Condensed Consolidated Financial Statements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900" w:type="dxa"/>
            <w:vAlign w:val="bottom"/>
            <w:tcBorders>
              <w:top w:val="single" w:sz="8" w:color="0000EE"/>
            </w:tcBorders>
            <w:gridSpan w:val="40"/>
          </w:tcPr>
          <w:p>
            <w:pPr>
              <w:spacing w:after="0" w:line="169" w:lineRule="exact"/>
              <w:rPr>
                <w:sz w:val="20"/>
                <w:szCs w:val="20"/>
                <w:color w:val="auto"/>
              </w:rPr>
            </w:pPr>
            <w:r>
              <w:rPr>
                <w:rFonts w:ascii="Arial" w:cs="Arial" w:eastAsia="Arial" w:hAnsi="Arial"/>
                <w:sz w:val="18"/>
                <w:szCs w:val="18"/>
                <w:color w:val="0000EE"/>
              </w:rPr>
              <w:t>1. Organization and Description of Business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34"/>
          </w:tcPr>
          <w:p>
            <w:pPr>
              <w:spacing w:after="0" w:line="182" w:lineRule="exact"/>
              <w:rPr>
                <w:sz w:val="20"/>
                <w:szCs w:val="20"/>
                <w:color w:val="auto"/>
              </w:rPr>
            </w:pPr>
            <w:r>
              <w:rPr>
                <w:rFonts w:ascii="Arial" w:cs="Arial" w:eastAsia="Arial" w:hAnsi="Arial"/>
                <w:sz w:val="18"/>
                <w:szCs w:val="18"/>
                <w:color w:val="0000EE"/>
                <w:w w:val="89"/>
              </w:rPr>
              <w:t>2. Basis of Presentation and Consolidation</w:t>
            </w:r>
          </w:p>
        </w:tc>
        <w:tc>
          <w:tcPr>
            <w:tcW w:w="1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46"/>
          </w:tcPr>
          <w:p>
            <w:pPr>
              <w:spacing w:after="0" w:line="182" w:lineRule="exact"/>
              <w:rPr>
                <w:sz w:val="20"/>
                <w:szCs w:val="20"/>
                <w:color w:val="auto"/>
              </w:rPr>
            </w:pPr>
            <w:r>
              <w:rPr>
                <w:rFonts w:ascii="Arial" w:cs="Arial" w:eastAsia="Arial" w:hAnsi="Arial"/>
                <w:sz w:val="18"/>
                <w:szCs w:val="18"/>
                <w:color w:val="0000EE"/>
              </w:rPr>
              <w:t>3. Summary of Significant Accounting Policies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Borders>
              <w:top w:val="single" w:sz="8" w:color="0000EE"/>
            </w:tcBorders>
            <w:gridSpan w:val="37"/>
          </w:tcPr>
          <w:p>
            <w:pPr>
              <w:spacing w:after="0" w:line="169" w:lineRule="exact"/>
              <w:rPr>
                <w:sz w:val="20"/>
                <w:szCs w:val="20"/>
                <w:color w:val="auto"/>
              </w:rPr>
            </w:pPr>
            <w:r>
              <w:rPr>
                <w:rFonts w:ascii="Arial" w:cs="Arial" w:eastAsia="Arial" w:hAnsi="Arial"/>
                <w:sz w:val="18"/>
                <w:szCs w:val="18"/>
                <w:color w:val="0000EE"/>
              </w:rPr>
              <w:t>4. De-SPAC Merger Transaction</w:t>
            </w:r>
          </w:p>
        </w:tc>
        <w:tc>
          <w:tcPr>
            <w:tcW w:w="8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5. Revenue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4"/>
          </w:tcPr>
          <w:p>
            <w:pPr>
              <w:spacing w:after="0"/>
              <w:rPr>
                <w:sz w:val="15"/>
                <w:szCs w:val="15"/>
                <w:color w:val="auto"/>
              </w:rPr>
            </w:pPr>
          </w:p>
        </w:tc>
        <w:tc>
          <w:tcPr>
            <w:tcW w:w="8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46"/>
          </w:tcPr>
          <w:p>
            <w:pPr>
              <w:spacing w:after="0" w:line="182" w:lineRule="exact"/>
              <w:rPr>
                <w:sz w:val="20"/>
                <w:szCs w:val="20"/>
                <w:color w:val="auto"/>
              </w:rPr>
            </w:pPr>
            <w:r>
              <w:rPr>
                <w:rFonts w:ascii="Arial" w:cs="Arial" w:eastAsia="Arial" w:hAnsi="Arial"/>
                <w:sz w:val="18"/>
                <w:szCs w:val="18"/>
                <w:color w:val="0000EE"/>
              </w:rPr>
              <w:t>6. Acquisitions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8"/>
                <w:szCs w:val="18"/>
                <w:color w:val="0000EE"/>
                <w:w w:val="86"/>
              </w:rPr>
              <w:t>7. Inventories</w:t>
            </w:r>
          </w:p>
        </w:tc>
        <w:tc>
          <w:tcPr>
            <w:tcW w:w="100" w:type="dxa"/>
            <w:vAlign w:val="bottom"/>
            <w:tcBorders>
              <w:top w:val="single" w:sz="8" w:color="0000EE"/>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spacing w:after="0"/>
              <w:rPr>
                <w:sz w:val="14"/>
                <w:szCs w:val="14"/>
                <w:color w:val="auto"/>
              </w:rPr>
            </w:pPr>
          </w:p>
        </w:tc>
        <w:tc>
          <w:tcPr>
            <w:tcW w:w="82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46"/>
          </w:tcPr>
          <w:p>
            <w:pPr>
              <w:spacing w:after="0" w:line="182" w:lineRule="exact"/>
              <w:rPr>
                <w:sz w:val="20"/>
                <w:szCs w:val="20"/>
                <w:color w:val="auto"/>
              </w:rPr>
            </w:pPr>
            <w:r>
              <w:rPr>
                <w:rFonts w:ascii="Arial" w:cs="Arial" w:eastAsia="Arial" w:hAnsi="Arial"/>
                <w:sz w:val="18"/>
                <w:szCs w:val="18"/>
                <w:color w:val="0000EE"/>
              </w:rPr>
              <w:t>8. Property, Plant and Equipment, Net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Borders>
              <w:top w:val="single" w:sz="8" w:color="0000EE"/>
            </w:tcBorders>
            <w:gridSpan w:val="32"/>
          </w:tcPr>
          <w:p>
            <w:pPr>
              <w:spacing w:after="0" w:line="182" w:lineRule="exact"/>
              <w:rPr>
                <w:sz w:val="20"/>
                <w:szCs w:val="20"/>
                <w:color w:val="auto"/>
              </w:rPr>
            </w:pPr>
            <w:r>
              <w:rPr>
                <w:rFonts w:ascii="Arial" w:cs="Arial" w:eastAsia="Arial" w:hAnsi="Arial"/>
                <w:sz w:val="18"/>
                <w:szCs w:val="18"/>
                <w:color w:val="0000EE"/>
              </w:rPr>
              <w:t>9. Goodwill</w:t>
            </w:r>
          </w:p>
        </w:tc>
        <w:tc>
          <w:tcPr>
            <w:tcW w:w="660" w:type="dxa"/>
            <w:vAlign w:val="bottom"/>
            <w:gridSpan w:val="4"/>
          </w:tcPr>
          <w:p>
            <w:pPr>
              <w:spacing w:after="0"/>
              <w:rPr>
                <w:sz w:val="15"/>
                <w:szCs w:val="15"/>
                <w:color w:val="auto"/>
              </w:rPr>
            </w:pPr>
          </w:p>
        </w:tc>
        <w:tc>
          <w:tcPr>
            <w:tcW w:w="8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8"/>
                <w:szCs w:val="18"/>
                <w:color w:val="0000EE"/>
                <w:w w:val="73"/>
              </w:rPr>
              <w:t>10. Intangible</w:t>
            </w:r>
          </w:p>
        </w:tc>
        <w:tc>
          <w:tcPr>
            <w:tcW w:w="6280" w:type="dxa"/>
            <w:vAlign w:val="bottom"/>
            <w:gridSpan w:val="39"/>
          </w:tcPr>
          <w:p>
            <w:pPr>
              <w:ind w:left="160"/>
              <w:spacing w:after="0" w:line="169" w:lineRule="exact"/>
              <w:rPr>
                <w:sz w:val="20"/>
                <w:szCs w:val="20"/>
                <w:color w:val="auto"/>
              </w:rPr>
            </w:pPr>
            <w:r>
              <w:rPr>
                <w:rFonts w:ascii="Arial" w:cs="Arial" w:eastAsia="Arial" w:hAnsi="Arial"/>
                <w:sz w:val="18"/>
                <w:szCs w:val="18"/>
                <w:color w:val="0000EE"/>
              </w:rPr>
              <w:t>Assets, Net</w:t>
            </w: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11. Leases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5"/>
          </w:tcPr>
          <w:p>
            <w:pPr>
              <w:spacing w:after="0"/>
              <w:rPr>
                <w:sz w:val="15"/>
                <w:szCs w:val="15"/>
                <w:color w:val="auto"/>
              </w:rPr>
            </w:pPr>
          </w:p>
        </w:tc>
        <w:tc>
          <w:tcPr>
            <w:tcW w:w="8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6"/>
              </w:rPr>
              <w:t>12. Debt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5"/>
          </w:tcPr>
          <w:p>
            <w:pPr>
              <w:spacing w:after="0"/>
              <w:rPr>
                <w:sz w:val="15"/>
                <w:szCs w:val="15"/>
                <w:color w:val="auto"/>
              </w:rPr>
            </w:pPr>
          </w:p>
        </w:tc>
        <w:tc>
          <w:tcPr>
            <w:tcW w:w="8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72"/>
              </w:rPr>
              <w:t>13. Series</w:t>
            </w:r>
          </w:p>
        </w:tc>
        <w:tc>
          <w:tcPr>
            <w:tcW w:w="6560" w:type="dxa"/>
            <w:vAlign w:val="bottom"/>
            <w:gridSpan w:val="43"/>
          </w:tcPr>
          <w:p>
            <w:pPr>
              <w:ind w:left="100"/>
              <w:spacing w:after="0" w:line="169" w:lineRule="exact"/>
              <w:rPr>
                <w:sz w:val="20"/>
                <w:szCs w:val="20"/>
                <w:color w:val="auto"/>
              </w:rPr>
            </w:pPr>
            <w:r>
              <w:rPr>
                <w:rFonts w:ascii="Arial" w:cs="Arial" w:eastAsia="Arial" w:hAnsi="Arial"/>
                <w:sz w:val="18"/>
                <w:szCs w:val="18"/>
                <w:color w:val="0000EE"/>
              </w:rPr>
              <w:t>A Preferred Shares</w:t>
            </w: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14. Derivatives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5"/>
          </w:tcPr>
          <w:p>
            <w:pPr>
              <w:spacing w:after="0"/>
              <w:rPr>
                <w:sz w:val="15"/>
                <w:szCs w:val="15"/>
                <w:color w:val="auto"/>
              </w:rPr>
            </w:pPr>
          </w:p>
        </w:tc>
        <w:tc>
          <w:tcPr>
            <w:tcW w:w="8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89"/>
              </w:rPr>
              <w:t>15. Fair Value</w:t>
            </w:r>
          </w:p>
        </w:tc>
        <w:tc>
          <w:tcPr>
            <w:tcW w:w="6080" w:type="dxa"/>
            <w:vAlign w:val="bottom"/>
            <w:gridSpan w:val="37"/>
          </w:tcPr>
          <w:p>
            <w:pPr>
              <w:spacing w:after="0" w:line="182" w:lineRule="exact"/>
              <w:rPr>
                <w:sz w:val="20"/>
                <w:szCs w:val="20"/>
                <w:color w:val="auto"/>
              </w:rPr>
            </w:pPr>
            <w:r>
              <w:rPr>
                <w:rFonts w:ascii="Arial" w:cs="Arial" w:eastAsia="Arial" w:hAnsi="Arial"/>
                <w:sz w:val="18"/>
                <w:szCs w:val="18"/>
                <w:color w:val="0000EE"/>
              </w:rPr>
              <w:t>Measurements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00" w:type="dxa"/>
            <w:vAlign w:val="bottom"/>
            <w:gridSpan w:val="46"/>
          </w:tcPr>
          <w:p>
            <w:pPr>
              <w:spacing w:after="0" w:line="169" w:lineRule="exact"/>
              <w:rPr>
                <w:sz w:val="20"/>
                <w:szCs w:val="20"/>
                <w:color w:val="auto"/>
              </w:rPr>
            </w:pPr>
            <w:r>
              <w:rPr>
                <w:rFonts w:ascii="Arial" w:cs="Arial" w:eastAsia="Arial" w:hAnsi="Arial"/>
                <w:sz w:val="18"/>
                <w:szCs w:val="18"/>
                <w:color w:val="0000EE"/>
              </w:rPr>
              <w:t>16. Accumulated Other Comprehensive Income</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Borders>
              <w:top w:val="single" w:sz="8" w:color="0000EE"/>
            </w:tcBorders>
            <w:gridSpan w:val="36"/>
          </w:tcPr>
          <w:p>
            <w:pPr>
              <w:spacing w:after="0" w:line="182" w:lineRule="exact"/>
              <w:rPr>
                <w:sz w:val="20"/>
                <w:szCs w:val="20"/>
                <w:color w:val="auto"/>
              </w:rPr>
            </w:pPr>
            <w:r>
              <w:rPr>
                <w:rFonts w:ascii="Arial" w:cs="Arial" w:eastAsia="Arial" w:hAnsi="Arial"/>
                <w:sz w:val="18"/>
                <w:szCs w:val="18"/>
                <w:color w:val="0000EE"/>
              </w:rPr>
              <w:t>17. Equity-Based Compensation</w:t>
            </w:r>
          </w:p>
        </w:tc>
        <w:tc>
          <w:tcPr>
            <w:tcW w:w="8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18. Earnings per Share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10"/>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top w:val="single" w:sz="8" w:color="0000EE"/>
              <w:bottom w:val="single" w:sz="8" w:color="0000EE"/>
            </w:tcBorders>
            <w:gridSpan w:val="15"/>
          </w:tcPr>
          <w:p>
            <w:pPr>
              <w:spacing w:after="0" w:line="169" w:lineRule="exact"/>
              <w:rPr>
                <w:sz w:val="20"/>
                <w:szCs w:val="20"/>
                <w:color w:val="auto"/>
              </w:rPr>
            </w:pPr>
            <w:r>
              <w:rPr>
                <w:rFonts w:ascii="Arial" w:cs="Arial" w:eastAsia="Arial" w:hAnsi="Arial"/>
                <w:sz w:val="18"/>
                <w:szCs w:val="18"/>
                <w:color w:val="0000EE"/>
                <w:w w:val="78"/>
              </w:rPr>
              <w:t>19. Segment Information</w:t>
            </w: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10"/>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0"/>
          </w:tcPr>
          <w:p>
            <w:pPr>
              <w:spacing w:after="0" w:line="182" w:lineRule="exact"/>
              <w:rPr>
                <w:sz w:val="20"/>
                <w:szCs w:val="20"/>
                <w:color w:val="auto"/>
              </w:rPr>
            </w:pPr>
            <w:r>
              <w:rPr>
                <w:rFonts w:ascii="Arial" w:cs="Arial" w:eastAsia="Arial" w:hAnsi="Arial"/>
                <w:sz w:val="18"/>
                <w:szCs w:val="18"/>
                <w:color w:val="0000EE"/>
                <w:w w:val="96"/>
              </w:rPr>
              <w:t>20. Commitments and</w:t>
            </w:r>
          </w:p>
        </w:tc>
        <w:tc>
          <w:tcPr>
            <w:tcW w:w="5380" w:type="dxa"/>
            <w:vAlign w:val="bottom"/>
            <w:gridSpan w:val="26"/>
          </w:tcPr>
          <w:p>
            <w:pPr>
              <w:spacing w:after="0" w:line="182" w:lineRule="exact"/>
              <w:rPr>
                <w:sz w:val="20"/>
                <w:szCs w:val="20"/>
                <w:color w:val="auto"/>
              </w:rPr>
            </w:pPr>
            <w:r>
              <w:rPr>
                <w:rFonts w:ascii="Arial" w:cs="Arial" w:eastAsia="Arial" w:hAnsi="Arial"/>
                <w:sz w:val="18"/>
                <w:szCs w:val="18"/>
                <w:color w:val="0000EE"/>
              </w:rPr>
              <w:t>Contingencies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21. Related Party Transactions</w:t>
            </w:r>
          </w:p>
        </w:tc>
        <w:tc>
          <w:tcPr>
            <w:tcW w:w="20" w:type="dxa"/>
            <w:vAlign w:val="bottom"/>
          </w:tcPr>
          <w:p>
            <w:pPr>
              <w:spacing w:after="0"/>
              <w:rPr>
                <w:sz w:val="15"/>
                <w:szCs w:val="15"/>
                <w:color w:val="auto"/>
              </w:rPr>
            </w:pPr>
          </w:p>
        </w:tc>
        <w:tc>
          <w:tcPr>
            <w:tcW w:w="1520" w:type="dxa"/>
            <w:vAlign w:val="bottom"/>
            <w:gridSpan w:val="10"/>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top w:val="single" w:sz="8" w:color="0000EE"/>
            </w:tcBorders>
            <w:gridSpan w:val="25"/>
          </w:tcPr>
          <w:p>
            <w:pPr>
              <w:spacing w:after="0" w:line="169" w:lineRule="exact"/>
              <w:rPr>
                <w:sz w:val="20"/>
                <w:szCs w:val="20"/>
                <w:color w:val="auto"/>
              </w:rPr>
            </w:pPr>
            <w:r>
              <w:rPr>
                <w:rFonts w:ascii="Arial" w:cs="Arial" w:eastAsia="Arial" w:hAnsi="Arial"/>
                <w:sz w:val="18"/>
                <w:szCs w:val="18"/>
                <w:color w:val="0000EE"/>
              </w:rPr>
              <w:t>22. Subsequent Events</w:t>
            </w: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280" w:type="dxa"/>
            <w:vAlign w:val="bottom"/>
            <w:gridSpan w:val="2"/>
          </w:tcPr>
          <w:p>
            <w:pPr>
              <w:spacing w:after="0"/>
              <w:rPr>
                <w:sz w:val="14"/>
                <w:szCs w:val="14"/>
                <w:color w:val="auto"/>
              </w:rPr>
            </w:pPr>
          </w:p>
        </w:tc>
        <w:tc>
          <w:tcPr>
            <w:tcW w:w="1520" w:type="dxa"/>
            <w:vAlign w:val="bottom"/>
            <w:gridSpan w:val="10"/>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gridSpan w:val="7"/>
          </w:tcPr>
          <w:p>
            <w:pPr>
              <w:spacing w:after="0" w:line="182" w:lineRule="exact"/>
              <w:rPr>
                <w:sz w:val="20"/>
                <w:szCs w:val="20"/>
                <w:color w:val="auto"/>
              </w:rPr>
            </w:pPr>
            <w:r>
              <w:rPr>
                <w:rFonts w:ascii="Arial" w:cs="Arial" w:eastAsia="Arial" w:hAnsi="Arial"/>
                <w:sz w:val="18"/>
                <w:szCs w:val="18"/>
                <w:color w:val="0000EE"/>
              </w:rPr>
              <w:t>Item 2.</w:t>
            </w:r>
          </w:p>
        </w:tc>
        <w:tc>
          <w:tcPr>
            <w:tcW w:w="160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75"/>
              </w:rPr>
              <w:t>Management’s Discussion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gridSpan w:val="27"/>
          </w:tcPr>
          <w:p>
            <w:pPr>
              <w:ind w:left="140"/>
              <w:spacing w:after="0" w:line="182" w:lineRule="exact"/>
              <w:rPr>
                <w:sz w:val="20"/>
                <w:szCs w:val="20"/>
                <w:color w:val="auto"/>
              </w:rPr>
            </w:pPr>
            <w:r>
              <w:rPr>
                <w:rFonts w:ascii="Arial" w:cs="Arial" w:eastAsia="Arial" w:hAnsi="Arial"/>
                <w:sz w:val="18"/>
                <w:szCs w:val="18"/>
                <w:color w:val="0000EE"/>
              </w:rPr>
              <w:t>and Analysis of Financial Condition and Results of Operations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340" w:type="dxa"/>
            <w:vAlign w:val="bottom"/>
            <w:tcBorders>
              <w:top w:val="single" w:sz="8" w:color="0000EE"/>
            </w:tcBorders>
            <w:gridSpan w:val="45"/>
          </w:tcPr>
          <w:p>
            <w:pPr>
              <w:spacing w:after="0" w:line="169" w:lineRule="exact"/>
              <w:rPr>
                <w:sz w:val="20"/>
                <w:szCs w:val="20"/>
                <w:color w:val="auto"/>
              </w:rPr>
            </w:pPr>
            <w:r>
              <w:rPr>
                <w:rFonts w:ascii="Arial" w:cs="Arial" w:eastAsia="Arial" w:hAnsi="Arial"/>
                <w:sz w:val="18"/>
                <w:szCs w:val="18"/>
                <w:color w:val="0000EE"/>
              </w:rPr>
              <w:t>Overview</w:t>
            </w:r>
          </w:p>
        </w:tc>
        <w:tc>
          <w:tcPr>
            <w:tcW w:w="76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1"/>
              </w:rPr>
              <w:t>Key Business Metrics</w:t>
            </w:r>
          </w:p>
        </w:tc>
        <w:tc>
          <w:tcPr>
            <w:tcW w:w="5500" w:type="dxa"/>
            <w:vAlign w:val="bottom"/>
            <w:gridSpan w:val="29"/>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46"/>
          </w:tcPr>
          <w:p>
            <w:pPr>
              <w:spacing w:after="0" w:line="182" w:lineRule="exact"/>
              <w:rPr>
                <w:sz w:val="20"/>
                <w:szCs w:val="20"/>
                <w:color w:val="auto"/>
              </w:rPr>
            </w:pPr>
            <w:r>
              <w:rPr>
                <w:rFonts w:ascii="Arial" w:cs="Arial" w:eastAsia="Arial" w:hAnsi="Arial"/>
                <w:sz w:val="18"/>
                <w:szCs w:val="18"/>
                <w:color w:val="0000EE"/>
              </w:rPr>
              <w:t>Significant Developments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8"/>
                <w:szCs w:val="18"/>
                <w:color w:val="0000EE"/>
              </w:rPr>
              <w:t>Results of Operations</w:t>
            </w:r>
          </w:p>
        </w:tc>
        <w:tc>
          <w:tcPr>
            <w:tcW w:w="280" w:type="dxa"/>
            <w:vAlign w:val="bottom"/>
            <w:gridSpan w:val="4"/>
          </w:tcPr>
          <w:p>
            <w:pPr>
              <w:spacing w:after="0"/>
              <w:rPr>
                <w:sz w:val="14"/>
                <w:szCs w:val="14"/>
                <w:color w:val="auto"/>
              </w:rPr>
            </w:pPr>
          </w:p>
        </w:tc>
        <w:tc>
          <w:tcPr>
            <w:tcW w:w="200" w:type="dxa"/>
            <w:vAlign w:val="bottom"/>
            <w:gridSpan w:val="3"/>
          </w:tcPr>
          <w:p>
            <w:pPr>
              <w:spacing w:after="0"/>
              <w:rPr>
                <w:sz w:val="14"/>
                <w:szCs w:val="14"/>
                <w:color w:val="auto"/>
              </w:rPr>
            </w:pPr>
          </w:p>
        </w:tc>
        <w:tc>
          <w:tcPr>
            <w:tcW w:w="280" w:type="dxa"/>
            <w:vAlign w:val="bottom"/>
            <w:gridSpan w:val="2"/>
          </w:tcPr>
          <w:p>
            <w:pPr>
              <w:spacing w:after="0"/>
              <w:rPr>
                <w:sz w:val="14"/>
                <w:szCs w:val="14"/>
                <w:color w:val="auto"/>
              </w:rPr>
            </w:pPr>
          </w:p>
        </w:tc>
        <w:tc>
          <w:tcPr>
            <w:tcW w:w="1520" w:type="dxa"/>
            <w:vAlign w:val="bottom"/>
            <w:gridSpan w:val="10"/>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4"/>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Critical Accounting</w:t>
            </w:r>
          </w:p>
        </w:tc>
        <w:tc>
          <w:tcPr>
            <w:tcW w:w="5520" w:type="dxa"/>
            <w:vAlign w:val="bottom"/>
            <w:gridSpan w:val="30"/>
          </w:tcPr>
          <w:p>
            <w:pPr>
              <w:spacing w:after="0" w:line="182" w:lineRule="exact"/>
              <w:rPr>
                <w:sz w:val="20"/>
                <w:szCs w:val="20"/>
                <w:color w:val="auto"/>
              </w:rPr>
            </w:pPr>
            <w:r>
              <w:rPr>
                <w:rFonts w:ascii="Arial" w:cs="Arial" w:eastAsia="Arial" w:hAnsi="Arial"/>
                <w:sz w:val="18"/>
                <w:szCs w:val="18"/>
                <w:color w:val="0000EE"/>
              </w:rPr>
              <w:t>Estimates</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00" w:type="dxa"/>
            <w:vAlign w:val="bottom"/>
            <w:gridSpan w:val="46"/>
          </w:tcPr>
          <w:p>
            <w:pPr>
              <w:spacing w:after="0" w:line="182" w:lineRule="exact"/>
              <w:rPr>
                <w:sz w:val="20"/>
                <w:szCs w:val="20"/>
                <w:color w:val="auto"/>
              </w:rPr>
            </w:pPr>
            <w:r>
              <w:rPr>
                <w:rFonts w:ascii="Arial" w:cs="Arial" w:eastAsia="Arial" w:hAnsi="Arial"/>
                <w:sz w:val="18"/>
                <w:szCs w:val="18"/>
                <w:color w:val="0000EE"/>
              </w:rPr>
              <w:t>Liquidity and Capital Resources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Borders>
              <w:top w:val="single" w:sz="8" w:color="0000EE"/>
              <w:bottom w:val="single" w:sz="8" w:color="0000EE"/>
            </w:tcBorders>
            <w:gridSpan w:val="29"/>
          </w:tcPr>
          <w:p>
            <w:pPr>
              <w:spacing w:after="0" w:line="169" w:lineRule="exact"/>
              <w:rPr>
                <w:sz w:val="20"/>
                <w:szCs w:val="20"/>
                <w:color w:val="auto"/>
              </w:rPr>
            </w:pPr>
            <w:r>
              <w:rPr>
                <w:rFonts w:ascii="Arial" w:cs="Arial" w:eastAsia="Arial" w:hAnsi="Arial"/>
                <w:sz w:val="18"/>
                <w:szCs w:val="18"/>
                <w:color w:val="0000EE"/>
                <w:w w:val="80"/>
              </w:rPr>
              <w:t>Recent Accounting Pronouncements</w:t>
            </w:r>
          </w:p>
        </w:tc>
        <w:tc>
          <w:tcPr>
            <w:tcW w:w="280" w:type="dxa"/>
            <w:vAlign w:val="bottom"/>
            <w:tcBorders>
              <w:bottom w:val="single" w:sz="8" w:color="0000EE"/>
            </w:tcBorders>
            <w:gridSpan w:val="2"/>
          </w:tcPr>
          <w:p>
            <w:pPr>
              <w:spacing w:after="0"/>
              <w:rPr>
                <w:sz w:val="14"/>
                <w:szCs w:val="14"/>
                <w:color w:val="auto"/>
              </w:rPr>
            </w:pPr>
          </w:p>
        </w:tc>
        <w:tc>
          <w:tcPr>
            <w:tcW w:w="1520" w:type="dxa"/>
            <w:vAlign w:val="bottom"/>
            <w:gridSpan w:val="10"/>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4"/>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5"/>
          </w:tcPr>
          <w:p>
            <w:pPr>
              <w:spacing w:after="0" w:line="182" w:lineRule="exact"/>
              <w:rPr>
                <w:sz w:val="20"/>
                <w:szCs w:val="20"/>
                <w:color w:val="auto"/>
              </w:rPr>
            </w:pPr>
            <w:r>
              <w:rPr>
                <w:rFonts w:ascii="Arial" w:cs="Arial" w:eastAsia="Arial" w:hAnsi="Arial"/>
                <w:sz w:val="18"/>
                <w:szCs w:val="18"/>
                <w:color w:val="0000EE"/>
              </w:rPr>
              <w:t>Item 3.</w:t>
            </w:r>
          </w:p>
        </w:tc>
        <w:tc>
          <w:tcPr>
            <w:tcW w:w="160" w:type="dxa"/>
            <w:vAlign w:val="bottom"/>
            <w:gridSpan w:val="2"/>
          </w:tcPr>
          <w:p>
            <w:pPr>
              <w:spacing w:after="0"/>
              <w:rPr>
                <w:sz w:val="15"/>
                <w:szCs w:val="15"/>
                <w:color w:val="auto"/>
              </w:rPr>
            </w:pPr>
          </w:p>
        </w:tc>
        <w:tc>
          <w:tcPr>
            <w:tcW w:w="2660" w:type="dxa"/>
            <w:vAlign w:val="bottom"/>
            <w:gridSpan w:val="31"/>
          </w:tcPr>
          <w:p>
            <w:pPr>
              <w:spacing w:after="0" w:line="182" w:lineRule="exact"/>
              <w:rPr>
                <w:sz w:val="20"/>
                <w:szCs w:val="20"/>
                <w:color w:val="auto"/>
              </w:rPr>
            </w:pPr>
            <w:r>
              <w:rPr>
                <w:rFonts w:ascii="Arial" w:cs="Arial" w:eastAsia="Arial" w:hAnsi="Arial"/>
                <w:sz w:val="18"/>
                <w:szCs w:val="18"/>
                <w:color w:val="0000EE"/>
                <w:w w:val="82"/>
              </w:rPr>
              <w:t>Quantitative and Qualitative Disclosures</w:t>
            </w:r>
          </w:p>
        </w:tc>
        <w:tc>
          <w:tcPr>
            <w:tcW w:w="4440" w:type="dxa"/>
            <w:vAlign w:val="bottom"/>
            <w:gridSpan w:val="15"/>
          </w:tcPr>
          <w:p>
            <w:pPr>
              <w:ind w:left="180"/>
              <w:spacing w:after="0" w:line="182" w:lineRule="exact"/>
              <w:rPr>
                <w:sz w:val="20"/>
                <w:szCs w:val="20"/>
                <w:color w:val="auto"/>
              </w:rPr>
            </w:pPr>
            <w:r>
              <w:rPr>
                <w:rFonts w:ascii="Arial" w:cs="Arial" w:eastAsia="Arial" w:hAnsi="Arial"/>
                <w:sz w:val="18"/>
                <w:szCs w:val="18"/>
                <w:color w:val="0000EE"/>
              </w:rPr>
              <w:t>About Market Risk</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83"/>
              </w:rPr>
              <w:t>Item 4.</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0"/>
          </w:tcPr>
          <w:p>
            <w:pPr>
              <w:spacing w:after="0" w:line="182" w:lineRule="exact"/>
              <w:rPr>
                <w:sz w:val="20"/>
                <w:szCs w:val="20"/>
                <w:color w:val="auto"/>
              </w:rPr>
            </w:pPr>
            <w:r>
              <w:rPr>
                <w:rFonts w:ascii="Arial" w:cs="Arial" w:eastAsia="Arial" w:hAnsi="Arial"/>
                <w:sz w:val="18"/>
                <w:szCs w:val="18"/>
                <w:color w:val="0000EE"/>
                <w:w w:val="88"/>
              </w:rPr>
              <w:t>Controls and Procedures</w:t>
            </w:r>
          </w:p>
        </w:tc>
        <w:tc>
          <w:tcPr>
            <w:tcW w:w="2600" w:type="dxa"/>
            <w:vAlign w:val="bottom"/>
            <w:tcBorders>
              <w:top w:val="single" w:sz="8" w:color="0000EE"/>
            </w:tcBorders>
            <w:gridSpan w:val="23"/>
          </w:tcPr>
          <w:p>
            <w:pPr>
              <w:spacing w:after="0"/>
              <w:rPr>
                <w:sz w:val="15"/>
                <w:szCs w:val="15"/>
                <w:color w:val="auto"/>
              </w:rPr>
            </w:pPr>
          </w:p>
        </w:tc>
        <w:tc>
          <w:tcPr>
            <w:tcW w:w="2860" w:type="dxa"/>
            <w:vAlign w:val="bottom"/>
            <w:gridSpan w:val="4"/>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5"/>
          </w:tcPr>
          <w:p>
            <w:pPr>
              <w:spacing w:after="0" w:line="169" w:lineRule="exact"/>
              <w:rPr>
                <w:sz w:val="20"/>
                <w:szCs w:val="20"/>
                <w:color w:val="auto"/>
              </w:rPr>
            </w:pPr>
            <w:r>
              <w:rPr>
                <w:rFonts w:ascii="Arial" w:cs="Arial" w:eastAsia="Arial" w:hAnsi="Arial"/>
                <w:sz w:val="18"/>
                <w:szCs w:val="18"/>
                <w:b w:val="1"/>
                <w:bCs w:val="1"/>
                <w:color w:val="0000EE"/>
              </w:rPr>
              <w:t>Part II.</w:t>
            </w:r>
          </w:p>
        </w:tc>
        <w:tc>
          <w:tcPr>
            <w:tcW w:w="20" w:type="dxa"/>
            <w:vAlign w:val="bottom"/>
          </w:tcPr>
          <w:p>
            <w:pPr>
              <w:spacing w:after="0"/>
              <w:rPr>
                <w:sz w:val="14"/>
                <w:szCs w:val="14"/>
                <w:color w:val="auto"/>
              </w:rPr>
            </w:pPr>
          </w:p>
        </w:tc>
        <w:tc>
          <w:tcPr>
            <w:tcW w:w="1780" w:type="dxa"/>
            <w:vAlign w:val="bottom"/>
            <w:gridSpan w:val="20"/>
          </w:tcPr>
          <w:p>
            <w:pPr>
              <w:spacing w:after="0" w:line="169" w:lineRule="exact"/>
              <w:rPr>
                <w:sz w:val="20"/>
                <w:szCs w:val="20"/>
                <w:color w:val="auto"/>
              </w:rPr>
            </w:pPr>
            <w:r>
              <w:rPr>
                <w:rFonts w:ascii="Arial" w:cs="Arial" w:eastAsia="Arial" w:hAnsi="Arial"/>
                <w:sz w:val="18"/>
                <w:szCs w:val="18"/>
                <w:b w:val="1"/>
                <w:bCs w:val="1"/>
                <w:color w:val="0000EE"/>
              </w:rPr>
              <w:t>Other Information</w:t>
            </w:r>
          </w:p>
        </w:tc>
        <w:tc>
          <w:tcPr>
            <w:tcW w:w="540" w:type="dxa"/>
            <w:vAlign w:val="bottom"/>
            <w:gridSpan w:val="7"/>
          </w:tcPr>
          <w:p>
            <w:pPr>
              <w:spacing w:after="0"/>
              <w:rPr>
                <w:sz w:val="14"/>
                <w:szCs w:val="14"/>
                <w:color w:val="auto"/>
              </w:rPr>
            </w:pPr>
          </w:p>
        </w:tc>
        <w:tc>
          <w:tcPr>
            <w:tcW w:w="2000" w:type="dxa"/>
            <w:vAlign w:val="bottom"/>
            <w:gridSpan w:val="15"/>
          </w:tcPr>
          <w:p>
            <w:pPr>
              <w:spacing w:after="0"/>
              <w:rPr>
                <w:sz w:val="14"/>
                <w:szCs w:val="14"/>
                <w:color w:val="auto"/>
              </w:rPr>
            </w:pPr>
          </w:p>
        </w:tc>
        <w:tc>
          <w:tcPr>
            <w:tcW w:w="2920" w:type="dxa"/>
            <w:vAlign w:val="bottom"/>
            <w:gridSpan w:val="5"/>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Item 1.</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2"/>
              </w:rPr>
              <w:t>Legal Proceedings</w:t>
            </w:r>
          </w:p>
        </w:tc>
        <w:tc>
          <w:tcPr>
            <w:tcW w:w="360" w:type="dxa"/>
            <w:vAlign w:val="bottom"/>
            <w:gridSpan w:val="6"/>
          </w:tcPr>
          <w:p>
            <w:pPr>
              <w:spacing w:after="0"/>
              <w:rPr>
                <w:sz w:val="15"/>
                <w:szCs w:val="15"/>
                <w:color w:val="auto"/>
              </w:rPr>
            </w:pPr>
          </w:p>
        </w:tc>
        <w:tc>
          <w:tcPr>
            <w:tcW w:w="560" w:type="dxa"/>
            <w:vAlign w:val="bottom"/>
            <w:gridSpan w:val="8"/>
          </w:tcPr>
          <w:p>
            <w:pPr>
              <w:spacing w:after="0"/>
              <w:rPr>
                <w:sz w:val="15"/>
                <w:szCs w:val="15"/>
                <w:color w:val="auto"/>
              </w:rPr>
            </w:pPr>
          </w:p>
        </w:tc>
        <w:tc>
          <w:tcPr>
            <w:tcW w:w="2000" w:type="dxa"/>
            <w:vAlign w:val="bottom"/>
            <w:gridSpan w:val="15"/>
          </w:tcPr>
          <w:p>
            <w:pPr>
              <w:spacing w:after="0"/>
              <w:rPr>
                <w:sz w:val="15"/>
                <w:szCs w:val="15"/>
                <w:color w:val="auto"/>
              </w:rPr>
            </w:pPr>
          </w:p>
        </w:tc>
        <w:tc>
          <w:tcPr>
            <w:tcW w:w="2920" w:type="dxa"/>
            <w:vAlign w:val="bottom"/>
            <w:gridSpan w:val="5"/>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40" w:type="dxa"/>
            <w:vAlign w:val="bottom"/>
            <w:gridSpan w:val="53"/>
          </w:tcPr>
          <w:p>
            <w:pPr>
              <w:spacing w:after="0" w:line="182" w:lineRule="exact"/>
              <w:rPr>
                <w:sz w:val="20"/>
                <w:szCs w:val="20"/>
                <w:color w:val="auto"/>
              </w:rPr>
            </w:pPr>
            <w:r>
              <w:rPr>
                <w:rFonts w:ascii="Arial" w:cs="Arial" w:eastAsia="Arial" w:hAnsi="Arial"/>
                <w:sz w:val="18"/>
                <w:szCs w:val="18"/>
                <w:color w:val="0000EE"/>
              </w:rPr>
              <w:t>Item 1A. Risk Factors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8"/>
                <w:szCs w:val="18"/>
                <w:color w:val="0000EE"/>
              </w:rPr>
              <w:t>Item 2.</w:t>
            </w:r>
          </w:p>
        </w:tc>
        <w:tc>
          <w:tcPr>
            <w:tcW w:w="80" w:type="dxa"/>
            <w:vAlign w:val="bottom"/>
            <w:gridSpan w:val="2"/>
          </w:tcPr>
          <w:p>
            <w:pPr>
              <w:spacing w:after="0"/>
              <w:rPr>
                <w:sz w:val="14"/>
                <w:szCs w:val="14"/>
                <w:color w:val="auto"/>
              </w:rPr>
            </w:pPr>
          </w:p>
        </w:tc>
        <w:tc>
          <w:tcPr>
            <w:tcW w:w="9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8"/>
                <w:szCs w:val="18"/>
                <w:color w:val="0000EE"/>
                <w:w w:val="85"/>
              </w:rPr>
              <w:t>Unregistered</w:t>
            </w:r>
          </w:p>
        </w:tc>
        <w:tc>
          <w:tcPr>
            <w:tcW w:w="6320" w:type="dxa"/>
            <w:vAlign w:val="bottom"/>
            <w:gridSpan w:val="40"/>
          </w:tcPr>
          <w:p>
            <w:pPr>
              <w:ind w:left="20"/>
              <w:spacing w:after="0" w:line="169" w:lineRule="exact"/>
              <w:rPr>
                <w:sz w:val="20"/>
                <w:szCs w:val="20"/>
                <w:color w:val="auto"/>
              </w:rPr>
            </w:pPr>
            <w:r>
              <w:rPr>
                <w:rFonts w:ascii="Arial" w:cs="Arial" w:eastAsia="Arial" w:hAnsi="Arial"/>
                <w:sz w:val="18"/>
                <w:szCs w:val="18"/>
                <w:color w:val="0000EE"/>
              </w:rPr>
              <w:t>Sales of Equity Securities and Use of Proceeds</w:t>
            </w: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Item 3.</w:t>
            </w: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920" w:type="dxa"/>
            <w:vAlign w:val="bottom"/>
            <w:gridSpan w:val="5"/>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Item 4.</w:t>
            </w: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Mine Safety Disclosures</w:t>
            </w:r>
          </w:p>
        </w:tc>
        <w:tc>
          <w:tcPr>
            <w:tcW w:w="4920" w:type="dxa"/>
            <w:vAlign w:val="bottom"/>
            <w:gridSpan w:val="20"/>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90"/>
              </w:rPr>
              <w:t>Item 5.</w:t>
            </w: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8"/>
                <w:szCs w:val="18"/>
                <w:color w:val="0000EE"/>
              </w:rPr>
              <w:t>Other Information</w:t>
            </w:r>
          </w:p>
        </w:tc>
        <w:tc>
          <w:tcPr>
            <w:tcW w:w="5480" w:type="dxa"/>
            <w:vAlign w:val="bottom"/>
            <w:gridSpan w:val="28"/>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Item 6.</w:t>
            </w: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Exhibits</w:t>
            </w:r>
          </w:p>
        </w:tc>
        <w:tc>
          <w:tcPr>
            <w:tcW w:w="5920" w:type="dxa"/>
            <w:vAlign w:val="bottom"/>
            <w:gridSpan w:val="35"/>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40" w:type="dxa"/>
            <w:vAlign w:val="bottom"/>
            <w:gridSpan w:val="44"/>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40" w:type="dxa"/>
            <w:vAlign w:val="bottom"/>
            <w:gridSpan w:val="53"/>
          </w:tcPr>
          <w:p>
            <w:pPr>
              <w:spacing w:after="0" w:line="182" w:lineRule="exact"/>
              <w:rPr>
                <w:sz w:val="20"/>
                <w:szCs w:val="20"/>
                <w:color w:val="auto"/>
              </w:rPr>
            </w:pPr>
            <w:r>
              <w:rPr>
                <w:rFonts w:ascii="Arial" w:cs="Arial" w:eastAsia="Arial" w:hAnsi="Arial"/>
                <w:sz w:val="18"/>
                <w:szCs w:val="18"/>
                <w:color w:val="0000EE"/>
              </w:rPr>
              <w:t>Signatures</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ind w:left="20"/>
              <w:spacing w:after="0"/>
              <w:rPr>
                <w:sz w:val="20"/>
                <w:szCs w:val="20"/>
                <w:color w:val="auto"/>
              </w:rPr>
            </w:pPr>
            <w:r>
              <w:rPr>
                <w:rFonts w:ascii="Arial" w:cs="Arial" w:eastAsia="Arial" w:hAnsi="Arial"/>
                <w:sz w:val="13"/>
                <w:szCs w:val="13"/>
                <w:color w:val="auto"/>
              </w:rPr>
              <w:t>(Thousands, except par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March 31, 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w w:val="90"/>
              </w:rPr>
              <w:t>December 31, 2022</w:t>
            </w:r>
          </w:p>
        </w:tc>
      </w:tr>
      <w:tr>
        <w:trPr>
          <w:trHeight w:val="142"/>
        </w:trPr>
        <w:tc>
          <w:tcPr>
            <w:tcW w:w="6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23,688</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16,838</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9,567</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Accounts receivable, net of allowance for credit losses of $2,516 and $3,023, respectively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115,494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101,639</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145,836</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13,390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15,053</w:t>
            </w:r>
          </w:p>
        </w:tc>
      </w:tr>
      <w:tr>
        <w:trPr>
          <w:trHeight w:val="148"/>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9,166</w:t>
            </w:r>
          </w:p>
        </w:tc>
      </w:tr>
      <w:tr>
        <w:trPr>
          <w:trHeight w:val="142"/>
        </w:trPr>
        <w:tc>
          <w:tcPr>
            <w:tcW w:w="6120" w:type="dxa"/>
            <w:vAlign w:val="bottom"/>
          </w:tcPr>
          <w:p>
            <w:pPr>
              <w:ind w:left="440"/>
              <w:spacing w:after="0" w:line="142"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310,299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298,099</w:t>
            </w:r>
          </w:p>
        </w:tc>
      </w:tr>
      <w:tr>
        <w:trPr>
          <w:trHeight w:val="149"/>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62"/>
        </w:trPr>
        <w:tc>
          <w:tcPr>
            <w:tcW w:w="6120" w:type="dxa"/>
            <w:vAlign w:val="bottom"/>
          </w:tcPr>
          <w:p>
            <w:pPr>
              <w:ind w:left="220"/>
              <w:spacing w:after="0"/>
              <w:rPr>
                <w:sz w:val="20"/>
                <w:szCs w:val="20"/>
                <w:color w:val="auto"/>
              </w:rPr>
            </w:pPr>
            <w:r>
              <w:rPr>
                <w:rFonts w:ascii="Arial" w:cs="Arial" w:eastAsia="Arial" w:hAnsi="Arial"/>
                <w:sz w:val="13"/>
                <w:szCs w:val="13"/>
                <w:color w:val="auto"/>
              </w:rPr>
              <w:t>Property, plant and equipment, 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194,691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185,206</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113,999</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128,992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130,886</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right-of-use assets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11,090</w:t>
            </w:r>
          </w:p>
        </w:tc>
      </w:tr>
      <w:tr>
        <w:trPr>
          <w:trHeight w:val="148"/>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long-term assets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7,114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6,933</w:t>
            </w:r>
          </w:p>
        </w:tc>
      </w:tr>
      <w:tr>
        <w:trPr>
          <w:trHeight w:val="142"/>
        </w:trPr>
        <w:tc>
          <w:tcPr>
            <w:tcW w:w="612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773,301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746,213</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8"/>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CONVERTIBLE PREFERRED SHARES AND SHAREHOLDERS' EQUITY</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Current maturities of long-term debt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9,287</w:t>
            </w:r>
          </w:p>
        </w:tc>
        <w:tc>
          <w:tcPr>
            <w:tcW w:w="10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11,504</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Short-term debt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42,905</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101,540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116,675</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7,592</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37,459</w:t>
            </w:r>
          </w:p>
        </w:tc>
      </w:tr>
      <w:tr>
        <w:trPr>
          <w:trHeight w:val="142"/>
        </w:trPr>
        <w:tc>
          <w:tcPr>
            <w:tcW w:w="612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194,387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216,135</w:t>
            </w: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Long-term debt, net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162,502</w:t>
            </w:r>
          </w:p>
        </w:tc>
      </w:tr>
      <w:tr>
        <w:trPr>
          <w:trHeight w:val="162"/>
        </w:trPr>
        <w:tc>
          <w:tcPr>
            <w:tcW w:w="6120" w:type="dxa"/>
            <w:vAlign w:val="bottom"/>
          </w:tcPr>
          <w:p>
            <w:pPr>
              <w:ind w:left="220"/>
              <w:spacing w:after="0"/>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10,823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14,355</w:t>
            </w: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Warrant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55,521</w:t>
            </w:r>
          </w:p>
        </w:tc>
      </w:tr>
      <w:tr>
        <w:trPr>
          <w:trHeight w:val="149"/>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long-term liabilities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11,035</w:t>
            </w:r>
          </w:p>
        </w:tc>
      </w:tr>
      <w:tr>
        <w:trPr>
          <w:trHeight w:val="142"/>
        </w:trPr>
        <w:tc>
          <w:tcPr>
            <w:tcW w:w="612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color w:val="auto"/>
              </w:rPr>
              <w:t>Total liabilities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485,379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459,548</w:t>
            </w:r>
          </w:p>
        </w:tc>
      </w:tr>
      <w:tr>
        <w:trPr>
          <w:trHeight w:val="142"/>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8"/>
        </w:trPr>
        <w:tc>
          <w:tcPr>
            <w:tcW w:w="612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w w:val="93"/>
              </w:rPr>
              <w:t>Series A Convertible Preferred Shares, $0.01 par value, 24,000 shares authorized, 23,566 shares and 23,588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48"/>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5"/>
              </w:rPr>
              <w:t>shares issued and outstanding at March 31, 2023 and December 31, 2022, respectively, $11.50 liquidation</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5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275,112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274,936</w:t>
            </w:r>
          </w:p>
        </w:tc>
      </w:tr>
      <w:tr>
        <w:trPr>
          <w:trHeight w:val="148"/>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Shareholders' Equity</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Preferred stock, $0.01 par value, 26,000 shares authorized, no shares issued and outstanding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8"/>
        </w:trPr>
        <w:tc>
          <w:tcPr>
            <w:tcW w:w="612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w w:val="96"/>
              </w:rPr>
              <w:t>Common stock, $0.01 par value, 300,000 shares authorized, 75,628 shares and 75,020 shares issued and</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outstanding at March 31, 2023 and December 31, 2022, respectively</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Additional paid-in-capital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345,840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342,664</w:t>
            </w:r>
          </w:p>
        </w:tc>
      </w:tr>
      <w:tr>
        <w:trPr>
          <w:trHeight w:val="149"/>
        </w:trPr>
        <w:tc>
          <w:tcPr>
            <w:tcW w:w="6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deficit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(332,383)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(328,042)</w:t>
            </w:r>
          </w:p>
        </w:tc>
      </w:tr>
      <w:tr>
        <w:trPr>
          <w:trHeight w:val="148"/>
        </w:trPr>
        <w:tc>
          <w:tcPr>
            <w:tcW w:w="6120" w:type="dxa"/>
            <w:vAlign w:val="bottom"/>
          </w:tcPr>
          <w:p>
            <w:pPr>
              <w:ind w:left="220"/>
              <w:spacing w:after="0"/>
              <w:rPr>
                <w:sz w:val="20"/>
                <w:szCs w:val="20"/>
                <w:color w:val="auto"/>
              </w:rPr>
            </w:pPr>
            <w:r>
              <w:rPr>
                <w:rFonts w:ascii="Arial" w:cs="Arial" w:eastAsia="Arial" w:hAnsi="Arial"/>
                <w:sz w:val="13"/>
                <w:szCs w:val="13"/>
                <w:color w:val="auto"/>
              </w:rPr>
              <w:t>Accumulated other comprehensive loss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(3,881)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(6,103)</w:t>
            </w:r>
          </w:p>
        </w:tc>
      </w:tr>
      <w:tr>
        <w:trPr>
          <w:trHeight w:val="142"/>
        </w:trPr>
        <w:tc>
          <w:tcPr>
            <w:tcW w:w="612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b w:val="1"/>
                <w:bCs w:val="1"/>
                <w:color w:val="auto"/>
              </w:rPr>
              <w:t>Total shareholders' equity attributable to Westrock Coffee Company</w:t>
            </w: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10,335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9,269</w:t>
            </w:r>
          </w:p>
        </w:tc>
      </w:tr>
      <w:tr>
        <w:trPr>
          <w:trHeight w:val="162"/>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Noncontrolling interest</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2,460</w:t>
            </w:r>
          </w:p>
        </w:tc>
      </w:tr>
      <w:tr>
        <w:trPr>
          <w:trHeight w:val="142"/>
        </w:trPr>
        <w:tc>
          <w:tcPr>
            <w:tcW w:w="6120" w:type="dxa"/>
            <w:vAlign w:val="bottom"/>
            <w:shd w:val="clear" w:color="auto" w:fill="CCEEFF"/>
          </w:tcPr>
          <w:p>
            <w:pPr>
              <w:ind w:left="440"/>
              <w:spacing w:after="0" w:line="142" w:lineRule="exact"/>
              <w:rPr>
                <w:sz w:val="20"/>
                <w:szCs w:val="20"/>
                <w:color w:val="auto"/>
              </w:rPr>
            </w:pPr>
            <w:r>
              <w:rPr>
                <w:rFonts w:ascii="Arial" w:cs="Arial" w:eastAsia="Arial" w:hAnsi="Arial"/>
                <w:sz w:val="13"/>
                <w:szCs w:val="13"/>
                <w:b w:val="1"/>
                <w:bCs w:val="1"/>
                <w:color w:val="auto"/>
              </w:rPr>
              <w:t>Total shareholders' equity</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12,810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11,729</w:t>
            </w:r>
          </w:p>
        </w:tc>
      </w:tr>
      <w:tr>
        <w:trPr>
          <w:trHeight w:val="142"/>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Convertible Preferred Shares and Shareholders'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773,301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746,213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1500" w:right="1860"/>
        <w:spacing w:after="0" w:line="266" w:lineRule="auto"/>
        <w:rPr>
          <w:sz w:val="20"/>
          <w:szCs w:val="20"/>
          <w:color w:val="auto"/>
        </w:rPr>
      </w:pPr>
      <w:r>
        <w:rPr>
          <w:rFonts w:ascii="Arial" w:cs="Arial" w:eastAsia="Arial" w:hAnsi="Arial"/>
          <w:sz w:val="18"/>
          <w:szCs w:val="18"/>
          <w:b w:val="1"/>
          <w:bCs w:val="1"/>
          <w:color w:val="auto"/>
        </w:rPr>
        <w:t>WESTROCK COFFEE COMPANY CONDENSED CONSOLIDATED STATEMENTS OF OPERATIONS (Unaudited)</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vMerge w:val="restart"/>
          </w:tcPr>
          <w:p>
            <w:pPr>
              <w:ind w:left="20"/>
              <w:spacing w:after="0"/>
              <w:rPr>
                <w:sz w:val="20"/>
                <w:szCs w:val="20"/>
                <w:color w:val="auto"/>
              </w:rPr>
            </w:pPr>
            <w:r>
              <w:rPr>
                <w:rFonts w:ascii="Arial" w:cs="Arial" w:eastAsia="Arial" w:hAnsi="Arial"/>
                <w:sz w:val="13"/>
                <w:szCs w:val="13"/>
                <w:color w:val="auto"/>
              </w:rPr>
              <w:t>(Thousands, except per share data)</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205,442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3"/>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186,428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0"/>
              <w:spacing w:after="0"/>
              <w:rPr>
                <w:sz w:val="20"/>
                <w:szCs w:val="20"/>
                <w:color w:val="auto"/>
              </w:rPr>
            </w:pPr>
            <w:r>
              <w:rPr>
                <w:rFonts w:ascii="Arial" w:cs="Arial" w:eastAsia="Arial" w:hAnsi="Arial"/>
                <w:sz w:val="13"/>
                <w:szCs w:val="13"/>
                <w:color w:val="auto"/>
              </w:rPr>
              <w:t>Costs of sales</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171,144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34,298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38,431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expense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34,122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120"/>
              <w:spacing w:after="0"/>
              <w:rPr>
                <w:sz w:val="20"/>
                <w:szCs w:val="20"/>
                <w:color w:val="auto"/>
              </w:rPr>
            </w:pPr>
            <w:r>
              <w:rPr>
                <w:rFonts w:ascii="Arial" w:cs="Arial" w:eastAsia="Arial" w:hAnsi="Arial"/>
                <w:sz w:val="13"/>
                <w:szCs w:val="13"/>
                <w:color w:val="auto"/>
              </w:rPr>
              <w:t>Acquisition, restructuring and integration expense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6,644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Loss on disposal of property, plant and equipment</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ind w:left="220"/>
              <w:spacing w:after="0" w:line="142" w:lineRule="exact"/>
              <w:rPr>
                <w:sz w:val="20"/>
                <w:szCs w:val="20"/>
                <w:color w:val="auto"/>
              </w:rPr>
            </w:pPr>
            <w:r>
              <w:rPr>
                <w:rFonts w:ascii="Arial" w:cs="Arial" w:eastAsia="Arial" w:hAnsi="Arial"/>
                <w:sz w:val="13"/>
                <w:szCs w:val="13"/>
                <w:color w:val="auto"/>
              </w:rPr>
              <w:t>Total operating expenses</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41,662</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Income (loss) from operations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(7,364)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6,029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 of warrant liabilities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Loss before income taxes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(8,685)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Income tax benefit</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(4,359)</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loss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(4,326)</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3"/>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Arial" w:cs="Arial" w:eastAsia="Arial" w:hAnsi="Arial"/>
                <w:sz w:val="13"/>
                <w:szCs w:val="13"/>
                <w:color w:val="auto"/>
              </w:rPr>
              <w:t>Net income attributable to non-controlling interest</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loss attributable to shareholders</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(4,341)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(4,876)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Arial" w:cs="Arial" w:eastAsia="Arial" w:hAnsi="Arial"/>
                <w:sz w:val="13"/>
                <w:szCs w:val="13"/>
                <w:color w:val="auto"/>
              </w:rPr>
              <w:t>Accretion of Series A Convertible Preferred Shares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Accumulating preferred dividends</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Net loss attributable to common shareholders</w:t>
            </w:r>
          </w:p>
        </w:tc>
        <w:tc>
          <w:tcPr>
            <w:tcW w:w="440" w:type="dxa"/>
            <w:vAlign w:val="bottom"/>
            <w:gridSpan w:val="2"/>
          </w:tcPr>
          <w:p>
            <w:pPr>
              <w:jc w:val="right"/>
              <w:ind w:right="129"/>
              <w:spacing w:after="0" w:line="129"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(4,770)</w:t>
            </w:r>
          </w:p>
        </w:tc>
        <w:tc>
          <w:tcPr>
            <w:tcW w:w="500" w:type="dxa"/>
            <w:vAlign w:val="bottom"/>
            <w:gridSpan w:val="2"/>
          </w:tcPr>
          <w:p>
            <w:pPr>
              <w:jc w:val="right"/>
              <w:ind w:right="153"/>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3"/>
                <w:szCs w:val="13"/>
                <w:color w:val="auto"/>
              </w:rPr>
              <w:t>(11,613)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line="149" w:lineRule="exact"/>
              <w:rPr>
                <w:sz w:val="20"/>
                <w:szCs w:val="20"/>
                <w:color w:val="auto"/>
              </w:rPr>
            </w:pPr>
            <w:r>
              <w:rPr>
                <w:rFonts w:ascii="Arial" w:cs="Arial" w:eastAsia="Arial" w:hAnsi="Arial"/>
                <w:sz w:val="12"/>
                <w:szCs w:val="12"/>
                <w:b w:val="1"/>
                <w:bCs w:val="1"/>
                <w:color w:val="auto"/>
              </w:rPr>
              <w:t>Loss per common share</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Basic</w:t>
            </w:r>
          </w:p>
        </w:tc>
        <w:tc>
          <w:tcPr>
            <w:tcW w:w="440" w:type="dxa"/>
            <w:vAlign w:val="bottom"/>
            <w:gridSpan w:val="2"/>
            <w:shd w:val="clear" w:color="auto" w:fill="CCEEFF"/>
          </w:tcPr>
          <w:p>
            <w:pPr>
              <w:jc w:val="right"/>
              <w:ind w:right="129"/>
              <w:spacing w:after="0" w:line="129"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(0.06)</w:t>
            </w:r>
          </w:p>
        </w:tc>
        <w:tc>
          <w:tcPr>
            <w:tcW w:w="500" w:type="dxa"/>
            <w:vAlign w:val="bottom"/>
            <w:gridSpan w:val="2"/>
            <w:shd w:val="clear" w:color="auto" w:fill="CCEEFF"/>
          </w:tcPr>
          <w:p>
            <w:pPr>
              <w:jc w:val="right"/>
              <w:ind w:right="153"/>
              <w:spacing w:after="0" w:line="129"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(0.34)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bottom w:val="single" w:sz="8" w:color="CCEEFF"/>
            </w:tcBorders>
          </w:tcPr>
          <w:p>
            <w:pPr>
              <w:ind w:left="120"/>
              <w:spacing w:after="0" w:line="143" w:lineRule="exact"/>
              <w:rPr>
                <w:sz w:val="20"/>
                <w:szCs w:val="20"/>
                <w:color w:val="auto"/>
              </w:rPr>
            </w:pPr>
            <w:r>
              <w:rPr>
                <w:rFonts w:ascii="Arial" w:cs="Arial" w:eastAsia="Arial" w:hAnsi="Arial"/>
                <w:sz w:val="13"/>
                <w:szCs w:val="13"/>
                <w:color w:val="auto"/>
              </w:rPr>
              <w:t>Diluted</w:t>
            </w:r>
          </w:p>
        </w:tc>
        <w:tc>
          <w:tcPr>
            <w:tcW w:w="2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(0.13)</w:t>
            </w:r>
          </w:p>
        </w:tc>
        <w:tc>
          <w:tcPr>
            <w:tcW w:w="20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line="149" w:lineRule="exact"/>
              <w:rPr>
                <w:sz w:val="20"/>
                <w:szCs w:val="20"/>
                <w:color w:val="auto"/>
              </w:rPr>
            </w:pPr>
            <w:r>
              <w:rPr>
                <w:rFonts w:ascii="Arial" w:cs="Arial" w:eastAsia="Arial" w:hAnsi="Arial"/>
                <w:sz w:val="12"/>
                <w:szCs w:val="12"/>
                <w:b w:val="1"/>
                <w:bCs w:val="1"/>
                <w:color w:val="auto"/>
              </w:rPr>
              <w:t>Weighted-average number of shares outstanding</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75,358</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76,693</w:t>
            </w: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34,641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220" w:hanging="170"/>
        <w:spacing w:after="0"/>
        <w:tabs>
          <w:tab w:leader="none" w:pos="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Retroactively adjusted the three months ended March 31, 2022 for de-SPAC merger transaction as described in Note 4.</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2" w:lineRule="exact"/>
        <w:rPr>
          <w:rFonts w:ascii="Arial" w:cs="Arial" w:eastAsia="Arial" w:hAnsi="Arial"/>
          <w:sz w:val="13"/>
          <w:szCs w:val="13"/>
          <w:color w:val="auto"/>
        </w:rPr>
      </w:pPr>
    </w:p>
    <w:p>
      <w:pPr>
        <w:ind w:left="2540"/>
        <w:spacing w:after="0"/>
        <w:rPr>
          <w:rFonts w:ascii="Arial" w:cs="Arial" w:eastAsia="Arial" w:hAnsi="Arial"/>
          <w:sz w:val="13"/>
          <w:szCs w:val="13"/>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ind w:left="200"/>
              <w:spacing w:after="0"/>
              <w:rPr>
                <w:sz w:val="20"/>
                <w:szCs w:val="20"/>
                <w:color w:val="auto"/>
              </w:rPr>
            </w:pPr>
            <w:r>
              <w:rPr>
                <w:rFonts w:ascii="Arial" w:cs="Arial" w:eastAsia="Arial" w:hAnsi="Arial"/>
                <w:sz w:val="13"/>
                <w:szCs w:val="13"/>
                <w:b w:val="1"/>
                <w:bCs w:val="1"/>
                <w:color w:val="auto"/>
              </w:rPr>
              <w:t>Three Months Ended March 31,</w:t>
            </w:r>
          </w:p>
        </w:tc>
      </w:tr>
      <w:tr>
        <w:trPr>
          <w:trHeight w:val="155"/>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(Thousands)</w:t>
            </w:r>
          </w:p>
        </w:tc>
        <w:tc>
          <w:tcPr>
            <w:tcW w:w="4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42"/>
        </w:trPr>
        <w:tc>
          <w:tcPr>
            <w:tcW w:w="60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(4,326)</w:t>
            </w:r>
          </w:p>
        </w:tc>
        <w:tc>
          <w:tcPr>
            <w:tcW w:w="4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(4,705)</w:t>
            </w:r>
          </w:p>
        </w:tc>
        <w:tc>
          <w:tcPr>
            <w:tcW w:w="20" w:type="dxa"/>
            <w:vAlign w:val="bottom"/>
          </w:tcPr>
          <w:p>
            <w:pPr>
              <w:spacing w:after="0"/>
              <w:rPr>
                <w:sz w:val="12"/>
                <w:szCs w:val="12"/>
                <w:color w:val="auto"/>
              </w:rPr>
            </w:pPr>
          </w:p>
        </w:tc>
      </w:tr>
      <w:tr>
        <w:trPr>
          <w:trHeight w:val="162"/>
        </w:trPr>
        <w:tc>
          <w:tcPr>
            <w:tcW w:w="6080" w:type="dxa"/>
            <w:vAlign w:val="bottom"/>
            <w:gridSpan w:val="2"/>
          </w:tcPr>
          <w:p>
            <w:pPr>
              <w:ind w:left="20"/>
              <w:spacing w:after="0"/>
              <w:rPr>
                <w:sz w:val="20"/>
                <w:szCs w:val="20"/>
                <w:color w:val="auto"/>
              </w:rPr>
            </w:pPr>
            <w:r>
              <w:rPr>
                <w:rFonts w:ascii="Arial" w:cs="Arial" w:eastAsia="Arial" w:hAnsi="Arial"/>
                <w:sz w:val="13"/>
                <w:szCs w:val="13"/>
                <w:i w:val="1"/>
                <w:iCs w:val="1"/>
                <w:color w:val="auto"/>
              </w:rPr>
              <w:t>Other comprehensive income (loss), net of tax:</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Unrealized gain (loss) on derivative instruments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w:t>
            </w:r>
          </w:p>
        </w:tc>
        <w:tc>
          <w:tcPr>
            <w:tcW w:w="20" w:type="dxa"/>
            <w:vAlign w:val="bottom"/>
          </w:tcPr>
          <w:p>
            <w:pPr>
              <w:spacing w:after="0"/>
              <w:rPr>
                <w:sz w:val="12"/>
                <w:szCs w:val="12"/>
                <w:color w:val="auto"/>
              </w:rPr>
            </w:pPr>
          </w:p>
        </w:tc>
      </w:tr>
      <w:tr>
        <w:trPr>
          <w:trHeight w:val="14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Foreign currency translation adjustment</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6080" w:type="dxa"/>
            <w:vAlign w:val="bottom"/>
            <w:tcBorders>
              <w:top w:val="single" w:sz="8" w:color="CCEEFF"/>
            </w:tcBorders>
            <w:gridSpan w:val="2"/>
            <w:shd w:val="clear" w:color="auto" w:fill="CCEEFF"/>
          </w:tcPr>
          <w:p>
            <w:pPr>
              <w:ind w:left="440"/>
              <w:spacing w:after="0" w:line="142" w:lineRule="exact"/>
              <w:rPr>
                <w:sz w:val="20"/>
                <w:szCs w:val="20"/>
                <w:color w:val="auto"/>
              </w:rPr>
            </w:pPr>
            <w:r>
              <w:rPr>
                <w:rFonts w:ascii="Arial" w:cs="Arial" w:eastAsia="Arial" w:hAnsi="Arial"/>
                <w:sz w:val="13"/>
                <w:szCs w:val="13"/>
                <w:color w:val="auto"/>
              </w:rPr>
              <w:t>Total other comprehensive income (loss)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2,222</w:t>
            </w: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(4,860)</w:t>
            </w:r>
          </w:p>
        </w:tc>
        <w:tc>
          <w:tcPr>
            <w:tcW w:w="20" w:type="dxa"/>
            <w:vAlign w:val="bottom"/>
          </w:tcPr>
          <w:p>
            <w:pPr>
              <w:spacing w:after="0"/>
              <w:rPr>
                <w:sz w:val="12"/>
                <w:szCs w:val="12"/>
                <w:color w:val="auto"/>
              </w:rPr>
            </w:pPr>
          </w:p>
        </w:tc>
      </w:tr>
      <w:tr>
        <w:trPr>
          <w:trHeight w:val="142"/>
        </w:trPr>
        <w:tc>
          <w:tcPr>
            <w:tcW w:w="608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Comprehensive loss</w:t>
            </w:r>
          </w:p>
        </w:tc>
        <w:tc>
          <w:tcPr>
            <w:tcW w:w="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(2,104)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(9,565)</w:t>
            </w:r>
          </w:p>
        </w:tc>
        <w:tc>
          <w:tcPr>
            <w:tcW w:w="20" w:type="dxa"/>
            <w:vAlign w:val="bottom"/>
          </w:tcPr>
          <w:p>
            <w:pPr>
              <w:spacing w:after="0"/>
              <w:rPr>
                <w:sz w:val="12"/>
                <w:szCs w:val="12"/>
                <w:color w:val="auto"/>
              </w:rPr>
            </w:pPr>
          </w:p>
        </w:tc>
      </w:tr>
      <w:tr>
        <w:trPr>
          <w:trHeight w:val="148"/>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tcPr>
          <w:p>
            <w:pPr>
              <w:spacing w:after="0"/>
              <w:rPr>
                <w:sz w:val="12"/>
                <w:szCs w:val="12"/>
                <w:color w:val="auto"/>
              </w:rPr>
            </w:pPr>
          </w:p>
        </w:tc>
      </w:tr>
      <w:tr>
        <w:trPr>
          <w:trHeight w:val="142"/>
        </w:trPr>
        <w:tc>
          <w:tcPr>
            <w:tcW w:w="608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Comprehensive loss attributable to shareholders</w:t>
            </w:r>
          </w:p>
        </w:tc>
        <w:tc>
          <w:tcPr>
            <w:tcW w:w="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(2,119)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(9,736)</w:t>
            </w:r>
          </w:p>
        </w:tc>
        <w:tc>
          <w:tcPr>
            <w:tcW w:w="20" w:type="dxa"/>
            <w:vAlign w:val="bottom"/>
          </w:tcPr>
          <w:p>
            <w:pPr>
              <w:spacing w:after="0"/>
              <w:rPr>
                <w:sz w:val="12"/>
                <w:szCs w:val="12"/>
                <w:color w:val="auto"/>
              </w:rPr>
            </w:pPr>
          </w:p>
        </w:tc>
      </w:tr>
      <w:tr>
        <w:trPr>
          <w:trHeight w:val="148"/>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Accretion of convertible preferred shares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80" w:type="dxa"/>
            <w:vAlign w:val="bottom"/>
            <w:gridSpan w:val="2"/>
          </w:tcPr>
          <w:p>
            <w:pPr>
              <w:ind w:left="220"/>
              <w:spacing w:after="0"/>
              <w:rPr>
                <w:sz w:val="20"/>
                <w:szCs w:val="20"/>
                <w:color w:val="auto"/>
              </w:rPr>
            </w:pPr>
            <w:r>
              <w:rPr>
                <w:rFonts w:ascii="Arial" w:cs="Arial" w:eastAsia="Arial" w:hAnsi="Arial"/>
                <w:sz w:val="13"/>
                <w:szCs w:val="13"/>
                <w:color w:val="auto"/>
              </w:rPr>
              <w:t>Accumulating preferred dividends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(6,737)</w:t>
            </w:r>
          </w:p>
        </w:tc>
        <w:tc>
          <w:tcPr>
            <w:tcW w:w="20" w:type="dxa"/>
            <w:vAlign w:val="bottom"/>
          </w:tcPr>
          <w:p>
            <w:pPr>
              <w:spacing w:after="0"/>
              <w:rPr>
                <w:sz w:val="12"/>
                <w:szCs w:val="12"/>
                <w:color w:val="auto"/>
              </w:rPr>
            </w:pPr>
          </w:p>
        </w:tc>
      </w:tr>
      <w:tr>
        <w:trPr>
          <w:trHeight w:val="162"/>
        </w:trPr>
        <w:tc>
          <w:tcPr>
            <w:tcW w:w="60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Comprehensive loss attributable to common shareholders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(2,548)</w:t>
            </w:r>
          </w:p>
        </w:tc>
        <w:tc>
          <w:tcPr>
            <w:tcW w:w="48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(16,473)</w:t>
            </w:r>
          </w:p>
        </w:tc>
        <w:tc>
          <w:tcPr>
            <w:tcW w:w="20" w:type="dxa"/>
            <w:vAlign w:val="bottom"/>
          </w:tcPr>
          <w:p>
            <w:pPr>
              <w:spacing w:after="0"/>
              <w:rPr>
                <w:sz w:val="14"/>
                <w:szCs w:val="14"/>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jc w:val="center"/>
        <w:spacing w:after="0" w:line="196" w:lineRule="auto"/>
        <w:rPr>
          <w:sz w:val="20"/>
          <w:szCs w:val="20"/>
          <w:color w:val="auto"/>
        </w:rPr>
      </w:pPr>
      <w:r>
        <w:rPr>
          <w:rFonts w:ascii="Arial" w:cs="Arial" w:eastAsia="Arial" w:hAnsi="Arial"/>
          <w:sz w:val="18"/>
          <w:szCs w:val="18"/>
          <w:b w:val="1"/>
          <w:bCs w:val="1"/>
          <w:color w:val="auto"/>
        </w:rPr>
        <w:t>CONDENSED CONSOLIDATED STATEMENTS OF SHAREHOLDERS’ EQUITY (DEFICIT)</w:t>
      </w:r>
      <w:r>
        <w:rPr>
          <w:rFonts w:ascii="Arial" w:cs="Arial" w:eastAsia="Arial" w:hAnsi="Arial"/>
          <w:sz w:val="26"/>
          <w:szCs w:val="26"/>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5"/>
              </w:rPr>
              <w:t>Accumulated</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w w:val="96"/>
              </w:rPr>
              <w:t>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2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(Thousands)</w:t>
            </w:r>
          </w:p>
        </w:tc>
        <w:tc>
          <w:tcPr>
            <w:tcW w:w="76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99"/>
              </w:rPr>
              <w:t>Paid-in Capital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960" w:type="dxa"/>
            <w:vAlign w:val="bottom"/>
            <w:gridSpan w:val="3"/>
          </w:tcPr>
          <w:p>
            <w:pPr>
              <w:jc w:val="center"/>
              <w:ind w:right="40"/>
              <w:spacing w:after="0" w:line="129" w:lineRule="exact"/>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28"/>
        </w:trPr>
        <w:tc>
          <w:tcPr>
            <w:tcW w:w="20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2021</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34,523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60,628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(251,725)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12,018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2,736</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(4,876)</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(4,705)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comprehensive income (loss)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(4,860)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(4,860)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4"/>
              </w:rPr>
              <w:t>Net share settlement of equity awards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(6,737)</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tcBorders>
              <w:bottom w:val="single" w:sz="8" w:color="CCEEFF"/>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Balance at March 31, 2022</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34,856</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60,319</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(263,338)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7,158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2,907</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(192,606)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Balance at December 31, 2022</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75,020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750</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342,664</w:t>
            </w:r>
          </w:p>
        </w:tc>
        <w:tc>
          <w:tcPr>
            <w:tcW w:w="6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(328,042)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(6,103)</w:t>
            </w:r>
          </w:p>
        </w:tc>
        <w:tc>
          <w:tcPr>
            <w:tcW w:w="240" w:type="dxa"/>
            <w:vAlign w:val="bottom"/>
            <w:gridSpan w:val="2"/>
          </w:tcPr>
          <w:p>
            <w:pPr>
              <w:jc w:val="right"/>
              <w:ind w:right="48"/>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2,460</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11,729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(4,341)</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(4,326)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acquisitions</w:t>
            </w:r>
          </w:p>
        </w:tc>
        <w:tc>
          <w:tcPr>
            <w:tcW w:w="76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Public Warrant exercise</w:t>
            </w:r>
          </w:p>
        </w:tc>
        <w:tc>
          <w:tcPr>
            <w:tcW w:w="760" w:type="dxa"/>
            <w:vAlign w:val="bottom"/>
          </w:tcPr>
          <w:p>
            <w:pPr>
              <w:jc w:val="right"/>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stock options exercised</w:t>
            </w:r>
          </w:p>
        </w:tc>
        <w:tc>
          <w:tcPr>
            <w:tcW w:w="7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93"/>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conversion of Series A Convertible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Preferred Shares</w:t>
            </w:r>
          </w:p>
        </w:tc>
        <w:tc>
          <w:tcPr>
            <w:tcW w:w="76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0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Accretion of Series A Convertible</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ind w:left="120"/>
              <w:spacing w:after="0"/>
              <w:rPr>
                <w:sz w:val="20"/>
                <w:szCs w:val="20"/>
                <w:color w:val="auto"/>
              </w:rPr>
            </w:pPr>
            <w:r>
              <w:rPr>
                <w:rFonts w:ascii="Arial" w:cs="Arial" w:eastAsia="Arial" w:hAnsi="Arial"/>
                <w:sz w:val="13"/>
                <w:szCs w:val="13"/>
                <w:color w:val="auto"/>
              </w:rPr>
              <w:t>Preferred Shares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(429)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Other comprehensive income (loss)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5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4"/>
              </w:rPr>
              <w:t>Net share settlement of equity awards</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(1,841)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(1,841)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Balance at March 31, 2023</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75,628</w:t>
            </w:r>
          </w:p>
        </w:tc>
        <w:tc>
          <w:tcPr>
            <w:tcW w:w="20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759</w:t>
            </w:r>
          </w:p>
        </w:tc>
        <w:tc>
          <w:tcPr>
            <w:tcW w:w="240" w:type="dxa"/>
            <w:vAlign w:val="bottom"/>
            <w:tcBorders>
              <w:top w:val="single" w:sz="8" w:color="CCEEFF"/>
            </w:tcBorders>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345,840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(332,383)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(3,881)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2,475</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540" w:right="1639" w:hanging="2490"/>
        <w:spacing w:after="0" w:line="622" w:lineRule="auto"/>
        <w:tabs>
          <w:tab w:leader="none" w:pos="226" w:val="left"/>
        </w:tabs>
        <w:numPr>
          <w:ilvl w:val="0"/>
          <w:numId w:val="6"/>
        </w:numPr>
        <w:rPr>
          <w:rFonts w:ascii="Arial" w:cs="Arial" w:eastAsia="Arial" w:hAnsi="Arial"/>
          <w:sz w:val="12"/>
          <w:szCs w:val="12"/>
          <w:color w:val="auto"/>
        </w:rPr>
      </w:pPr>
      <w:r>
        <w:rPr>
          <w:rFonts w:ascii="Arial" w:cs="Arial" w:eastAsia="Arial" w:hAnsi="Arial"/>
          <w:sz w:val="12"/>
          <w:szCs w:val="12"/>
          <w:color w:val="auto"/>
        </w:rPr>
        <w:t>Retroactively adjusted December 31, 2021 and three months ended March 31, 2022 for de-SPAC merger transaction as described in Note 4. See accompanying notes to condensed consolidated financial statements.</w:t>
      </w:r>
    </w:p>
    <w:p>
      <w:pPr>
        <w:ind w:left="88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40" w:right="59"/>
        <w:spacing w:after="0" w:line="263" w:lineRule="auto"/>
        <w:rPr>
          <w:sz w:val="20"/>
          <w:szCs w:val="20"/>
          <w:color w:val="auto"/>
        </w:rPr>
      </w:pPr>
      <w:r>
        <w:rPr>
          <w:rFonts w:ascii="Arial" w:cs="Arial" w:eastAsia="Arial" w:hAnsi="Arial"/>
          <w:sz w:val="18"/>
          <w:szCs w:val="18"/>
          <w:b w:val="1"/>
          <w:bCs w:val="1"/>
          <w:color w:val="auto"/>
        </w:rPr>
        <w:t>WESTROCK COFFEE COMPANY CONDENSED CONSOLIDATED STATEMENTS OF CASH FLOWS (Unaudited)</w:t>
      </w:r>
    </w:p>
    <w:tbl>
      <w:tblPr>
        <w:tblLayout w:type="fixed"/>
        <w:tblInd w:w="4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Arial" w:cs="Arial" w:eastAsia="Arial" w:hAnsi="Arial"/>
                <w:sz w:val="13"/>
                <w:szCs w:val="13"/>
                <w:color w:val="auto"/>
              </w:rPr>
              <w:t>(Thousands)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6"/>
          </w:tcPr>
          <w:p>
            <w:pPr>
              <w:ind w:left="32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20"/>
              <w:spacing w:after="0"/>
              <w:rPr>
                <w:sz w:val="20"/>
                <w:szCs w:val="20"/>
                <w:color w:val="auto"/>
              </w:rPr>
            </w:pPr>
            <w:r>
              <w:rPr>
                <w:rFonts w:ascii="Arial" w:cs="Arial" w:eastAsia="Arial" w:hAnsi="Arial"/>
                <w:sz w:val="13"/>
                <w:szCs w:val="13"/>
                <w:color w:val="auto"/>
              </w:rPr>
              <w:t>Net loss</w:t>
            </w:r>
          </w:p>
        </w:tc>
        <w:tc>
          <w:tcPr>
            <w:tcW w:w="580" w:type="dxa"/>
            <w:vAlign w:val="bottom"/>
            <w:gridSpan w:val="2"/>
          </w:tcPr>
          <w:p>
            <w:pPr>
              <w:jc w:val="right"/>
              <w:ind w:right="249"/>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(4,326)</w:t>
            </w:r>
          </w:p>
        </w:tc>
        <w:tc>
          <w:tcPr>
            <w:tcW w:w="440" w:type="dxa"/>
            <w:vAlign w:val="bottom"/>
            <w:gridSpan w:val="2"/>
          </w:tcPr>
          <w:p>
            <w:pPr>
              <w:jc w:val="right"/>
              <w:ind w:right="229"/>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Adjustments to reconcile net loss to net cash provided by (used in) operating activities: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44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5,874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Equity-based compensation</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440"/>
              <w:spacing w:after="0"/>
              <w:rPr>
                <w:sz w:val="20"/>
                <w:szCs w:val="20"/>
                <w:color w:val="auto"/>
              </w:rPr>
            </w:pPr>
            <w:r>
              <w:rPr>
                <w:rFonts w:ascii="Arial" w:cs="Arial" w:eastAsia="Arial" w:hAnsi="Arial"/>
                <w:sz w:val="13"/>
                <w:szCs w:val="13"/>
                <w:color w:val="auto"/>
              </w:rPr>
              <w:t>Paid-in-kind interest added to debt principal</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Provision for credit losses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440"/>
              <w:spacing w:after="0"/>
              <w:rPr>
                <w:sz w:val="20"/>
                <w:szCs w:val="20"/>
                <w:color w:val="auto"/>
              </w:rPr>
            </w:pPr>
            <w:r>
              <w:rPr>
                <w:rFonts w:ascii="Arial" w:cs="Arial" w:eastAsia="Arial" w:hAnsi="Arial"/>
                <w:sz w:val="13"/>
                <w:szCs w:val="13"/>
                <w:color w:val="auto"/>
              </w:rPr>
              <w:t>Amortization of deferred financing fees included in interest expense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Loss on disposal of property, plant and equipment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440"/>
              <w:spacing w:after="0"/>
              <w:rPr>
                <w:sz w:val="20"/>
                <w:szCs w:val="20"/>
                <w:color w:val="auto"/>
              </w:rPr>
            </w:pPr>
            <w:r>
              <w:rPr>
                <w:rFonts w:ascii="Arial" w:cs="Arial" w:eastAsia="Arial" w:hAnsi="Arial"/>
                <w:sz w:val="13"/>
                <w:szCs w:val="13"/>
                <w:color w:val="auto"/>
              </w:rPr>
              <w:t>Mark-to-market adjustments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(1,236)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Change in fair value of warrant liabilities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440"/>
              <w:spacing w:after="0"/>
              <w:rPr>
                <w:sz w:val="20"/>
                <w:szCs w:val="20"/>
                <w:color w:val="auto"/>
              </w:rPr>
            </w:pPr>
            <w:r>
              <w:rPr>
                <w:rFonts w:ascii="Arial" w:cs="Arial" w:eastAsia="Arial" w:hAnsi="Arial"/>
                <w:sz w:val="13"/>
                <w:szCs w:val="13"/>
                <w:color w:val="auto"/>
              </w:rPr>
              <w:t>Foreign currency transactions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Deferred income tax (benefit) expense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(4,359)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44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440"/>
              <w:spacing w:after="0"/>
              <w:rPr>
                <w:sz w:val="20"/>
                <w:szCs w:val="20"/>
                <w:color w:val="auto"/>
              </w:rPr>
            </w:pPr>
            <w:r>
              <w:rPr>
                <w:rFonts w:ascii="Arial" w:cs="Arial" w:eastAsia="Arial" w:hAnsi="Arial"/>
                <w:sz w:val="13"/>
                <w:szCs w:val="13"/>
                <w:i w:val="1"/>
                <w:iCs w:val="1"/>
                <w:color w:val="auto"/>
              </w:rPr>
              <w:t>Change in operating assets and liabilities: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660"/>
              <w:spacing w:after="0"/>
              <w:rPr>
                <w:sz w:val="20"/>
                <w:szCs w:val="20"/>
                <w:color w:val="auto"/>
              </w:rPr>
            </w:pPr>
            <w:r>
              <w:rPr>
                <w:rFonts w:ascii="Arial" w:cs="Arial" w:eastAsia="Arial" w:hAnsi="Arial"/>
                <w:sz w:val="13"/>
                <w:szCs w:val="13"/>
                <w:color w:val="auto"/>
              </w:rPr>
              <w:t>Accounts receivable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(14,048)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Inventories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660"/>
              <w:spacing w:after="0"/>
              <w:rPr>
                <w:sz w:val="20"/>
                <w:szCs w:val="20"/>
                <w:color w:val="auto"/>
              </w:rPr>
            </w:pPr>
            <w:r>
              <w:rPr>
                <w:rFonts w:ascii="Arial" w:cs="Arial" w:eastAsia="Arial" w:hAnsi="Arial"/>
                <w:sz w:val="13"/>
                <w:szCs w:val="13"/>
                <w:color w:val="auto"/>
              </w:rPr>
              <w:t>Derivative assets and liabilities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Prepaid expense and other assets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(9,510)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660"/>
              <w:spacing w:after="0"/>
              <w:rPr>
                <w:sz w:val="20"/>
                <w:szCs w:val="20"/>
                <w:color w:val="auto"/>
              </w:rPr>
            </w:pPr>
            <w:r>
              <w:rPr>
                <w:rFonts w:ascii="Arial" w:cs="Arial" w:eastAsia="Arial" w:hAnsi="Arial"/>
                <w:sz w:val="13"/>
                <w:szCs w:val="13"/>
                <w:color w:val="auto"/>
              </w:rPr>
              <w:t>Accounts payable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(10,756)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Accrued liabilities and other</w:t>
            </w:r>
          </w:p>
        </w:tc>
        <w:tc>
          <w:tcPr>
            <w:tcW w:w="2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3"/>
                <w:szCs w:val="13"/>
                <w:color w:val="auto"/>
              </w:rPr>
              <w:t>Net cash used in operating activities</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(25,131)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20"/>
              <w:spacing w:after="0"/>
              <w:rPr>
                <w:sz w:val="20"/>
                <w:szCs w:val="20"/>
                <w:color w:val="auto"/>
              </w:rPr>
            </w:pPr>
            <w:r>
              <w:rPr>
                <w:rFonts w:ascii="Arial" w:cs="Arial" w:eastAsia="Arial" w:hAnsi="Arial"/>
                <w:sz w:val="13"/>
                <w:szCs w:val="13"/>
                <w:color w:val="auto"/>
              </w:rPr>
              <w:t>Additions to property, plant and equipment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(19,625)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Additions to intangible assets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20"/>
              <w:spacing w:after="0"/>
              <w:rPr>
                <w:sz w:val="20"/>
                <w:szCs w:val="20"/>
                <w:color w:val="auto"/>
              </w:rPr>
            </w:pPr>
            <w:r>
              <w:rPr>
                <w:rFonts w:ascii="Arial" w:cs="Arial" w:eastAsia="Arial" w:hAnsi="Arial"/>
                <w:sz w:val="13"/>
                <w:szCs w:val="13"/>
                <w:color w:val="auto"/>
              </w:rPr>
              <w:t>Acquisition of business, net of cash acquired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(2,392)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 of property, plant and equipment</w:t>
            </w:r>
          </w:p>
        </w:tc>
        <w:tc>
          <w:tcPr>
            <w:tcW w:w="2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220"/>
              <w:spacing w:after="0" w:line="142" w:lineRule="exact"/>
              <w:rPr>
                <w:sz w:val="20"/>
                <w:szCs w:val="20"/>
                <w:color w:val="auto"/>
              </w:rPr>
            </w:pPr>
            <w:r>
              <w:rPr>
                <w:rFonts w:ascii="Arial" w:cs="Arial" w:eastAsia="Arial" w:hAnsi="Arial"/>
                <w:sz w:val="13"/>
                <w:szCs w:val="13"/>
                <w:color w:val="auto"/>
              </w:rPr>
              <w:t>Net cash used in investing activities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(22,028)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(7,836)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220"/>
              <w:spacing w:after="0"/>
              <w:rPr>
                <w:sz w:val="20"/>
                <w:szCs w:val="20"/>
                <w:color w:val="auto"/>
              </w:rPr>
            </w:pPr>
            <w:r>
              <w:rPr>
                <w:rFonts w:ascii="Arial" w:cs="Arial" w:eastAsia="Arial" w:hAnsi="Arial"/>
                <w:sz w:val="13"/>
                <w:szCs w:val="13"/>
                <w:color w:val="auto"/>
              </w:rPr>
              <w:t>Payments on debt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(56,358)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debt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220"/>
              <w:spacing w:after="0"/>
              <w:rPr>
                <w:sz w:val="20"/>
                <w:szCs w:val="20"/>
                <w:color w:val="auto"/>
              </w:rPr>
            </w:pPr>
            <w:r>
              <w:rPr>
                <w:rFonts w:ascii="Arial" w:cs="Arial" w:eastAsia="Arial" w:hAnsi="Arial"/>
                <w:sz w:val="13"/>
                <w:szCs w:val="13"/>
                <w:color w:val="auto"/>
              </w:rPr>
              <w:t>Payment of debt issuance costs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payments from repurchase agreements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(4,418)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exercise of Public Warrants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20"/>
              <w:spacing w:after="0"/>
              <w:rPr>
                <w:sz w:val="20"/>
                <w:szCs w:val="20"/>
                <w:color w:val="auto"/>
              </w:rPr>
            </w:pPr>
            <w:r>
              <w:rPr>
                <w:rFonts w:ascii="Arial" w:cs="Arial" w:eastAsia="Arial" w:hAnsi="Arial"/>
                <w:sz w:val="13"/>
                <w:szCs w:val="13"/>
                <w:color w:val="auto"/>
              </w:rPr>
              <w:t>Payment for taxes for net share settlement of equity awards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(1,841)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46,379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20"/>
              <w:spacing w:after="0"/>
              <w:rPr>
                <w:sz w:val="20"/>
                <w:szCs w:val="20"/>
                <w:color w:val="auto"/>
              </w:rPr>
            </w:pPr>
            <w:r>
              <w:rPr>
                <w:rFonts w:ascii="Arial" w:cs="Arial" w:eastAsia="Arial" w:hAnsi="Arial"/>
                <w:sz w:val="13"/>
                <w:szCs w:val="13"/>
                <w:color w:val="auto"/>
              </w:rPr>
              <w:t>Effect of exchange rate changes on cash</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Net increase (decrease) in cash and cash equivalents and restricted cash</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(835)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26,405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and cash equivalents and restricted cash at end of period</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25,570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non-cash investing and financing activities: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120"/>
              <w:spacing w:after="0"/>
              <w:rPr>
                <w:sz w:val="20"/>
                <w:szCs w:val="20"/>
                <w:color w:val="auto"/>
              </w:rPr>
            </w:pPr>
            <w:r>
              <w:rPr>
                <w:rFonts w:ascii="Arial" w:cs="Arial" w:eastAsia="Arial" w:hAnsi="Arial"/>
                <w:sz w:val="13"/>
                <w:szCs w:val="13"/>
                <w:color w:val="auto"/>
              </w:rPr>
              <w:t>Property, plant and equipment acquired but not yet paid</w:t>
            </w:r>
          </w:p>
        </w:tc>
        <w:tc>
          <w:tcPr>
            <w:tcW w:w="580" w:type="dxa"/>
            <w:vAlign w:val="bottom"/>
            <w:gridSpan w:val="2"/>
          </w:tcPr>
          <w:p>
            <w:pPr>
              <w:jc w:val="right"/>
              <w:ind w:right="249"/>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4,168</w:t>
            </w:r>
          </w:p>
        </w:tc>
        <w:tc>
          <w:tcPr>
            <w:tcW w:w="120" w:type="dxa"/>
            <w:vAlign w:val="bottom"/>
          </w:tcPr>
          <w:p>
            <w:pPr>
              <w:spacing w:after="0"/>
              <w:rPr>
                <w:sz w:val="12"/>
                <w:szCs w:val="12"/>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shares related to Public Warrant exercise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120"/>
              <w:spacing w:after="0"/>
              <w:rPr>
                <w:sz w:val="20"/>
                <w:szCs w:val="20"/>
                <w:color w:val="auto"/>
              </w:rPr>
            </w:pPr>
            <w:r>
              <w:rPr>
                <w:rFonts w:ascii="Arial" w:cs="Arial" w:eastAsia="Arial" w:hAnsi="Arial"/>
                <w:sz w:val="13"/>
                <w:szCs w:val="13"/>
                <w:color w:val="auto"/>
              </w:rPr>
              <w:t>Issuance of common shares related to acquisitions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shares related to conversion of Series A Preferred Shares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120"/>
              <w:spacing w:after="0"/>
              <w:rPr>
                <w:sz w:val="20"/>
                <w:szCs w:val="20"/>
                <w:color w:val="auto"/>
              </w:rPr>
            </w:pPr>
            <w:r>
              <w:rPr>
                <w:rFonts w:ascii="Arial" w:cs="Arial" w:eastAsia="Arial" w:hAnsi="Arial"/>
                <w:sz w:val="13"/>
                <w:szCs w:val="13"/>
                <w:color w:val="auto"/>
              </w:rPr>
              <w:t>Accretion of convertible preferred shares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Accumulating preferred dividends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400" w:type="dxa"/>
            <w:vAlign w:val="bottom"/>
          </w:tcPr>
          <w:p>
            <w:pPr>
              <w:ind w:left="20"/>
              <w:spacing w:after="0"/>
              <w:rPr>
                <w:sz w:val="20"/>
                <w:szCs w:val="20"/>
                <w:color w:val="auto"/>
              </w:rPr>
            </w:pPr>
            <w:r>
              <w:rPr>
                <w:rFonts w:ascii="Arial" w:cs="Arial" w:eastAsia="Arial" w:hAnsi="Arial"/>
                <w:sz w:val="13"/>
                <w:szCs w:val="13"/>
                <w:color w:val="auto"/>
              </w:rPr>
              <w:t>The total cash and cash equivalents and restricted cash is as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(Thousands)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March 31, 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March 31, 2022</w:t>
            </w:r>
          </w:p>
        </w:tc>
      </w:tr>
      <w:tr>
        <w:trPr>
          <w:trHeight w:val="142"/>
        </w:trPr>
        <w:tc>
          <w:tcPr>
            <w:tcW w:w="59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Cash and cash equivalents</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23,688</w:t>
            </w: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11,940</w:t>
            </w:r>
          </w:p>
        </w:tc>
      </w:tr>
      <w:tr>
        <w:trPr>
          <w:trHeight w:val="149"/>
        </w:trPr>
        <w:tc>
          <w:tcPr>
            <w:tcW w:w="594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6,247</w:t>
            </w:r>
          </w:p>
        </w:tc>
      </w:tr>
      <w:tr>
        <w:trPr>
          <w:trHeight w:val="182"/>
        </w:trPr>
        <w:tc>
          <w:tcPr>
            <w:tcW w:w="59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25,570</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18,187</w:t>
            </w:r>
          </w:p>
        </w:tc>
      </w:tr>
    </w:tbl>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ind w:left="4060" w:right="1359" w:hanging="2058"/>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61"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u w:val="single" w:color="auto"/>
          <w:color w:val="auto"/>
        </w:rPr>
        <w:t>Beverage Solutions:</w:t>
      </w:r>
      <w:r>
        <w:rPr>
          <w:rFonts w:ascii="Arial" w:cs="Arial" w:eastAsia="Arial" w:hAnsi="Arial"/>
          <w:sz w:val="17"/>
          <w:szCs w:val="17"/>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7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xml:space="preserve">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8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On August 26, 2022 (the “Closing Date”),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Westrock (such merger, the “SPAC Merger”) and immediately following the consummation of the SPAC Merger, Riverview merged with and into Merger Sub II, with Merger Sub II surviving the merger as a direct wholly owned subsidiary of Westrock (the “LLC Merger”, and together with the SPAC Merger, the “Mergers”). See Note 4 for additional disclosures related to the Transaction.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Consolidation</w:t>
      </w:r>
    </w:p>
    <w:p>
      <w:pPr>
        <w:spacing w:after="0" w:line="229"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2022 was derived from the audited financial statements, but does not include all disclosures required by GAAP.</w:t>
      </w:r>
    </w:p>
    <w:p>
      <w:pPr>
        <w:spacing w:after="0" w:line="164"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At March 31, 2023, the Company had an 85% ownership interest in Falcon Coffees Limited (“Falcon”), which operates our trading business and is reported within our Sustainable Sourcing &amp; Traceability segment. Equity interests not owned by us are reflected as non-controlling interests. In the Condensed Consolidated Statements of Operations, we allocate net income (loss) attributable to non-controlling interest to arrive at net income (loss) attributable to common shareholders based on their proportionate share.</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2022 consolidated financial statements and notes thereto included in our Annual Report on Form 10-K filed with the U.S. Securities and Exchange Commission (“SEC”) on March 21, 2023.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Unit Conversion</w:t>
      </w:r>
    </w:p>
    <w:p>
      <w:pPr>
        <w:spacing w:after="0" w:line="225" w:lineRule="exact"/>
        <w:rPr>
          <w:sz w:val="20"/>
          <w:szCs w:val="20"/>
          <w:color w:val="auto"/>
        </w:rPr>
      </w:pPr>
    </w:p>
    <w:p>
      <w:pPr>
        <w:ind w:left="60" w:right="99"/>
        <w:spacing w:after="0" w:line="283" w:lineRule="auto"/>
        <w:rPr>
          <w:sz w:val="20"/>
          <w:szCs w:val="20"/>
          <w:color w:val="auto"/>
        </w:rPr>
      </w:pPr>
      <w:r>
        <w:rPr>
          <w:rFonts w:ascii="Arial" w:cs="Arial" w:eastAsia="Arial" w:hAnsi="Arial"/>
          <w:sz w:val="16"/>
          <w:szCs w:val="16"/>
          <w:color w:val="auto"/>
        </w:rPr>
        <w:t>In connection with the Transaction and pursuant to the Transaction Agreement, (a) each issued and outstanding common unit of the Converting Company (“Common Units”) was automatically converted into 0.1049203474320 shares of common stock, par value $0.01 per share, of the Converted Company (each such share, a “Common Share”), (b) each issued and outstanding common equivalent preferred unit of the Converting Company (the “Common Equivalent Preferred Units”) for which the holder had not elected to convert such unit into shares of Series A convertible preferred stock, par value $0.01 per share, of the Converted Company (the “Series A Preferred Shares”), automatically converted into 0.1086138208640 Common Shares if such Common Equivalent Preferred Unit was designated a Series A Common Equivalent Preferred Unit or 0.1049203474320 Common Shares if such Common Equivalent Preferred Unit was designated a Series B Common Equivalent Preferred Unit and (c) each outstanding Common Equivalent Preferred Unit for which the holder thereof had made an election to convert such unit into Series A Preferred Shares, converted into</w:t>
      </w:r>
    </w:p>
    <w:p>
      <w:pPr>
        <w:spacing w:after="0" w:line="5"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0.1086138208740 Series A Preferred Shares if such Common Equivalent Preferred Unit was designated a Series A Common Equivalent Preferred Unit or 0.0919280171940 Series A Preferred Shares if such Common Equivalent Preferred Unit was designated a Series B Common Equivalent Preferred Unit.</w:t>
      </w:r>
    </w:p>
    <w:p>
      <w:pPr>
        <w:spacing w:after="0" w:line="190"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For the periods prior to the Closing, the number of outstanding units, weighted average number of outstanding units, loss per common unit, equity-based compensation and other financial amounts previously expressed on the basis of Common Units have been retroactively adjusted on the basis of Common Shares reflecting the common unit conversion ratio, as described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Certain reclassifications of prior years’ amounts have been made to conform with the current period financial statements presentation. These reclassifications had no impact on prior years’ net income as previously reported.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w:t>
      </w:r>
      <w:r>
        <w:rPr>
          <w:rFonts w:ascii="Arial" w:cs="Arial" w:eastAsia="Arial" w:hAnsi="Arial"/>
          <w:sz w:val="16"/>
          <w:szCs w:val="16"/>
          <w:color w:val="auto"/>
        </w:rPr>
        <w:t xml:space="preserve"> </w:t>
      </w:r>
      <w:r>
        <w:rPr>
          <w:rFonts w:ascii="Arial" w:cs="Arial" w:eastAsia="Arial" w:hAnsi="Arial"/>
          <w:sz w:val="16"/>
          <w:szCs w:val="16"/>
          <w:i w:val="1"/>
          <w:iCs w:val="1"/>
          <w:color w:val="auto"/>
        </w:rPr>
        <w:t>to Continue as a Going Concern (Subtopic 205-40)</w:t>
      </w:r>
      <w:r>
        <w:rPr>
          <w:rFonts w:ascii="Arial" w:cs="Arial" w:eastAsia="Arial" w:hAnsi="Arial"/>
          <w:sz w:val="16"/>
          <w:szCs w:val="16"/>
          <w:color w:val="auto"/>
        </w:rPr>
        <w:t>, the Company has the responsibility to evaluate whether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and/or events raise substantial doubt about its ability to meet its obligations as they become due within one year after the date that the financial statements are available to be issued. The Company is dependent on borrowings under its Credit Agreement (Note 12) and cash generated from operations to finance its operations, service its debt requirements, maintain compliance with its covenants, and to fund capital requirements. The Company believes that its projected cash flow from operations and available borrowings under its Credit Agreement will be sufficient to fund operations for at least the next twelve months. During the year ended December 31, 2022 and through the quarter ending March 31, 2023, we were and continue to be impacted by the negative effects of inflation on both our customer volume demand and manufacturing costs, including price increases in fuel, food, materials and labor. We attempt to mitigate the impacts of inflation wherever possible. Our mitigation strategies include working with our vendors and suppliers to ensure that we have adequate access to raw materials. In addition,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 If we are unable to meet our financial targets and generate sufficient cash flows from operations, it may restrict our liquidity and capital resources and our ability to maintain compliance with our financial covenants. As management’s ability to amend its financial covenants cannot be assured, management has committed to raise additional capital, delay growth capital expenditures and/or reduce operating expenses, as necessary, in order to have adequate liquidity and to remain in compliance with its debt covenants. The accompanying Condensed Consolidated Financial Statements have been prepared assuming that the Company will continue as a going concern, which contemplates the realization of assets and satisfaction of liabilities in the ordinary course of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in the allowance for credit losses for the periods indicated was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Charged to selling, general and administrative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w:t>
      </w:r>
    </w:p>
    <w:p>
      <w:pPr>
        <w:spacing w:after="0" w:line="38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months ended March 31, 2023 and 2022, we recognized $2.3 million of unrealized gains and $5.8 million of unrealized losses, respectively, on green coffee inventory associated with our forward sales and purchase contracts.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Supplier Finance Program</w:t>
      </w:r>
    </w:p>
    <w:p>
      <w:pPr>
        <w:spacing w:after="0" w:line="2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March 2, 2023, the Company entered into a supplier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in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As of March 31, 2023, there were no obligations outstanding under the Program.</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account for warrants assumed in connection with the Transaction (see Note 4)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 of Operations.</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remeasures the fair value of the Westrock Public Warrants (as defined in Note 4) based on the quoted market price of the Westrock Public Warrants. The Westrock Private Warrants (as defined in Note 4) are valued using a binomial lattice valuation model. For the three months ended March 31, 2023, the Company recognized $5.5 million of gains related to the change in fair value of warrant liabilities, which is recognized in other (income) expense in the Condensed Consolidated Statements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8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effective tax rates for the three months ended March 31, 2023 and March 31, 2022 were 50.2% and 25.2%, respectively. The Company’s effective tax rate for the current period differs from the federal statutory rate primarily due to a change in the valuation allowance against domestic deferred tax assets and discrete items, including the windfall from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equity-based compensation awards. The effective tax rate for the three months ended March 31, 2023 differs from the effective tax rate for the same period in 2022 primarily due to the change in the valuation allowance and an increase in the windfall from equity-based compensation awards.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were no changes to uncertain tax benefits during the three months ended March 31, 2023, and the Company does not expect any significant changes to uncertain tax benefits within the next twelve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i w:val="1"/>
          <w:iCs w:val="1"/>
          <w:color w:val="auto"/>
        </w:rPr>
        <w:t>Update ASU 2022-04 - Liabilities—Supplier Finance Programs (Subtopic 405-50): Disclosure of Supplier Finance Program Obligations</w:t>
      </w:r>
    </w:p>
    <w:p>
      <w:pPr>
        <w:spacing w:after="0" w:line="170"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Early adoption is permitted. The Company adopted the applicable amendments within ASU 2022-04 on a retrospective basis effective January 1, 2023. The amendments to ASU 2022-04 do not affect the recognition, measurement or financial statement presentation of obligations covered by supplier finance programs.</w:t>
      </w:r>
    </w:p>
    <w:p>
      <w:pPr>
        <w:spacing w:after="0" w:line="16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i w:val="1"/>
          <w:iCs w:val="1"/>
          <w:color w:val="auto"/>
        </w:rPr>
        <w:t>Update ASU 2021-08 – Business Combinations (Topic 805): Accounting for Contract Assets and Contract Liabilities from Contracts with Customers</w:t>
      </w:r>
    </w:p>
    <w:p>
      <w:pPr>
        <w:spacing w:after="0" w:line="62"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In October 2021, the FASB issued ASU 2021-08, which requires an entity to recognize and measure contract assets and contract liabilities acquired in a business combination in accordance with ASC 606, Revenue from Contracts with Customers, instead of at fair value on the acquisition date as previously required by ASC 805. The amendments improve comparability after the business combination by providing consistent recognition and measurement guidance for acquired revenue contracts and revenue contracts not acquired in a business combination. ASU 2021-08 was effective for years beginning after December 15, 2022. The adoption of ASU 2021-08 did not have a significant impact on the Company’s financial position or results of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De-SPAC Merger Transaction</w:t>
      </w:r>
    </w:p>
    <w:p>
      <w:pPr>
        <w:spacing w:after="0" w:line="229"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On the Closing Date, the Company completed the Transaction with Riverview. At Closing, the Company issued 12,868,151 Common Shares to public and class B shareholders of Riverview, receiving $49.8 million of the cash held in the trust account of Riverview, which is net of $17.1 million of Riverview transaction expenses that were either paid by Riverview prior to Closing or offset against proceeds received by the Company at Closing. The 12,868,151 shares issued at Closing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spacing w:after="0" w:line="177"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Substantially concurrently with the Closing, the Company received $205.9 million in cash proceeds (which amount excludes contribution to the Company of certain related party notes outstanding immediately prior to Closing) from common stock PIPE investments (the “PIPE Financing”), issued 20,590,000 Common Shares to the PIPE investors (which share amount excludes the conversion of the related party notes), and entered into a credit agreement that includes (a) a senior secured first lien revolving credit facility in an initial aggregate principal amount of $175.0 million and (b) a senior secured first lien term loan facility in an initial aggregate principal amount of $175.0 million.</w:t>
      </w:r>
    </w:p>
    <w:p>
      <w:pPr>
        <w:spacing w:after="0" w:line="178"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Prior to the Closing, the Company’s ownership interests consisted of two classes of equity, referred to as Common Units and Common Equivalent Preferred Units. At inception, each Common Equivalent Preferred Unit has a liquidation preference of $1.00 per unit, increased by an amount accruing at the rate of 10% per annum, compounding annually,</w:t>
      </w:r>
    </w:p>
    <w:p>
      <w:pPr>
        <w:spacing w:after="0" w:line="36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based on its liquidation preference as of the time of such accrual, and reduced by the cumulative amount of any cash dividends or distributions, if any, made by the Company in respect of such Common Equivalent Preferred Unit (the “Common Equivalent Preferred Unit Liquidation Preference”). In connection with the Closing, holders of Common Equivalent Preferred Units were paid a cash dividend totaling $4.4 million, which is equal to the accreted liquidation preference of the Common Equivalent Preferred Units from June 30, 2022 through Closing.</w:t>
      </w:r>
    </w:p>
    <w:p>
      <w:pPr>
        <w:spacing w:after="0" w:line="1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Pursuant to the Transaction Agreement, (a) each issued and outstanding Common Unit converted into 0.1049203474320 Common Shares, (b) each issued and outstanding Common Equivalent Preferred Unit for which the holder had not elected to convert such unit into shares of Series A convertible preferred stock of Westrock (the “Westrock Series A Preferred Shares”) (see Note 13), automatically converted into 0.1086138208640 Common Shares if such Westrock Preferred Unit was designated a Series A Common Equivalent Preferred Unit or 0.1049203474320 Common Shares if such Common Equivalent Preferred Unit was designated a Series B Common Equivalent Preferred Unit and (c) each outstanding Westrock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spacing w:after="0" w:line="182"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As a result, we issued 34,855,535 Common Shares to holders of Common Units, 2,220,305 Common Shares to holders of Common Equivalent Preferred Units who elected to convert their Common Equivalent Preferred Units into Common Shares, and 23,587,952 Westrock Series A Preferred Shares to holders who elected to convert their Common Equivalent Preferred Units into Westrock Series A Preferred Shares.</w:t>
      </w:r>
    </w:p>
    <w:p>
      <w:pPr>
        <w:spacing w:after="0" w:line="187"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 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stockholders, Riverview provided an opportunity for its stockholders to redeem all or a portion of their outstanding Riverview Class A Shares.</w:t>
      </w:r>
    </w:p>
    <w:p>
      <w:pPr>
        <w:spacing w:after="0" w:line="167"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 xml:space="preserve">The Transaction is a capital transaction in substance and not a business combination under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(“ASC 805”). As a result, Westrock is treated as the accounting acquirer and Riverview is treated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company for financial reporting purposes per ASC 805. Accordingly, for accounting purposes, the Transaction is treated similar to an equity contribution in exchange for the issuance of Common Shares.</w:t>
      </w:r>
    </w:p>
    <w:p>
      <w:pPr>
        <w:spacing w:after="0" w:line="171"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The financial statements of the combined entity represent a continuation of the financial statements of Westrock, and the net assets of Riverview have been stated at historical cost, with no goodwill or other intangible assets recorded. The equity and net loss per unit attributable to common equityholders of the Company, prior to the Closing, have been retroactively adjusted as shares reflecting the common unit conversion ratio discussed above.</w:t>
      </w:r>
    </w:p>
    <w:p>
      <w:pPr>
        <w:spacing w:after="0" w:line="171"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Proceeds from the Transaction and the $175.0 million term loan facility were used to pay off and terminate our then existing term loan and asset-based lending agreements, and to pay expenses related to the Transaction and the new credit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Company and Riverview incurred $24.0 million and $17.1 million, respectively, of expenses related to the Transaction. These expenses consist of underwriting fees, professional services (legal, accounting, advisory, etc.) and other direct expenses associated with the Transaction. Costs incurred by Westrock were initially capitalized as incurred in the other assets on the Condensed Consolidated Balance Sheets. As a result of the transaction, $24.0 million of transaction costs incurred by the Company related to the issuance of shares were recognized in additional paid-in capital as a reduction of proceeds. The $17.1 million of expenses incurred by Riverview were either paid by Riverview prior to Closing or netted against proceeds received by the Company at Closing.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Warrants</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Condensed Consolidated Balance Sheet. The Westrock Warrants entitle the holder to purchase one share of Common Share at an exercise price of $11.50 per share.</w:t>
      </w:r>
    </w:p>
    <w:p>
      <w:pPr>
        <w:spacing w:after="0" w:line="177"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The Westrock Warrants may only be exercised for a whole number of shares, and will expire on August 26, 2027 (i.e., five years following the Closing), or earlier upon redemption or liquidations.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 Westrock Warrants to exercise their Westrock Warrants on a “cashless basis” in accordance with Section 3(a)(9) of the Securities Act of 1933, as amended, or another exemption.</w:t>
      </w:r>
    </w:p>
    <w:p>
      <w:pPr>
        <w:spacing w:after="0" w:line="166"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If and when the Public Warrants become redeemable by Westrock, Westrock may exercise its redemption right even if Westrock is unable to register or qualify the underlying securities for sale under all applicable state securities laws.</w:t>
      </w:r>
    </w:p>
    <w:p>
      <w:pPr>
        <w:spacing w:after="0" w:line="124"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The Westrock Private Warrants, which became transferable, assignable and salable on September 26, 2022 (i.e., 30 days after the Closing), are currently held by the Riverview Sponsor, and are generally identical to the Westrock Public Warrants, except they cannot be redeemable by Westrock so long as they are held by the Riverview Sponsor or its permitted transferees. The Riverview Sponsor, or its permitted transferees, have the option to exercise the Westrock Private Warrants on a cashless basis. If the Westrock Private Warrants are held by holders other than the Riverview Sponsor or its permitted transferees, the Westrock Private Warrants will become redeemable by Westrock and exercisable by the holders on the same basis as the Westrock Public Warrants.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Contracts with Customers (ASC 606)</w:t>
      </w:r>
    </w:p>
    <w:p>
      <w:pPr>
        <w:spacing w:after="0" w:line="225" w:lineRule="exact"/>
        <w:rPr>
          <w:sz w:val="20"/>
          <w:szCs w:val="20"/>
          <w:color w:val="auto"/>
        </w:rPr>
      </w:pPr>
    </w:p>
    <w:p>
      <w:pPr>
        <w:jc w:val="both"/>
        <w:ind w:left="60" w:right="239"/>
        <w:spacing w:after="0" w:line="311" w:lineRule="auto"/>
        <w:rPr>
          <w:sz w:val="20"/>
          <w:szCs w:val="20"/>
          <w:color w:val="auto"/>
        </w:rPr>
      </w:pPr>
      <w:r>
        <w:rPr>
          <w:rFonts w:ascii="Arial" w:cs="Arial" w:eastAsia="Arial" w:hAnsi="Arial"/>
          <w:sz w:val="16"/>
          <w:szCs w:val="16"/>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49" w:lineRule="exact"/>
        <w:rPr>
          <w:sz w:val="20"/>
          <w:szCs w:val="20"/>
          <w:color w:val="auto"/>
        </w:rPr>
      </w:pPr>
    </w:p>
    <w:p>
      <w:pPr>
        <w:ind w:left="60" w:right="319"/>
        <w:spacing w:after="0" w:line="255" w:lineRule="auto"/>
        <w:rPr>
          <w:sz w:val="20"/>
          <w:szCs w:val="20"/>
          <w:color w:val="auto"/>
        </w:rPr>
      </w:pPr>
      <w:r>
        <w:rPr>
          <w:rFonts w:ascii="Arial" w:cs="Arial" w:eastAsia="Arial" w:hAnsi="Arial"/>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64"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March 31, 2023, the Company has $10.2 million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Forward Contracts (ASC 815)</w:t>
      </w:r>
    </w:p>
    <w:p>
      <w:pPr>
        <w:spacing w:after="0" w:line="225"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6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months ended March 31, 2023 and 2022, we recorded $1.0 million of net unrealized losses and $6.9 million of net unrealized gains, respectively, within costs of sales.</w:t>
      </w:r>
    </w:p>
    <w:p>
      <w:pPr>
        <w:spacing w:after="0" w:line="192"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For the three months ended March 31, 2023 and 2022, the Company recognized $24.4 million and $38.1 million in revenues under ASC 815, respectively, which are reported within the Company’s Sustainable Sourcing &amp; Traceability segment.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Estimates</w:t>
      </w:r>
    </w:p>
    <w:p>
      <w:pPr>
        <w:spacing w:after="0" w:line="225"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$1.3 million and $1.3 million at March 31, 2023 and December 31, 2022, respectively.</w:t>
      </w:r>
    </w:p>
    <w:p>
      <w:pPr>
        <w:spacing w:after="0" w:line="17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Contract balances relate primarily to advances received from the Company’s customers before revenue is recognized. The Company does not have any material contract liabilities as of March 31, 2023 or December 31, 2022. Receivables from contracts with customers are included in accounts receivable, net on the Company’s Condensed Consolidated</w:t>
      </w:r>
    </w:p>
    <w:p>
      <w:pPr>
        <w:spacing w:after="0" w:line="36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Balance Sheets. At March 31, 2023 and December 31, 2022, accounts receivable, net included $118.0 million and $104.7 million in receivables from contracts with customers, respectively.</w:t>
      </w:r>
    </w:p>
    <w:p>
      <w:pPr>
        <w:spacing w:after="0" w:line="17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Contract acquisition costs for obtaining contracts that are deemed recoverable are capitalized as contract costs. Such costs result from the payment of sales incentives and are amortized over the contract life. As of March 31, 2023 and December 31, 2022, no costs were capitalized as all arrangements were less than a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84"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Further disaggregation of revenues from sales to external customers by type and geographic area, based on customer location, for the periods indicated is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Coffee &amp; tea</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121,682</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Flavors, extracts &amp; ingredients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Green coffee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38,066</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42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205,442</w:t>
            </w:r>
          </w:p>
        </w:tc>
        <w:tc>
          <w:tcPr>
            <w:tcW w:w="5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185,561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153,016</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countries</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19,881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33,412</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205,442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Bixby Roasting Co.</w:t>
      </w:r>
    </w:p>
    <w:p>
      <w:pPr>
        <w:spacing w:after="0" w:line="225" w:lineRule="exact"/>
        <w:rPr>
          <w:sz w:val="20"/>
          <w:szCs w:val="20"/>
          <w:color w:val="auto"/>
        </w:rPr>
      </w:pPr>
    </w:p>
    <w:p>
      <w:pPr>
        <w:ind w:left="60" w:right="179"/>
        <w:spacing w:after="0" w:line="268" w:lineRule="auto"/>
        <w:rPr>
          <w:sz w:val="20"/>
          <w:szCs w:val="20"/>
          <w:color w:val="auto"/>
        </w:rPr>
      </w:pPr>
      <w:r>
        <w:rPr>
          <w:rFonts w:ascii="Arial" w:cs="Arial" w:eastAsia="Arial" w:hAnsi="Arial"/>
          <w:sz w:val="17"/>
          <w:szCs w:val="17"/>
          <w:color w:val="auto"/>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We recognized approximately $1.9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Kohana Coffee, LLC</w:t>
      </w:r>
    </w:p>
    <w:p>
      <w:pPr>
        <w:spacing w:after="0" w:line="225"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On November 14, 2022, Westrock Beverage Solutions, LLC, a Delaware limited liability company and wholly owned subsidiary of the Company, acquired one hundred percent (100%) of the equity securities of Kohana Coffee, LLC (“Kohana Coffee”), a Texas limited liability company (“Kohana Acquisition”). Kohana Coffee is an extract and ready-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to-drink focused business, based in Richmond, California, serving customers in the retail and CPG industries. The acquisition allows the Company to accelerate the development, production, and distribution of ready-to-drink products in cans and bottles. Aggregate consideration paid for Kohana Coffee included 1,852,608 Common Shares and approximately $15.7 million in cash, subject to customary adjustments.</w:t>
      </w:r>
    </w:p>
    <w:p>
      <w:pPr>
        <w:spacing w:after="0" w:line="18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fair value of the stock consideration was based on the closing price of the Company’s common stock on the date of acquisition. The total consideration paid in the Kohana Acquisition is summarized below:</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r>
      <w:tr>
        <w:trPr>
          <w:trHeight w:val="21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stock consideration</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23,435</w:t>
            </w: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39,117</w:t>
            </w:r>
          </w:p>
        </w:tc>
      </w:tr>
      <w:tr>
        <w:trPr>
          <w:trHeight w:val="20"/>
        </w:trPr>
        <w:tc>
          <w:tcPr>
            <w:tcW w:w="7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3"/>
        </w:trPr>
        <w:tc>
          <w:tcPr>
            <w:tcW w:w="7560" w:type="dxa"/>
            <w:vAlign w:val="bottom"/>
            <w:gridSpan w:val="3"/>
          </w:tcPr>
          <w:p>
            <w:pPr>
              <w:ind w:left="20"/>
              <w:spacing w:after="0"/>
              <w:rPr>
                <w:sz w:val="20"/>
                <w:szCs w:val="20"/>
                <w:color w:val="auto"/>
              </w:rPr>
            </w:pPr>
            <w:r>
              <w:rPr>
                <w:rFonts w:ascii="Arial" w:cs="Arial" w:eastAsia="Arial" w:hAnsi="Arial"/>
                <w:sz w:val="18"/>
                <w:szCs w:val="18"/>
                <w:color w:val="auto"/>
                <w:w w:val="91"/>
              </w:rPr>
              <w:t>The assets and liabilities acquired in the Kohana Acquisition are recorded at their estimated fair values.</w:t>
            </w:r>
          </w:p>
        </w:tc>
        <w:tc>
          <w:tcPr>
            <w:tcW w:w="1360" w:type="dxa"/>
            <w:vAlign w:val="bottom"/>
          </w:tcPr>
          <w:p>
            <w:pPr>
              <w:spacing w:after="0"/>
              <w:rPr>
                <w:sz w:val="24"/>
                <w:szCs w:val="24"/>
                <w:color w:val="auto"/>
              </w:rPr>
            </w:pPr>
          </w:p>
        </w:tc>
      </w:tr>
      <w:tr>
        <w:trPr>
          <w:trHeight w:val="378"/>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Acquired Value</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8,387</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17,089</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11,718</w:t>
            </w:r>
          </w:p>
        </w:tc>
      </w:tr>
      <w:tr>
        <w:trPr>
          <w:trHeight w:val="21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39,117</w:t>
            </w:r>
          </w:p>
        </w:tc>
      </w:tr>
      <w:tr>
        <w:trPr>
          <w:trHeight w:val="20"/>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above purchase price allocation is considered preliminary and is subject to change when the valuation of assets and liabilities is finalized upon receipt of the final valuation report from a third-party valuation expert, which is anticipated to be finalized during the second quarter of 2023. During the quarter ended March 31, 2023, we recorded $0.1 million of measurement period adjustments, primarily related to the settlement of post-closing working capital adjustments.</w:t>
      </w:r>
    </w:p>
    <w:p>
      <w:pPr>
        <w:spacing w:after="0" w:line="157"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cost of the acquisition in excess of the fair market value of the tangible and intangible assets acquired less liabilities assumed represents acquired goodwill, which is deductible for tax purposes. The goodwill arising from the transaction is primarily attributable to strategic opportunities from the acquisition of Kohana, including our ability to accelerate the development, production, and distribution of ready-to-drink products in cans and bottles to our existing customers.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inventories as of March 31, 2023 and December 31, 2022:</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2022</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67,388</w:t>
            </w:r>
          </w:p>
        </w:tc>
        <w:tc>
          <w:tcPr>
            <w:tcW w:w="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66,925</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21,232</w:t>
            </w: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Green coffee</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47,337</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57,679</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142,576</w:t>
            </w:r>
          </w:p>
        </w:tc>
        <w:tc>
          <w:tcPr>
            <w:tcW w:w="5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145,836</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19"/>
        <w:spacing w:after="0" w:line="308" w:lineRule="auto"/>
        <w:rPr>
          <w:sz w:val="20"/>
          <w:szCs w:val="20"/>
          <w:color w:val="auto"/>
        </w:rPr>
      </w:pPr>
      <w:r>
        <w:rPr>
          <w:rFonts w:ascii="Arial" w:cs="Arial" w:eastAsia="Arial" w:hAnsi="Arial"/>
          <w:sz w:val="17"/>
          <w:szCs w:val="17"/>
          <w:color w:val="auto"/>
        </w:rPr>
        <w:t>Green coffee inventories represent green coffee held for resale. At March 31, 2023 and December 31, 2022, all green coffee held for resale was included within our Sustainable Sourcing &amp; Traceability segment.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Property, Plant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property, plant and equipment, net as of March 31, 2023 and December 31, 2022:</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7"/>
                <w:szCs w:val="17"/>
                <w:color w:val="auto"/>
              </w:rPr>
            </w:pPr>
          </w:p>
        </w:tc>
        <w:tc>
          <w:tcPr>
            <w:tcW w:w="1500" w:type="dxa"/>
            <w:vAlign w:val="bottom"/>
            <w:gridSpan w:val="3"/>
          </w:tcPr>
          <w:p>
            <w:pPr>
              <w:jc w:val="center"/>
              <w:ind w:right="207"/>
              <w:spacing w:after="0"/>
              <w:rPr>
                <w:sz w:val="20"/>
                <w:szCs w:val="20"/>
                <w:color w:val="auto"/>
              </w:rPr>
            </w:pPr>
            <w:r>
              <w:rPr>
                <w:rFonts w:ascii="Arial" w:cs="Arial" w:eastAsia="Arial" w:hAnsi="Arial"/>
                <w:sz w:val="14"/>
                <w:szCs w:val="14"/>
                <w:b w:val="1"/>
                <w:bCs w:val="1"/>
                <w:color w:val="auto"/>
                <w:w w:val="95"/>
              </w:rPr>
              <w:t>Depreciable Lives</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9"/>
              </w:rPr>
              <w:t>December 31, 2022</w:t>
            </w: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1500" w:type="dxa"/>
            <w:vAlign w:val="bottom"/>
            <w:gridSpan w:val="3"/>
          </w:tcPr>
          <w:p>
            <w:pPr>
              <w:jc w:val="center"/>
              <w:ind w:right="207"/>
              <w:spacing w:after="0"/>
              <w:rPr>
                <w:sz w:val="20"/>
                <w:szCs w:val="20"/>
                <w:color w:val="auto"/>
              </w:rPr>
            </w:pPr>
            <w:r>
              <w:rPr>
                <w:rFonts w:ascii="Arial" w:cs="Arial" w:eastAsia="Arial" w:hAnsi="Arial"/>
                <w:sz w:val="18"/>
                <w:szCs w:val="18"/>
                <w:color w:val="auto"/>
                <w:w w:val="90"/>
              </w:rPr>
              <w:t>10-40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44,364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44,425</w:t>
            </w:r>
          </w:p>
        </w:tc>
      </w:tr>
      <w:tr>
        <w:trPr>
          <w:trHeight w:val="216"/>
        </w:trPr>
        <w:tc>
          <w:tcPr>
            <w:tcW w:w="4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Leasehold improvements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Plant equipment</w:t>
            </w:r>
          </w:p>
        </w:tc>
        <w:tc>
          <w:tcPr>
            <w:tcW w:w="180" w:type="dxa"/>
            <w:vAlign w:val="bottom"/>
          </w:tcPr>
          <w:p>
            <w:pPr>
              <w:spacing w:after="0"/>
              <w:rPr>
                <w:sz w:val="18"/>
                <w:szCs w:val="18"/>
                <w:color w:val="auto"/>
              </w:rPr>
            </w:pPr>
          </w:p>
        </w:tc>
        <w:tc>
          <w:tcPr>
            <w:tcW w:w="1500" w:type="dxa"/>
            <w:vAlign w:val="bottom"/>
            <w:gridSpan w:val="3"/>
          </w:tcPr>
          <w:p>
            <w:pPr>
              <w:jc w:val="center"/>
              <w:ind w:right="187"/>
              <w:spacing w:after="0"/>
              <w:rPr>
                <w:sz w:val="20"/>
                <w:szCs w:val="20"/>
                <w:color w:val="auto"/>
              </w:rPr>
            </w:pPr>
            <w:r>
              <w:rPr>
                <w:rFonts w:ascii="Arial" w:cs="Arial" w:eastAsia="Arial" w:hAnsi="Arial"/>
                <w:sz w:val="18"/>
                <w:szCs w:val="18"/>
                <w:color w:val="auto"/>
                <w:w w:val="89"/>
              </w:rPr>
              <w:t>3-15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106,753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107,885</w:t>
            </w: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Vehicles and transportation equipment</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207"/>
              <w:spacing w:after="0"/>
              <w:rPr>
                <w:sz w:val="20"/>
                <w:szCs w:val="20"/>
                <w:color w:val="auto"/>
              </w:rPr>
            </w:pPr>
            <w:r>
              <w:rPr>
                <w:rFonts w:ascii="Arial" w:cs="Arial" w:eastAsia="Arial" w:hAnsi="Arial"/>
                <w:sz w:val="18"/>
                <w:szCs w:val="18"/>
                <w:color w:val="auto"/>
                <w:w w:val="87"/>
              </w:rPr>
              <w:t>3-5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IT systems</w:t>
            </w:r>
          </w:p>
        </w:tc>
        <w:tc>
          <w:tcPr>
            <w:tcW w:w="180" w:type="dxa"/>
            <w:vAlign w:val="bottom"/>
          </w:tcPr>
          <w:p>
            <w:pPr>
              <w:spacing w:after="0"/>
              <w:rPr>
                <w:sz w:val="18"/>
                <w:szCs w:val="18"/>
                <w:color w:val="auto"/>
              </w:rPr>
            </w:pPr>
          </w:p>
        </w:tc>
        <w:tc>
          <w:tcPr>
            <w:tcW w:w="1500" w:type="dxa"/>
            <w:vAlign w:val="bottom"/>
            <w:gridSpan w:val="3"/>
          </w:tcPr>
          <w:p>
            <w:pPr>
              <w:jc w:val="center"/>
              <w:ind w:right="207"/>
              <w:spacing w:after="0"/>
              <w:rPr>
                <w:sz w:val="20"/>
                <w:szCs w:val="20"/>
                <w:color w:val="auto"/>
              </w:rPr>
            </w:pPr>
            <w:r>
              <w:rPr>
                <w:rFonts w:ascii="Arial" w:cs="Arial" w:eastAsia="Arial" w:hAnsi="Arial"/>
                <w:sz w:val="18"/>
                <w:szCs w:val="18"/>
                <w:color w:val="auto"/>
                <w:w w:val="87"/>
              </w:rPr>
              <w:t>3-7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187"/>
              <w:spacing w:after="0"/>
              <w:rPr>
                <w:sz w:val="20"/>
                <w:szCs w:val="20"/>
                <w:color w:val="auto"/>
              </w:rPr>
            </w:pPr>
            <w:r>
              <w:rPr>
                <w:rFonts w:ascii="Arial" w:cs="Arial" w:eastAsia="Arial" w:hAnsi="Arial"/>
                <w:sz w:val="18"/>
                <w:szCs w:val="18"/>
                <w:color w:val="auto"/>
                <w:w w:val="89"/>
              </w:rPr>
              <w:t>3-10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r>
      <w:tr>
        <w:trPr>
          <w:trHeight w:val="216"/>
        </w:trPr>
        <w:tc>
          <w:tcPr>
            <w:tcW w:w="46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Customer beverage equipment</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500" w:type="dxa"/>
            <w:vAlign w:val="bottom"/>
            <w:gridSpan w:val="3"/>
          </w:tcPr>
          <w:p>
            <w:pPr>
              <w:jc w:val="center"/>
              <w:ind w:right="207"/>
              <w:spacing w:after="0"/>
              <w:rPr>
                <w:sz w:val="20"/>
                <w:szCs w:val="20"/>
                <w:color w:val="auto"/>
              </w:rPr>
            </w:pPr>
            <w:r>
              <w:rPr>
                <w:rFonts w:ascii="Arial" w:cs="Arial" w:eastAsia="Arial" w:hAnsi="Arial"/>
                <w:sz w:val="18"/>
                <w:szCs w:val="18"/>
                <w:color w:val="auto"/>
                <w:w w:val="87"/>
              </w:rPr>
              <w:t>3-5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22,148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21,930</w:t>
            </w:r>
          </w:p>
        </w:tc>
      </w:tr>
      <w:tr>
        <w:trPr>
          <w:trHeight w:val="216"/>
        </w:trPr>
        <w:tc>
          <w:tcPr>
            <w:tcW w:w="4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Lease right-of-use assets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Construction in progress and equipment deposits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59,947</w:t>
            </w:r>
          </w:p>
        </w:tc>
      </w:tr>
      <w:tr>
        <w:trPr>
          <w:trHeight w:val="223"/>
        </w:trPr>
        <w:tc>
          <w:tcPr>
            <w:tcW w:w="22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252,208</w:t>
            </w: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(69,872)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(67,002)</w:t>
            </w:r>
          </w:p>
        </w:tc>
      </w:tr>
      <w:tr>
        <w:trPr>
          <w:trHeight w:val="209"/>
        </w:trPr>
        <w:tc>
          <w:tcPr>
            <w:tcW w:w="4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185,206</w:t>
            </w:r>
          </w:p>
        </w:tc>
      </w:tr>
      <w:tr>
        <w:trPr>
          <w:trHeight w:val="20"/>
        </w:trPr>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Leasehold improvements are amortized over the shorter of their estimated useful lives or the related lease life.</w:t>
      </w:r>
    </w:p>
    <w:p>
      <w:pPr>
        <w:ind w:left="60"/>
        <w:spacing w:after="0" w:line="221" w:lineRule="auto"/>
        <w:rPr>
          <w:sz w:val="20"/>
          <w:szCs w:val="20"/>
          <w:color w:val="auto"/>
        </w:rPr>
      </w:pPr>
      <w:r>
        <w:rPr>
          <w:rFonts w:ascii="Arial" w:cs="Arial" w:eastAsia="Arial" w:hAnsi="Arial"/>
          <w:sz w:val="14"/>
          <w:szCs w:val="14"/>
          <w:color w:val="auto"/>
        </w:rPr>
        <w:t>2 - Customer beverage equipment consists of brewers held on site at customer locations.</w:t>
      </w:r>
    </w:p>
    <w:p>
      <w:pPr>
        <w:ind w:left="60"/>
        <w:spacing w:after="0"/>
        <w:rPr>
          <w:sz w:val="20"/>
          <w:szCs w:val="20"/>
          <w:color w:val="auto"/>
        </w:rPr>
      </w:pPr>
      <w:r>
        <w:rPr>
          <w:rFonts w:ascii="Arial" w:cs="Arial" w:eastAsia="Arial" w:hAnsi="Arial"/>
          <w:sz w:val="14"/>
          <w:szCs w:val="14"/>
          <w:color w:val="auto"/>
        </w:rPr>
        <w:t>3 - Lease right-of-use assets are amortized over the shorter of the useful life of the asset or the lease term.</w:t>
      </w:r>
    </w:p>
    <w:p>
      <w:pPr>
        <w:spacing w:after="0" w:line="128"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Depreciation expense for the three months ended March 31, 2023 and 2022 was $3.9 million and $4.3 million, respectively. Assets classified as construction in progress and equipment deposits are not depreciated, as they are not ready for production use. All assets classified as construction in progress and equipment deposits at March 31, 2023 are expected to be in production use.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Goodwill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carrying amount of goodwill as of March 31, 2023 and December 31, 2022:</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Beverage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1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190,882</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190,882</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(76,883)</w:t>
            </w:r>
          </w:p>
        </w:tc>
      </w:tr>
      <w:tr>
        <w:trPr>
          <w:trHeight w:val="209"/>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113,999</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Changes during the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period 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192,973</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(76,883)</w:t>
            </w:r>
          </w:p>
        </w:tc>
      </w:tr>
      <w:tr>
        <w:trPr>
          <w:trHeight w:val="20"/>
        </w:trPr>
        <w:tc>
          <w:tcPr>
            <w:tcW w:w="6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116,090</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116,090</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858"/>
        </w:trPr>
        <w:tc>
          <w:tcPr>
            <w:tcW w:w="6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61"/>
        </w:trPr>
        <w:tc>
          <w:tcPr>
            <w:tcW w:w="6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Intangible Assets,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intangible assets, net as of March 31, 2023 and December 31, 2022:</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 2023</w:t>
            </w:r>
          </w:p>
        </w:tc>
        <w:tc>
          <w:tcPr>
            <w:tcW w:w="840" w:type="dxa"/>
            <w:vAlign w:val="bottom"/>
            <w:tcBorders>
              <w:bottom w:val="single" w:sz="8" w:color="auto"/>
            </w:tcBorders>
          </w:tcPr>
          <w:p>
            <w:pPr>
              <w:spacing w:after="0"/>
              <w:rPr>
                <w:sz w:val="14"/>
                <w:szCs w:val="14"/>
                <w:color w:val="auto"/>
              </w:rPr>
            </w:pPr>
          </w:p>
        </w:tc>
      </w:tr>
      <w:tr>
        <w:trPr>
          <w:trHeight w:val="133"/>
        </w:trPr>
        <w:tc>
          <w:tcPr>
            <w:tcW w:w="5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840" w:type="dxa"/>
            <w:vAlign w:val="bottom"/>
          </w:tcPr>
          <w:p>
            <w:pPr>
              <w:spacing w:after="0"/>
              <w:rPr>
                <w:sz w:val="11"/>
                <w:szCs w:val="11"/>
                <w:color w:val="auto"/>
              </w:rPr>
            </w:pPr>
          </w:p>
        </w:tc>
      </w:tr>
      <w:tr>
        <w:trPr>
          <w:trHeight w:val="171"/>
        </w:trPr>
        <w:tc>
          <w:tcPr>
            <w:tcW w:w="586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Net</w:t>
            </w:r>
          </w:p>
        </w:tc>
      </w:tr>
      <w:tr>
        <w:trPr>
          <w:trHeight w:val="20"/>
        </w:trPr>
        <w:tc>
          <w:tcPr>
            <w:tcW w:w="5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$ 148,728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$ 128,023</w:t>
            </w: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Favorable lease asset</w:t>
            </w: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1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$ 150,395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(21,403)</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$ 128,992</w:t>
            </w: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58"/>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734"/>
              <w:spacing w:after="0"/>
              <w:rPr>
                <w:sz w:val="20"/>
                <w:szCs w:val="20"/>
                <w:color w:val="auto"/>
              </w:rPr>
            </w:pPr>
            <w:r>
              <w:rPr>
                <w:rFonts w:ascii="Arial" w:cs="Arial" w:eastAsia="Arial" w:hAnsi="Arial"/>
                <w:sz w:val="14"/>
                <w:szCs w:val="14"/>
                <w:b w:val="1"/>
                <w:bCs w:val="1"/>
                <w:color w:val="auto"/>
                <w:w w:val="96"/>
              </w:rPr>
              <w:t>December 31, 2022</w:t>
            </w:r>
          </w:p>
        </w:tc>
      </w:tr>
      <w:tr>
        <w:trPr>
          <w:trHeight w:val="146"/>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840" w:type="dxa"/>
            <w:vAlign w:val="bottom"/>
          </w:tcPr>
          <w:p>
            <w:pPr>
              <w:spacing w:after="0"/>
              <w:rPr>
                <w:sz w:val="12"/>
                <w:szCs w:val="12"/>
                <w:color w:val="auto"/>
              </w:rPr>
            </w:pPr>
          </w:p>
        </w:tc>
      </w:tr>
      <w:tr>
        <w:trPr>
          <w:trHeight w:val="171"/>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Net</w:t>
            </w:r>
          </w:p>
        </w:tc>
      </w:tr>
      <w:tr>
        <w:trPr>
          <w:trHeight w:val="209"/>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$ 148,648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$ 129,870</w:t>
            </w: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Favorable lease asset</w:t>
            </w: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$ 150,277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$ 130,886</w:t>
            </w: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Amortization expense of intangible assets was $2.0 million and $1.7 million for the three months ended March 31, 2023 and 2022, respectively. As of March 31, 2023, the weighted average useful life for definite-lived intangibles is approximately 20 years.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Leases</w:t>
      </w:r>
    </w:p>
    <w:p>
      <w:pPr>
        <w:spacing w:after="0" w:line="229"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We have operating leases for manufacturing and production facilities, distribution and warehousing facilities, vehicles and machinery and equipment. Some of our lease agreements have renewal options, tenant improvement allowances, rent holidays and rent escalation clauses. The remaining terms on our leases range from 1 year to 7 years, some of which may include options to extend the leases and some of which may include options to terminate the leases within 1 year.</w:t>
      </w:r>
    </w:p>
    <w:p>
      <w:pPr>
        <w:spacing w:after="0" w:line="15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following table summarizes the amount of right-of-use lease assets and lease liabilities included in each respective line item on the Company’s Condensed Consolidated Balance Sheets: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6"/>
              </w:rPr>
              <w:t>Balance Sheet Location</w:t>
            </w:r>
          </w:p>
        </w:tc>
        <w:tc>
          <w:tcPr>
            <w:tcW w:w="120" w:type="dxa"/>
            <w:vAlign w:val="bottom"/>
          </w:tcPr>
          <w:p>
            <w:pPr>
              <w:spacing w:after="0"/>
              <w:rPr>
                <w:sz w:val="14"/>
                <w:szCs w:val="14"/>
                <w:color w:val="auto"/>
              </w:rPr>
            </w:pPr>
          </w:p>
        </w:tc>
        <w:tc>
          <w:tcPr>
            <w:tcW w:w="244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2023  December 31, 2022</w:t>
            </w:r>
          </w:p>
        </w:tc>
      </w:tr>
      <w:tr>
        <w:trPr>
          <w:trHeight w:val="210"/>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Right-of-use operating lease assets</w:t>
            </w:r>
          </w:p>
        </w:tc>
        <w:tc>
          <w:tcPr>
            <w:tcW w:w="1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Operating lease 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w:t>
            </w: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1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Accrued expenses and other current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2,832</w:t>
            </w: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Operating lease liabilities - noncurrent</w:t>
            </w:r>
          </w:p>
        </w:tc>
        <w:tc>
          <w:tcPr>
            <w:tcW w:w="12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Other long-term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r>
    </w:tbl>
    <w:p>
      <w:pPr>
        <w:spacing w:after="0" w:line="202"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Depending on the nature of the lease, lease costs are classified within costs of sales or selling, general and administrative expense on the Company’s Condensed Consolidated Statements of Operations. The components of lease costs at March 31, 2023 and 2022, respectively, are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2022</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1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0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29"/>
        </w:trPr>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47"/>
        </w:trPr>
        <w:tc>
          <w:tcPr>
            <w:tcW w:w="5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presents information about the Company’s weighted average discount rate and remaining lease term as of March 31, 2023 and March 31, 2022:</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4"/>
                <w:szCs w:val="14"/>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2022</w:t>
            </w: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years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 years</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about the Company’s leases as of March 31, 2023 is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March 31, 2022</w:t>
            </w: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bl>
    <w:p>
      <w:pPr>
        <w:spacing w:after="0" w:line="202"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During the three months ended March 31, 2023, the Company obtained $6.0 million of right-of-use operating lease assets in exchange for lease obligations.</w:t>
      </w:r>
    </w:p>
    <w:p>
      <w:pPr>
        <w:spacing w:after="0" w:line="17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March 31,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non-cancellable operating leases as of March 31, 2023 are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Present value of minimum lease payments</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12. Debt</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ind w:left="20"/>
              <w:spacing w:after="0"/>
              <w:rPr>
                <w:sz w:val="20"/>
                <w:szCs w:val="20"/>
                <w:color w:val="auto"/>
              </w:rPr>
            </w:pPr>
            <w:r>
              <w:rPr>
                <w:rFonts w:ascii="Arial" w:cs="Arial" w:eastAsia="Arial" w:hAnsi="Arial"/>
                <w:sz w:val="18"/>
                <w:szCs w:val="18"/>
                <w:color w:val="auto"/>
                <w:w w:val="99"/>
              </w:rPr>
              <w:t>Our long-term debt at March 31, 2023 and December 31, 2022 is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08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March 31, 2023</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170,625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trade finance lines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42,905</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International notes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loans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270,029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219,680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costs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(9,287)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(42,855)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(42,905)</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215,285</w:t>
            </w:r>
          </w:p>
        </w:tc>
        <w:tc>
          <w:tcPr>
            <w:tcW w:w="10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162,502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On August 29, 2022, the Company entered into a credit agreement (the “Credit Agreement”) among the Company, Westrock Beverage Solutions, LLC, as the borrower (the “Borrower”), Wells Fargo Bank, N.A., as administrative agent,</w:t>
      </w:r>
    </w:p>
    <w:p>
      <w:pPr>
        <w:spacing w:after="0" w:line="34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7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Applicable Margin ranges from 1.50% to 2.50% for Adjusted Term SOFR loans and from 0.50% to 1.50% for Base Rate loans, in each case depending on the total net leverage ratio. Commitment fees on the daily unused amount of commitments under the Revolving Credit Facility range from 0.20% to 0.35% depending on the total net leverage ratio. At March 31, 2023, we had $55.0 million of outstanding borrowings under the Revolving Credit Facility, with a weighted average interest rate of 7.3%, and the interest rate applicable to our Term Loan Facility was 7.4%.</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Term Loan Facility requires quarterly principal payments during the first three years of approximately $2.2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(1.25% of the original principal balance). Quarterly payments increase to approximately $3.3 million and $4.4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(1.875% and 2.5% of the original principal balance) during the fourth and fifth years, respectively.</w:t>
      </w:r>
    </w:p>
    <w:p>
      <w:pPr>
        <w:spacing w:after="0" w:line="211"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We incurred $6.0 million of financing fees in connection with the Credit Agreement. $3.0 million of the fees were allocated to the Term Loan Facility and are being amortized utilizing the frozen effective yield method based on the interest rate in place at the issuance of the Term Loan Facility. $3.0 million of the fees were allocated to the Revolving Credit Facility, are reported within other long-term assets on the Condensed Consolidated Balance Sheets and are being amortized ratably over the term of the Revolving Credit Facility.</w:t>
      </w:r>
    </w:p>
    <w:p>
      <w:pPr>
        <w:spacing w:after="0" w:line="188"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On February 14, 2023, the Company entered into an Incremental Assumption Agreement and Amendment No. 1 (the “Amendment”) to its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7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The interest rates under the Delayed Draw Term Loan Facility are the same as the interest rates with respect to the initial term loans under the existing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Quarterly Report on Form 10-Q, no borrowings have been made under the Delayed Draw Term Loan Facility.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$2.6 million of standby letters of credit outstanding at March 31, 2023.</w:t>
      </w:r>
    </w:p>
    <w:p>
      <w:pPr>
        <w:spacing w:after="0" w:line="22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Credit Agreement contains two financial covenants requiring maintenance of a total net leverage ratio not to exceed 4.50 to 1.00, with a stepdown to 4.00 to 1.00 on the 18-month anniversary of the closing date of Credit Agreement (with an option to increase to 4.50 to 1.00 following certain permitted acquisitions), and an interest coverage ratio of at least 1.50 to 1.00 (the “Financial Covenants”). As of March 31, 2023, the Company was in compliance with the Financial Covenants.</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International Debt and Lending Facilities</w:t>
      </w:r>
    </w:p>
    <w:p>
      <w:pPr>
        <w:spacing w:after="0" w:line="2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March 21, 2023, the Company entered into a $70 million working capital trade finance facility with multiple financial institutions through its subsidiary, Falcon. The facility replaced Falcon’s then existing working capital trade finance facility. The new facility is uncommitted and repayable on demand, with certain of Falcon’s assets pledged as collateral against the facility. The new facility will mature one year from inception. Borrowings under the new facility will bear interest at the borrower’s option at a rate equal to (a) Term SOFR, as defined in the new facility, plus a margin of 4.00% plus a liquidity premium set by the lender at the time of borrowing or (b) the Base Rate (determined by reference to the greatest of (i) the Prime Rate, as defined in the new facility, at such time, (ii) one-half of 1.00% in excess of the Federal Funds Effective Rate, as defined in the new facility, at such time, and (iii) Term SOFR for a one-month tenor in effect at such time plus 1.00%). At March 31, 2023, there was $35.0 million outstanding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March 31, 2023.</w:t>
      </w:r>
    </w:p>
    <w:p>
      <w:pPr>
        <w:spacing w:after="0" w:line="179"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color w:val="auto"/>
        </w:rPr>
        <w:t>Westrock Coffee International, LLC, through its subsidiary Rwanda Trading Company, maintains two mortgage-backed lending facilities with a local bank in Rwanda: (a) a short-term trade finance facility with a balance of $7.8 million at March 31, 2023 and (b) a long-term note payable with a balance of $1.5 million at March 31, 2023.</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Series A Preferred Shares</w:t>
      </w:r>
    </w:p>
    <w:p>
      <w:pPr>
        <w:spacing w:after="0" w:line="229"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In connection with the Transaction, the Company issued 23,587,952 Westrock Series A Preferred Shares,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92"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459" w:hanging="10"/>
        <w:spacing w:after="0" w:line="260"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Holders of Westrock Series A Preferred Shares may voluntarily convert their Westrock Series A Preferred Shares into a whole number of Common Shares at any time at a rate equal to the quotient of (a) the liquidation preference as of the applicable conversion date, divided by (b) the conversion price as of the applicable conversion date, which is currently $11.50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w:t>
      </w:r>
    </w:p>
    <w:p>
      <w:pPr>
        <w:spacing w:after="0" w:line="178"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After February 26, 2028 (i.e., the five and a half 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w:t>
      </w:r>
    </w:p>
    <w:p>
      <w:pPr>
        <w:spacing w:after="0" w:line="1" w:lineRule="exact"/>
        <w:rPr>
          <w:sz w:val="20"/>
          <w:szCs w:val="20"/>
          <w:color w:val="auto"/>
        </w:rPr>
      </w:pPr>
    </w:p>
    <w:p>
      <w:pPr>
        <w:ind w:left="60" w:right="59" w:hanging="10"/>
        <w:spacing w:after="0" w:line="253"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287" w:lineRule="auto"/>
        <w:rPr>
          <w:sz w:val="20"/>
          <w:szCs w:val="20"/>
          <w:color w:val="auto"/>
        </w:rPr>
      </w:pPr>
      <w:r>
        <w:rPr>
          <w:rFonts w:ascii="Arial" w:cs="Arial" w:eastAsia="Arial" w:hAnsi="Arial"/>
          <w:sz w:val="16"/>
          <w:szCs w:val="16"/>
          <w:color w:val="auto"/>
        </w:rPr>
        <w:t>At any time after February 26, 2028 (i.e., the five 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w:t>
      </w:r>
    </w:p>
    <w:p>
      <w:pPr>
        <w:spacing w:after="0" w:line="2" w:lineRule="exact"/>
        <w:rPr>
          <w:sz w:val="20"/>
          <w:szCs w:val="20"/>
          <w:color w:val="auto"/>
        </w:rPr>
      </w:pPr>
    </w:p>
    <w:p>
      <w:pPr>
        <w:ind w:left="60" w:right="179" w:hanging="10"/>
        <w:spacing w:after="0" w:line="287" w:lineRule="auto"/>
        <w:tabs>
          <w:tab w:leader="none" w:pos="30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10"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Upon issuance, the Westrock Series A Preferred Shares were recorded on our Condensed Consolidated Balance Sheets at fair value. Subsequently, the Company will accrete changes in the redemption value from the date of issuance to the earliest redemption date (i.e., the five and a half 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months ended March 31, 2023, the Company recorded $0.4 million of accretion with respect to the Westrock Series A Preferred Shares.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Derivatives</w:t>
      </w:r>
    </w:p>
    <w:p>
      <w:pPr>
        <w:spacing w:after="0" w:line="22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78"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spacing w:after="0" w:line="16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8"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three months ended March 31, 2023 or 2022.</w:t>
      </w:r>
    </w:p>
    <w:p>
      <w:pPr>
        <w:spacing w:after="0" w:line="187"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Within our Beverage Solutions segment, we have entered into coffee futures contracts to hedge our exposure to price fluctuations on green coffee associated with certain price-to-be-fixed purchase contracts, which generally range from</w:t>
      </w: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three to twelve months in length. These derivative instruments have been designated as cash flow hedges. The objective of this hedging program is to reduce the variability of cash flows associated with future purchases of green coffee.</w:t>
      </w:r>
    </w:p>
    <w:p>
      <w:pPr>
        <w:spacing w:after="0" w:line="124"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notional amount for the coffee futures contracts that were designated and qualified for our commodity cash flow hedging program was 5.6 million pounds and 29.2 million pounds as of March 31, 2023 and December 31, 2022, respectively. During the three months ended March 31, 2023 and 2022, the Company purchased coffee futures contracts and coffee options contracts under our cash flow hedging program with aggregate notional amounts of 8.4 million pounds and 41.3 million pounds, respectively.</w:t>
      </w:r>
    </w:p>
    <w:p>
      <w:pPr>
        <w:spacing w:after="0" w:line="188"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Approximately $0.7 million of net realized losses and $4.1 million of net realized gains, representing the effective portion of the cash flow hedge, were subsequently reclassified from AOCI to earnings and recognized in costs of sales in the Condensed Consolidated Statements of Operations for the three months ended March 31, 2023 and 2022, respectively. As of March 31, 2023, the estimated amount of net losses reported in AOCI that is expected to be reclassified to the Condensed Consolidated Statements of Operations within the next twelve months is $3.3 million.</w:t>
      </w:r>
    </w:p>
    <w:p>
      <w:pPr>
        <w:spacing w:after="0" w:line="1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pacing w:after="0" w:line="1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fair value of our derivative assets and liabilities included in the Condensed Consolidated Balance Sheets are set forth below: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Balance Sheet Location</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December 31, 2022</w:t>
            </w:r>
          </w:p>
        </w:tc>
      </w:tr>
      <w:tr>
        <w:trPr>
          <w:trHeight w:val="191"/>
        </w:trPr>
        <w:tc>
          <w:tcPr>
            <w:tcW w:w="3400" w:type="dxa"/>
            <w:vAlign w:val="bottom"/>
            <w:gridSpan w:val="2"/>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85"/>
              </w:rPr>
              <w:t>Derivative assets not designated as cash flow</w:t>
            </w:r>
          </w:p>
        </w:tc>
        <w:tc>
          <w:tcPr>
            <w:tcW w:w="18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6"/>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Forward purchase and sales contracts</w:t>
            </w:r>
          </w:p>
        </w:tc>
        <w:tc>
          <w:tcPr>
            <w:tcW w:w="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Derivative assets</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13,390</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15,053</w:t>
            </w: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3"/>
        </w:trPr>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derivative assets</w:t>
            </w:r>
          </w:p>
        </w:tc>
        <w:tc>
          <w:tcPr>
            <w:tcW w:w="1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15,053</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34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88"/>
              </w:rPr>
              <w:t>Derivative liabilities designated as cash flow</w:t>
            </w:r>
          </w:p>
        </w:tc>
        <w:tc>
          <w:tcPr>
            <w:tcW w:w="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6"/>
        </w:trPr>
        <w:tc>
          <w:tcPr>
            <w:tcW w:w="340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Coffee futures contracts</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Derivative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10"/>
        </w:trPr>
        <w:tc>
          <w:tcPr>
            <w:tcW w:w="3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34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0"/>
              </w:rPr>
              <w:t>Derivative liabilities not designated as cash</w:t>
            </w:r>
          </w:p>
        </w:tc>
        <w:tc>
          <w:tcPr>
            <w:tcW w:w="1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flow hedging instruments:</w:t>
            </w:r>
          </w:p>
        </w:tc>
        <w:tc>
          <w:tcPr>
            <w:tcW w:w="1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6"/>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Forward purchase and sales contracts</w:t>
            </w:r>
          </w:p>
        </w:tc>
        <w:tc>
          <w:tcPr>
            <w:tcW w:w="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Derivative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3,504</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4,258</w:t>
            </w:r>
          </w:p>
        </w:tc>
      </w:tr>
      <w:tr>
        <w:trPr>
          <w:trHeight w:val="250"/>
        </w:trPr>
        <w:tc>
          <w:tcPr>
            <w:tcW w:w="34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derivative liabilities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r>
      <w:tr>
        <w:trPr>
          <w:trHeight w:val="95"/>
        </w:trPr>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The fair value of coffee futures excludes amounts related to margin accounts.</w:t>
      </w:r>
    </w:p>
    <w:p>
      <w:pPr>
        <w:spacing w:after="0" w:line="200" w:lineRule="exact"/>
        <w:rPr>
          <w:sz w:val="20"/>
          <w:szCs w:val="20"/>
          <w:color w:val="auto"/>
        </w:rPr>
      </w:pPr>
    </w:p>
    <w:p>
      <w:pPr>
        <w:spacing w:after="0" w:line="22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presents the pre-tax net gains and losses for our derivative instruments as of March 31, 2023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2022:</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4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Statement of Operations Location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36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Derivative assets designated as cash flow</w:t>
            </w:r>
          </w:p>
        </w:tc>
        <w:tc>
          <w:tcPr>
            <w:tcW w:w="14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20"/>
              <w:spacing w:after="0"/>
              <w:rPr>
                <w:sz w:val="20"/>
                <w:szCs w:val="20"/>
                <w:color w:val="auto"/>
              </w:rPr>
            </w:pPr>
            <w:r>
              <w:rPr>
                <w:rFonts w:ascii="Arial" w:cs="Arial" w:eastAsia="Arial" w:hAnsi="Arial"/>
                <w:sz w:val="18"/>
                <w:szCs w:val="18"/>
                <w:color w:val="auto"/>
                <w:w w:val="91"/>
              </w:rPr>
              <w:t>Net realized gains (losses) on coffee derivatives</w:t>
            </w:r>
          </w:p>
        </w:tc>
        <w:tc>
          <w:tcPr>
            <w:tcW w:w="1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Costs of sales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0"/>
              </w:rPr>
              <w:t>Derivative assets and liabilities not designated</w:t>
            </w: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as cash flow hedging instruments:</w:t>
            </w: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Net unrealized gains (losses) on forward sales</w:t>
            </w: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purchase contracts</w:t>
            </w:r>
          </w:p>
        </w:tc>
        <w:tc>
          <w:tcPr>
            <w:tcW w:w="14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Costs of sales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Fair Value Measurements</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8"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24"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1—Valuation is based upon quoted prices for identical instruments traded in active markets.</w:t>
      </w:r>
    </w:p>
    <w:p>
      <w:pPr>
        <w:spacing w:after="0" w:line="225" w:lineRule="exact"/>
        <w:rPr>
          <w:rFonts w:ascii="Arial" w:cs="Arial" w:eastAsia="Arial" w:hAnsi="Arial"/>
          <w:sz w:val="18"/>
          <w:szCs w:val="18"/>
          <w:color w:val="auto"/>
        </w:rPr>
      </w:pPr>
    </w:p>
    <w:p>
      <w:pPr>
        <w:ind w:left="720" w:right="159" w:hanging="319"/>
        <w:spacing w:after="0" w:line="291"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66" w:lineRule="exact"/>
        <w:rPr>
          <w:rFonts w:ascii="Arial" w:cs="Arial" w:eastAsia="Arial" w:hAnsi="Arial"/>
          <w:sz w:val="16"/>
          <w:szCs w:val="16"/>
          <w:color w:val="auto"/>
        </w:rPr>
      </w:pPr>
    </w:p>
    <w:p>
      <w:pPr>
        <w:ind w:left="720" w:right="79" w:hanging="319"/>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fair value of financial instruments at March 31, 2023:</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34,318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34,318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47,708</w:t>
            </w:r>
          </w:p>
        </w:tc>
        <w:tc>
          <w:tcPr>
            <w:tcW w:w="0" w:type="dxa"/>
            <w:vAlign w:val="bottom"/>
          </w:tcPr>
          <w:p>
            <w:pPr>
              <w:spacing w:after="0"/>
              <w:rPr>
                <w:sz w:val="1"/>
                <w:szCs w:val="1"/>
                <w:color w:val="auto"/>
              </w:rPr>
            </w:pPr>
          </w:p>
        </w:tc>
      </w:tr>
      <w:tr>
        <w:trPr>
          <w:trHeight w:val="197"/>
        </w:trPr>
        <w:tc>
          <w:tcPr>
            <w:tcW w:w="4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Coffee futures contracts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Forward purchase and sales contracts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Westrock Public Warrants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Westrock Private Warrants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20,942</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change in fair value of Level 3 Westrock Private Warrant liabilities: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Westrock Private</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March 31, 2023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0" w:type="dxa"/>
            <w:vAlign w:val="bottom"/>
          </w:tcPr>
          <w:p>
            <w:pPr>
              <w:spacing w:after="0"/>
              <w:rPr>
                <w:sz w:val="1"/>
                <w:szCs w:val="1"/>
                <w:color w:val="auto"/>
              </w:rPr>
            </w:pPr>
          </w:p>
        </w:tc>
      </w:tr>
      <w:tr>
        <w:trPr>
          <w:trHeight w:val="20"/>
        </w:trPr>
        <w:tc>
          <w:tcPr>
            <w:tcW w:w="6840" w:type="dxa"/>
            <w:vAlign w:val="bottom"/>
            <w:gridSpan w:val="8"/>
            <w:vMerge w:val="restart"/>
          </w:tcPr>
          <w:p>
            <w:pPr>
              <w:ind w:left="20"/>
              <w:spacing w:after="0"/>
              <w:rPr>
                <w:sz w:val="20"/>
                <w:szCs w:val="20"/>
                <w:color w:val="auto"/>
              </w:rPr>
            </w:pPr>
            <w:r>
              <w:rPr>
                <w:rFonts w:ascii="Arial" w:cs="Arial" w:eastAsia="Arial" w:hAnsi="Arial"/>
                <w:sz w:val="18"/>
                <w:szCs w:val="18"/>
                <w:color w:val="auto"/>
                <w:w w:val="92"/>
              </w:rPr>
              <w:t>The following table summarizes the fair value of financial instruments at December 31, 2022:</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39,928</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39,928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54,981</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54,981</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Coffee futures contracts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Forward purchase and sales contracts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Westrock Public Warrants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Westrock Private Warrants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28,342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30,513</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3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219"/>
        <w:spacing w:after="0" w:line="301" w:lineRule="auto"/>
        <w:rPr>
          <w:sz w:val="20"/>
          <w:szCs w:val="20"/>
          <w:color w:val="auto"/>
        </w:rPr>
      </w:pPr>
      <w:r>
        <w:rPr>
          <w:rFonts w:ascii="Arial" w:cs="Arial" w:eastAsia="Arial" w:hAnsi="Arial"/>
          <w:sz w:val="16"/>
          <w:szCs w:val="16"/>
          <w:color w:val="auto"/>
        </w:rPr>
        <w:t>Westrock Public Warrants are valued based on their quoted market price of $2.43 and $2.27 per warrant as of March 31, 2023 and December 31, 2022, respectively. Westrock Private Warrants price of $2.83 and $3.83 per warrant as of March 31, 2023 and December 31, 2022, respectively, are valued using a binomial lattice valuation model, which is considered to be a Level 3 fair value measurement. The primary unobservable inputs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December 31, 2022</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4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Financial instruments consist primarily of cash, accounts receivable, accounts payable, and long-term debt. The carrying amount of cash, accounts receivable and accounts payable was estimated by management to approximate fair value due to the relatively short period of time to maturity for those instruments. On August 29, 2022, the Company entered into the Credit Agreement, which includes the Term Loan Facility and the Revolving Credit Facility. The Term Loan Facility and the Revolving Credit Facility are carried on the Condensed Consolidated Balance Sheets at amortized cost and are estimated by management to approximate fair value as of March 31, 2023 as the interest rate on these facilities is adjusted for changes in the market rates. The fair value of the Term Loan Facility and the Revolving Credit Facility was determined based on Level 2 inputs under the fair value hierarchy.</w:t>
      </w:r>
    </w:p>
    <w:p>
      <w:pPr>
        <w:spacing w:after="0" w:line="17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Non-financial assets and liabilities, including property, plant and equipment, goodwill and intangible assets are measured at fair value on a non-recurring basis. No events occurred during the three months ended March 31, 2023 and 2022, requiring these non-financial assets and liabilities to be subsequently recognized at fair value.</w:t>
      </w:r>
    </w:p>
    <w:p>
      <w:pPr>
        <w:spacing w:after="0" w:line="40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Accumulated Other Comprehensive Income (Loss)</w:t>
      </w:r>
    </w:p>
    <w:p>
      <w:pPr>
        <w:spacing w:after="0" w:line="229"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accumulated other comprehensive income (loss), net of tax by component for the three months ended March 31, 2023 and March 31, 2022 is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6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 changes in fair value gain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Arial" w:cs="Arial" w:eastAsia="Arial" w:hAnsi="Arial"/>
                <w:sz w:val="18"/>
                <w:szCs w:val="18"/>
                <w:color w:val="auto"/>
              </w:rPr>
              <w:t>Balance at beginning of period</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(6,355)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Amounts reclassified from accumulated comprehensive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09"/>
        </w:trPr>
        <w:tc>
          <w:tcPr>
            <w:tcW w:w="6060" w:type="dxa"/>
            <w:vAlign w:val="bottom"/>
          </w:tcPr>
          <w:p>
            <w:pPr>
              <w:ind w:left="120"/>
              <w:spacing w:after="0"/>
              <w:rPr>
                <w:sz w:val="20"/>
                <w:szCs w:val="20"/>
                <w:color w:val="auto"/>
              </w:rPr>
            </w:pPr>
            <w:r>
              <w:rPr>
                <w:rFonts w:ascii="Arial" w:cs="Arial" w:eastAsia="Arial" w:hAnsi="Arial"/>
                <w:sz w:val="18"/>
                <w:szCs w:val="18"/>
                <w:color w:val="auto"/>
              </w:rPr>
              <w:t>Net other comprehensive income</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Amounts reclassified from accumulated comprehensive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other comprehensive income</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end of period</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Equity-Based Compensation</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During the three months ended March 31, 2023, the Company granted 1.1 million restricted stock units (“RSUs”) under the Westrock Coffee Company 2022 Equity Incentive Plan (the “2022 Equity Plan”). The RSUs had a grant date fair value of $13.0 million, which was calculated using the closing price of the Company’s Common Shares on the applicable date of grant. The RSUs are amortized on a straight-line basis to expense over the vesting period, which is generally three years. As of March 31, 2023, there were 2.4 million shares available for future issuance under the 2022 Equity Plan.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sets forth the RSU activity under the 2022 Equity Plan for the three months ended March 31, 2023.</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92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Average Fair</w:t>
            </w:r>
          </w:p>
        </w:tc>
        <w:tc>
          <w:tcPr>
            <w:tcW w:w="0" w:type="dxa"/>
            <w:vAlign w:val="bottom"/>
          </w:tcPr>
          <w:p>
            <w:pPr>
              <w:spacing w:after="0"/>
              <w:rPr>
                <w:sz w:val="1"/>
                <w:szCs w:val="1"/>
                <w:color w:val="auto"/>
              </w:rPr>
            </w:pPr>
          </w:p>
        </w:tc>
      </w:tr>
      <w:tr>
        <w:trPr>
          <w:trHeight w:val="171"/>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Outstanding at December 31, 2022</w:t>
            </w:r>
          </w:p>
        </w:tc>
        <w:tc>
          <w:tcPr>
            <w:tcW w:w="1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1,127,000</w:t>
            </w:r>
          </w:p>
        </w:tc>
        <w:tc>
          <w:tcPr>
            <w:tcW w:w="3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1,093,471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(10,772)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8"/>
                <w:szCs w:val="18"/>
                <w:color w:val="auto"/>
              </w:rPr>
              <w:t>Outstanding at March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2,209,699</w:t>
            </w:r>
          </w:p>
        </w:tc>
        <w:tc>
          <w:tcPr>
            <w:tcW w:w="3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Earnings per Share</w:t>
      </w:r>
    </w:p>
    <w:p>
      <w:pPr>
        <w:spacing w:after="0" w:line="22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Prior to the Conversion, the Company’s ownership interests consisted of two classes of equity units, referred to as Common Units and Common Equivalent Preferred Units (“CEP Units”), which have been retroactively adjusted as shares reflecting the conversion ratios discussed in Note 4.</w:t>
      </w:r>
    </w:p>
    <w:p>
      <w:pPr>
        <w:spacing w:after="0" w:line="184" w:lineRule="exact"/>
        <w:rPr>
          <w:sz w:val="20"/>
          <w:szCs w:val="20"/>
          <w:color w:val="auto"/>
        </w:rPr>
      </w:pPr>
    </w:p>
    <w:p>
      <w:pPr>
        <w:ind w:left="60" w:right="759"/>
        <w:spacing w:after="0" w:line="342" w:lineRule="auto"/>
        <w:rPr>
          <w:sz w:val="20"/>
          <w:szCs w:val="20"/>
          <w:color w:val="auto"/>
        </w:rPr>
      </w:pPr>
      <w:r>
        <w:rPr>
          <w:rFonts w:ascii="Arial" w:cs="Arial" w:eastAsia="Arial" w:hAnsi="Arial"/>
          <w:sz w:val="16"/>
          <w:szCs w:val="16"/>
          <w:color w:val="auto"/>
        </w:rPr>
        <w:t>Our Series A Preferred Shares and RSUs issued under our 2022 Equity Incentive Plan are considered participating securities as they receive non-forfeitable rights to dividends at the same rate as Common Shares. As participating</w:t>
      </w:r>
    </w:p>
    <w:p>
      <w:pPr>
        <w:spacing w:after="0" w:line="34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 xml:space="preserve">securities, we include these instruments in the computation of earnings per share under the two-class method described in ASC 260, </w:t>
      </w:r>
      <w:r>
        <w:rPr>
          <w:rFonts w:ascii="Arial" w:cs="Arial" w:eastAsia="Arial" w:hAnsi="Arial"/>
          <w:sz w:val="18"/>
          <w:szCs w:val="18"/>
          <w:i w:val="1"/>
          <w:iCs w:val="1"/>
          <w:color w:val="auto"/>
        </w:rPr>
        <w:t>Earnings per Share.</w:t>
      </w:r>
    </w:p>
    <w:p>
      <w:pPr>
        <w:spacing w:after="0" w:line="170"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Prior to the Conversion, the dilutive effect of CEP Units was calculated by using the “if-converted” method. This assumed an add-back of dividends on the CEP Units to net income attributable to shareholders as if the securities were converted to common shares at the beginning of the reporting period (or at the time of issuance, if later), and the resulting common shares were included in the number of weighted-average units outstanding.</w:t>
      </w:r>
    </w:p>
    <w:p>
      <w:pPr>
        <w:spacing w:after="0" w:line="171"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The dilutive effect of Westrock Series A Preferred Shares is calculated using the if-converted method, which assumes an add-back of any accretion on preferred shares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71" w:lineRule="exact"/>
        <w:rPr>
          <w:sz w:val="20"/>
          <w:szCs w:val="20"/>
          <w:color w:val="auto"/>
        </w:rPr>
      </w:pPr>
    </w:p>
    <w:p>
      <w:pPr>
        <w:ind w:left="60" w:right="959"/>
        <w:spacing w:after="0" w:line="277" w:lineRule="auto"/>
        <w:rPr>
          <w:sz w:val="20"/>
          <w:szCs w:val="20"/>
          <w:color w:val="auto"/>
        </w:rPr>
      </w:pPr>
      <w:r>
        <w:rPr>
          <w:rFonts w:ascii="Arial" w:cs="Arial" w:eastAsia="Arial" w:hAnsi="Arial"/>
          <w:sz w:val="18"/>
          <w:szCs w:val="18"/>
          <w:color w:val="auto"/>
        </w:rPr>
        <w:t>The dilutive effect of time-based option awards and RSUs is calculated using the treasury stock method, while performance-based awards are treated as contingently issuable.</w:t>
      </w:r>
    </w:p>
    <w:p>
      <w:pPr>
        <w:spacing w:after="0" w:line="170"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shares for the periods indicated because their inclusion would have an anti-dilutive effect due to our reported loss.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2022</w:t>
            </w:r>
          </w:p>
        </w:tc>
      </w:tr>
      <w:tr>
        <w:trPr>
          <w:trHeight w:val="210"/>
        </w:trPr>
        <w:tc>
          <w:tcPr>
            <w:tcW w:w="5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Restricted stock</w:t>
            </w:r>
          </w:p>
        </w:tc>
        <w:tc>
          <w:tcPr>
            <w:tcW w:w="1300" w:type="dxa"/>
            <w:vAlign w:val="bottom"/>
          </w:tcPr>
          <w:p>
            <w:pPr>
              <w:jc w:val="right"/>
              <w:spacing w:after="0"/>
              <w:rPr>
                <w:sz w:val="20"/>
                <w:szCs w:val="20"/>
                <w:color w:val="auto"/>
              </w:rPr>
            </w:pPr>
            <w:r>
              <w:rPr>
                <w:rFonts w:ascii="Arial" w:cs="Arial" w:eastAsia="Arial" w:hAnsi="Arial"/>
                <w:sz w:val="18"/>
                <w:szCs w:val="18"/>
                <w:color w:val="auto"/>
              </w:rPr>
              <w:t>2,210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3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If-converted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23,583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25,092</w:t>
            </w:r>
          </w:p>
        </w:tc>
      </w:tr>
    </w:tbl>
    <w:p>
      <w:pPr>
        <w:spacing w:after="0" w:line="200" w:lineRule="exact"/>
        <w:rPr>
          <w:sz w:val="20"/>
          <w:szCs w:val="20"/>
          <w:color w:val="auto"/>
        </w:rPr>
      </w:pPr>
    </w:p>
    <w:p>
      <w:pPr>
        <w:spacing w:after="0" w:line="203"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under the two-class method for the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 except per share data)</w:t>
            </w:r>
          </w:p>
        </w:tc>
        <w:tc>
          <w:tcPr>
            <w:tcW w:w="2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common shareholders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75,358</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Net loss attributable to common shareholders - basic</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(4,770)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non-participating securities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 - diluted</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(10,299)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Impact of if-converted securities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Effect of other dilutive securities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loss per common share</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1"/>
        </w:trPr>
        <w:tc>
          <w:tcPr>
            <w:tcW w:w="58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Segment Information</w:t>
      </w:r>
    </w:p>
    <w:p>
      <w:pPr>
        <w:spacing w:after="0" w:line="229"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Our two operating segments, Beverage Solutions and Sustainable Sourcing &amp; Traceability, are evaluated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Coffee, Inc. (“S&amp;D”), impairment charges, changes in the fair value of warrant liabilities, non-cash mark-to-market adjustments, certain costs specifically excluded from the calculation of EBITDA under our material debt agreements, such as facility start-up costs, and other similar or infrequent items (although we may not have had such charges in the periods presented).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Selected financial data related to our segments is presented below for the periods indicated: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March 31, 2023</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Sustainable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of</w:t>
            </w:r>
          </w:p>
        </w:tc>
      </w:tr>
      <w:tr>
        <w:trPr>
          <w:trHeight w:val="16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w w:val="95"/>
              </w:rPr>
              <w:t>Beverage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Sourcing &amp;</w:t>
            </w:r>
          </w:p>
        </w:tc>
        <w:tc>
          <w:tcPr>
            <w:tcW w:w="14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Intersegment</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Reportable</w:t>
            </w:r>
          </w:p>
        </w:tc>
      </w:tr>
      <w:tr>
        <w:trPr>
          <w:trHeight w:val="185"/>
        </w:trPr>
        <w:tc>
          <w:tcPr>
            <w:tcW w:w="486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Solutions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Traceability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Revenues</w:t>
            </w:r>
          </w:p>
        </w:tc>
        <w:tc>
          <w:tcPr>
            <w:tcW w:w="12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Segments</w:t>
            </w: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181,209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(1,158)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205,442</w:t>
            </w:r>
          </w:p>
        </w:tc>
        <w:tc>
          <w:tcPr>
            <w:tcW w:w="2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20" w:type="dxa"/>
            <w:vAlign w:val="bottom"/>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(4,359)</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6,644</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w w:val="93"/>
              </w:rPr>
              <w:t>Management and consulting fees (S&amp;D Coffee, Inc. acquisition)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Conway extract and ready-to-drink facility start-up costs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r>
      <w:tr>
        <w:trPr>
          <w:trHeight w:val="216"/>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r>
      <w:tr>
        <w:trPr>
          <w:trHeight w:val="26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20" w:type="dxa"/>
            <w:vAlign w:val="bottom"/>
          </w:tcPr>
          <w:p>
            <w:pPr>
              <w:spacing w:after="0"/>
              <w:rPr>
                <w:sz w:val="22"/>
                <w:szCs w:val="22"/>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688,403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84,898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line="196"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773,301</w:t>
            </w:r>
          </w:p>
        </w:tc>
        <w:tc>
          <w:tcPr>
            <w:tcW w:w="20" w:type="dxa"/>
            <w:vAlign w:val="bottom"/>
          </w:tcPr>
          <w:p>
            <w:pPr>
              <w:spacing w:after="0"/>
              <w:rPr>
                <w:sz w:val="17"/>
                <w:szCs w:val="17"/>
                <w:color w:val="auto"/>
              </w:rPr>
            </w:pPr>
          </w:p>
        </w:tc>
      </w:tr>
      <w:tr>
        <w:trPr>
          <w:trHeight w:val="378"/>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March 31, 2022</w:t>
            </w: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Sustainable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of</w:t>
            </w:r>
          </w:p>
        </w:tc>
      </w:tr>
      <w:tr>
        <w:trPr>
          <w:trHeight w:val="16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w w:val="95"/>
              </w:rPr>
              <w:t>Beverage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Sourcing &amp;</w:t>
            </w:r>
          </w:p>
        </w:tc>
        <w:tc>
          <w:tcPr>
            <w:tcW w:w="14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Intersegment</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Reportable</w:t>
            </w:r>
          </w:p>
        </w:tc>
      </w:tr>
      <w:tr>
        <w:trPr>
          <w:trHeight w:val="17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Solutions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Traceability</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Segments</w:t>
            </w:r>
          </w:p>
        </w:tc>
        <w:tc>
          <w:tcPr>
            <w:tcW w:w="20" w:type="dxa"/>
            <w:vAlign w:val="bottom"/>
          </w:tcPr>
          <w:p>
            <w:pPr>
              <w:spacing w:after="0"/>
              <w:rPr>
                <w:sz w:val="14"/>
                <w:szCs w:val="14"/>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(9,706)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186,428</w:t>
            </w:r>
          </w:p>
        </w:tc>
        <w:tc>
          <w:tcPr>
            <w:tcW w:w="2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0" w:type="dxa"/>
            <w:vAlign w:val="bottom"/>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Management and consulting fees (S&amp;D Coffee, Inc. acquisition)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0" w:type="dxa"/>
            <w:vAlign w:val="bottom"/>
          </w:tcPr>
          <w:p>
            <w:pPr>
              <w:spacing w:after="0"/>
              <w:rPr>
                <w:sz w:val="18"/>
                <w:szCs w:val="18"/>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r>
        <w:trPr>
          <w:trHeight w:val="216"/>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20" w:type="dxa"/>
            <w:vAlign w:val="bottom"/>
          </w:tcPr>
          <w:p>
            <w:pPr>
              <w:spacing w:after="0"/>
              <w:rPr>
                <w:sz w:val="18"/>
                <w:szCs w:val="18"/>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532,035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113,329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line="196"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645,364</w:t>
            </w:r>
          </w:p>
        </w:tc>
        <w:tc>
          <w:tcPr>
            <w:tcW w:w="20" w:type="dxa"/>
            <w:vAlign w:val="bottom"/>
          </w:tcPr>
          <w:p>
            <w:pPr>
              <w:spacing w:after="0"/>
              <w:rPr>
                <w:sz w:val="17"/>
                <w:szCs w:val="17"/>
                <w:color w:val="auto"/>
              </w:rPr>
            </w:pPr>
          </w:p>
        </w:tc>
      </w:tr>
      <w:tr>
        <w:trPr>
          <w:trHeight w:val="661"/>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r>
      <w:tr>
        <w:trPr>
          <w:trHeight w:val="561"/>
        </w:trPr>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229"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We have future purchase obligations of $278.4 million as of March 31, 2023 that consist of commitments for the purchase of inventory over the next 12 months. These obligations represent the minimum contractual obligations expected under the normal course of business.</w:t>
      </w:r>
    </w:p>
    <w:p>
      <w:pPr>
        <w:spacing w:after="0" w:line="184"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In addition, at March 31, 2023, we had an obligation to repurchase $10.2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Condensed Consolidated Balance Sheet.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21. Related Party Transactions</w:t>
      </w:r>
    </w:p>
    <w:p>
      <w:pPr>
        <w:spacing w:after="0" w:line="229"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Prior to the Conversion, the Company had subordinated debt issued to Wooster Capital, LLC, which is owned and controlled by our co-founder and Chairman, Joe T. Ford, and Jo Ellen Ford, who have ownership in the Company. During 2022, Brown Brothers Harriman, who is a holder of Series A Preferred Shares, and prior to the Conversion was holder of Westrock Series A and Series B Preferred Units, participated in Falcon’s working capital trade finance facility. As such, these persons and entities are deemed related parties.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consolidated financial statements reflect the following transactions with related parties: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8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rPr>
                <w:sz w:val="20"/>
                <w:szCs w:val="20"/>
                <w:color w:val="auto"/>
              </w:rPr>
            </w:pPr>
            <w:r>
              <w:rPr>
                <w:rFonts w:ascii="Arial" w:cs="Arial" w:eastAsia="Arial" w:hAnsi="Arial"/>
                <w:sz w:val="18"/>
                <w:szCs w:val="18"/>
                <w:color w:val="auto"/>
              </w:rPr>
              <w:t>Brown Brothers Harriman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Wooster Capital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Jo Ellen Ford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In connection with the acquisition of S&amp;D Coffee, Inc. in February 2020, the Company entered into a Management Services Agreement with Westrock Group, LLC (“Westrock Group”), whose controlling manager and controlling member, Greenbrier Holdings, 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Condensed Consolidated Statements of Operations. The Company recognized $0.6 million and $0.8 million of such expenses during the three months ended March 31, 2023 and 2022, respectively. In addition, the Company reimburses Westrock Group for the usage of a corporate aircraft, and its portion of shared office space. For</w:t>
      </w:r>
    </w:p>
    <w:p>
      <w:pPr>
        <w:spacing w:after="0" w:line="1"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the three months ended March 31, 2023 and 2022, the Company recognized expenses of $0.3 million and $0.3 million, respectively, for such items, which are recorded in selling, general and administrative expenses in our Condensed Consolidated Statements of Operations. At March 31, 2023 and December 31, 2022, we had no amounts payable to Westrock Group.</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22. Subsequent Events</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On April 3, 2023, the Company purchased the 15% of Falcon that it did not previously own, resulting in Falcon becoming a wholly-owned subsidiary of the Company. Aggregate consideration paid for the interest totaled $3.2 million and included $2.0 million in cash and 100,000 Common Shares. Due to the Company’s controlling financial interest in Falcon prior to the purchase, the transaction will be accounted for as an equity transaction.</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months ended March 31, 2023. This discussion should be read in conjunction with the accompanying Condensed Consolidated Financial Statements, and the notes thereto set forth in Part I, Item 1 of this Quarterly Report on Form 10-Q and our December 31, 2022 Audited Consolidated Financial Statements and notes thereto included in our Annual Report on Form 10-K filed with the U.S. Securities and Exchange Commission (“SEC”) on March 21, 2023.</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8"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operate our business in two segments: Beverage Solutions and Sustainable Sourcing &amp; Traceability (“SS&amp;T”).</w:t>
      </w:r>
    </w:p>
    <w:p>
      <w:pPr>
        <w:spacing w:after="0" w:line="237"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u w:val="single" w:color="auto"/>
          <w:color w:val="auto"/>
        </w:rPr>
        <w:t>Beverage Solutions</w:t>
      </w:r>
      <w:r>
        <w:rPr>
          <w:rFonts w:ascii="Arial" w:cs="Arial" w:eastAsia="Arial" w:hAnsi="Arial"/>
          <w:sz w:val="17"/>
          <w:szCs w:val="17"/>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7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We use Adjusted EBITDA to evaluate our performance, identify trends, formulate financial projections, and to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color w:val="auto"/>
        </w:rPr>
        <w:t>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8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define “EBITDA” as net (loss) income, as defined by GAAP, before interest expense, provision for income taxes and depreciation and amortization. We define “Adjusted EBITDA” as EBITDA before equity-based compensation expense and the impact, which may be recurring in nature, of acquisition,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7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spacing w:after="0" w:line="187"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reconciliation of our net loss to EBITDA and Adjusted EBITDA for the three months ended March 31, 2023 and 2022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40" w:type="dxa"/>
            <w:vAlign w:val="bottom"/>
            <w:gridSpan w:val="2"/>
            <w:vMerge w:val="restart"/>
          </w:tcPr>
          <w:p>
            <w:pPr>
              <w:ind w:left="20"/>
              <w:spacing w:after="0"/>
              <w:rPr>
                <w:sz w:val="20"/>
                <w:szCs w:val="20"/>
                <w:color w:val="auto"/>
              </w:rPr>
            </w:pPr>
            <w:r>
              <w:rPr>
                <w:rFonts w:ascii="Arial" w:cs="Arial" w:eastAsia="Arial" w:hAnsi="Arial"/>
                <w:sz w:val="18"/>
                <w:szCs w:val="18"/>
                <w:color w:val="auto"/>
              </w:rPr>
              <w:t>(Thousands)</w:t>
            </w: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0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0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Management and consulting fees (S&amp;D Coffee, Inc. acquisition)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Conway extract and ready-to-drink facility start-up costs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Beverage Solutions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Sustainable Sourcing &amp; Traceability</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9"/>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of Reportable Segments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47"/>
        </w:trPr>
        <w:tc>
          <w:tcPr>
            <w:tcW w:w="6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to Credit Agreement</w:t>
      </w:r>
    </w:p>
    <w:p>
      <w:pPr>
        <w:spacing w:after="0" w:line="225"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On February 14, 2023, the Company entered into an Incremental Assumption Agreement and Amendment No. 1 (the “Amendment”) to its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76"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interest rates under the Delayed Draw Term Loan Facility are the same as the interest rates with respect to the initial term loans under the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Quarterly Report on Form 10-Q, no borrowings have been made under the Delayed Draw Term Loan Facility.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Bixby Roasting Co.</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On February 28, 2023, the Company completed the acquisition of Bixby Roasting Co. (“Bixby”), a specialty-grade roaster that is a leader in the emerging influencer-led brand space. The acquisition allows Westrock to continue to expand its product marketing and development resources as it capitalizes on shifting consumer consumption trends. The acquisition includes Bixby’s roasting facility in Los Angeles, California.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Falcon Facility</w:t>
      </w:r>
    </w:p>
    <w:p>
      <w:pPr>
        <w:spacing w:after="0" w:line="22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March 21, 2023, the Company entered into a $70 million working capital trade finance facility with multiple financial institutions through its subsidiary, Falcon. The facility replaced Falcon’s then existing working capital trade finance facility. The new facility is uncommitted and repayable on demand, with certain of Falcon’s assets pledged as collateral against the facility. The new facility will mature one year from inception. Borrowings under the new facility will bear interest at the borrower’s option at a rate equal to (a) Term SOFR, as defined in the new facility, plus a margin of 4.00% plus a liquidity premium set by the lender at the time of borrowing or (b) the Base Rate (determined by reference to the greatest of (i) the Prime Rate, as defined in the new facility, at such time, (ii) one-half of 1.00% in excess of the Federal Funds Effective Rate, as defined in the new facility, at such time, and (iii) Term SOFR for a one-month tenor in effect at such time plus 1.00%). Falcon’s facility contains certain restrictive financial covenants which require Falcon to maintain certain levels of working capital, debt, and net worth. Falcon was in compliance with these financial covenants as of March 31, 2023.</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March 31, 2023 and 2022</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Three Months</w:t>
            </w:r>
          </w:p>
        </w:tc>
        <w:tc>
          <w:tcPr>
            <w:tcW w:w="8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of</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8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Arial" w:cs="Arial" w:eastAsia="Arial" w:hAnsi="Arial"/>
                <w:sz w:val="14"/>
                <w:szCs w:val="14"/>
                <w:color w:val="auto"/>
              </w:rPr>
              <w:t>(Thousands)</w:t>
            </w: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March 31, 2023</w:t>
            </w:r>
          </w:p>
        </w:tc>
        <w:tc>
          <w:tcPr>
            <w:tcW w:w="8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0"/>
              </w:rPr>
              <w:t>Revenues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 2022</w:t>
            </w:r>
          </w:p>
        </w:tc>
        <w:tc>
          <w:tcPr>
            <w:tcW w:w="8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205,442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Costs of sales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171,144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83.3 %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147,997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2,483</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41,662</w:t>
            </w:r>
          </w:p>
        </w:tc>
        <w:tc>
          <w:tcPr>
            <w:tcW w:w="1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37,649</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(7,364)</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6,029</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8,048</w:t>
            </w: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(5,529)</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6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6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Net (loss) income attributable to non-controlling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shareholders</w:t>
            </w: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6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Accretion of Series A Convertible Preferred Shares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Accumulating preferred dividends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(11,613)</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547"/>
        </w:trPr>
        <w:tc>
          <w:tcPr>
            <w:tcW w:w="4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table sets forth selected financial information of our reportable segments for the three months ended March 31, 2023 and 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Beverage</w:t>
            </w:r>
          </w:p>
        </w:tc>
        <w:tc>
          <w:tcPr>
            <w:tcW w:w="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Sustainable</w:t>
            </w:r>
          </w:p>
        </w:tc>
        <w:tc>
          <w:tcPr>
            <w:tcW w:w="4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Intersegment</w:t>
            </w: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Total of</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Sourcing &amp;</w:t>
            </w: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5"/>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Solutions</w:t>
            </w:r>
          </w:p>
        </w:tc>
        <w:tc>
          <w:tcPr>
            <w:tcW w:w="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Traceability</w:t>
            </w:r>
          </w:p>
        </w:tc>
        <w:tc>
          <w:tcPr>
            <w:tcW w:w="4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4"/>
                <w:szCs w:val="14"/>
                <w:b w:val="1"/>
                <w:bCs w:val="1"/>
                <w:color w:val="auto"/>
                <w:w w:val="96"/>
              </w:rPr>
              <w:t>Revenues</w:t>
            </w:r>
            <w:r>
              <w:rPr>
                <w:rFonts w:ascii="Arial" w:cs="Arial" w:eastAsia="Arial" w:hAnsi="Arial"/>
                <w:sz w:val="20"/>
                <w:szCs w:val="20"/>
                <w:b w:val="1"/>
                <w:bCs w:val="1"/>
                <w:color w:val="auto"/>
                <w:w w:val="96"/>
                <w:vertAlign w:val="superscript"/>
              </w:rPr>
              <w:t>(1)</w:t>
            </w:r>
          </w:p>
        </w:tc>
        <w:tc>
          <w:tcPr>
            <w:tcW w:w="8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Segments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51"/>
              <w:spacing w:after="0"/>
              <w:rPr>
                <w:sz w:val="20"/>
                <w:szCs w:val="20"/>
                <w:color w:val="auto"/>
              </w:rPr>
            </w:pPr>
            <w:r>
              <w:rPr>
                <w:rFonts w:ascii="Arial" w:cs="Arial" w:eastAsia="Arial" w:hAnsi="Arial"/>
                <w:sz w:val="18"/>
                <w:szCs w:val="18"/>
                <w:color w:val="auto"/>
              </w:rPr>
              <w:t>2023</w:t>
            </w:r>
          </w:p>
        </w:tc>
        <w:tc>
          <w:tcPr>
            <w:tcW w:w="2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$ 181,209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25,391</w:t>
            </w: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(1,158)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$ 205,442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rPr>
              <w:t>2022</w:t>
            </w:r>
          </w:p>
        </w:tc>
        <w:tc>
          <w:tcPr>
            <w:tcW w:w="2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47,772</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Costs of Sales: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rPr>
              <w:t>2023</w:t>
            </w:r>
          </w:p>
        </w:tc>
        <w:tc>
          <w:tcPr>
            <w:tcW w:w="2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51"/>
              <w:spacing w:after="0"/>
              <w:rPr>
                <w:sz w:val="20"/>
                <w:szCs w:val="20"/>
                <w:color w:val="auto"/>
              </w:rPr>
            </w:pPr>
            <w:r>
              <w:rPr>
                <w:rFonts w:ascii="Arial" w:cs="Arial" w:eastAsia="Arial" w:hAnsi="Arial"/>
                <w:sz w:val="18"/>
                <w:szCs w:val="18"/>
                <w:color w:val="auto"/>
              </w:rPr>
              <w:t>2022</w:t>
            </w:r>
          </w:p>
        </w:tc>
        <w:tc>
          <w:tcPr>
            <w:tcW w:w="2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114,446</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33,551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Gross Profit: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51"/>
              <w:spacing w:after="0"/>
              <w:rPr>
                <w:sz w:val="20"/>
                <w:szCs w:val="20"/>
                <w:color w:val="auto"/>
              </w:rPr>
            </w:pPr>
            <w:r>
              <w:rPr>
                <w:rFonts w:ascii="Arial" w:cs="Arial" w:eastAsia="Arial" w:hAnsi="Arial"/>
                <w:sz w:val="18"/>
                <w:szCs w:val="18"/>
                <w:color w:val="auto"/>
              </w:rPr>
              <w:t>2023</w:t>
            </w:r>
          </w:p>
        </w:tc>
        <w:tc>
          <w:tcPr>
            <w:tcW w:w="2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30,495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rPr>
              <w:t>2022</w:t>
            </w:r>
          </w:p>
        </w:tc>
        <w:tc>
          <w:tcPr>
            <w:tcW w:w="2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rPr>
              <w:t>2023</w:t>
            </w:r>
          </w:p>
        </w:tc>
        <w:tc>
          <w:tcPr>
            <w:tcW w:w="2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51"/>
              <w:spacing w:after="0"/>
              <w:rPr>
                <w:sz w:val="20"/>
                <w:szCs w:val="20"/>
                <w:color w:val="auto"/>
              </w:rPr>
            </w:pPr>
            <w:r>
              <w:rPr>
                <w:rFonts w:ascii="Arial" w:cs="Arial" w:eastAsia="Arial" w:hAnsi="Arial"/>
                <w:sz w:val="18"/>
                <w:szCs w:val="18"/>
                <w:color w:val="auto"/>
              </w:rPr>
              <w:t>2022</w:t>
            </w:r>
          </w:p>
        </w:tc>
        <w:tc>
          <w:tcPr>
            <w:tcW w:w="2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10,420</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 Margin: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51"/>
              <w:spacing w:after="0"/>
              <w:rPr>
                <w:sz w:val="20"/>
                <w:szCs w:val="20"/>
                <w:color w:val="auto"/>
              </w:rPr>
            </w:pPr>
            <w:r>
              <w:rPr>
                <w:rFonts w:ascii="Arial" w:cs="Arial" w:eastAsia="Arial" w:hAnsi="Arial"/>
                <w:sz w:val="18"/>
                <w:szCs w:val="18"/>
                <w:color w:val="auto"/>
              </w:rPr>
              <w:t>2023</w:t>
            </w:r>
          </w:p>
        </w:tc>
        <w:tc>
          <w:tcPr>
            <w:tcW w:w="23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4.6 %</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51"/>
              <w:spacing w:after="0"/>
              <w:rPr>
                <w:sz w:val="20"/>
                <w:szCs w:val="20"/>
                <w:color w:val="auto"/>
              </w:rPr>
            </w:pPr>
            <w:r>
              <w:rPr>
                <w:rFonts w:ascii="Arial" w:cs="Arial" w:eastAsia="Arial" w:hAnsi="Arial"/>
                <w:sz w:val="18"/>
                <w:szCs w:val="18"/>
                <w:color w:val="auto"/>
              </w:rPr>
              <w:t>2022</w:t>
            </w:r>
          </w:p>
        </w:tc>
        <w:tc>
          <w:tcPr>
            <w:tcW w:w="2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7.0 %</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2.6 %</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Net Sales from our Beverage Solutions segment were $181.2 million for the three months ended March 31, 2023, compared to $148.4 million for the three months ended March 31, 2022, an increase of approximately 22%. The increase was primarily due to a $24.7 million increase in the sale of coffee and tea products, driven by a 44% increase in single serve cup volumes, and increased pricing from the passthrough of higher underlying green coffee prices during the quarter, compared to the three months ended March 31, 2022.</w:t>
      </w:r>
    </w:p>
    <w:p>
      <w:pPr>
        <w:spacing w:after="0" w:line="188"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Net Sales from our SS&amp;T segment totaled $24.2 million, net of intersegment revenues, during the three months ended March 31, 2023, decreasing 36% compared to $38.1 million during the three months ended March 31, 2022. The decrease is driven by a decrease in sales volume, as a result of a decrease in customer demand, which decreased 57% for the three months ended March 31, 2023 compared to the three months ended March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In our Beverage Solutions segment, costs of sales increased to $150.7 million for the three months ended March 31, 2023, from $114.4 million for the three months ended March 31, 2022. The increase in costs of sales was driven by an increase in sales volume, specifically in single serve cups, and by inflationary increases in materials and production costs for the three months ended March 31, 2023 compared to the three months ended March 31, 2022.</w:t>
      </w:r>
    </w:p>
    <w:p>
      <w:pPr>
        <w:spacing w:after="0" w:line="171"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In our SS&amp;T segment, costs of sales decreased $13.1 million to $20.4 million for the three months ended March 31, 2023 compared to the three months ended March 31, 2022. This decrease is primarily due to a decrease in green coffee sales volume. Costs of sales for the three months ended March 31, 2023 included $1.2 million of net unrealized gains on forward sales and purchase contracts and mark-to-market adjustments on green coffee inventory compared to $1.1 million of net unrealized gains for the three months ended March 31, 2022.</w:t>
      </w:r>
    </w:p>
    <w:p>
      <w:pPr>
        <w:spacing w:after="0" w:line="392"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00" w:type="dxa"/>
            <w:vAlign w:val="bottom"/>
            <w:gridSpan w:val="7"/>
          </w:tcPr>
          <w:p>
            <w:pPr>
              <w:jc w:val="right"/>
              <w:ind w:right="99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5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76"/>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 of Segment</w:t>
            </w:r>
          </w:p>
        </w:tc>
        <w:tc>
          <w:tcPr>
            <w:tcW w:w="240" w:type="dxa"/>
            <w:vAlign w:val="bottom"/>
          </w:tcPr>
          <w:p>
            <w:pPr>
              <w:spacing w:after="0"/>
              <w:rPr>
                <w:sz w:val="10"/>
                <w:szCs w:val="10"/>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Revenues</w:t>
            </w: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$ 31,802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$ 32,258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Sustainable Sourcing &amp; Traceability</w:t>
            </w:r>
          </w:p>
        </w:tc>
        <w:tc>
          <w:tcPr>
            <w:tcW w:w="720" w:type="dxa"/>
            <w:vAlign w:val="bottom"/>
          </w:tcPr>
          <w:p>
            <w:pPr>
              <w:jc w:val="right"/>
              <w:spacing w:after="0"/>
              <w:rPr>
                <w:sz w:val="20"/>
                <w:szCs w:val="20"/>
                <w:color w:val="auto"/>
              </w:rPr>
            </w:pPr>
            <w:r>
              <w:rPr>
                <w:rFonts w:ascii="Arial" w:cs="Arial" w:eastAsia="Arial" w:hAnsi="Arial"/>
                <w:sz w:val="18"/>
                <w:szCs w:val="18"/>
                <w:color w:val="auto"/>
              </w:rPr>
              <w:t>2,320</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9.6 %</w:t>
            </w:r>
          </w:p>
        </w:tc>
        <w:tc>
          <w:tcPr>
            <w:tcW w:w="740" w:type="dxa"/>
            <w:vAlign w:val="bottom"/>
          </w:tcPr>
          <w:p>
            <w:pPr>
              <w:jc w:val="right"/>
              <w:spacing w:after="0"/>
              <w:rPr>
                <w:sz w:val="20"/>
                <w:szCs w:val="20"/>
                <w:color w:val="auto"/>
              </w:rPr>
            </w:pPr>
            <w:r>
              <w:rPr>
                <w:rFonts w:ascii="Arial" w:cs="Arial" w:eastAsia="Arial" w:hAnsi="Arial"/>
                <w:sz w:val="18"/>
                <w:szCs w:val="18"/>
                <w:color w:val="auto"/>
              </w:rPr>
              <w:t>2,803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selling, general and administrative expense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$ 34,122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$ 35,061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Total selling, general and administrative expenses in our Beverage Solutions segment decreased $0.5 million to $31.8 million for the three months ended March 31, 2023, compared to the three months ended March 31, 2022. The decrease is primarily due to a $1.3 million decrease in personnel-related expenses and a $1.3 million decrease in freight costs, partially offset by $1.7 million of SG&amp;A expenses related to the Kohana business, which was acquired in the fourth quarter of 2022. In our SS&amp;T segment, selling, general and administrative costs decreased $0.5 million due to a $0.2 million decrease in bad debt expense and a $0.1 million decrease in personnel-related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Acquisition, restructuring and integration expenses for the three months ended March 31, 2023 were $6.6 million, approximately $6.1 million of which related to the costs associated with the integration of our new enterprise resource planning system, including internal and external costs related to post go-live system support, and $0.5 million of which related to the acquisition of Bixby Roasting Co. During the three months ended March 31, 2022, we incurred $2.5 million of acquisition, restructuring and integration expenses, approximately $1.6 million related to public-company preparedness costs, and $0.6 million related to the integration of our new enterprise resource planning system.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vMerge w:val="restart"/>
          </w:tcPr>
          <w:p>
            <w:pPr>
              <w:spacing w:after="0"/>
              <w:rPr>
                <w:sz w:val="14"/>
                <w:szCs w:val="14"/>
                <w:color w:val="auto"/>
              </w:rPr>
            </w:pPr>
          </w:p>
        </w:tc>
        <w:tc>
          <w:tcPr>
            <w:tcW w:w="23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 loan facility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Prior term loan facility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Prior ABL facility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related party debt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Subordinated related party debt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trade finance lines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International notes payable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cash interest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Non-cash:</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Payments-in-kind interest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non-cash interest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expense,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Interest expense for the three months ended March 31, 2023 was $6.0 million compared to $8.0 million for the three months ended March 31, 2022. The decrease is primarily due to a decrease in the amount of outstanding term loans under the Term Loan Facility compared to the term loan facility that was in place during the prior year. Additionally, the interest rate applicable to our Term Loan Facility was 7.4% at March 31, 2023 compared to an interest rate of 9.75% on the term loan facility that was in place at March 31, 2022.</w:t>
      </w:r>
    </w:p>
    <w:p>
      <w:pPr>
        <w:spacing w:after="0" w:line="200" w:lineRule="exact"/>
        <w:rPr>
          <w:sz w:val="20"/>
          <w:szCs w:val="20"/>
          <w:color w:val="auto"/>
        </w:rPr>
      </w:pPr>
    </w:p>
    <w:p>
      <w:pPr>
        <w:spacing w:after="0" w:line="20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tax benefit for the three months ended March 31, 2023 was $4.4 million, resulting in an effective tax rate of</w:t>
      </w:r>
    </w:p>
    <w:p>
      <w:pPr>
        <w:spacing w:after="0" w:line="3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50.2%. The effective tax rate for the current period differs from the federal statutory rate primarily due to a change in the valuation allowance against domestic deferred tax assets and discrete items, including the windfall from the equity-based compensation awards. Income tax benefit for the three months ended March 31, 2022 was $1.6 million, resulting in an effective tax rate of 25.2%.</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4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57"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filed with the SEC on March 21, 2023. As of March 31, 2023, there have been no material changes to these estimates.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Revolving Credit Facility.</w:t>
      </w:r>
    </w:p>
    <w:p>
      <w:pPr>
        <w:spacing w:after="0" w:line="16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Our ability to generate cash provided by operating activities is dependent on several factors, including our ability to generate net sales and manage costs in-line with our expectations. Westrock’s net sales for the three months ended March 31, 2023 was approximately $205.4 million and was negatively affected by a decrease in green coffee sales volume, driven by a decrease in customer demand. Westrock’s cost of sales for the three months ended March 31, 2023 was approximately $171.1 million and was negatively impacted by an increase in green coffee, tea and liquid extracts costs, driven by higher single serve cup sales volumes and inflationary increases on materials costs. During the year ended December 31, 2022 and through the quarter ending March 31, 2022, we were and continue to be impacted by the negative effects of inflation on both our customer volume demand and manufacturing costs, including price increases in fuel, food, materials and labor. We attempt to mitigate the impacts of inflation wherever possible. Our mitigation strategies include working with our vendors and suppliers to ensure that we have adequate access to raw materials to reliably provide our customers with the high-quality products they expect. In addition,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 Failure to meet our financial targets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August 29, 2022, the Company entered into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$175.0 million Revolving Credit Facility and a $175.0 million Term Loan Facility. Proceeds from the Term Loan Facility were used for paying off existing indebtedness. On February 14, 2023, the Company entered into an Incremental Assumption Agreement and Amendment No. 1 (the “Amendment”) to its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spacing w:after="0" w:line="185"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The Credit Agreement matures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84"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Applicable Margin ranges from 1.50% to 2.50% for Adjusted Term SOFR loans and from 0.50% to 1.50% for Base Rate loans, in each case depending on the total net leverage ratio. Commitment fees on the daily unused amount of commitments under the Revolving Credit Facility range from 0.20% to 0.35% depending on the total net leverage ratio. At March 31, 2023, we had $55.0 million of outstanding borrowings under the Revolving Credit Facility, with a weighted average interest rate of 7.3%, and the interest rate applicable to our Term Loan Facility was 7.4%.</w:t>
      </w:r>
    </w:p>
    <w:p>
      <w:pPr>
        <w:spacing w:after="0" w:line="179"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interest rates under the Delayed Draw Term Loan Facility are the same as the interest rates with respect to the initial term loans under the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Quarterly Report on Form 10-Q, no borrowings have been made under the Delayed Draw Term Loan Facility.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Term Loan Facility requires quarterly principal payments during the first three years of approximately $2.2 million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(1.25% of the original principal balance). Quarterly payments increase to approximately $3.3 million and $4.4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(1.875% and 2.5% of the original principal balance) during the fourth and fifth years, respectively.</w:t>
      </w:r>
    </w:p>
    <w:p>
      <w:pPr>
        <w:spacing w:after="0" w:line="211"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We incurred $6.0 million of financing fees in connection with the Credit Agreement. $3.0 million of the fees were allocated to the Term Loan Facility and are being amortized utilizing the frozen effective yield method based on the interest rate in place at the issuance of the Term Loan Facility. $3.0 million of the fees were allocated to the Revolving Credit Facility, are reported within other long-term assets on the Condensed Consolidated Balance Sheets and are being amortized ratably over the term of the Revolving Credit Facility.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$2.6 million of standby letters of credit outstanding at March 31, 2023.</w:t>
      </w:r>
    </w:p>
    <w:p>
      <w:pPr>
        <w:spacing w:after="0" w:line="22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Credit Agreement contains two financial covenants requiring maintenance of a total net leverage ratio not to exceed 4.50 to 1.00, with a stepdown to 4.00 to 1.00 on the 18-month anniversary of the closing date of Credit Agreement (with an option to increase to 4.50 to 1.00 following certain permitted acquisitions), and an interest coverage ratio of at least 1.50 to 1.00 (the “Financial Covenants”). As of March 31, 2023, the Company was in compliance with the Financial Covenants.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Debt and Lending Facilities</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On March 21, 2023, the Company entered into a $70 million working capital trade finance facility with multiple financial institutions through its subsidiary, Falcon. The facility replaced Falcon’s then existing working capital trade finance facility. The new facility is uncommitted and repayable on demand, with certain of Falcon’s assets pledged as collateral against the facility. The new facility will mature one year from inception. Borrowings under the new facility will bear interest at the borrower’s option at a rate equal to (a) Term SOFR plus a margin of 4.00% plus a liquidity premium set by the lender at the time of borrowing or (b) the Base Rate (determined by reference to the greatest of (i) the Prime Rate at such time, (ii) one-half of 1.00% in excess of the Federal Funds Effective Rate at such time, and (iii) Term SOFR for a one-month tenor in effect at such time plus 1.00%). At March 31, 2023, there was $35.0 million of borrowings outstanding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March 31, 2023.</w:t>
      </w:r>
    </w:p>
    <w:p>
      <w:pPr>
        <w:spacing w:after="0" w:line="172"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color w:val="auto"/>
        </w:rPr>
        <w:t>Westrock Coffee International, LLC, through its subsidiary Rwanda Trading Company, maintains two mortgage-backed lending facilities with a local bank in Rwanda: (a) a short-term trade finance facility with a balance of $7.8 million at March 31, 2023 and (b) a long-term note payable with a balance of $1.5 million at March 31, 2023.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and Long-Term Liquidity</w:t>
      </w:r>
    </w:p>
    <w:p>
      <w:pPr>
        <w:spacing w:after="0" w:line="225"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Our liquidity needs are to fund operating expenses, meet debt service obligations, and fund both current and long-term investment activities, which include capital expenditures. We expect to use cash from operations and borrowings available under the Credit Agreement, as amended, to fund our near-term growth strategies, which include, (i) extending and enhancing product offerings through innovation, (ii) expanding our customer base, (iii) expanding geographically, (iv) funding accretive acquisitions, and (v) continuing to drive margin expansion.</w:t>
      </w:r>
    </w:p>
    <w:p>
      <w:pPr>
        <w:spacing w:after="0" w:line="176" w:lineRule="exact"/>
        <w:rPr>
          <w:sz w:val="20"/>
          <w:szCs w:val="20"/>
          <w:color w:val="auto"/>
        </w:rPr>
      </w:pPr>
    </w:p>
    <w:p>
      <w:pPr>
        <w:ind w:left="60" w:right="419"/>
        <w:spacing w:after="0" w:line="275" w:lineRule="auto"/>
        <w:rPr>
          <w:sz w:val="20"/>
          <w:szCs w:val="20"/>
          <w:color w:val="auto"/>
        </w:rPr>
      </w:pPr>
      <w:r>
        <w:rPr>
          <w:rFonts w:ascii="Arial" w:cs="Arial" w:eastAsia="Arial" w:hAnsi="Arial"/>
          <w:sz w:val="17"/>
          <w:szCs w:val="17"/>
          <w:color w:val="auto"/>
        </w:rPr>
        <w:t>A key component of our long-term growth strategy will be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 The Company expects to incur approximately $275.0 million of capital expenditures over the next three (3) years to complete the enhanced build-out of the facility.</w:t>
      </w:r>
    </w:p>
    <w:p>
      <w:pPr>
        <w:spacing w:after="0" w:line="176"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We believe cash from operations and available borrowings under our Revolving Credit Facility and Delayed Draw Down Term Loan Facility will provide sufficient cash on-hand to complete the build-out. However, the Company will continuously evaluate its liquidity needs, and may seek to opportunistically access additional liquidity, including through either the debt or equity capital markets. If it is determined that we have insufficient liquidity to fund the Conway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Proceeds</w:t>
      </w:r>
    </w:p>
    <w:p>
      <w:pPr>
        <w:spacing w:after="0" w:line="225"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As of March 31, 2023, we had 19,144,120 outstanding Warrants to purchase 19,144,120 Common Shares, exercisable at an exercise price of $11.50 per share,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Public Warrants under certain conditions, as described in their warrant agreement, are redeemable by the Company at a price of $0.01 per warrant or on a cashless basis. Our Private Placement Warrants are not redeemable so long as they are held by the Riverview Sponsor or its permitted transferees (except as otherwise set forth herein). As such, it is possible that we may never generate any or only very limited cash proceeds from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exercise of our Warrants.</w:t>
      </w:r>
    </w:p>
    <w:p>
      <w:pPr>
        <w:spacing w:after="0" w:line="225"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As of the date of this Report on Form 10-Q,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w:t>
      </w:r>
    </w:p>
    <w:p>
      <w:pPr>
        <w:spacing w:after="0" w:line="177" w:lineRule="exact"/>
        <w:rPr>
          <w:sz w:val="20"/>
          <w:szCs w:val="20"/>
          <w:color w:val="auto"/>
        </w:rPr>
      </w:pPr>
    </w:p>
    <w:p>
      <w:pPr>
        <w:jc w:val="both"/>
        <w:ind w:left="60" w:right="139"/>
        <w:spacing w:after="0" w:line="301" w:lineRule="auto"/>
        <w:rPr>
          <w:sz w:val="20"/>
          <w:szCs w:val="20"/>
          <w:color w:val="auto"/>
        </w:rPr>
      </w:pPr>
      <w:r>
        <w:rPr>
          <w:rFonts w:ascii="Arial" w:cs="Arial" w:eastAsia="Arial" w:hAnsi="Arial"/>
          <w:sz w:val="16"/>
          <w:szCs w:val="16"/>
          <w:color w:val="auto"/>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Redemptions of Series A Preferred Shares</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After February 26, 2028 (i.e. the five-and-half year anniversary of the Closing),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23,566,229 Series A Preferred Shares remain outstanding after February 26, 2028, we estimate an aggregate redemption payment of at least approximately $271.0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and Other Obligations</w:t>
      </w:r>
    </w:p>
    <w:p>
      <w:pPr>
        <w:spacing w:after="0" w:line="229"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color w:val="auto"/>
        </w:rPr>
        <w:t>Our material contractual and other obligations include the payment of principal and interest under our debt obligations and future purchase of inventory obligations. Our Term Loan Facility requires quarterly principal payments during the first three years of approximately $2.2 million (1.25% of the original principal balance). Quarterly payments increase to approximately $3.3 million and $4.4 million (1.875% and 2.5% of the original principal balance) during the fourth and fifth years, respectively. We have no other material obligations to pay principal amounts of our long-term debt obligations prior to their maturity.</w:t>
      </w:r>
    </w:p>
    <w:p>
      <w:pPr>
        <w:spacing w:after="0" w:line="19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Future purchase obligations of $278.4 million as of March 31, 2023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40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We have future obligations to repurchase $10.2 million of inventory associated with repurchase agreements in which the Company’s SS&amp;T segment has sold inventory to a third party and from whom the Company’s Beverage Solution segment has an obligation to repurchase.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categorize our capital expenditures as (i) growth, (ii) maintenance, (iii) customer beverage equipment or (iv) other.</w:t>
      </w:r>
    </w:p>
    <w:p>
      <w:pPr>
        <w:spacing w:after="0" w:line="237"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 expenditures for the three months ended March 31, 2023 and 2022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Customer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Growth</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Maintenance</w:t>
            </w:r>
          </w:p>
        </w:tc>
        <w:tc>
          <w:tcPr>
            <w:tcW w:w="16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Equipment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17,766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19,625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Three months ended March 31, 2022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6,781</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We expect to invest to expand our extract and ready-to-drink product manufacturing capacity in Conway, Arkansas, for which we currently expect to spend approximately $275 million over the next 3 years. As of March 31, 2023, approximately $40.0 million has been spent towards our Conway facility.</w:t>
      </w:r>
    </w:p>
    <w:p>
      <w:pPr>
        <w:spacing w:after="0" w:line="184"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219"/>
        <w:spacing w:after="0" w:line="342" w:lineRule="auto"/>
        <w:rPr>
          <w:sz w:val="20"/>
          <w:szCs w:val="20"/>
          <w:color w:val="auto"/>
        </w:rPr>
      </w:pPr>
      <w:r>
        <w:rPr>
          <w:rFonts w:ascii="Arial" w:cs="Arial" w:eastAsia="Arial" w:hAnsi="Arial"/>
          <w:sz w:val="16"/>
          <w:szCs w:val="16"/>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There have been no material changes in the market risks discussed in Item 7A “Quantitative and Qualitative Disclosures Regarding Market Risk” in our Annual Report on Form 10-K filed with the SEC on March 21,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60" w:right="499"/>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9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March 31, 2023, the end of the period covered by this Quarterly Report. Based on this evaluation, our Principal Executive Officer and Principal Financial Officer concluded that our disclosure controls and procedures were not effective as of March 31, 2023 due to the material weaknesses in our internal control over financial reporting, described below.</w:t>
      </w:r>
    </w:p>
    <w:p>
      <w:pPr>
        <w:spacing w:after="0" w:line="188"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However, after giving full consideration to the material weaknesses, 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March 31, 2023.</w:t>
      </w:r>
    </w:p>
    <w:p>
      <w:pPr>
        <w:spacing w:after="0" w:line="171"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spacing w:after="0" w:line="214" w:lineRule="exact"/>
        <w:rPr>
          <w:sz w:val="20"/>
          <w:szCs w:val="20"/>
          <w:color w:val="auto"/>
        </w:rPr>
      </w:pPr>
    </w:p>
    <w:p>
      <w:pPr>
        <w:ind w:left="720" w:right="199" w:hanging="319"/>
        <w:spacing w:after="0" w:line="270"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Westrock did not design and maintain effective controls over the period-end financial reporting process to achieve complete and accurate financial accounting, reporting and disclosures, including the presentation and classification of various accounts in the financial statements, which resulted in immaterial adjustments to product revenues; product costs of sales; selling, general and administrative expense; loss on disposal of property, plant and equipment; other (income) expense, net; accounts receivable, net, inventories; derivative assets, net; prepaid expenses and other current assets; property, plant, and equipment, net; goodwill; intangible assets, net; other long term assets; accounts payable; accrued expenses and other current liabilities and the cash flow presentation of debt payments and proceeds within financing activities within the consolidated financial statements as of and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179" w:hanging="319"/>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97" w:lineRule="exact"/>
        <w:rPr>
          <w:rFonts w:ascii="Arial" w:cs="Arial" w:eastAsia="Arial" w:hAnsi="Arial"/>
          <w:sz w:val="18"/>
          <w:szCs w:val="18"/>
          <w:color w:val="auto"/>
        </w:rPr>
      </w:pPr>
    </w:p>
    <w:p>
      <w:pPr>
        <w:ind w:left="720" w:right="119" w:hanging="319"/>
        <w:spacing w:after="0" w:line="267"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these deficiencies in the aggregate constitute a material weakness.</w:t>
      </w:r>
    </w:p>
    <w:p>
      <w:pPr>
        <w:spacing w:after="0" w:line="191"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Plans</w:t>
      </w:r>
    </w:p>
    <w:p>
      <w:pPr>
        <w:spacing w:after="0" w:line="2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Westrock has taken and is taking certain measures to remediate the material weaknesses described above, including the following:</w:t>
      </w:r>
    </w:p>
    <w:p>
      <w:pPr>
        <w:spacing w:after="0" w:line="170" w:lineRule="exact"/>
        <w:rPr>
          <w:sz w:val="20"/>
          <w:szCs w:val="20"/>
          <w:color w:val="auto"/>
        </w:rPr>
      </w:pPr>
    </w:p>
    <w:p>
      <w:pPr>
        <w:ind w:left="720" w:right="79" w:hanging="319"/>
        <w:spacing w:after="0" w:line="27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Hiring additional accounting and IT personnel, including a new chief accounting officer hired in May 2021, a new technical accounting resource hired in April 2022, a new IT compliance resource hired in March 2023, and a new internal controls resource hired in April 2023 with the appropriate level of knowledge, training, and experience to improve our internal control over financial reporting and IT capabilities.</w:t>
      </w:r>
    </w:p>
    <w:p>
      <w:pPr>
        <w:spacing w:after="0" w:line="171" w:lineRule="exact"/>
        <w:rPr>
          <w:rFonts w:ascii="Arial" w:cs="Arial" w:eastAsia="Arial" w:hAnsi="Arial"/>
          <w:sz w:val="17"/>
          <w:szCs w:val="17"/>
          <w:color w:val="auto"/>
        </w:rPr>
      </w:pPr>
    </w:p>
    <w:p>
      <w:pPr>
        <w:ind w:left="720" w:right="199" w:hanging="319"/>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Developing and formalizing a risk assessment process across the organization to identify risks and design new controls or enhance existing controls responsive to such risks to ensure timely and accurate financial reporting.</w:t>
      </w:r>
    </w:p>
    <w:p>
      <w:pPr>
        <w:spacing w:after="0" w:line="137" w:lineRule="exact"/>
        <w:rPr>
          <w:rFonts w:ascii="Arial" w:cs="Arial" w:eastAsia="Arial" w:hAnsi="Arial"/>
          <w:sz w:val="16"/>
          <w:szCs w:val="16"/>
          <w:color w:val="auto"/>
        </w:rPr>
      </w:pPr>
    </w:p>
    <w:p>
      <w:pPr>
        <w:ind w:left="720" w:right="49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Engaged a third party to assist in designing and implementing controls related to period-end financial reporting, segregation of duties and IT general controls.</w:t>
      </w:r>
    </w:p>
    <w:p>
      <w:pPr>
        <w:spacing w:after="0" w:line="183" w:lineRule="exact"/>
        <w:rPr>
          <w:rFonts w:ascii="Arial" w:cs="Arial" w:eastAsia="Arial" w:hAnsi="Arial"/>
          <w:sz w:val="18"/>
          <w:szCs w:val="18"/>
          <w:color w:val="auto"/>
        </w:rPr>
      </w:pPr>
    </w:p>
    <w:p>
      <w:pPr>
        <w:ind w:left="720" w:right="539" w:hanging="319"/>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implementing controls to formalize roles and review responsibilities to align with Westrock’s team’s skills and experience and designing and implementing controls over segregation of duties.</w:t>
      </w:r>
    </w:p>
    <w:p>
      <w:pPr>
        <w:spacing w:after="0" w:line="197" w:lineRule="exact"/>
        <w:rPr>
          <w:rFonts w:ascii="Arial" w:cs="Arial" w:eastAsia="Arial" w:hAnsi="Arial"/>
          <w:sz w:val="18"/>
          <w:szCs w:val="18"/>
          <w:color w:val="auto"/>
        </w:rPr>
      </w:pPr>
    </w:p>
    <w:p>
      <w:pPr>
        <w:ind w:left="720" w:right="139" w:hanging="319"/>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implementing formal accounting procedures and controls supporting Westrock’s period-end financial reporting process, including controls over the preparation and review of account reconciliations and journal entries.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239" w:hanging="319"/>
        <w:spacing w:after="0" w:line="25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 (v) review of service organization reports and related end-user control considerations.</w:t>
      </w:r>
    </w:p>
    <w:p>
      <w:pPr>
        <w:spacing w:after="0" w:line="208" w:lineRule="exact"/>
        <w:rPr>
          <w:rFonts w:ascii="Arial" w:cs="Arial" w:eastAsia="Arial" w:hAnsi="Arial"/>
          <w:sz w:val="18"/>
          <w:szCs w:val="18"/>
          <w:color w:val="auto"/>
        </w:rPr>
      </w:pPr>
    </w:p>
    <w:p>
      <w:pPr>
        <w:ind w:left="720" w:right="199" w:hanging="319"/>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Designing and implementing IT general controls, including controls over change management, the review and update of user access rights and privileges, controls over batch jobs and data backups, and program development approvals and testing.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During the first quarter of 2023, we implemented new enterprise resource planning ("ERP") software, NetSuite, as part of a plan to integrate and upgrade our systems and processes. Additional implementation activities are expected to continue in phases throughout the year. This project is expected to improve the efficiency and effectiveness of financial and business transaction processes, as well as the underlying systems environment. While we expect NetSuite to strengthen our internal financial controls, there are inherent risks in implementing any new system. Management will continue to evaluate and monitor our internal controls over financial reporting as processes and procedures in each of the affected areas evolve.</w:t>
      </w:r>
    </w:p>
    <w:p>
      <w:pPr>
        <w:spacing w:after="0" w:line="164"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There were no other changes in our internal control over financial reporting, as such term is defined in Rules 13a-15(f) and 15d-15(f) under the Exchange Act,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There have been no material changes to the risk factors affecting our business that were described under Item 1A “Risk Factors” discussed in our Annual Report on Form 10-K filed with the SEC on March 21,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On February 28, 2023, the Company completed the acquisition of Bixby Roasting Co. (“Bixby”), a specialty-grade roaster that is a leader in the emerging influencer-led brand space. Aggregate consideration included the issuance of 39,778 shares of common stock of the Company, par value $0.01 per share (the “Company Common Shares”), and approximately $2.2 million in cash, subject to customary adjustments. The issuance of the Company Common Shares to the seller was not registered under the Securities Act of 1933, as amended (the “Securities Act”), and the Company Common Shares were issued in reliance upon the exemption provided in Section 4(a)(2) of the Securities Act, pursuant to the seller’s status as an “accredited investor,” as such term is defined in Rule 501 under the Securities Act.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The table below provides information regarding shares withheld from Westrock employees to satisfy minimum statutory tax withholding obligations arising from the vesting of restricted stock. The shares of common stock withheld to satisfy tax withholding obligations may be deemed purchases of such shares required to be disclosed pursuant to this Item 2.</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as</w:t>
            </w:r>
          </w:p>
        </w:tc>
        <w:tc>
          <w:tcPr>
            <w:tcW w:w="1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Shares that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Part of</w:t>
            </w:r>
          </w:p>
        </w:tc>
        <w:tc>
          <w:tcPr>
            <w:tcW w:w="1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May Yet Be</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1700" w:type="dxa"/>
            <w:vAlign w:val="bottom"/>
            <w:vMerge w:val="restart"/>
          </w:tcPr>
          <w:p>
            <w:pPr>
              <w:jc w:val="center"/>
              <w:ind w:left="558"/>
              <w:spacing w:after="0"/>
              <w:rPr>
                <w:sz w:val="20"/>
                <w:szCs w:val="20"/>
                <w:color w:val="auto"/>
              </w:rPr>
            </w:pPr>
            <w:r>
              <w:rPr>
                <w:rFonts w:ascii="Arial" w:cs="Arial" w:eastAsia="Arial" w:hAnsi="Arial"/>
                <w:sz w:val="14"/>
                <w:szCs w:val="14"/>
                <w:b w:val="1"/>
                <w:bCs w:val="1"/>
                <w:color w:val="auto"/>
                <w:w w:val="99"/>
              </w:rPr>
              <w:t>Total Number</w:t>
            </w:r>
          </w:p>
        </w:tc>
        <w:tc>
          <w:tcPr>
            <w:tcW w:w="16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Average Price</w:t>
            </w:r>
          </w:p>
        </w:tc>
        <w:tc>
          <w:tcPr>
            <w:tcW w:w="1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Publicly</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 the</w:t>
            </w:r>
          </w:p>
        </w:tc>
        <w:tc>
          <w:tcPr>
            <w:tcW w:w="0" w:type="dxa"/>
            <w:vAlign w:val="bottom"/>
          </w:tcPr>
          <w:p>
            <w:pPr>
              <w:spacing w:after="0"/>
              <w:rPr>
                <w:sz w:val="1"/>
                <w:szCs w:val="1"/>
                <w:color w:val="auto"/>
              </w:rPr>
            </w:pPr>
          </w:p>
        </w:tc>
      </w:tr>
      <w:tr>
        <w:trPr>
          <w:trHeight w:val="144"/>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tcPr>
          <w:p>
            <w:pPr>
              <w:jc w:val="center"/>
              <w:ind w:left="558"/>
              <w:spacing w:after="0" w:line="145" w:lineRule="exact"/>
              <w:rPr>
                <w:sz w:val="20"/>
                <w:szCs w:val="20"/>
                <w:color w:val="auto"/>
              </w:rPr>
            </w:pPr>
            <w:r>
              <w:rPr>
                <w:rFonts w:ascii="Arial" w:cs="Arial" w:eastAsia="Arial" w:hAnsi="Arial"/>
                <w:sz w:val="14"/>
                <w:szCs w:val="14"/>
                <w:b w:val="1"/>
                <w:bCs w:val="1"/>
                <w:color w:val="auto"/>
                <w:w w:val="97"/>
              </w:rPr>
              <w:t>of Shares</w:t>
            </w:r>
          </w:p>
        </w:tc>
        <w:tc>
          <w:tcPr>
            <w:tcW w:w="16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Paid per</w:t>
            </w:r>
          </w:p>
        </w:tc>
        <w:tc>
          <w:tcPr>
            <w:tcW w:w="1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Plans or</w:t>
            </w:r>
          </w:p>
        </w:tc>
        <w:tc>
          <w:tcPr>
            <w:tcW w:w="16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Plans or</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tcPr>
          <w:p>
            <w:pPr>
              <w:jc w:val="center"/>
              <w:ind w:left="538"/>
              <w:spacing w:after="0"/>
              <w:rPr>
                <w:sz w:val="20"/>
                <w:szCs w:val="20"/>
                <w:color w:val="auto"/>
              </w:rPr>
            </w:pPr>
            <w:r>
              <w:rPr>
                <w:rFonts w:ascii="Arial" w:cs="Arial" w:eastAsia="Arial" w:hAnsi="Arial"/>
                <w:sz w:val="14"/>
                <w:szCs w:val="14"/>
                <w:b w:val="1"/>
                <w:bCs w:val="1"/>
                <w:color w:val="auto"/>
                <w:w w:val="94"/>
              </w:rPr>
              <w:t>Purchased</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0"/>
              </w:rPr>
              <w:t>Share</w:t>
            </w:r>
            <w:r>
              <w:rPr>
                <w:rFonts w:ascii="Arial" w:cs="Arial" w:eastAsia="Arial" w:hAnsi="Arial"/>
                <w:sz w:val="20"/>
                <w:szCs w:val="20"/>
                <w:b w:val="1"/>
                <w:bCs w:val="1"/>
                <w:color w:val="auto"/>
                <w:w w:val="90"/>
                <w:vertAlign w:val="superscript"/>
              </w:rPr>
              <w:t>(1)</w:t>
            </w:r>
          </w:p>
        </w:tc>
        <w:tc>
          <w:tcPr>
            <w:tcW w:w="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Programs</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2023 to January 31, 2023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February 1, 2023 to February 28, 2023</w:t>
            </w:r>
          </w:p>
        </w:tc>
        <w:tc>
          <w:tcPr>
            <w:tcW w:w="1700" w:type="dxa"/>
            <w:vAlign w:val="bottom"/>
          </w:tcPr>
          <w:p>
            <w:pPr>
              <w:jc w:val="right"/>
              <w:spacing w:after="0"/>
              <w:rPr>
                <w:sz w:val="20"/>
                <w:szCs w:val="20"/>
                <w:color w:val="auto"/>
              </w:rPr>
            </w:pPr>
            <w:r>
              <w:rPr>
                <w:rFonts w:ascii="Arial" w:cs="Arial" w:eastAsia="Arial" w:hAnsi="Arial"/>
                <w:sz w:val="18"/>
                <w:szCs w:val="18"/>
                <w:color w:val="auto"/>
              </w:rPr>
              <w:t>49,404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$ 11.18</w:t>
            </w:r>
          </w:p>
        </w:tc>
        <w:tc>
          <w:tcPr>
            <w:tcW w:w="18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2023 to March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49,404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$ 11.18</w:t>
            </w:r>
          </w:p>
        </w:tc>
        <w:tc>
          <w:tcPr>
            <w:tcW w:w="180" w:type="dxa"/>
            <w:vAlign w:val="bottom"/>
          </w:tcPr>
          <w:p>
            <w:pPr>
              <w:spacing w:after="0"/>
              <w:rPr>
                <w:sz w:val="20"/>
                <w:szCs w:val="20"/>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hanging="10"/>
        <w:spacing w:after="0" w:line="232" w:lineRule="auto"/>
        <w:tabs>
          <w:tab w:leader="none" w:pos="249"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Exhibit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Index</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Incorporated by Reference</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80" w:type="dxa"/>
            <w:vAlign w:val="bottom"/>
          </w:tcPr>
          <w:p>
            <w:pPr>
              <w:spacing w:after="0"/>
              <w:rPr>
                <w:sz w:val="11"/>
                <w:szCs w:val="11"/>
                <w:color w:val="auto"/>
              </w:rPr>
            </w:pPr>
          </w:p>
        </w:tc>
        <w:tc>
          <w:tcPr>
            <w:tcW w:w="72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8"/>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File No.</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493"/>
        </w:trPr>
        <w:tc>
          <w:tcPr>
            <w:tcW w:w="7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3920" w:type="dxa"/>
            <w:vAlign w:val="bottom"/>
            <w:gridSpan w:val="20"/>
          </w:tcPr>
          <w:p>
            <w:pPr>
              <w:spacing w:after="0"/>
              <w:rPr>
                <w:rFonts w:ascii="Arial" w:cs="Arial" w:eastAsia="Arial" w:hAnsi="Arial"/>
                <w:sz w:val="18"/>
                <w:szCs w:val="18"/>
                <w:color w:val="0000EE"/>
              </w:rPr>
            </w:pPr>
            <w:hyperlink r:id="rId57">
              <w:r>
                <w:rPr>
                  <w:rFonts w:ascii="Arial" w:cs="Arial" w:eastAsia="Arial" w:hAnsi="Arial"/>
                  <w:sz w:val="18"/>
                  <w:szCs w:val="18"/>
                  <w:color w:val="0000EE"/>
                </w:rPr>
                <w:t>Certificate of Incorporation of Westrock Coffee</w:t>
              </w:r>
            </w:hyperlink>
          </w:p>
        </w:tc>
        <w:tc>
          <w:tcPr>
            <w:tcW w:w="4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001-</w:t>
            </w:r>
          </w:p>
        </w:tc>
        <w:tc>
          <w:tcPr>
            <w:tcW w:w="880" w:type="dxa"/>
            <w:vAlign w:val="bottom"/>
            <w:gridSpan w:val="3"/>
          </w:tcPr>
          <w:p>
            <w:pPr>
              <w:jc w:val="center"/>
              <w:ind w:left="155"/>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August 29,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Company</w:t>
              </w:r>
            </w:hyperlink>
          </w:p>
        </w:tc>
        <w:tc>
          <w:tcPr>
            <w:tcW w:w="50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41485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3920" w:type="dxa"/>
            <w:vAlign w:val="bottom"/>
            <w:gridSpan w:val="20"/>
          </w:tcPr>
          <w:p>
            <w:pPr>
              <w:spacing w:after="0"/>
              <w:rPr>
                <w:rFonts w:ascii="Arial" w:cs="Arial" w:eastAsia="Arial" w:hAnsi="Arial"/>
                <w:sz w:val="18"/>
                <w:szCs w:val="18"/>
                <w:color w:val="0000EE"/>
              </w:rPr>
            </w:pPr>
            <w:hyperlink r:id="rId58">
              <w:r>
                <w:rPr>
                  <w:rFonts w:ascii="Arial" w:cs="Arial" w:eastAsia="Arial" w:hAnsi="Arial"/>
                  <w:sz w:val="18"/>
                  <w:szCs w:val="18"/>
                  <w:color w:val="0000EE"/>
                </w:rPr>
                <w:t>Bylaws of Westrock Coffee Company</w:t>
              </w:r>
            </w:hyperlink>
          </w:p>
        </w:tc>
        <w:tc>
          <w:tcPr>
            <w:tcW w:w="4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001-</w:t>
            </w:r>
          </w:p>
        </w:tc>
        <w:tc>
          <w:tcPr>
            <w:tcW w:w="880" w:type="dxa"/>
            <w:vAlign w:val="bottom"/>
            <w:gridSpan w:val="3"/>
          </w:tcPr>
          <w:p>
            <w:pPr>
              <w:jc w:val="center"/>
              <w:ind w:left="155"/>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August 29,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41485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3820" w:type="dxa"/>
            <w:vAlign w:val="bottom"/>
            <w:tcBorders>
              <w:bottom w:val="single" w:sz="8" w:color="0000EE"/>
            </w:tcBorders>
            <w:gridSpan w:val="18"/>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Incremental Assumption Agreement and Amendment</w:t>
              </w:r>
            </w:hyperlink>
          </w:p>
        </w:tc>
        <w:tc>
          <w:tcPr>
            <w:tcW w:w="100" w:type="dxa"/>
            <w:vAlign w:val="bottom"/>
            <w:gridSpan w:val="2"/>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001-</w:t>
            </w:r>
          </w:p>
        </w:tc>
        <w:tc>
          <w:tcPr>
            <w:tcW w:w="88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February 14,</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No. 1, dated as of February 14, 2023, among</w:t>
              </w:r>
            </w:hyperlink>
          </w:p>
        </w:tc>
        <w:tc>
          <w:tcPr>
            <w:tcW w:w="420" w:type="dxa"/>
            <w:vAlign w:val="bottom"/>
          </w:tcPr>
          <w:p>
            <w:pPr>
              <w:spacing w:after="0"/>
              <w:rPr>
                <w:sz w:val="17"/>
                <w:szCs w:val="17"/>
                <w:color w:val="auto"/>
              </w:rPr>
            </w:pPr>
          </w:p>
        </w:tc>
        <w:tc>
          <w:tcPr>
            <w:tcW w:w="78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41485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Westrock Beverage Solutions, LLC, as the borrower,</w:t>
              </w:r>
            </w:hyperlink>
          </w:p>
        </w:tc>
        <w:tc>
          <w:tcPr>
            <w:tcW w:w="1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rFonts w:ascii="Arial" w:cs="Arial" w:eastAsia="Arial" w:hAnsi="Arial"/>
                <w:sz w:val="18"/>
                <w:szCs w:val="18"/>
                <w:color w:val="0000EE"/>
                <w:w w:val="98"/>
              </w:rPr>
            </w:pPr>
            <w:hyperlink r:id="rId59">
              <w:r>
                <w:rPr>
                  <w:rFonts w:ascii="Arial" w:cs="Arial" w:eastAsia="Arial" w:hAnsi="Arial"/>
                  <w:sz w:val="18"/>
                  <w:szCs w:val="18"/>
                  <w:color w:val="0000EE"/>
                  <w:w w:val="98"/>
                </w:rPr>
                <w:t>Westrock Coffee Company, as holdings, the other</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guarantors party thereto, the Amendment No. 1</w:t>
              </w:r>
            </w:hyperlink>
          </w:p>
        </w:tc>
        <w:tc>
          <w:tcPr>
            <w:tcW w:w="180" w:type="dxa"/>
            <w:vAlign w:val="bottom"/>
            <w:tcBorders>
              <w:top w:val="single" w:sz="8" w:color="0000EE"/>
            </w:tcBorders>
            <w:gridSpan w:val="4"/>
          </w:tcPr>
          <w:p>
            <w:pPr>
              <w:spacing w:after="0"/>
              <w:rPr>
                <w:sz w:val="17"/>
                <w:szCs w:val="17"/>
                <w:color w:val="auto"/>
              </w:rPr>
            </w:pPr>
          </w:p>
        </w:tc>
        <w:tc>
          <w:tcPr>
            <w:tcW w:w="3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delayed draw term loan lenders, the lenders party</w:t>
              </w:r>
            </w:hyperlink>
          </w:p>
        </w:tc>
        <w:tc>
          <w:tcPr>
            <w:tcW w:w="36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thereto and Wells Fargo Bank, N.A., as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administrative agent.</w:t>
              </w:r>
            </w:hyperlink>
          </w:p>
        </w:tc>
        <w:tc>
          <w:tcPr>
            <w:tcW w:w="1240" w:type="dxa"/>
            <w:vAlign w:val="bottom"/>
            <w:tcBorders>
              <w:top w:val="single" w:sz="8" w:color="0000EE"/>
            </w:tcBorders>
            <w:gridSpan w:val="2"/>
          </w:tcPr>
          <w:p>
            <w:pPr>
              <w:spacing w:after="0"/>
              <w:rPr>
                <w:sz w:val="17"/>
                <w:szCs w:val="17"/>
                <w:color w:val="auto"/>
              </w:rPr>
            </w:pPr>
          </w:p>
        </w:tc>
        <w:tc>
          <w:tcPr>
            <w:tcW w:w="114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36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Chief Executive Officer—Certification pursuant to</w:t>
            </w:r>
          </w:p>
        </w:tc>
        <w:tc>
          <w:tcPr>
            <w:tcW w:w="2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7"/>
              </w:rPr>
              <w:t>Rule 13a-14(a) or Rule 15d-14(a) of the Securities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Exchange Act of 1934, as adopted pursuant to</w:t>
            </w:r>
          </w:p>
        </w:tc>
        <w:tc>
          <w:tcPr>
            <w:tcW w:w="300" w:type="dxa"/>
            <w:vAlign w:val="bottom"/>
            <w:tcBorders>
              <w:top w:val="single" w:sz="8" w:color="0000EE"/>
            </w:tcBorders>
            <w:gridSpan w:val="7"/>
          </w:tcPr>
          <w:p>
            <w:pPr>
              <w:spacing w:after="0"/>
              <w:rPr>
                <w:sz w:val="17"/>
                <w:szCs w:val="17"/>
                <w:color w:val="auto"/>
              </w:rPr>
            </w:pPr>
          </w:p>
        </w:tc>
        <w:tc>
          <w:tcPr>
            <w:tcW w:w="28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46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36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3"/>
              </w:rPr>
              <w:t>Chief Financial Officer—Certification pursuant to</w:t>
            </w:r>
          </w:p>
        </w:tc>
        <w:tc>
          <w:tcPr>
            <w:tcW w:w="2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7"/>
              </w:rPr>
              <w:t>Rule 13a-14(a) or Rule 15d-14(a) of the Securities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Exchange Act of 1934, as adopted pursuant to</w:t>
            </w:r>
          </w:p>
        </w:tc>
        <w:tc>
          <w:tcPr>
            <w:tcW w:w="300" w:type="dxa"/>
            <w:vAlign w:val="bottom"/>
            <w:tcBorders>
              <w:top w:val="single" w:sz="8" w:color="0000EE"/>
            </w:tcBorders>
            <w:gridSpan w:val="7"/>
          </w:tcPr>
          <w:p>
            <w:pPr>
              <w:spacing w:after="0"/>
              <w:rPr>
                <w:sz w:val="17"/>
                <w:szCs w:val="17"/>
                <w:color w:val="auto"/>
              </w:rPr>
            </w:pPr>
          </w:p>
        </w:tc>
        <w:tc>
          <w:tcPr>
            <w:tcW w:w="28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46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4"/>
                <w:szCs w:val="24"/>
                <w:color w:val="auto"/>
              </w:rPr>
            </w:pPr>
          </w:p>
        </w:tc>
        <w:tc>
          <w:tcPr>
            <w:tcW w:w="36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Chief Executive Officer—Certification pursuant to</w:t>
            </w:r>
          </w:p>
        </w:tc>
        <w:tc>
          <w:tcPr>
            <w:tcW w:w="26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8"/>
              </w:rPr>
              <w:t>Rule13a-14(b) or Rule 15d-14(b) of the Securities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4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5"/>
              </w:rPr>
              <w:t>Exchange Act of 1934 and 18 U.S.C. Section 1350,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80" w:type="dxa"/>
            <w:vAlign w:val="bottom"/>
            <w:gridSpan w:val="1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2"/>
              </w:rPr>
              <w:t>as adopted pursuant to Section 906 of the Sarbanes-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238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24"/>
                <w:szCs w:val="24"/>
                <w:color w:val="auto"/>
              </w:rPr>
            </w:pPr>
          </w:p>
        </w:tc>
        <w:tc>
          <w:tcPr>
            <w:tcW w:w="36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3"/>
              </w:rPr>
              <w:t>Chief Financial Officer—Certification pursuant to</w:t>
            </w:r>
          </w:p>
        </w:tc>
        <w:tc>
          <w:tcPr>
            <w:tcW w:w="2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7"/>
              </w:rPr>
              <w:t>Rule 13a-14(b) or Rule 15d-14(b) of the Securities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gridSpan w:val="15"/>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5"/>
              </w:rPr>
              <w:t>Exchange Act of 1934 and 18 U.S.C. Section 1350,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gridSpan w:val="15"/>
            <w:shd w:val="clear" w:color="auto" w:fill="0000EE"/>
          </w:tcPr>
          <w:p>
            <w:pPr>
              <w:spacing w:after="0" w:line="20" w:lineRule="exact"/>
              <w:rPr>
                <w:sz w:val="1"/>
                <w:szCs w:val="1"/>
                <w:color w:val="auto"/>
              </w:rPr>
            </w:pPr>
          </w:p>
        </w:tc>
        <w:tc>
          <w:tcPr>
            <w:tcW w:w="260" w:type="dxa"/>
            <w:vAlign w:val="bottom"/>
            <w:tcBorders>
              <w:left w:val="single" w:sz="8" w:color="0000EE"/>
            </w:tcBorders>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gridSpan w:val="20"/>
          </w:tcPr>
          <w:p>
            <w:pPr>
              <w:spacing w:after="0" w:line="196" w:lineRule="exact"/>
              <w:rPr>
                <w:sz w:val="20"/>
                <w:szCs w:val="20"/>
                <w:color w:val="auto"/>
              </w:rPr>
            </w:pPr>
            <w:r>
              <w:rPr>
                <w:rFonts w:ascii="Arial" w:cs="Arial" w:eastAsia="Arial" w:hAnsi="Arial"/>
                <w:sz w:val="18"/>
                <w:szCs w:val="18"/>
                <w:color w:val="0000EE"/>
                <w:w w:val="92"/>
              </w:rPr>
              <w:t>as adopted pursuant to Section 906 of the Sarbanes-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238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80" w:type="dxa"/>
            <w:vAlign w:val="bottom"/>
          </w:tcPr>
          <w:p>
            <w:pPr>
              <w:spacing w:after="0"/>
              <w:rPr>
                <w:sz w:val="24"/>
                <w:szCs w:val="24"/>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w w:val="96"/>
              </w:rPr>
              <w:t>XBRL Instance Document - the instance document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w w:val="93"/>
              </w:rPr>
              <w:t>does not appear in the Interactive Data File because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rPr>
              <w:t>its XBRL tags are embedded within the Inline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rPr>
              <w:t>XBRL document.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80" w:type="dxa"/>
            <w:vAlign w:val="bottom"/>
          </w:tcPr>
          <w:p>
            <w:pPr>
              <w:spacing w:after="0"/>
              <w:rPr>
                <w:sz w:val="24"/>
                <w:szCs w:val="24"/>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80" w:type="dxa"/>
            <w:vAlign w:val="bottom"/>
          </w:tcPr>
          <w:p>
            <w:pPr>
              <w:spacing w:after="0"/>
              <w:rPr>
                <w:sz w:val="24"/>
                <w:szCs w:val="24"/>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w w:val="97"/>
              </w:rPr>
              <w:t>XBRL Taxonomy Calculation Linkbase Document.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80" w:type="dxa"/>
            <w:vAlign w:val="bottom"/>
          </w:tcPr>
          <w:p>
            <w:pPr>
              <w:spacing w:after="0"/>
              <w:rPr>
                <w:sz w:val="24"/>
                <w:szCs w:val="24"/>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rPr>
              <w:t>XBRL Definition Linkbase Document.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80" w:type="dxa"/>
            <w:vAlign w:val="bottom"/>
          </w:tcPr>
          <w:p>
            <w:pPr>
              <w:spacing w:after="0"/>
              <w:rPr>
                <w:sz w:val="24"/>
                <w:szCs w:val="24"/>
                <w:color w:val="auto"/>
              </w:rPr>
            </w:pPr>
          </w:p>
        </w:tc>
        <w:tc>
          <w:tcPr>
            <w:tcW w:w="3920" w:type="dxa"/>
            <w:vAlign w:val="bottom"/>
            <w:gridSpan w:val="20"/>
          </w:tcPr>
          <w:p>
            <w:pPr>
              <w:spacing w:after="0"/>
              <w:rPr>
                <w:sz w:val="20"/>
                <w:szCs w:val="20"/>
                <w:color w:val="auto"/>
              </w:rPr>
            </w:pPr>
            <w:r>
              <w:rPr>
                <w:rFonts w:ascii="Arial" w:cs="Arial" w:eastAsia="Arial" w:hAnsi="Arial"/>
                <w:sz w:val="18"/>
                <w:szCs w:val="18"/>
                <w:color w:val="auto"/>
              </w:rPr>
              <w:t>XBRL Taxonomy Label Linkbase Document.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3"/>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547"/>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100"/>
        <w:spacing w:after="0"/>
        <w:tabs>
          <w:tab w:leader="none" w:pos="8840" w:val="left"/>
        </w:tabs>
        <w:rPr>
          <w:sz w:val="20"/>
          <w:szCs w:val="20"/>
          <w:color w:val="auto"/>
        </w:rPr>
      </w:pPr>
      <w:r>
        <w:rPr>
          <w:rFonts w:ascii="Arial" w:cs="Arial" w:eastAsia="Arial" w:hAnsi="Arial"/>
          <w:sz w:val="18"/>
          <w:szCs w:val="18"/>
          <w:color w:val="auto"/>
        </w:rPr>
        <w:t>101.PRE  XBRL Taxonomy Presentation Linkbase Document.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880" w:right="4459" w:hanging="600"/>
        <w:spacing w:after="0" w:line="279" w:lineRule="auto"/>
        <w:tabs>
          <w:tab w:leader="none" w:pos="8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Cover Page Interactive Data File – The Cover page interactive data file does not appear in the Interactive Data File because its XBRL tags are embedded within the Inline XBRL document</w:t>
      </w:r>
    </w:p>
    <w:p>
      <w:pPr>
        <w:spacing w:after="0" w:line="171"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360" w:hanging="310"/>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3"/>
          </w:tcPr>
          <w:p>
            <w:pPr>
              <w:ind w:left="1500"/>
              <w:spacing w:after="0"/>
              <w:rPr>
                <w:sz w:val="20"/>
                <w:szCs w:val="20"/>
                <w:color w:val="auto"/>
              </w:rPr>
            </w:pPr>
            <w:r>
              <w:rPr>
                <w:rFonts w:ascii="Arial" w:cs="Arial" w:eastAsia="Arial" w:hAnsi="Arial"/>
                <w:sz w:val="18"/>
                <w:szCs w:val="18"/>
                <w:b w:val="1"/>
                <w:bCs w:val="1"/>
                <w:color w:val="auto"/>
              </w:rPr>
              <w:t>Westrock Coffee Company</w:t>
            </w: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0"/>
                <w:szCs w:val="20"/>
                <w:color w:val="auto"/>
              </w:rPr>
            </w:pPr>
            <w:r>
              <w:rPr>
                <w:rFonts w:ascii="Arial" w:cs="Arial" w:eastAsia="Arial" w:hAnsi="Arial"/>
                <w:sz w:val="18"/>
                <w:szCs w:val="18"/>
                <w:color w:val="auto"/>
              </w:rPr>
              <w:t>Date: May 11, 2023</w:t>
            </w:r>
          </w:p>
        </w:tc>
        <w:tc>
          <w:tcPr>
            <w:tcW w:w="2040" w:type="dxa"/>
            <w:vAlign w:val="bottom"/>
          </w:tcPr>
          <w:p>
            <w:pPr>
              <w:ind w:left="150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2"/>
                <w:szCs w:val="22"/>
                <w:color w:val="auto"/>
              </w:rPr>
            </w:pPr>
          </w:p>
        </w:tc>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T. Christopher Pledger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040" w:type="dxa"/>
            <w:vAlign w:val="bottom"/>
          </w:tcPr>
          <w:p>
            <w:pPr>
              <w:ind w:left="150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 Christopher Pledger</w:t>
            </w:r>
          </w:p>
        </w:tc>
        <w:tc>
          <w:tcPr>
            <w:tcW w:w="0" w:type="dxa"/>
            <w:vAlign w:val="bottom"/>
          </w:tcPr>
          <w:p>
            <w:pPr>
              <w:spacing w:after="0"/>
              <w:rPr>
                <w:sz w:val="1"/>
                <w:szCs w:val="1"/>
                <w:color w:val="auto"/>
              </w:rPr>
            </w:pPr>
          </w:p>
        </w:tc>
      </w:tr>
      <w:tr>
        <w:trPr>
          <w:trHeight w:val="242"/>
        </w:trPr>
        <w:tc>
          <w:tcPr>
            <w:tcW w:w="2940" w:type="dxa"/>
            <w:vAlign w:val="bottom"/>
          </w:tcPr>
          <w:p>
            <w:pPr>
              <w:spacing w:after="0"/>
              <w:rPr>
                <w:sz w:val="21"/>
                <w:szCs w:val="21"/>
                <w:color w:val="auto"/>
              </w:rPr>
            </w:pPr>
          </w:p>
        </w:tc>
        <w:tc>
          <w:tcPr>
            <w:tcW w:w="2040" w:type="dxa"/>
            <w:vAlign w:val="bottom"/>
          </w:tcPr>
          <w:p>
            <w:pPr>
              <w:ind w:left="150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86"/>
        </w:trPr>
        <w:tc>
          <w:tcPr>
            <w:tcW w:w="2940" w:type="dxa"/>
            <w:vAlign w:val="bottom"/>
          </w:tcPr>
          <w:p>
            <w:pPr>
              <w:spacing w:after="0"/>
              <w:rPr>
                <w:sz w:val="20"/>
                <w:szCs w:val="20"/>
                <w:color w:val="auto"/>
              </w:rPr>
            </w:pPr>
            <w:r>
              <w:rPr>
                <w:rFonts w:ascii="Arial" w:cs="Arial" w:eastAsia="Arial" w:hAnsi="Arial"/>
                <w:sz w:val="18"/>
                <w:szCs w:val="18"/>
                <w:color w:val="auto"/>
              </w:rPr>
              <w:t>Date: May 11, 2023</w:t>
            </w:r>
          </w:p>
        </w:tc>
        <w:tc>
          <w:tcPr>
            <w:tcW w:w="2040" w:type="dxa"/>
            <w:vAlign w:val="bottom"/>
          </w:tcPr>
          <w:p>
            <w:pPr>
              <w:ind w:left="150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/s/ Blake Schuhmacher</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40" w:type="dxa"/>
            <w:vAlign w:val="bottom"/>
            <w:vMerge w:val="restart"/>
          </w:tcPr>
          <w:p>
            <w:pPr>
              <w:ind w:left="1500"/>
              <w:spacing w:after="0"/>
              <w:rPr>
                <w:sz w:val="20"/>
                <w:szCs w:val="20"/>
                <w:color w:val="auto"/>
              </w:rPr>
            </w:pPr>
            <w:r>
              <w:rPr>
                <w:rFonts w:ascii="Arial" w:cs="Arial" w:eastAsia="Arial" w:hAnsi="Arial"/>
                <w:sz w:val="18"/>
                <w:szCs w:val="18"/>
                <w:color w:val="auto"/>
                <w:w w:val="98"/>
              </w:rPr>
              <w:t>Name:</w:t>
            </w:r>
          </w:p>
        </w:tc>
        <w:tc>
          <w:tcPr>
            <w:tcW w:w="60" w:type="dxa"/>
            <w:vAlign w:val="bottom"/>
            <w:vMerge w:val="restart"/>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Blake Schuhmacher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040" w:type="dxa"/>
            <w:vAlign w:val="bottom"/>
          </w:tcPr>
          <w:p>
            <w:pPr>
              <w:ind w:left="150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w w:val="99"/>
              </w:rPr>
              <w:t>Senior Vice President – Chief Accounting Officer</w:t>
            </w:r>
          </w:p>
        </w:tc>
        <w:tc>
          <w:tcPr>
            <w:tcW w:w="0" w:type="dxa"/>
            <w:vAlign w:val="bottom"/>
          </w:tcPr>
          <w:p>
            <w:pPr>
              <w:spacing w:after="0"/>
              <w:rPr>
                <w:sz w:val="1"/>
                <w:szCs w:val="1"/>
                <w:color w:val="auto"/>
              </w:rPr>
            </w:pPr>
          </w:p>
        </w:tc>
      </w:tr>
      <w:tr>
        <w:trPr>
          <w:trHeight w:val="257"/>
        </w:trPr>
        <w:tc>
          <w:tcPr>
            <w:tcW w:w="29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50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25" w:lineRule="exact"/>
        <w:rPr>
          <w:rFonts w:ascii="Arial" w:cs="Arial" w:eastAsia="Arial" w:hAnsi="Arial"/>
          <w:sz w:val="18"/>
          <w:szCs w:val="18"/>
          <w:color w:val="auto"/>
        </w:rPr>
      </w:pPr>
    </w:p>
    <w:p>
      <w:pPr>
        <w:ind w:left="340" w:right="120" w:hanging="332"/>
        <w:spacing w:after="0" w:line="25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344"/>
        <w:spacing w:after="0" w:line="311"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1000" w:hanging="344"/>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right="180" w:hanging="324"/>
        <w:spacing w:after="0" w:line="263" w:lineRule="auto"/>
        <w:tabs>
          <w:tab w:leader="none" w:pos="9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hanging="324"/>
        <w:spacing w:after="0" w:line="303"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6"/>
          <w:szCs w:val="16"/>
          <w:color w:val="auto"/>
        </w:rPr>
      </w:pPr>
    </w:p>
    <w:p>
      <w:pPr>
        <w:ind w:left="340" w:right="1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120" w:hanging="324"/>
        <w:spacing w:after="0" w:line="256" w:lineRule="auto"/>
        <w:tabs>
          <w:tab w:leader="none" w:pos="96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980" w:right="54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T.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50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25" w:lineRule="exact"/>
        <w:rPr>
          <w:rFonts w:ascii="Arial" w:cs="Arial" w:eastAsia="Arial" w:hAnsi="Arial"/>
          <w:sz w:val="18"/>
          <w:szCs w:val="18"/>
          <w:color w:val="auto"/>
        </w:rPr>
      </w:pPr>
    </w:p>
    <w:p>
      <w:pPr>
        <w:ind w:left="340" w:right="12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344"/>
        <w:spacing w:after="0" w:line="311"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1000" w:hanging="344"/>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right="180" w:hanging="324"/>
        <w:spacing w:after="0" w:line="263"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hanging="324"/>
        <w:spacing w:after="0" w:line="303"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6"/>
          <w:szCs w:val="16"/>
          <w:color w:val="auto"/>
        </w:rPr>
      </w:pPr>
    </w:p>
    <w:p>
      <w:pPr>
        <w:ind w:left="340" w:right="12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120" w:hanging="324"/>
        <w:spacing w:after="0" w:line="256" w:lineRule="auto"/>
        <w:tabs>
          <w:tab w:leader="none" w:pos="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980" w:right="54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700" w:right="2700" w:firstLine="84"/>
        <w:spacing w:after="0" w:line="321" w:lineRule="auto"/>
        <w:tabs>
          <w:tab w:leader="none" w:pos="3017"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U.S.C. SECTION 1350, AS ADOPTED PURSUANT TO SECTION 906 OF THE SARBANES-OXLEY ACT OF 2002</w:t>
      </w:r>
    </w:p>
    <w:p>
      <w:pPr>
        <w:spacing w:after="0" w:line="14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March 31, 2023,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248" w:lineRule="exact"/>
        <w:rPr>
          <w:rFonts w:ascii="Arial" w:cs="Arial" w:eastAsia="Arial" w:hAnsi="Arial"/>
          <w:sz w:val="16"/>
          <w:szCs w:val="16"/>
          <w:color w:val="auto"/>
        </w:rPr>
      </w:pPr>
    </w:p>
    <w:p>
      <w:pPr>
        <w:ind w:left="660" w:right="7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943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T.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700" w:right="2700" w:firstLine="84"/>
        <w:spacing w:after="0" w:line="321" w:lineRule="auto"/>
        <w:tabs>
          <w:tab w:leader="none" w:pos="3017"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U.S.C. SECTION 1350, AS ADOPTED PURSUANT TO SECTION 906 OF THE SARBANES-OXLEY ACT OF 2002</w:t>
      </w:r>
    </w:p>
    <w:p>
      <w:pPr>
        <w:spacing w:after="0" w:line="14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March 31, 2023,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7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248" w:lineRule="exact"/>
        <w:rPr>
          <w:rFonts w:ascii="Arial" w:cs="Arial" w:eastAsia="Arial" w:hAnsi="Arial"/>
          <w:sz w:val="16"/>
          <w:szCs w:val="16"/>
          <w:color w:val="auto"/>
        </w:rPr>
      </w:pPr>
    </w:p>
    <w:p>
      <w:pPr>
        <w:ind w:left="660" w:right="7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943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Roman"/>
      <w:start w:val="10"/>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lvl w:ilvl="1">
      <w:lvlJc w:val="left"/>
      <w:lvlText w:val="%2"/>
      <w:numFmt w:val="decimal"/>
      <w:start w:val="104"/>
    </w:lvl>
  </w:abstractNum>
  <w:abstractNum w:abstractNumId="16">
    <w:nsid w:val="62BBD95A"/>
    <w:multiLevelType w:val="hybridMultilevel"/>
    <w:lvl w:ilvl="0">
      <w:lvlJc w:val="left"/>
      <w:lvlText w:val="**"/>
      <w:numFmt w:val="bullet"/>
      <w:start w:val="1"/>
    </w:lvl>
    <w:lvl w:ilvl="1">
      <w:lvlJc w:val="left"/>
      <w:lvlText w:val="%2"/>
      <w:numFmt w:val="decimal"/>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8"/>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8"/>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57" Type="http://schemas.openxmlformats.org/officeDocument/2006/relationships/hyperlink" Target="https://www.sec.gov/Archives/edgar/data/1806347/000155837022014048/west-20220630xex3d1.htm" TargetMode="External"/><Relationship Id="rId58" Type="http://schemas.openxmlformats.org/officeDocument/2006/relationships/hyperlink" Target="https://www.sec.gov/Archives/edgar/data/1806347/000155837022014048/west-20220630xex3d2.htm" TargetMode="External"/><Relationship Id="rId59" Type="http://schemas.openxmlformats.org/officeDocument/2006/relationships/hyperlink" Target="https://www.sec.gov/Archives/edgar/data/1806347/000110465923021756/tm23658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2023-05-11T16:42:10Z</dcterms:created>
  <dcterms:modified xsi:type="dcterms:W3CDTF">2023-05-11T16:42:10Z</dcterms:modified>
</cp:coreProperties>
</file>