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99060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04" w:lineRule="exact"/>
        <w:rPr>
          <w:sz w:val="24"/>
          <w:szCs w:val="24"/>
          <w:color w:val="auto"/>
        </w:rPr>
      </w:pPr>
    </w:p>
    <w:p>
      <w:pPr>
        <w:ind w:left="660" w:hanging="326"/>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82"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660" w:hanging="326"/>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For the transition period from _____ to _____.</w:t>
            </w:r>
          </w:p>
        </w:tc>
        <w:tc>
          <w:tcPr>
            <w:tcW w:w="3260" w:type="dxa"/>
            <w:vAlign w:val="bottom"/>
          </w:tcPr>
          <w:p>
            <w:pPr>
              <w:spacing w:after="0"/>
              <w:rPr>
                <w:sz w:val="16"/>
                <w:szCs w:val="16"/>
                <w:color w:val="auto"/>
              </w:rPr>
            </w:pPr>
          </w:p>
        </w:tc>
      </w:tr>
      <w:tr>
        <w:trPr>
          <w:trHeight w:val="243"/>
        </w:trPr>
        <w:tc>
          <w:tcPr>
            <w:tcW w:w="3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Commission File Number: 001-41485</w:t>
            </w:r>
          </w:p>
        </w:tc>
        <w:tc>
          <w:tcPr>
            <w:tcW w:w="3260" w:type="dxa"/>
            <w:vAlign w:val="bottom"/>
          </w:tcPr>
          <w:p>
            <w:pPr>
              <w:spacing w:after="0"/>
              <w:rPr>
                <w:sz w:val="21"/>
                <w:szCs w:val="21"/>
                <w:color w:val="auto"/>
              </w:rPr>
            </w:pPr>
          </w:p>
        </w:tc>
      </w:tr>
      <w:tr>
        <w:trPr>
          <w:trHeight w:val="174"/>
        </w:trPr>
        <w:tc>
          <w:tcPr>
            <w:tcW w:w="3840" w:type="dxa"/>
            <w:vAlign w:val="bottom"/>
            <w:gridSpan w:val="2"/>
          </w:tcPr>
          <w:p>
            <w:pPr>
              <w:spacing w:after="0"/>
              <w:rPr>
                <w:sz w:val="15"/>
                <w:szCs w:val="15"/>
                <w:color w:val="auto"/>
              </w:rPr>
            </w:pPr>
          </w:p>
        </w:tc>
        <w:tc>
          <w:tcPr>
            <w:tcW w:w="2560" w:type="dxa"/>
            <w:vAlign w:val="bottom"/>
            <w:tcBorders>
              <w:bottom w:val="single" w:sz="8" w:color="auto"/>
            </w:tcBorders>
            <w:gridSpan w:val="3"/>
          </w:tcPr>
          <w:p>
            <w:pPr>
              <w:spacing w:after="0"/>
              <w:rPr>
                <w:sz w:val="15"/>
                <w:szCs w:val="15"/>
                <w:color w:val="auto"/>
              </w:rPr>
            </w:pPr>
          </w:p>
        </w:tc>
        <w:tc>
          <w:tcPr>
            <w:tcW w:w="3840" w:type="dxa"/>
            <w:vAlign w:val="bottom"/>
            <w:gridSpan w:val="2"/>
          </w:tcPr>
          <w:p>
            <w:pPr>
              <w:spacing w:after="0"/>
              <w:rPr>
                <w:sz w:val="15"/>
                <w:szCs w:val="15"/>
                <w:color w:val="auto"/>
              </w:rPr>
            </w:pPr>
          </w:p>
        </w:tc>
      </w:tr>
      <w:tr>
        <w:trPr>
          <w:trHeight w:val="447"/>
        </w:trPr>
        <w:tc>
          <w:tcPr>
            <w:tcW w:w="10240" w:type="dxa"/>
            <w:vAlign w:val="bottom"/>
            <w:gridSpan w:val="7"/>
          </w:tcPr>
          <w:p>
            <w:pPr>
              <w:jc w:val="center"/>
              <w:spacing w:after="0"/>
              <w:rPr>
                <w:sz w:val="20"/>
                <w:szCs w:val="20"/>
                <w:color w:val="auto"/>
              </w:rPr>
            </w:pPr>
            <w:r>
              <w:rPr>
                <w:rFonts w:ascii="Arial" w:cs="Arial" w:eastAsia="Arial" w:hAnsi="Arial"/>
                <w:sz w:val="27"/>
                <w:szCs w:val="27"/>
                <w:b w:val="1"/>
                <w:bCs w:val="1"/>
                <w:color w:val="auto"/>
                <w:w w:val="99"/>
              </w:rPr>
              <w:t>WESTROCK COFFEE COMPANY</w:t>
            </w:r>
          </w:p>
        </w:tc>
      </w:tr>
      <w:tr>
        <w:trPr>
          <w:trHeight w:val="182"/>
        </w:trPr>
        <w:tc>
          <w:tcPr>
            <w:tcW w:w="3560" w:type="dxa"/>
            <w:vAlign w:val="bottom"/>
          </w:tcPr>
          <w:p>
            <w:pPr>
              <w:spacing w:after="0"/>
              <w:rPr>
                <w:sz w:val="15"/>
                <w:szCs w:val="15"/>
                <w:color w:val="auto"/>
              </w:rPr>
            </w:pPr>
          </w:p>
        </w:tc>
        <w:tc>
          <w:tcPr>
            <w:tcW w:w="342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(Exact Name of Registrant as Specified in Its Charter)</w:t>
            </w:r>
          </w:p>
        </w:tc>
        <w:tc>
          <w:tcPr>
            <w:tcW w:w="3260" w:type="dxa"/>
            <w:vAlign w:val="bottom"/>
          </w:tcPr>
          <w:p>
            <w:pPr>
              <w:spacing w:after="0"/>
              <w:rPr>
                <w:sz w:val="15"/>
                <w:szCs w:val="15"/>
                <w:color w:val="auto"/>
              </w:rPr>
            </w:pPr>
          </w:p>
        </w:tc>
      </w:tr>
      <w:tr>
        <w:trPr>
          <w:trHeight w:val="257"/>
        </w:trPr>
        <w:tc>
          <w:tcPr>
            <w:tcW w:w="3560" w:type="dxa"/>
            <w:vAlign w:val="bottom"/>
          </w:tcPr>
          <w:p>
            <w:pPr>
              <w:jc w:val="center"/>
              <w:ind w:left="1384"/>
              <w:spacing w:after="0"/>
              <w:rPr>
                <w:sz w:val="20"/>
                <w:szCs w:val="20"/>
                <w:color w:val="auto"/>
              </w:rPr>
            </w:pPr>
            <w:r>
              <w:rPr>
                <w:rFonts w:ascii="Arial" w:cs="Arial" w:eastAsia="Arial" w:hAnsi="Arial"/>
                <w:sz w:val="14"/>
                <w:szCs w:val="14"/>
                <w:b w:val="1"/>
                <w:bCs w:val="1"/>
                <w:color w:val="auto"/>
                <w:w w:val="94"/>
              </w:rPr>
              <w:t>Delaware</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60" w:type="dxa"/>
            <w:vAlign w:val="bottom"/>
          </w:tcPr>
          <w:p>
            <w:pPr>
              <w:jc w:val="right"/>
              <w:ind w:right="2091"/>
              <w:spacing w:after="0"/>
              <w:rPr>
                <w:sz w:val="20"/>
                <w:szCs w:val="20"/>
                <w:color w:val="auto"/>
              </w:rPr>
            </w:pPr>
            <w:r>
              <w:rPr>
                <w:rFonts w:ascii="Arial" w:cs="Arial" w:eastAsia="Arial" w:hAnsi="Arial"/>
                <w:sz w:val="14"/>
                <w:szCs w:val="14"/>
                <w:b w:val="1"/>
                <w:bCs w:val="1"/>
                <w:color w:val="auto"/>
              </w:rPr>
              <w:t>80-0977200</w:t>
            </w:r>
          </w:p>
        </w:tc>
      </w:tr>
      <w:tr>
        <w:trPr>
          <w:trHeight w:val="185"/>
        </w:trPr>
        <w:tc>
          <w:tcPr>
            <w:tcW w:w="3560" w:type="dxa"/>
            <w:vAlign w:val="bottom"/>
          </w:tcPr>
          <w:p>
            <w:pPr>
              <w:jc w:val="center"/>
              <w:ind w:left="1404"/>
              <w:spacing w:after="0"/>
              <w:rPr>
                <w:sz w:val="20"/>
                <w:szCs w:val="20"/>
                <w:color w:val="auto"/>
              </w:rPr>
            </w:pPr>
            <w:r>
              <w:rPr>
                <w:rFonts w:ascii="Arial" w:cs="Arial" w:eastAsia="Arial" w:hAnsi="Arial"/>
                <w:sz w:val="13"/>
                <w:szCs w:val="13"/>
                <w:color w:val="auto"/>
                <w:w w:val="89"/>
              </w:rPr>
              <w:t>(State or Other Jurisdiction of</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60" w:type="dxa"/>
            <w:vAlign w:val="bottom"/>
          </w:tcPr>
          <w:p>
            <w:pPr>
              <w:jc w:val="center"/>
              <w:ind w:right="1691"/>
              <w:spacing w:after="0"/>
              <w:rPr>
                <w:sz w:val="20"/>
                <w:szCs w:val="20"/>
                <w:color w:val="auto"/>
              </w:rPr>
            </w:pPr>
            <w:r>
              <w:rPr>
                <w:rFonts w:ascii="Arial" w:cs="Arial" w:eastAsia="Arial" w:hAnsi="Arial"/>
                <w:sz w:val="13"/>
                <w:szCs w:val="13"/>
                <w:color w:val="auto"/>
                <w:w w:val="90"/>
              </w:rPr>
              <w:t>(I.R.S. Employer</w:t>
            </w:r>
          </w:p>
        </w:tc>
      </w:tr>
      <w:tr>
        <w:trPr>
          <w:trHeight w:val="175"/>
        </w:trPr>
        <w:tc>
          <w:tcPr>
            <w:tcW w:w="3560" w:type="dxa"/>
            <w:vAlign w:val="bottom"/>
          </w:tcPr>
          <w:p>
            <w:pPr>
              <w:jc w:val="center"/>
              <w:ind w:left="1404"/>
              <w:spacing w:after="0"/>
              <w:rPr>
                <w:sz w:val="20"/>
                <w:szCs w:val="20"/>
                <w:color w:val="auto"/>
              </w:rPr>
            </w:pPr>
            <w:r>
              <w:rPr>
                <w:rFonts w:ascii="Arial" w:cs="Arial" w:eastAsia="Arial" w:hAnsi="Arial"/>
                <w:sz w:val="13"/>
                <w:szCs w:val="13"/>
                <w:color w:val="auto"/>
                <w:w w:val="90"/>
              </w:rPr>
              <w:t>Incorporation or Organization)</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60" w:type="dxa"/>
            <w:vAlign w:val="bottom"/>
          </w:tcPr>
          <w:p>
            <w:pPr>
              <w:jc w:val="center"/>
              <w:ind w:right="1691"/>
              <w:spacing w:after="0"/>
              <w:rPr>
                <w:sz w:val="20"/>
                <w:szCs w:val="20"/>
                <w:color w:val="auto"/>
              </w:rPr>
            </w:pPr>
            <w:r>
              <w:rPr>
                <w:rFonts w:ascii="Arial" w:cs="Arial" w:eastAsia="Arial" w:hAnsi="Arial"/>
                <w:sz w:val="13"/>
                <w:szCs w:val="13"/>
                <w:color w:val="auto"/>
                <w:w w:val="92"/>
              </w:rPr>
              <w:t>Identification Number)</w:t>
            </w:r>
          </w:p>
        </w:tc>
      </w:tr>
      <w:tr>
        <w:trPr>
          <w:trHeight w:val="287"/>
        </w:trPr>
        <w:tc>
          <w:tcPr>
            <w:tcW w:w="3560" w:type="dxa"/>
            <w:vAlign w:val="bottom"/>
          </w:tcPr>
          <w:p>
            <w:pPr>
              <w:jc w:val="center"/>
              <w:ind w:left="1404"/>
              <w:spacing w:after="0"/>
              <w:rPr>
                <w:sz w:val="20"/>
                <w:szCs w:val="20"/>
                <w:color w:val="auto"/>
              </w:rPr>
            </w:pPr>
            <w:r>
              <w:rPr>
                <w:rFonts w:ascii="Arial" w:cs="Arial" w:eastAsia="Arial" w:hAnsi="Arial"/>
                <w:sz w:val="14"/>
                <w:szCs w:val="14"/>
                <w:b w:val="1"/>
                <w:bCs w:val="1"/>
                <w:color w:val="auto"/>
                <w:w w:val="95"/>
              </w:rPr>
              <w:t>100 River Bluff Drive, Suite 210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3"/>
        </w:trPr>
        <w:tc>
          <w:tcPr>
            <w:tcW w:w="3560" w:type="dxa"/>
            <w:vAlign w:val="bottom"/>
          </w:tcPr>
          <w:p>
            <w:pPr>
              <w:jc w:val="center"/>
              <w:ind w:left="1404"/>
              <w:spacing w:after="0"/>
              <w:rPr>
                <w:sz w:val="20"/>
                <w:szCs w:val="20"/>
                <w:color w:val="auto"/>
              </w:rPr>
            </w:pPr>
            <w:r>
              <w:rPr>
                <w:rFonts w:ascii="Arial" w:cs="Arial" w:eastAsia="Arial" w:hAnsi="Arial"/>
                <w:sz w:val="14"/>
                <w:szCs w:val="14"/>
                <w:b w:val="1"/>
                <w:bCs w:val="1"/>
                <w:color w:val="auto"/>
                <w:w w:val="95"/>
              </w:rPr>
              <w:t>Little Rock, Arkansas</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Pr>
          <w:p>
            <w:pPr>
              <w:jc w:val="right"/>
              <w:ind w:right="2271"/>
              <w:spacing w:after="0"/>
              <w:rPr>
                <w:sz w:val="20"/>
                <w:szCs w:val="20"/>
                <w:color w:val="auto"/>
              </w:rPr>
            </w:pPr>
            <w:r>
              <w:rPr>
                <w:rFonts w:ascii="Arial" w:cs="Arial" w:eastAsia="Arial" w:hAnsi="Arial"/>
                <w:sz w:val="14"/>
                <w:szCs w:val="14"/>
                <w:b w:val="1"/>
                <w:bCs w:val="1"/>
                <w:color w:val="auto"/>
              </w:rPr>
              <w:t>72202</w:t>
            </w:r>
          </w:p>
        </w:tc>
      </w:tr>
      <w:tr>
        <w:trPr>
          <w:trHeight w:val="185"/>
        </w:trPr>
        <w:tc>
          <w:tcPr>
            <w:tcW w:w="3560" w:type="dxa"/>
            <w:vAlign w:val="bottom"/>
          </w:tcPr>
          <w:p>
            <w:pPr>
              <w:jc w:val="center"/>
              <w:ind w:left="1404"/>
              <w:spacing w:after="0"/>
              <w:rPr>
                <w:sz w:val="20"/>
                <w:szCs w:val="20"/>
                <w:color w:val="auto"/>
              </w:rPr>
            </w:pPr>
            <w:r>
              <w:rPr>
                <w:rFonts w:ascii="Arial" w:cs="Arial" w:eastAsia="Arial" w:hAnsi="Arial"/>
                <w:sz w:val="13"/>
                <w:szCs w:val="13"/>
                <w:color w:val="auto"/>
                <w:w w:val="89"/>
              </w:rPr>
              <w:t>(Address of Principal Executive Offices)</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60" w:type="dxa"/>
            <w:vAlign w:val="bottom"/>
          </w:tcPr>
          <w:p>
            <w:pPr>
              <w:jc w:val="center"/>
              <w:ind w:right="1691"/>
              <w:spacing w:after="0"/>
              <w:rPr>
                <w:sz w:val="20"/>
                <w:szCs w:val="20"/>
                <w:color w:val="auto"/>
              </w:rPr>
            </w:pPr>
            <w:r>
              <w:rPr>
                <w:rFonts w:ascii="Arial" w:cs="Arial" w:eastAsia="Arial" w:hAnsi="Arial"/>
                <w:sz w:val="13"/>
                <w:szCs w:val="13"/>
                <w:color w:val="auto"/>
                <w:w w:val="87"/>
              </w:rPr>
              <w:t>(Zip Code)</w:t>
            </w:r>
          </w:p>
        </w:tc>
      </w:tr>
      <w:tr>
        <w:trPr>
          <w:trHeight w:val="272"/>
        </w:trPr>
        <w:tc>
          <w:tcPr>
            <w:tcW w:w="3560" w:type="dxa"/>
            <w:vAlign w:val="bottom"/>
          </w:tcPr>
          <w:p>
            <w:pPr>
              <w:spacing w:after="0"/>
              <w:rPr>
                <w:sz w:val="23"/>
                <w:szCs w:val="23"/>
                <w:color w:val="auto"/>
              </w:rPr>
            </w:pPr>
          </w:p>
        </w:tc>
        <w:tc>
          <w:tcPr>
            <w:tcW w:w="282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93"/>
              </w:rPr>
              <w:t>(501) 320-4880</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160"/>
        </w:trPr>
        <w:tc>
          <w:tcPr>
            <w:tcW w:w="3560" w:type="dxa"/>
            <w:vAlign w:val="bottom"/>
          </w:tcPr>
          <w:p>
            <w:pPr>
              <w:spacing w:after="0"/>
              <w:rPr>
                <w:sz w:val="13"/>
                <w:szCs w:val="13"/>
                <w:color w:val="auto"/>
              </w:rPr>
            </w:pPr>
          </w:p>
        </w:tc>
        <w:tc>
          <w:tcPr>
            <w:tcW w:w="3420" w:type="dxa"/>
            <w:vAlign w:val="bottom"/>
            <w:gridSpan w:val="5"/>
          </w:tcPr>
          <w:p>
            <w:pPr>
              <w:jc w:val="center"/>
              <w:ind w:right="300"/>
              <w:spacing w:after="0"/>
              <w:rPr>
                <w:sz w:val="20"/>
                <w:szCs w:val="20"/>
                <w:color w:val="auto"/>
              </w:rPr>
            </w:pPr>
            <w:r>
              <w:rPr>
                <w:rFonts w:ascii="Arial" w:cs="Arial" w:eastAsia="Arial" w:hAnsi="Arial"/>
                <w:sz w:val="13"/>
                <w:szCs w:val="13"/>
                <w:color w:val="auto"/>
                <w:w w:val="88"/>
              </w:rPr>
              <w:t>(Registrant’s Telephone Number, Including Area Code)</w:t>
            </w:r>
          </w:p>
        </w:tc>
        <w:tc>
          <w:tcPr>
            <w:tcW w:w="3260" w:type="dxa"/>
            <w:vAlign w:val="bottom"/>
          </w:tcPr>
          <w:p>
            <w:pPr>
              <w:spacing w:after="0"/>
              <w:rPr>
                <w:sz w:val="13"/>
                <w:szCs w:val="13"/>
                <w:color w:val="auto"/>
              </w:rPr>
            </w:pPr>
          </w:p>
        </w:tc>
      </w:tr>
      <w:tr>
        <w:trPr>
          <w:trHeight w:val="335"/>
        </w:trPr>
        <w:tc>
          <w:tcPr>
            <w:tcW w:w="6980" w:type="dxa"/>
            <w:vAlign w:val="bottom"/>
            <w:gridSpan w:val="6"/>
          </w:tcPr>
          <w:p>
            <w:pPr>
              <w:jc w:val="center"/>
              <w:ind w:left="3184"/>
              <w:spacing w:after="0"/>
              <w:rPr>
                <w:sz w:val="20"/>
                <w:szCs w:val="20"/>
                <w:color w:val="auto"/>
              </w:rPr>
            </w:pPr>
            <w:r>
              <w:rPr>
                <w:rFonts w:ascii="Arial" w:cs="Arial" w:eastAsia="Arial" w:hAnsi="Arial"/>
                <w:sz w:val="20"/>
                <w:szCs w:val="20"/>
                <w:b w:val="1"/>
                <w:bCs w:val="1"/>
                <w:color w:val="auto"/>
                <w:w w:val="99"/>
              </w:rPr>
              <w:t>WESTROCK COFFEE HOLDINGS, LLC</w:t>
            </w:r>
          </w:p>
        </w:tc>
        <w:tc>
          <w:tcPr>
            <w:tcW w:w="3260" w:type="dxa"/>
            <w:vAlign w:val="bottom"/>
          </w:tcPr>
          <w:p>
            <w:pPr>
              <w:spacing w:after="0"/>
              <w:rPr>
                <w:sz w:val="24"/>
                <w:szCs w:val="24"/>
                <w:color w:val="auto"/>
              </w:rPr>
            </w:pPr>
          </w:p>
        </w:tc>
      </w:tr>
      <w:tr>
        <w:trPr>
          <w:trHeight w:val="182"/>
        </w:trPr>
        <w:tc>
          <w:tcPr>
            <w:tcW w:w="10240" w:type="dxa"/>
            <w:vAlign w:val="bottom"/>
            <w:gridSpan w:val="7"/>
          </w:tcPr>
          <w:p>
            <w:pPr>
              <w:jc w:val="center"/>
              <w:spacing w:after="0"/>
              <w:rPr>
                <w:sz w:val="20"/>
                <w:szCs w:val="20"/>
                <w:color w:val="auto"/>
              </w:rPr>
            </w:pPr>
            <w:r>
              <w:rPr>
                <w:rFonts w:ascii="Arial" w:cs="Arial" w:eastAsia="Arial" w:hAnsi="Arial"/>
                <w:sz w:val="14"/>
                <w:szCs w:val="14"/>
                <w:color w:val="auto"/>
                <w:w w:val="92"/>
              </w:rPr>
              <w:t>(Former name, former address and former fiscal year, if changed since last report)</w:t>
            </w:r>
          </w:p>
        </w:tc>
      </w:tr>
      <w:tr>
        <w:trPr>
          <w:trHeight w:val="257"/>
        </w:trPr>
        <w:tc>
          <w:tcPr>
            <w:tcW w:w="6980" w:type="dxa"/>
            <w:vAlign w:val="bottom"/>
            <w:gridSpan w:val="6"/>
          </w:tcPr>
          <w:p>
            <w:pPr>
              <w:jc w:val="center"/>
              <w:ind w:left="3184"/>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260" w:type="dxa"/>
            <w:vAlign w:val="bottom"/>
          </w:tcPr>
          <w:p>
            <w:pPr>
              <w:spacing w:after="0"/>
              <w:rPr>
                <w:sz w:val="22"/>
                <w:szCs w:val="22"/>
                <w:color w:val="auto"/>
              </w:rPr>
            </w:pPr>
          </w:p>
        </w:tc>
      </w:tr>
      <w:tr>
        <w:trPr>
          <w:trHeight w:val="106"/>
        </w:trPr>
        <w:tc>
          <w:tcPr>
            <w:tcW w:w="3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r>
      <w:tr>
        <w:trPr>
          <w:trHeight w:val="179"/>
        </w:trPr>
        <w:tc>
          <w:tcPr>
            <w:tcW w:w="3560" w:type="dxa"/>
            <w:vAlign w:val="bottom"/>
            <w:tcBorders>
              <w:left w:val="single" w:sz="8" w:color="auto"/>
              <w:bottom w:val="single" w:sz="8" w:color="auto"/>
            </w:tcBorders>
          </w:tcPr>
          <w:p>
            <w:pPr>
              <w:jc w:val="center"/>
              <w:ind w:left="244"/>
              <w:spacing w:after="0"/>
              <w:rPr>
                <w:sz w:val="20"/>
                <w:szCs w:val="20"/>
                <w:color w:val="auto"/>
              </w:rPr>
            </w:pPr>
            <w:r>
              <w:rPr>
                <w:rFonts w:ascii="Arial" w:cs="Arial" w:eastAsia="Arial" w:hAnsi="Arial"/>
                <w:sz w:val="14"/>
                <w:szCs w:val="14"/>
                <w:color w:val="auto"/>
                <w:w w:val="92"/>
              </w:rPr>
              <w:t>Title of each class</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60" w:type="dxa"/>
            <w:vAlign w:val="bottom"/>
            <w:tcBorders>
              <w:bottom w:val="single" w:sz="8" w:color="auto"/>
              <w:right w:val="single" w:sz="8" w:color="auto"/>
            </w:tcBorders>
          </w:tcPr>
          <w:p>
            <w:pPr>
              <w:jc w:val="center"/>
              <w:ind w:right="551"/>
              <w:spacing w:after="0"/>
              <w:rPr>
                <w:sz w:val="20"/>
                <w:szCs w:val="20"/>
                <w:color w:val="auto"/>
              </w:rPr>
            </w:pPr>
            <w:r>
              <w:rPr>
                <w:rFonts w:ascii="Arial" w:cs="Arial" w:eastAsia="Arial" w:hAnsi="Arial"/>
                <w:sz w:val="14"/>
                <w:szCs w:val="14"/>
                <w:color w:val="auto"/>
                <w:w w:val="92"/>
              </w:rPr>
              <w:t>Name of each exchange on which registered</w:t>
            </w:r>
          </w:p>
        </w:tc>
      </w:tr>
      <w:tr>
        <w:trPr>
          <w:trHeight w:val="186"/>
        </w:trPr>
        <w:tc>
          <w:tcPr>
            <w:tcW w:w="3560" w:type="dxa"/>
            <w:vAlign w:val="bottom"/>
            <w:tcBorders>
              <w:left w:val="single" w:sz="8" w:color="auto"/>
              <w:bottom w:val="single" w:sz="8" w:color="auto"/>
            </w:tcBorders>
          </w:tcPr>
          <w:p>
            <w:pPr>
              <w:jc w:val="center"/>
              <w:ind w:left="264"/>
              <w:spacing w:after="0"/>
              <w:rPr>
                <w:sz w:val="20"/>
                <w:szCs w:val="20"/>
                <w:color w:val="auto"/>
              </w:rPr>
            </w:pPr>
            <w:r>
              <w:rPr>
                <w:rFonts w:ascii="Arial" w:cs="Arial" w:eastAsia="Arial" w:hAnsi="Arial"/>
                <w:sz w:val="14"/>
                <w:szCs w:val="14"/>
                <w:color w:val="auto"/>
                <w:w w:val="91"/>
              </w:rPr>
              <w:t>Shares of common stock, par value $0.01 per share</w:t>
            </w: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WEST</w:t>
            </w: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60" w:type="dxa"/>
            <w:vAlign w:val="bottom"/>
            <w:tcBorders>
              <w:bottom w:val="single" w:sz="8" w:color="auto"/>
              <w:right w:val="single" w:sz="8" w:color="auto"/>
            </w:tcBorders>
          </w:tcPr>
          <w:p>
            <w:pPr>
              <w:jc w:val="center"/>
              <w:ind w:right="551"/>
              <w:spacing w:after="0"/>
              <w:rPr>
                <w:sz w:val="20"/>
                <w:szCs w:val="20"/>
                <w:color w:val="auto"/>
              </w:rPr>
            </w:pPr>
            <w:r>
              <w:rPr>
                <w:rFonts w:ascii="Arial" w:cs="Arial" w:eastAsia="Arial" w:hAnsi="Arial"/>
                <w:sz w:val="14"/>
                <w:szCs w:val="14"/>
                <w:color w:val="auto"/>
                <w:w w:val="94"/>
              </w:rPr>
              <w:t>The Nasdaq Stock Market LLC</w:t>
            </w:r>
          </w:p>
        </w:tc>
      </w:tr>
      <w:tr>
        <w:trPr>
          <w:trHeight w:val="123"/>
        </w:trPr>
        <w:tc>
          <w:tcPr>
            <w:tcW w:w="3880" w:type="dxa"/>
            <w:vAlign w:val="bottom"/>
            <w:tcBorders>
              <w:left w:val="single" w:sz="8" w:color="auto"/>
              <w:right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2"/>
              </w:rPr>
              <w:t>Warrants, each whole warrant exercisable for one share of</w:t>
            </w:r>
          </w:p>
        </w:tc>
        <w:tc>
          <w:tcPr>
            <w:tcW w:w="2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60" w:type="dxa"/>
            <w:vAlign w:val="bottom"/>
            <w:tcBorders>
              <w:right w:val="single" w:sz="8" w:color="auto"/>
            </w:tcBorders>
          </w:tcPr>
          <w:p>
            <w:pPr>
              <w:spacing w:after="0"/>
              <w:rPr>
                <w:sz w:val="10"/>
                <w:szCs w:val="10"/>
                <w:color w:val="auto"/>
              </w:rPr>
            </w:pPr>
          </w:p>
        </w:tc>
      </w:tr>
      <w:tr>
        <w:trPr>
          <w:trHeight w:val="208"/>
        </w:trPr>
        <w:tc>
          <w:tcPr>
            <w:tcW w:w="3560" w:type="dxa"/>
            <w:vAlign w:val="bottom"/>
            <w:tcBorders>
              <w:left w:val="single" w:sz="8" w:color="auto"/>
              <w:bottom w:val="single" w:sz="8" w:color="auto"/>
            </w:tcBorders>
          </w:tcPr>
          <w:p>
            <w:pPr>
              <w:jc w:val="center"/>
              <w:ind w:left="244"/>
              <w:spacing w:after="0"/>
              <w:rPr>
                <w:sz w:val="20"/>
                <w:szCs w:val="20"/>
                <w:color w:val="auto"/>
              </w:rPr>
            </w:pPr>
            <w:r>
              <w:rPr>
                <w:rFonts w:ascii="Arial" w:cs="Arial" w:eastAsia="Arial" w:hAnsi="Arial"/>
                <w:sz w:val="14"/>
                <w:szCs w:val="14"/>
                <w:color w:val="auto"/>
                <w:w w:val="91"/>
              </w:rPr>
              <w:t>common stock, par value $0.01 per share</w:t>
            </w: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WESTW</w:t>
            </w: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jc w:val="center"/>
              <w:ind w:right="551"/>
              <w:spacing w:after="0"/>
              <w:rPr>
                <w:sz w:val="20"/>
                <w:szCs w:val="20"/>
                <w:color w:val="auto"/>
              </w:rPr>
            </w:pPr>
            <w:r>
              <w:rPr>
                <w:rFonts w:ascii="Arial" w:cs="Arial" w:eastAsia="Arial" w:hAnsi="Arial"/>
                <w:sz w:val="14"/>
                <w:szCs w:val="14"/>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188595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6" w:lineRule="exact"/>
        <w:rPr>
          <w:sz w:val="24"/>
          <w:szCs w:val="24"/>
          <w:color w:val="auto"/>
        </w:rPr>
      </w:pPr>
    </w:p>
    <w:p>
      <w:pPr>
        <w:ind w:left="20" w:right="38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0"/>
        <w:spacing w:after="0" w:line="188" w:lineRule="exact"/>
        <w:rPr>
          <w:sz w:val="20"/>
          <w:szCs w:val="20"/>
          <w:color w:val="auto"/>
        </w:rPr>
      </w:pPr>
      <w:r>
        <w:rPr>
          <w:rFonts w:ascii="Arial" w:cs="Arial" w:eastAsia="Arial" w:hAnsi="Arial"/>
          <w:sz w:val="14"/>
          <w:szCs w:val="14"/>
          <w:color w:val="auto"/>
        </w:rPr>
        <w:t xml:space="preserve">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left="20" w:right="180" w:firstLine="441"/>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jc w:val="both"/>
        <w:ind w:left="20" w:right="60" w:firstLine="441"/>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44" w:lineRule="exact"/>
        <w:rPr>
          <w:sz w:val="24"/>
          <w:szCs w:val="24"/>
          <w:color w:val="auto"/>
        </w:rPr>
      </w:pPr>
    </w:p>
    <w:p>
      <w:pPr>
        <w:ind w:left="20"/>
        <w:spacing w:after="0" w:line="334" w:lineRule="auto"/>
        <w:rPr>
          <w:sz w:val="20"/>
          <w:szCs w:val="20"/>
          <w:color w:val="auto"/>
        </w:rPr>
      </w:pPr>
      <w:r>
        <w:rPr>
          <w:rFonts w:ascii="Arial" w:cs="Arial" w:eastAsia="Arial" w:hAnsi="Arial"/>
          <w:sz w:val="13"/>
          <w:szCs w:val="13"/>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71" w:lineRule="exact"/>
        <w:rPr>
          <w:sz w:val="24"/>
          <w:szCs w:val="24"/>
          <w:color w:val="auto"/>
        </w:rPr>
      </w:pPr>
    </w:p>
    <w:p>
      <w:pPr>
        <w:sectPr>
          <w:pgSz w:w="11900" w:h="16838" w:orient="portrait"/>
          <w:cols w:equalWidth="0" w:num="8">
            <w:col w:w="1580" w:space="420"/>
            <w:col w:w="120" w:space="520"/>
            <w:col w:w="960" w:space="620"/>
            <w:col w:w="120" w:space="600"/>
            <w:col w:w="1220" w:space="600"/>
            <w:col w:w="140" w:space="360"/>
            <w:col w:w="1880" w:space="720"/>
            <w:col w:w="380"/>
          </w:cols>
          <w:pgMar w:left="820" w:top="665" w:right="839" w:bottom="1440" w:gutter="0" w:footer="0" w:header="0"/>
          <w:type w:val="continuous"/>
        </w:sectPr>
      </w:pPr>
    </w:p>
    <w:p>
      <w:pPr>
        <w:ind w:left="20" w:right="340" w:firstLine="441"/>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left="460" w:right="2320"/>
        <w:spacing w:after="0" w:line="23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As of August 29, 2022, the Registrant had 73,033,991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856615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During the quarter ended June 30, 2022, the registrant was a Delaware limited liability company called Westrock Coffee Holdings, LLC. On August 26, 2022, the registrant converted from a Delaware limited liability company to a Delaware corporation called “Westrock Coffee Company” in connection with the closing of its de-SPAC merger transaction with Riverview Acquisition Corp., a special purpose acquisition vehicle and a Delaware corporation. References to “Westrock,” “we,” “us,” and “our,”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laws. Forward-looking statements include all statements that are not historical statements of fact and statements regarding, but not limited to, our expectations, hopes, beliefs, intention or strategies regarding the future.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7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risk related to the following:</w:t>
      </w:r>
    </w:p>
    <w:p>
      <w:pPr>
        <w:spacing w:after="0" w:line="184" w:lineRule="exact"/>
        <w:rPr>
          <w:sz w:val="20"/>
          <w:szCs w:val="20"/>
          <w:color w:val="auto"/>
        </w:rPr>
      </w:pP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net losses;</w:t>
      </w:r>
    </w:p>
    <w:p>
      <w:pPr>
        <w:spacing w:after="0" w:line="23" w:lineRule="exact"/>
        <w:rPr>
          <w:rFonts w:ascii="Arial" w:cs="Arial" w:eastAsia="Arial" w:hAnsi="Arial"/>
          <w:sz w:val="18"/>
          <w:szCs w:val="18"/>
          <w:color w:val="auto"/>
        </w:rPr>
      </w:pPr>
    </w:p>
    <w:p>
      <w:pPr>
        <w:ind w:left="1700" w:right="9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increases in the cost of green coffee, tea and other ingredients and packaging, and our inability to pass these costs on to customers;</w:t>
      </w:r>
    </w:p>
    <w:p>
      <w:pPr>
        <w:ind w:left="1700" w:right="15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an adequate supply of key raw materials, including green coffee and tea, or disruption in our supply chain;</w:t>
      </w: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general macroeconomic conditions;</w:t>
      </w:r>
    </w:p>
    <w:p>
      <w:pPr>
        <w:spacing w:after="0" w:line="22" w:lineRule="exact"/>
        <w:rPr>
          <w:rFonts w:ascii="Arial" w:cs="Arial" w:eastAsia="Arial" w:hAnsi="Arial"/>
          <w:sz w:val="18"/>
          <w:szCs w:val="18"/>
          <w:color w:val="auto"/>
        </w:rPr>
      </w:pP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in operations at any of our production and distribution facilities;</w:t>
      </w:r>
    </w:p>
    <w:p>
      <w:pPr>
        <w:spacing w:after="0" w:line="22" w:lineRule="exact"/>
        <w:rPr>
          <w:rFonts w:ascii="Arial" w:cs="Arial" w:eastAsia="Arial" w:hAnsi="Arial"/>
          <w:sz w:val="18"/>
          <w:szCs w:val="18"/>
          <w:color w:val="auto"/>
        </w:rPr>
      </w:pPr>
    </w:p>
    <w:p>
      <w:pPr>
        <w:ind w:left="1700" w:right="39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which may increase commodity costs, damage our facilities and disrupt our production capabilities and supply chain;</w:t>
      </w: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key personnel or recruit qualified personnel;</w:t>
      </w:r>
    </w:p>
    <w:p>
      <w:pPr>
        <w:spacing w:after="0" w:line="22" w:lineRule="exact"/>
        <w:rPr>
          <w:rFonts w:ascii="Arial" w:cs="Arial" w:eastAsia="Arial" w:hAnsi="Arial"/>
          <w:sz w:val="18"/>
          <w:szCs w:val="18"/>
          <w:color w:val="auto"/>
        </w:rPr>
      </w:pP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operating a coffee trading business and a coffee-exporting business;</w:t>
      </w:r>
    </w:p>
    <w:p>
      <w:pPr>
        <w:spacing w:after="0" w:line="22" w:lineRule="exact"/>
        <w:rPr>
          <w:rFonts w:ascii="Arial" w:cs="Arial" w:eastAsia="Arial" w:hAnsi="Arial"/>
          <w:sz w:val="18"/>
          <w:szCs w:val="18"/>
          <w:color w:val="auto"/>
        </w:rPr>
      </w:pP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among our distributors and customers or the loss of any key customer;</w:t>
      </w:r>
    </w:p>
    <w:p>
      <w:pPr>
        <w:spacing w:after="0" w:line="22" w:lineRule="exact"/>
        <w:rPr>
          <w:rFonts w:ascii="Arial" w:cs="Arial" w:eastAsia="Arial" w:hAnsi="Arial"/>
          <w:sz w:val="18"/>
          <w:szCs w:val="18"/>
          <w:color w:val="auto"/>
        </w:rPr>
      </w:pPr>
    </w:p>
    <w:p>
      <w:pPr>
        <w:ind w:left="1700" w:right="77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complex and evolving U.S. and international laws and regulations, and noncompliance subjecting us to criminal or civil liability;</w:t>
      </w:r>
    </w:p>
    <w:p>
      <w:pPr>
        <w:ind w:left="1700" w:right="13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of businesses, which may divert our management’s attention, prove difficult to effectively integrate and fail to achieve their projected benefits;</w:t>
      </w: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effectively manage the growth and increased complexity of our business;</w:t>
      </w:r>
    </w:p>
    <w:p>
      <w:pPr>
        <w:spacing w:after="0" w:line="22" w:lineRule="exact"/>
        <w:rPr>
          <w:rFonts w:ascii="Arial" w:cs="Arial" w:eastAsia="Arial" w:hAnsi="Arial"/>
          <w:sz w:val="18"/>
          <w:szCs w:val="18"/>
          <w:color w:val="auto"/>
        </w:rPr>
      </w:pPr>
    </w:p>
    <w:p>
      <w:pPr>
        <w:ind w:left="1700" w:right="159" w:hanging="327"/>
        <w:spacing w:after="0" w:line="258"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maintain or grow market share through continued differentiation of our product and competitive pricing;</w:t>
      </w:r>
    </w:p>
    <w:p>
      <w:pPr>
        <w:ind w:left="1700" w:hanging="327"/>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the additional capital needed to operate and grow our business;</w:t>
      </w:r>
    </w:p>
    <w:p>
      <w:pPr>
        <w:spacing w:after="0" w:line="22" w:lineRule="exact"/>
        <w:rPr>
          <w:rFonts w:ascii="Arial" w:cs="Arial" w:eastAsia="Arial" w:hAnsi="Arial"/>
          <w:sz w:val="18"/>
          <w:szCs w:val="18"/>
          <w:color w:val="auto"/>
        </w:rPr>
      </w:pPr>
    </w:p>
    <w:p>
      <w:pPr>
        <w:ind w:left="1700" w:right="259" w:hanging="327"/>
        <w:spacing w:after="0" w:line="276"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litigation or legal disputes, which could lead us to incur significant liabilities and costs or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734695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material failure, inadequacy or interruption of our information technology systems;</w:t>
      </w:r>
    </w:p>
    <w:p>
      <w:pPr>
        <w:spacing w:after="0" w:line="23" w:lineRule="exact"/>
        <w:rPr>
          <w:rFonts w:ascii="Arial" w:cs="Arial" w:eastAsia="Arial" w:hAnsi="Arial"/>
          <w:sz w:val="18"/>
          <w:szCs w:val="18"/>
          <w:color w:val="auto"/>
        </w:rPr>
      </w:pPr>
    </w:p>
    <w:p>
      <w:pPr>
        <w:ind w:left="1700" w:right="39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unauthorized access, theft, use or destruction of personal, financial or other confidential information relating to our customers, suppliers, employees or business;</w:t>
      </w:r>
    </w:p>
    <w:p>
      <w:pPr>
        <w:ind w:left="1700" w:right="15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level of indebtedness, which may reduce funds available for other business purposes and reduce our operational flexibility;</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comply with the financial covenants contained in our credit agreement;</w:t>
      </w:r>
    </w:p>
    <w:p>
      <w:pPr>
        <w:spacing w:after="0" w:line="22" w:lineRule="exact"/>
        <w:rPr>
          <w:rFonts w:ascii="Arial" w:cs="Arial" w:eastAsia="Arial" w:hAnsi="Arial"/>
          <w:sz w:val="18"/>
          <w:szCs w:val="18"/>
          <w:color w:val="auto"/>
        </w:rPr>
      </w:pPr>
    </w:p>
    <w:p>
      <w:pPr>
        <w:ind w:left="1700" w:right="31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complete the construction of our new facility in Conway, Arkansas in time or incurring additional expenses in the process;</w:t>
      </w: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structure and organization; and</w:t>
      </w:r>
    </w:p>
    <w:p>
      <w:pPr>
        <w:spacing w:after="0" w:line="22" w:lineRule="exact"/>
        <w:rPr>
          <w:rFonts w:ascii="Arial" w:cs="Arial" w:eastAsia="Arial" w:hAnsi="Arial"/>
          <w:sz w:val="18"/>
          <w:szCs w:val="18"/>
          <w:color w:val="auto"/>
        </w:rPr>
      </w:pPr>
    </w:p>
    <w:p>
      <w:pPr>
        <w:ind w:left="1700" w:hanging="327"/>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being a public company;</w:t>
      </w:r>
    </w:p>
    <w:p>
      <w:pPr>
        <w:spacing w:after="0" w:line="22" w:lineRule="exact"/>
        <w:rPr>
          <w:rFonts w:ascii="Arial" w:cs="Arial" w:eastAsia="Arial" w:hAnsi="Arial"/>
          <w:sz w:val="18"/>
          <w:szCs w:val="18"/>
          <w:color w:val="auto"/>
        </w:rPr>
      </w:pPr>
    </w:p>
    <w:p>
      <w:pPr>
        <w:ind w:left="1700" w:right="659" w:hanging="327"/>
        <w:spacing w:after="0" w:line="25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resurgence of COVID-19 and emergence of new variants of the virus on the foregoing; and</w:t>
      </w:r>
    </w:p>
    <w:p>
      <w:pPr>
        <w:ind w:left="1700" w:right="199" w:hanging="327"/>
        <w:spacing w:after="0" w:line="255"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the “Risk Factors” section in the Company’s Form S-4 (File No. 333-264464) filed with the U.S. Securities and Exchange Commission (“SEC”) on April 25, 2022, as amended by Amendments No. 1, 2, 3 and 4 thereto filed with SEC on June 10, 2022, July 15, 2022, August 1, 2022 and August 3, 2022, respectively (the “Registration Statement”), and in the “Management’s Discussion and Analysis” section of this Quarterly Report on Form 10-Q.</w:t>
      </w:r>
    </w:p>
    <w:p>
      <w:pPr>
        <w:spacing w:after="0" w:line="205"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the Registration Statement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878840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(f/k/a Westrock Coffee Holdings,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gridSpan w:val="1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gridSpan w:val="6"/>
          </w:tcPr>
          <w:p>
            <w:pPr>
              <w:spacing w:after="0"/>
              <w:rPr>
                <w:sz w:val="20"/>
                <w:szCs w:val="20"/>
                <w:color w:val="auto"/>
              </w:rPr>
            </w:pPr>
            <w:r>
              <w:rPr>
                <w:rFonts w:ascii="Arial" w:cs="Arial" w:eastAsia="Arial" w:hAnsi="Arial"/>
                <w:sz w:val="18"/>
                <w:szCs w:val="18"/>
                <w:b w:val="1"/>
                <w:bCs w:val="1"/>
                <w:color w:val="0000EE"/>
              </w:rPr>
              <w:t>Part I.</w:t>
            </w:r>
          </w:p>
        </w:tc>
        <w:tc>
          <w:tcPr>
            <w:tcW w:w="7240" w:type="dxa"/>
            <w:vAlign w:val="bottom"/>
            <w:gridSpan w:val="44"/>
          </w:tcPr>
          <w:p>
            <w:pPr>
              <w:spacing w:after="0"/>
              <w:rPr>
                <w:sz w:val="20"/>
                <w:szCs w:val="20"/>
                <w:color w:val="auto"/>
              </w:rPr>
            </w:pPr>
            <w:r>
              <w:rPr>
                <w:rFonts w:ascii="Arial" w:cs="Arial" w:eastAsia="Arial" w:hAnsi="Arial"/>
                <w:sz w:val="18"/>
                <w:szCs w:val="18"/>
                <w:b w:val="1"/>
                <w:bCs w:val="1"/>
                <w:color w:val="0000EE"/>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 w:type="dxa"/>
            <w:vAlign w:val="bottom"/>
            <w:tcBorders>
              <w:top w:val="single" w:sz="8" w:color="0000EE"/>
              <w:bottom w:val="single" w:sz="8" w:color="0000EE"/>
            </w:tcBorders>
          </w:tcPr>
          <w:p>
            <w:pPr>
              <w:spacing w:after="0" w:line="156" w:lineRule="exact"/>
              <w:rPr>
                <w:sz w:val="20"/>
                <w:szCs w:val="20"/>
                <w:color w:val="auto"/>
              </w:rPr>
            </w:pPr>
            <w:r>
              <w:rPr>
                <w:rFonts w:ascii="Arial" w:cs="Arial" w:eastAsia="Arial" w:hAnsi="Arial"/>
                <w:sz w:val="18"/>
                <w:szCs w:val="18"/>
                <w:color w:val="0000EE"/>
                <w:w w:val="87"/>
              </w:rPr>
              <w:t>Item 1.</w:t>
            </w: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14"/>
          </w:tcPr>
          <w:p>
            <w:pPr>
              <w:spacing w:after="0" w:line="156" w:lineRule="exact"/>
              <w:rPr>
                <w:sz w:val="20"/>
                <w:szCs w:val="20"/>
                <w:color w:val="auto"/>
              </w:rPr>
            </w:pPr>
            <w:r>
              <w:rPr>
                <w:rFonts w:ascii="Arial" w:cs="Arial" w:eastAsia="Arial" w:hAnsi="Arial"/>
                <w:sz w:val="18"/>
                <w:szCs w:val="18"/>
                <w:color w:val="0000EE"/>
                <w:w w:val="88"/>
              </w:rPr>
              <w:t>Financial Statements</w:t>
            </w:r>
          </w:p>
        </w:tc>
        <w:tc>
          <w:tcPr>
            <w:tcW w:w="200" w:type="dxa"/>
            <w:vAlign w:val="bottom"/>
            <w:tcBorders>
              <w:top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4"/>
          </w:tcPr>
          <w:p>
            <w:pPr>
              <w:spacing w:after="0" w:line="182" w:lineRule="exact"/>
              <w:rPr>
                <w:sz w:val="20"/>
                <w:szCs w:val="20"/>
                <w:color w:val="auto"/>
              </w:rPr>
            </w:pPr>
            <w:r>
              <w:rPr>
                <w:rFonts w:ascii="Arial" w:cs="Arial" w:eastAsia="Arial" w:hAnsi="Arial"/>
                <w:sz w:val="18"/>
                <w:szCs w:val="18"/>
                <w:color w:val="0000EE"/>
              </w:rPr>
              <w:t>Condensed Consolidated Balance Sheets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w w:val="91"/>
              </w:rPr>
              <w:t>Condensed Consolidated Statements of</w:t>
            </w:r>
          </w:p>
        </w:tc>
        <w:tc>
          <w:tcPr>
            <w:tcW w:w="4320" w:type="dxa"/>
            <w:vAlign w:val="bottom"/>
            <w:gridSpan w:val="14"/>
          </w:tcPr>
          <w:p>
            <w:pPr>
              <w:spacing w:after="0" w:line="182" w:lineRule="exact"/>
              <w:rPr>
                <w:sz w:val="20"/>
                <w:szCs w:val="20"/>
                <w:color w:val="auto"/>
              </w:rPr>
            </w:pPr>
            <w:r>
              <w:rPr>
                <w:rFonts w:ascii="Arial" w:cs="Arial" w:eastAsia="Arial" w:hAnsi="Arial"/>
                <w:sz w:val="18"/>
                <w:szCs w:val="18"/>
                <w:color w:val="0000EE"/>
              </w:rPr>
              <w:t>Operations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4"/>
          </w:tcPr>
          <w:p>
            <w:pPr>
              <w:spacing w:after="0" w:line="182" w:lineRule="exact"/>
              <w:rPr>
                <w:sz w:val="20"/>
                <w:szCs w:val="20"/>
                <w:color w:val="auto"/>
              </w:rPr>
            </w:pPr>
            <w:r>
              <w:rPr>
                <w:rFonts w:ascii="Arial" w:cs="Arial" w:eastAsia="Arial" w:hAnsi="Arial"/>
                <w:sz w:val="18"/>
                <w:szCs w:val="18"/>
                <w:color w:val="0000EE"/>
              </w:rPr>
              <w:t>Condensed Consolidated Statements of Comprehensive Income (Loss)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80" w:type="dxa"/>
            <w:vAlign w:val="bottom"/>
            <w:tcBorders>
              <w:top w:val="single" w:sz="8" w:color="0000EE"/>
            </w:tcBorders>
            <w:gridSpan w:val="42"/>
          </w:tcPr>
          <w:p>
            <w:pPr>
              <w:spacing w:after="0" w:line="182" w:lineRule="exact"/>
              <w:rPr>
                <w:sz w:val="20"/>
                <w:szCs w:val="20"/>
                <w:color w:val="auto"/>
              </w:rPr>
            </w:pPr>
            <w:r>
              <w:rPr>
                <w:rFonts w:ascii="Arial" w:cs="Arial" w:eastAsia="Arial" w:hAnsi="Arial"/>
                <w:sz w:val="18"/>
                <w:szCs w:val="18"/>
                <w:color w:val="0000EE"/>
              </w:rPr>
              <w:t>Condensed Consolidated Statements of Unitholders’ Deficit</w:t>
            </w: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20" w:type="dxa"/>
            <w:vAlign w:val="bottom"/>
            <w:tcBorders>
              <w:top w:val="single" w:sz="8" w:color="0000EE"/>
            </w:tcBorders>
            <w:gridSpan w:val="39"/>
          </w:tcPr>
          <w:p>
            <w:pPr>
              <w:spacing w:after="0" w:line="182" w:lineRule="exact"/>
              <w:rPr>
                <w:sz w:val="20"/>
                <w:szCs w:val="20"/>
                <w:color w:val="auto"/>
              </w:rPr>
            </w:pPr>
            <w:r>
              <w:rPr>
                <w:rFonts w:ascii="Arial" w:cs="Arial" w:eastAsia="Arial" w:hAnsi="Arial"/>
                <w:sz w:val="18"/>
                <w:szCs w:val="18"/>
                <w:color w:val="0000EE"/>
              </w:rPr>
              <w:t>Condensed Consolidated Statements of Cash Flows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4"/>
          </w:tcPr>
          <w:p>
            <w:pPr>
              <w:spacing w:after="0" w:line="182" w:lineRule="exact"/>
              <w:rPr>
                <w:sz w:val="20"/>
                <w:szCs w:val="20"/>
                <w:color w:val="auto"/>
              </w:rPr>
            </w:pPr>
            <w:r>
              <w:rPr>
                <w:rFonts w:ascii="Arial" w:cs="Arial" w:eastAsia="Arial" w:hAnsi="Arial"/>
                <w:sz w:val="18"/>
                <w:szCs w:val="18"/>
                <w:color w:val="0000EE"/>
              </w:rPr>
              <w:t>Notes to Condensed Consolidated Financial Statements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800" w:type="dxa"/>
            <w:vAlign w:val="bottom"/>
            <w:tcBorders>
              <w:top w:val="single" w:sz="8" w:color="0000EE"/>
            </w:tcBorders>
            <w:gridSpan w:val="36"/>
          </w:tcPr>
          <w:p>
            <w:pPr>
              <w:spacing w:after="0" w:line="182" w:lineRule="exact"/>
              <w:rPr>
                <w:sz w:val="20"/>
                <w:szCs w:val="20"/>
                <w:color w:val="auto"/>
              </w:rPr>
            </w:pPr>
            <w:r>
              <w:rPr>
                <w:rFonts w:ascii="Arial" w:cs="Arial" w:eastAsia="Arial" w:hAnsi="Arial"/>
                <w:sz w:val="18"/>
                <w:szCs w:val="18"/>
                <w:color w:val="0000EE"/>
              </w:rPr>
              <w:t>1. Organization and Description of Business</w:t>
            </w:r>
          </w:p>
        </w:tc>
        <w:tc>
          <w:tcPr>
            <w:tcW w:w="36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Borders>
              <w:top w:val="single" w:sz="8" w:color="0000EE"/>
            </w:tcBorders>
            <w:gridSpan w:val="31"/>
          </w:tcPr>
          <w:p>
            <w:pPr>
              <w:spacing w:after="0" w:line="182" w:lineRule="exact"/>
              <w:rPr>
                <w:sz w:val="20"/>
                <w:szCs w:val="20"/>
                <w:color w:val="auto"/>
              </w:rPr>
            </w:pPr>
            <w:r>
              <w:rPr>
                <w:rFonts w:ascii="Arial" w:cs="Arial" w:eastAsia="Arial" w:hAnsi="Arial"/>
                <w:sz w:val="18"/>
                <w:szCs w:val="18"/>
                <w:color w:val="0000EE"/>
                <w:w w:val="91"/>
              </w:rPr>
              <w:t>2. Basis of Presentation and Consolidation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5"/>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2"/>
          </w:tcPr>
          <w:p>
            <w:pPr>
              <w:spacing w:after="0" w:line="182" w:lineRule="exact"/>
              <w:rPr>
                <w:sz w:val="20"/>
                <w:szCs w:val="20"/>
                <w:color w:val="auto"/>
              </w:rPr>
            </w:pPr>
            <w:r>
              <w:rPr>
                <w:rFonts w:ascii="Arial" w:cs="Arial" w:eastAsia="Arial" w:hAnsi="Arial"/>
                <w:sz w:val="18"/>
                <w:szCs w:val="18"/>
                <w:color w:val="0000EE"/>
              </w:rPr>
              <w:t>3. Summary of Significant Accounting Policies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color w:val="0000EE"/>
              </w:rPr>
              <w:t>4. Revenue</w:t>
            </w:r>
          </w:p>
        </w:tc>
        <w:tc>
          <w:tcPr>
            <w:tcW w:w="800" w:type="dxa"/>
            <w:vAlign w:val="bottom"/>
            <w:gridSpan w:val="5"/>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0000EE"/>
              <w:bottom w:val="single" w:sz="8" w:color="0000EE"/>
            </w:tcBorders>
            <w:gridSpan w:val="6"/>
          </w:tcPr>
          <w:p>
            <w:pPr>
              <w:spacing w:after="0" w:line="183" w:lineRule="exact"/>
              <w:rPr>
                <w:sz w:val="20"/>
                <w:szCs w:val="20"/>
                <w:color w:val="auto"/>
              </w:rPr>
            </w:pPr>
            <w:r>
              <w:rPr>
                <w:rFonts w:ascii="Arial" w:cs="Arial" w:eastAsia="Arial" w:hAnsi="Arial"/>
                <w:sz w:val="17"/>
                <w:szCs w:val="17"/>
                <w:color w:val="0000EE"/>
                <w:w w:val="72"/>
              </w:rPr>
              <w:t>5. Inventories</w:t>
            </w:r>
          </w:p>
        </w:tc>
        <w:tc>
          <w:tcPr>
            <w:tcW w:w="4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820" w:type="dxa"/>
            <w:vAlign w:val="bottom"/>
            <w:gridSpan w:val="6"/>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2"/>
          </w:tcPr>
          <w:p>
            <w:pPr>
              <w:spacing w:after="0" w:line="182" w:lineRule="exact"/>
              <w:rPr>
                <w:sz w:val="20"/>
                <w:szCs w:val="20"/>
                <w:color w:val="auto"/>
              </w:rPr>
            </w:pPr>
            <w:r>
              <w:rPr>
                <w:rFonts w:ascii="Arial" w:cs="Arial" w:eastAsia="Arial" w:hAnsi="Arial"/>
                <w:sz w:val="18"/>
                <w:szCs w:val="18"/>
                <w:color w:val="0000EE"/>
              </w:rPr>
              <w:t>6. Property, Plant and Equipment, Net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7. Goodwill</w:t>
            </w:r>
          </w:p>
        </w:tc>
        <w:tc>
          <w:tcPr>
            <w:tcW w:w="400" w:type="dxa"/>
            <w:vAlign w:val="bottom"/>
            <w:gridSpan w:val="3"/>
          </w:tcPr>
          <w:p>
            <w:pPr>
              <w:spacing w:after="0"/>
              <w:rPr>
                <w:sz w:val="15"/>
                <w:szCs w:val="15"/>
                <w:color w:val="auto"/>
              </w:rPr>
            </w:pPr>
          </w:p>
        </w:tc>
        <w:tc>
          <w:tcPr>
            <w:tcW w:w="260" w:type="dxa"/>
            <w:vAlign w:val="bottom"/>
            <w:gridSpan w:val="2"/>
          </w:tcPr>
          <w:p>
            <w:pPr>
              <w:spacing w:after="0"/>
              <w:rPr>
                <w:sz w:val="15"/>
                <w:szCs w:val="15"/>
                <w:color w:val="auto"/>
              </w:rPr>
            </w:pPr>
          </w:p>
        </w:tc>
        <w:tc>
          <w:tcPr>
            <w:tcW w:w="820" w:type="dxa"/>
            <w:vAlign w:val="bottom"/>
            <w:gridSpan w:val="6"/>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79"/>
              </w:rPr>
              <w:t>8. Intangible</w:t>
            </w:r>
          </w:p>
        </w:tc>
        <w:tc>
          <w:tcPr>
            <w:tcW w:w="6260" w:type="dxa"/>
            <w:vAlign w:val="bottom"/>
            <w:gridSpan w:val="35"/>
          </w:tcPr>
          <w:p>
            <w:pPr>
              <w:ind w:left="100"/>
              <w:spacing w:after="0" w:line="182" w:lineRule="exact"/>
              <w:rPr>
                <w:sz w:val="20"/>
                <w:szCs w:val="20"/>
                <w:color w:val="auto"/>
              </w:rPr>
            </w:pPr>
            <w:r>
              <w:rPr>
                <w:rFonts w:ascii="Arial" w:cs="Arial" w:eastAsia="Arial" w:hAnsi="Arial"/>
                <w:sz w:val="18"/>
                <w:szCs w:val="18"/>
                <w:color w:val="0000EE"/>
              </w:rPr>
              <w:t>Assets, Net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9. Leases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820" w:type="dxa"/>
            <w:vAlign w:val="bottom"/>
            <w:gridSpan w:val="6"/>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88"/>
              </w:rPr>
              <w:t>10. Debt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820" w:type="dxa"/>
            <w:vAlign w:val="bottom"/>
            <w:gridSpan w:val="6"/>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160" w:type="dxa"/>
            <w:vAlign w:val="bottom"/>
            <w:gridSpan w:val="43"/>
          </w:tcPr>
          <w:p>
            <w:pPr>
              <w:spacing w:after="0" w:line="182" w:lineRule="exact"/>
              <w:rPr>
                <w:sz w:val="20"/>
                <w:szCs w:val="20"/>
                <w:color w:val="auto"/>
              </w:rPr>
            </w:pPr>
            <w:r>
              <w:rPr>
                <w:rFonts w:ascii="Arial" w:cs="Arial" w:eastAsia="Arial" w:hAnsi="Arial"/>
                <w:sz w:val="18"/>
                <w:szCs w:val="18"/>
                <w:color w:val="0000EE"/>
              </w:rPr>
              <w:t>11. Derivatives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6"/>
              </w:rPr>
              <w:t>12. Fair Value</w:t>
            </w:r>
          </w:p>
        </w:tc>
        <w:tc>
          <w:tcPr>
            <w:tcW w:w="6060" w:type="dxa"/>
            <w:vAlign w:val="bottom"/>
            <w:gridSpan w:val="33"/>
          </w:tcPr>
          <w:p>
            <w:pPr>
              <w:spacing w:after="0" w:line="182" w:lineRule="exact"/>
              <w:rPr>
                <w:sz w:val="20"/>
                <w:szCs w:val="20"/>
                <w:color w:val="auto"/>
              </w:rPr>
            </w:pPr>
            <w:r>
              <w:rPr>
                <w:rFonts w:ascii="Arial" w:cs="Arial" w:eastAsia="Arial" w:hAnsi="Arial"/>
                <w:sz w:val="18"/>
                <w:szCs w:val="18"/>
                <w:color w:val="0000EE"/>
              </w:rPr>
              <w:t>Measurements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160" w:type="dxa"/>
            <w:vAlign w:val="bottom"/>
            <w:gridSpan w:val="43"/>
          </w:tcPr>
          <w:p>
            <w:pPr>
              <w:spacing w:after="0" w:line="182" w:lineRule="exact"/>
              <w:rPr>
                <w:sz w:val="20"/>
                <w:szCs w:val="20"/>
                <w:color w:val="auto"/>
              </w:rPr>
            </w:pPr>
            <w:r>
              <w:rPr>
                <w:rFonts w:ascii="Arial" w:cs="Arial" w:eastAsia="Arial" w:hAnsi="Arial"/>
                <w:sz w:val="18"/>
                <w:szCs w:val="18"/>
                <w:color w:val="0000EE"/>
              </w:rPr>
              <w:t>13. Accumulated Other Comprehensive Income</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color w:val="0000EE"/>
              </w:rPr>
              <w:t>14. Earnings per Unit</w:t>
            </w:r>
          </w:p>
        </w:tc>
        <w:tc>
          <w:tcPr>
            <w:tcW w:w="820" w:type="dxa"/>
            <w:vAlign w:val="bottom"/>
            <w:gridSpan w:val="6"/>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160" w:type="dxa"/>
            <w:vAlign w:val="bottom"/>
            <w:gridSpan w:val="43"/>
          </w:tcPr>
          <w:p>
            <w:pPr>
              <w:spacing w:after="0" w:line="182" w:lineRule="exact"/>
              <w:rPr>
                <w:sz w:val="20"/>
                <w:szCs w:val="20"/>
                <w:color w:val="auto"/>
              </w:rPr>
            </w:pPr>
            <w:r>
              <w:rPr>
                <w:rFonts w:ascii="Arial" w:cs="Arial" w:eastAsia="Arial" w:hAnsi="Arial"/>
                <w:sz w:val="18"/>
                <w:szCs w:val="18"/>
                <w:color w:val="0000EE"/>
              </w:rPr>
              <w:t>15. Segment Information</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16. Commitments and</w:t>
            </w:r>
          </w:p>
        </w:tc>
        <w:tc>
          <w:tcPr>
            <w:tcW w:w="5360" w:type="dxa"/>
            <w:vAlign w:val="bottom"/>
            <w:gridSpan w:val="24"/>
          </w:tcPr>
          <w:p>
            <w:pPr>
              <w:spacing w:after="0" w:line="182" w:lineRule="exact"/>
              <w:rPr>
                <w:sz w:val="20"/>
                <w:szCs w:val="20"/>
                <w:color w:val="auto"/>
              </w:rPr>
            </w:pPr>
            <w:r>
              <w:rPr>
                <w:rFonts w:ascii="Arial" w:cs="Arial" w:eastAsia="Arial" w:hAnsi="Arial"/>
                <w:sz w:val="18"/>
                <w:szCs w:val="18"/>
                <w:color w:val="0000EE"/>
              </w:rPr>
              <w:t>Contingencies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17. Related Party Transactions</w:t>
            </w:r>
          </w:p>
        </w:tc>
        <w:tc>
          <w:tcPr>
            <w:tcW w:w="6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1080" w:type="dxa"/>
            <w:vAlign w:val="bottom"/>
            <w:gridSpan w:val="8"/>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18. Subsequent Events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460" w:type="dxa"/>
            <w:vAlign w:val="bottom"/>
            <w:gridSpan w:val="4"/>
          </w:tcPr>
          <w:p>
            <w:pPr>
              <w:spacing w:after="0"/>
              <w:rPr>
                <w:sz w:val="15"/>
                <w:szCs w:val="15"/>
                <w:color w:val="auto"/>
              </w:rPr>
            </w:pPr>
          </w:p>
        </w:tc>
        <w:tc>
          <w:tcPr>
            <w:tcW w:w="1080" w:type="dxa"/>
            <w:vAlign w:val="bottom"/>
            <w:gridSpan w:val="8"/>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Arial" w:cs="Arial" w:eastAsia="Arial" w:hAnsi="Arial"/>
                <w:sz w:val="18"/>
                <w:szCs w:val="18"/>
                <w:color w:val="0000EE"/>
              </w:rPr>
              <w:t>Item 2.</w:t>
            </w:r>
          </w:p>
        </w:tc>
        <w:tc>
          <w:tcPr>
            <w:tcW w:w="80" w:type="dxa"/>
            <w:vAlign w:val="bottom"/>
          </w:tcPr>
          <w:p>
            <w:pPr>
              <w:spacing w:after="0"/>
              <w:rPr>
                <w:sz w:val="15"/>
                <w:szCs w:val="15"/>
                <w:color w:val="auto"/>
              </w:rPr>
            </w:pPr>
          </w:p>
        </w:tc>
        <w:tc>
          <w:tcPr>
            <w:tcW w:w="16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77"/>
              </w:rPr>
              <w:t>Management’s Discussion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25"/>
          </w:tcPr>
          <w:p>
            <w:pPr>
              <w:ind w:left="160"/>
              <w:spacing w:after="0" w:line="182" w:lineRule="exact"/>
              <w:rPr>
                <w:sz w:val="20"/>
                <w:szCs w:val="20"/>
                <w:color w:val="auto"/>
              </w:rPr>
            </w:pPr>
            <w:r>
              <w:rPr>
                <w:rFonts w:ascii="Arial" w:cs="Arial" w:eastAsia="Arial" w:hAnsi="Arial"/>
                <w:sz w:val="18"/>
                <w:szCs w:val="18"/>
                <w:color w:val="0000EE"/>
              </w:rPr>
              <w:t>and Analysis of Financial Condition and Results of Operations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bottom w:val="single" w:sz="8" w:color="0000EE"/>
            </w:tcBorders>
          </w:tcPr>
          <w:p>
            <w:pPr>
              <w:spacing w:after="0"/>
              <w:rPr>
                <w:sz w:val="15"/>
                <w:szCs w:val="15"/>
                <w:color w:val="auto"/>
              </w:rPr>
            </w:pPr>
          </w:p>
        </w:tc>
        <w:tc>
          <w:tcPr>
            <w:tcW w:w="70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0"/>
              </w:rPr>
              <w:t>Overview</w:t>
            </w:r>
          </w:p>
        </w:tc>
        <w:tc>
          <w:tcPr>
            <w:tcW w:w="5560" w:type="dxa"/>
            <w:vAlign w:val="bottom"/>
            <w:tcBorders>
              <w:top w:val="single" w:sz="8" w:color="0000EE"/>
            </w:tcBorders>
            <w:gridSpan w:val="37"/>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0000EE"/>
            </w:tcBorders>
          </w:tcPr>
          <w:p>
            <w:pPr>
              <w:spacing w:after="0"/>
              <w:rPr>
                <w:sz w:val="15"/>
                <w:szCs w:val="15"/>
                <w:color w:val="auto"/>
              </w:rPr>
            </w:pPr>
          </w:p>
        </w:tc>
        <w:tc>
          <w:tcPr>
            <w:tcW w:w="158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0"/>
              </w:rPr>
              <w:t>Key Business Metrics</w:t>
            </w:r>
          </w:p>
        </w:tc>
        <w:tc>
          <w:tcPr>
            <w:tcW w:w="5480" w:type="dxa"/>
            <w:vAlign w:val="bottom"/>
            <w:gridSpan w:val="2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2"/>
          </w:tcPr>
          <w:p>
            <w:pPr>
              <w:spacing w:after="0" w:line="182" w:lineRule="exact"/>
              <w:rPr>
                <w:sz w:val="20"/>
                <w:szCs w:val="20"/>
                <w:color w:val="auto"/>
              </w:rPr>
            </w:pPr>
            <w:r>
              <w:rPr>
                <w:rFonts w:ascii="Arial" w:cs="Arial" w:eastAsia="Arial" w:hAnsi="Arial"/>
                <w:sz w:val="18"/>
                <w:szCs w:val="18"/>
                <w:color w:val="0000EE"/>
              </w:rPr>
              <w:t>Significant Developments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Results of Operations</w:t>
            </w:r>
          </w:p>
        </w:tc>
        <w:tc>
          <w:tcPr>
            <w:tcW w:w="28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460" w:type="dxa"/>
            <w:vAlign w:val="bottom"/>
            <w:gridSpan w:val="4"/>
          </w:tcPr>
          <w:p>
            <w:pPr>
              <w:spacing w:after="0"/>
              <w:rPr>
                <w:sz w:val="15"/>
                <w:szCs w:val="15"/>
                <w:color w:val="auto"/>
              </w:rPr>
            </w:pPr>
          </w:p>
        </w:tc>
        <w:tc>
          <w:tcPr>
            <w:tcW w:w="1080" w:type="dxa"/>
            <w:vAlign w:val="bottom"/>
            <w:gridSpan w:val="8"/>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3"/>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Critical Accounting</w:t>
            </w:r>
          </w:p>
        </w:tc>
        <w:tc>
          <w:tcPr>
            <w:tcW w:w="5500" w:type="dxa"/>
            <w:vAlign w:val="bottom"/>
            <w:gridSpan w:val="26"/>
          </w:tcPr>
          <w:p>
            <w:pPr>
              <w:spacing w:after="0" w:line="182" w:lineRule="exact"/>
              <w:rPr>
                <w:sz w:val="20"/>
                <w:szCs w:val="20"/>
                <w:color w:val="auto"/>
              </w:rPr>
            </w:pPr>
            <w:r>
              <w:rPr>
                <w:rFonts w:ascii="Arial" w:cs="Arial" w:eastAsia="Arial" w:hAnsi="Arial"/>
                <w:sz w:val="18"/>
                <w:szCs w:val="18"/>
                <w:color w:val="0000EE"/>
              </w:rPr>
              <w:t>Policies and Estimates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EE"/>
              <w:bottom w:val="single" w:sz="8" w:color="0000EE"/>
            </w:tcBorders>
          </w:tcPr>
          <w:p>
            <w:pPr>
              <w:spacing w:after="0"/>
              <w:rPr>
                <w:sz w:val="15"/>
                <w:szCs w:val="15"/>
                <w:color w:val="auto"/>
              </w:rPr>
            </w:pPr>
          </w:p>
        </w:tc>
        <w:tc>
          <w:tcPr>
            <w:tcW w:w="2320" w:type="dxa"/>
            <w:vAlign w:val="bottom"/>
            <w:tcBorders>
              <w:top w:val="single" w:sz="8" w:color="0000EE"/>
              <w:bottom w:val="single" w:sz="8" w:color="0000EE"/>
            </w:tcBorders>
            <w:gridSpan w:val="24"/>
          </w:tcPr>
          <w:p>
            <w:pPr>
              <w:spacing w:after="0" w:line="182" w:lineRule="exact"/>
              <w:rPr>
                <w:sz w:val="20"/>
                <w:szCs w:val="20"/>
                <w:color w:val="auto"/>
              </w:rPr>
            </w:pPr>
            <w:r>
              <w:rPr>
                <w:rFonts w:ascii="Arial" w:cs="Arial" w:eastAsia="Arial" w:hAnsi="Arial"/>
                <w:sz w:val="18"/>
                <w:szCs w:val="18"/>
                <w:color w:val="0000EE"/>
                <w:w w:val="90"/>
              </w:rPr>
              <w:t>Liquidity and Capital Resources</w:t>
            </w:r>
          </w:p>
        </w:tc>
        <w:tc>
          <w:tcPr>
            <w:tcW w:w="760" w:type="dxa"/>
            <w:vAlign w:val="bottom"/>
            <w:tcBorders>
              <w:top w:val="single" w:sz="8" w:color="0000EE"/>
            </w:tcBorders>
            <w:gridSpan w:val="6"/>
          </w:tcPr>
          <w:p>
            <w:pPr>
              <w:spacing w:after="0"/>
              <w:rPr>
                <w:sz w:val="15"/>
                <w:szCs w:val="15"/>
                <w:color w:val="auto"/>
              </w:rPr>
            </w:pPr>
          </w:p>
        </w:tc>
        <w:tc>
          <w:tcPr>
            <w:tcW w:w="1080" w:type="dxa"/>
            <w:vAlign w:val="bottom"/>
            <w:gridSpan w:val="8"/>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3"/>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2"/>
          </w:tcPr>
          <w:p>
            <w:pPr>
              <w:spacing w:after="0" w:line="182" w:lineRule="exact"/>
              <w:rPr>
                <w:sz w:val="20"/>
                <w:szCs w:val="20"/>
                <w:color w:val="auto"/>
              </w:rPr>
            </w:pPr>
            <w:r>
              <w:rPr>
                <w:rFonts w:ascii="Arial" w:cs="Arial" w:eastAsia="Arial" w:hAnsi="Arial"/>
                <w:sz w:val="18"/>
                <w:szCs w:val="18"/>
                <w:color w:val="0000EE"/>
              </w:rPr>
              <w:t>Recent Accounting Pronouncements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Arial" w:cs="Arial" w:eastAsia="Arial" w:hAnsi="Arial"/>
                <w:sz w:val="18"/>
                <w:szCs w:val="18"/>
                <w:color w:val="0000EE"/>
              </w:rPr>
              <w:t>Item 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w w:val="81"/>
              </w:rPr>
              <w:t>Quantitative and Qualitative Disclosures</w:t>
            </w:r>
          </w:p>
        </w:tc>
        <w:tc>
          <w:tcPr>
            <w:tcW w:w="4440" w:type="dxa"/>
            <w:vAlign w:val="bottom"/>
            <w:gridSpan w:val="16"/>
          </w:tcPr>
          <w:p>
            <w:pPr>
              <w:ind w:left="160"/>
              <w:spacing w:after="0" w:line="182" w:lineRule="exact"/>
              <w:rPr>
                <w:sz w:val="20"/>
                <w:szCs w:val="20"/>
                <w:color w:val="auto"/>
              </w:rPr>
            </w:pPr>
            <w:r>
              <w:rPr>
                <w:rFonts w:ascii="Arial" w:cs="Arial" w:eastAsia="Arial" w:hAnsi="Arial"/>
                <w:sz w:val="18"/>
                <w:szCs w:val="18"/>
                <w:color w:val="0000EE"/>
              </w:rPr>
              <w:t>Regarding Market Risk</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0"/>
              </w:rPr>
              <w:t>Item 4.</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87"/>
              </w:rPr>
              <w:t>Controls and Procedures</w:t>
            </w:r>
          </w:p>
        </w:tc>
        <w:tc>
          <w:tcPr>
            <w:tcW w:w="2880" w:type="dxa"/>
            <w:vAlign w:val="bottom"/>
            <w:tcBorders>
              <w:top w:val="single" w:sz="8" w:color="0000EE"/>
            </w:tcBorders>
            <w:gridSpan w:val="22"/>
          </w:tcPr>
          <w:p>
            <w:pPr>
              <w:spacing w:after="0"/>
              <w:rPr>
                <w:sz w:val="15"/>
                <w:szCs w:val="15"/>
                <w:color w:val="auto"/>
              </w:rPr>
            </w:pPr>
          </w:p>
        </w:tc>
        <w:tc>
          <w:tcPr>
            <w:tcW w:w="2600" w:type="dxa"/>
            <w:vAlign w:val="bottom"/>
            <w:gridSpan w:val="3"/>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Arial" w:cs="Arial" w:eastAsia="Arial" w:hAnsi="Arial"/>
                <w:sz w:val="18"/>
                <w:szCs w:val="18"/>
                <w:b w:val="1"/>
                <w:bCs w:val="1"/>
                <w:color w:val="0000EE"/>
              </w:rPr>
              <w:t>Part II.</w:t>
            </w:r>
          </w:p>
        </w:tc>
        <w:tc>
          <w:tcPr>
            <w:tcW w:w="1760" w:type="dxa"/>
            <w:vAlign w:val="bottom"/>
            <w:gridSpan w:val="19"/>
          </w:tcPr>
          <w:p>
            <w:pPr>
              <w:spacing w:after="0" w:line="182" w:lineRule="exact"/>
              <w:rPr>
                <w:sz w:val="20"/>
                <w:szCs w:val="20"/>
                <w:color w:val="auto"/>
              </w:rPr>
            </w:pPr>
            <w:r>
              <w:rPr>
                <w:rFonts w:ascii="Arial" w:cs="Arial" w:eastAsia="Arial" w:hAnsi="Arial"/>
                <w:sz w:val="18"/>
                <w:szCs w:val="18"/>
                <w:b w:val="1"/>
                <w:bCs w:val="1"/>
                <w:color w:val="0000EE"/>
              </w:rPr>
              <w:t>Other Information</w:t>
            </w:r>
          </w:p>
        </w:tc>
        <w:tc>
          <w:tcPr>
            <w:tcW w:w="560" w:type="dxa"/>
            <w:vAlign w:val="bottom"/>
            <w:gridSpan w:val="6"/>
          </w:tcPr>
          <w:p>
            <w:pPr>
              <w:spacing w:after="0"/>
              <w:rPr>
                <w:sz w:val="15"/>
                <w:szCs w:val="15"/>
                <w:color w:val="auto"/>
              </w:rPr>
            </w:pPr>
          </w:p>
        </w:tc>
        <w:tc>
          <w:tcPr>
            <w:tcW w:w="2020" w:type="dxa"/>
            <w:vAlign w:val="bottom"/>
            <w:gridSpan w:val="15"/>
          </w:tcPr>
          <w:p>
            <w:pPr>
              <w:spacing w:after="0"/>
              <w:rPr>
                <w:sz w:val="15"/>
                <w:szCs w:val="15"/>
                <w:color w:val="auto"/>
              </w:rPr>
            </w:pPr>
          </w:p>
        </w:tc>
        <w:tc>
          <w:tcPr>
            <w:tcW w:w="290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4"/>
              </w:rPr>
              <w:t>Item 1.</w:t>
            </w: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5"/>
              </w:rPr>
              <w:t>Legal Proceedings</w:t>
            </w:r>
          </w:p>
        </w:tc>
        <w:tc>
          <w:tcPr>
            <w:tcW w:w="880" w:type="dxa"/>
            <w:vAlign w:val="bottom"/>
            <w:gridSpan w:val="12"/>
          </w:tcPr>
          <w:p>
            <w:pPr>
              <w:spacing w:after="0"/>
              <w:rPr>
                <w:sz w:val="15"/>
                <w:szCs w:val="15"/>
                <w:color w:val="auto"/>
              </w:rPr>
            </w:pPr>
          </w:p>
        </w:tc>
        <w:tc>
          <w:tcPr>
            <w:tcW w:w="2020" w:type="dxa"/>
            <w:vAlign w:val="bottom"/>
            <w:gridSpan w:val="15"/>
          </w:tcPr>
          <w:p>
            <w:pPr>
              <w:spacing w:after="0"/>
              <w:rPr>
                <w:sz w:val="15"/>
                <w:szCs w:val="15"/>
                <w:color w:val="auto"/>
              </w:rPr>
            </w:pPr>
          </w:p>
        </w:tc>
        <w:tc>
          <w:tcPr>
            <w:tcW w:w="290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2020" w:type="dxa"/>
            <w:vAlign w:val="bottom"/>
            <w:gridSpan w:val="15"/>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20" w:type="dxa"/>
            <w:vAlign w:val="bottom"/>
            <w:gridSpan w:val="50"/>
          </w:tcPr>
          <w:p>
            <w:pPr>
              <w:spacing w:after="0" w:line="182" w:lineRule="exact"/>
              <w:rPr>
                <w:sz w:val="20"/>
                <w:szCs w:val="20"/>
                <w:color w:val="auto"/>
              </w:rPr>
            </w:pPr>
            <w:r>
              <w:rPr>
                <w:rFonts w:ascii="Arial" w:cs="Arial" w:eastAsia="Arial" w:hAnsi="Arial"/>
                <w:sz w:val="18"/>
                <w:szCs w:val="18"/>
                <w:color w:val="0000EE"/>
              </w:rPr>
              <w:t>Item 1A. Risk Factors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w:t>
            </w:r>
          </w:p>
        </w:tc>
        <w:tc>
          <w:tcPr>
            <w:tcW w:w="40" w:type="dxa"/>
            <w:vAlign w:val="bottom"/>
          </w:tcPr>
          <w:p>
            <w:pPr>
              <w:spacing w:after="0"/>
              <w:rPr>
                <w:sz w:val="15"/>
                <w:szCs w:val="15"/>
                <w:color w:val="auto"/>
              </w:rPr>
            </w:pPr>
          </w:p>
        </w:tc>
        <w:tc>
          <w:tcPr>
            <w:tcW w:w="9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85"/>
              </w:rPr>
              <w:t>Unregistered</w:t>
            </w:r>
          </w:p>
        </w:tc>
        <w:tc>
          <w:tcPr>
            <w:tcW w:w="6340" w:type="dxa"/>
            <w:vAlign w:val="bottom"/>
            <w:gridSpan w:val="37"/>
          </w:tcPr>
          <w:p>
            <w:pPr>
              <w:ind w:left="60"/>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4"/>
              </w:rPr>
              <w:t>Item 3.</w:t>
            </w:r>
          </w:p>
        </w:tc>
        <w:tc>
          <w:tcPr>
            <w:tcW w:w="140" w:type="dxa"/>
            <w:vAlign w:val="bottom"/>
            <w:gridSpan w:val="3"/>
          </w:tcPr>
          <w:p>
            <w:pPr>
              <w:spacing w:after="0"/>
              <w:rPr>
                <w:sz w:val="15"/>
                <w:szCs w:val="15"/>
                <w:color w:val="auto"/>
              </w:rPr>
            </w:pPr>
          </w:p>
        </w:tc>
        <w:tc>
          <w:tcPr>
            <w:tcW w:w="4340" w:type="dxa"/>
            <w:vAlign w:val="bottom"/>
            <w:tcBorders>
              <w:top w:val="single" w:sz="8" w:color="0000EE"/>
            </w:tcBorders>
            <w:gridSpan w:val="40"/>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90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4"/>
              </w:rPr>
              <w:t>Item 4.</w:t>
            </w:r>
          </w:p>
        </w:tc>
        <w:tc>
          <w:tcPr>
            <w:tcW w:w="140" w:type="dxa"/>
            <w:vAlign w:val="bottom"/>
            <w:gridSpan w:val="3"/>
          </w:tcPr>
          <w:p>
            <w:pPr>
              <w:spacing w:after="0"/>
              <w:rPr>
                <w:sz w:val="15"/>
                <w:szCs w:val="15"/>
                <w:color w:val="auto"/>
              </w:rPr>
            </w:pPr>
          </w:p>
        </w:tc>
        <w:tc>
          <w:tcPr>
            <w:tcW w:w="232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Mine Safety Disclosures</w:t>
            </w:r>
          </w:p>
        </w:tc>
        <w:tc>
          <w:tcPr>
            <w:tcW w:w="4920" w:type="dxa"/>
            <w:vAlign w:val="bottom"/>
            <w:gridSpan w:val="19"/>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4"/>
              </w:rPr>
              <w:t>Item 5.</w:t>
            </w:r>
          </w:p>
        </w:tc>
        <w:tc>
          <w:tcPr>
            <w:tcW w:w="140" w:type="dxa"/>
            <w:vAlign w:val="bottom"/>
            <w:gridSpan w:val="3"/>
          </w:tcPr>
          <w:p>
            <w:pPr>
              <w:spacing w:after="0"/>
              <w:rPr>
                <w:sz w:val="15"/>
                <w:szCs w:val="15"/>
                <w:color w:val="auto"/>
              </w:rPr>
            </w:pPr>
          </w:p>
        </w:tc>
        <w:tc>
          <w:tcPr>
            <w:tcW w:w="17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Other Information</w:t>
            </w:r>
          </w:p>
        </w:tc>
        <w:tc>
          <w:tcPr>
            <w:tcW w:w="5480" w:type="dxa"/>
            <w:vAlign w:val="bottom"/>
            <w:gridSpan w:val="2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4"/>
              </w:rPr>
              <w:t>Item 6.</w:t>
            </w:r>
          </w:p>
        </w:tc>
        <w:tc>
          <w:tcPr>
            <w:tcW w:w="140" w:type="dxa"/>
            <w:vAlign w:val="bottom"/>
            <w:gridSpan w:val="3"/>
          </w:tcPr>
          <w:p>
            <w:pPr>
              <w:spacing w:after="0"/>
              <w:rPr>
                <w:sz w:val="15"/>
                <w:szCs w:val="15"/>
                <w:color w:val="auto"/>
              </w:rPr>
            </w:pPr>
          </w:p>
        </w:tc>
        <w:tc>
          <w:tcPr>
            <w:tcW w:w="6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9"/>
          </w:tcPr>
          <w:p>
            <w:pPr>
              <w:spacing w:after="0"/>
              <w:rPr>
                <w:sz w:val="15"/>
                <w:szCs w:val="15"/>
                <w:color w:val="auto"/>
              </w:rPr>
            </w:pPr>
          </w:p>
        </w:tc>
        <w:tc>
          <w:tcPr>
            <w:tcW w:w="5920" w:type="dxa"/>
            <w:vAlign w:val="bottom"/>
            <w:gridSpan w:val="32"/>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20" w:type="dxa"/>
            <w:vAlign w:val="bottom"/>
            <w:gridSpan w:val="50"/>
          </w:tcPr>
          <w:p>
            <w:pPr>
              <w:spacing w:after="0" w:line="182" w:lineRule="exact"/>
              <w:rPr>
                <w:sz w:val="20"/>
                <w:szCs w:val="20"/>
                <w:color w:val="auto"/>
              </w:rPr>
            </w:pPr>
            <w:r>
              <w:rPr>
                <w:rFonts w:ascii="Arial" w:cs="Arial" w:eastAsia="Arial" w:hAnsi="Arial"/>
                <w:sz w:val="18"/>
                <w:szCs w:val="18"/>
                <w:color w:val="0000EE"/>
              </w:rPr>
              <w:t>Signatures</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90"/>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Westrock Coffee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(Thousands, except unit values)</w:t>
            </w:r>
          </w:p>
        </w:tc>
        <w:tc>
          <w:tcPr>
            <w:tcW w:w="14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June 30, 2022</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2021</w:t>
            </w:r>
          </w:p>
        </w:tc>
      </w:tr>
      <w:tr>
        <w:trPr>
          <w:trHeight w:val="155"/>
        </w:trPr>
        <w:tc>
          <w:tcPr>
            <w:tcW w:w="612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Cash and cash equivalents</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14,343</w:t>
            </w:r>
          </w:p>
        </w:tc>
        <w:tc>
          <w:tcPr>
            <w:tcW w:w="200" w:type="dxa"/>
            <w:vAlign w:val="bottom"/>
          </w:tcPr>
          <w:p>
            <w:pPr>
              <w:spacing w:after="0"/>
              <w:rPr>
                <w:sz w:val="14"/>
                <w:szCs w:val="14"/>
                <w:color w:val="auto"/>
              </w:rPr>
            </w:pPr>
          </w:p>
        </w:tc>
        <w:tc>
          <w:tcPr>
            <w:tcW w:w="340" w:type="dxa"/>
            <w:vAlign w:val="bottom"/>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19,344</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Restricted cash</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3,842</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3,526</w:t>
            </w: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Accounts receivable, net of allowance for credit losses of $2,392 and $3,749, respectively</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96,001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85,795</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Inventories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155,323</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109,166</w:t>
            </w: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Derivative assets</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15,692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13,765</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8,894</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6,410</w:t>
            </w:r>
          </w:p>
        </w:tc>
      </w:tr>
      <w:tr>
        <w:trPr>
          <w:trHeight w:val="155"/>
        </w:trPr>
        <w:tc>
          <w:tcPr>
            <w:tcW w:w="6300" w:type="dxa"/>
            <w:vAlign w:val="bottom"/>
            <w:gridSpan w:val="2"/>
          </w:tcPr>
          <w:p>
            <w:pPr>
              <w:ind w:left="440"/>
              <w:spacing w:after="0" w:line="156" w:lineRule="exact"/>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294,095</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238,006</w:t>
            </w:r>
          </w:p>
        </w:tc>
      </w:tr>
      <w:tr>
        <w:trPr>
          <w:trHeight w:val="162"/>
        </w:trPr>
        <w:tc>
          <w:tcPr>
            <w:tcW w:w="6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Property, plant and equipment, net</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131,802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127,613</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Goodwill</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97,053</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97,053</w:t>
            </w: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122,565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125,914</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Other long-term assets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15,931</w:t>
            </w:r>
          </w:p>
        </w:tc>
        <w:tc>
          <w:tcPr>
            <w:tcW w:w="2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4,434</w:t>
            </w:r>
          </w:p>
        </w:tc>
      </w:tr>
      <w:tr>
        <w:trPr>
          <w:trHeight w:val="196"/>
        </w:trPr>
        <w:tc>
          <w:tcPr>
            <w:tcW w:w="6300" w:type="dxa"/>
            <w:vAlign w:val="bottom"/>
            <w:tcBorders>
              <w:bottom w:val="single" w:sz="8" w:color="CCEEFF"/>
            </w:tcBorders>
            <w:gridSpan w:val="2"/>
          </w:tcPr>
          <w:p>
            <w:pPr>
              <w:ind w:left="20"/>
              <w:spacing w:after="0" w:line="156" w:lineRule="exact"/>
              <w:rPr>
                <w:sz w:val="20"/>
                <w:szCs w:val="20"/>
                <w:color w:val="auto"/>
              </w:rPr>
            </w:pPr>
            <w:r>
              <w:rPr>
                <w:rFonts w:ascii="Arial" w:cs="Arial" w:eastAsia="Arial" w:hAnsi="Arial"/>
                <w:sz w:val="15"/>
                <w:szCs w:val="15"/>
                <w:color w:val="auto"/>
              </w:rPr>
              <w:t>Total Assets</w:t>
            </w: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661,446</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593,020</w:t>
            </w:r>
          </w:p>
        </w:tc>
      </w:tr>
      <w:tr>
        <w:trPr>
          <w:trHeight w:val="143"/>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2"/>
        </w:trPr>
        <w:tc>
          <w:tcPr>
            <w:tcW w:w="63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LIABILITIES, REDEEMABLE UNITS, AND UNITHOLDERS' DEFICIT</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Current maturities of long-term debt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8,157</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8,735</w:t>
            </w: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Short-term debt</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67,871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4,510</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Short-term related party debt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34,199</w:t>
            </w: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Accounts payable</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117,871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80,405</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Derivative liabilities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7,583</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14,021</w:t>
            </w:r>
          </w:p>
        </w:tc>
      </w:tr>
      <w:tr>
        <w:trPr>
          <w:trHeight w:val="162"/>
        </w:trPr>
        <w:tc>
          <w:tcPr>
            <w:tcW w:w="6300" w:type="dxa"/>
            <w:vAlign w:val="bottom"/>
            <w:tcBorders>
              <w:bottom w:val="single" w:sz="8" w:color="CCEEFF"/>
            </w:tcBorders>
            <w:gridSpan w:val="2"/>
          </w:tcPr>
          <w:p>
            <w:pPr>
              <w:ind w:left="22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29,842</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26,370</w:t>
            </w:r>
          </w:p>
        </w:tc>
      </w:tr>
      <w:tr>
        <w:trPr>
          <w:trHeight w:val="155"/>
        </w:trPr>
        <w:tc>
          <w:tcPr>
            <w:tcW w:w="6300" w:type="dxa"/>
            <w:vAlign w:val="bottom"/>
            <w:gridSpan w:val="2"/>
            <w:shd w:val="clear" w:color="auto" w:fill="CCEEFF"/>
          </w:tcPr>
          <w:p>
            <w:pPr>
              <w:ind w:left="440"/>
              <w:spacing w:after="0" w:line="156" w:lineRule="exact"/>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231,324</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168,240</w:t>
            </w:r>
          </w:p>
        </w:tc>
      </w:tr>
      <w:tr>
        <w:trPr>
          <w:trHeight w:val="162"/>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Long-term debt, net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297,044</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277,064</w:t>
            </w: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Subordinated related party debt</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13,300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13,300</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Deferred income taxes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20,132</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25,515</w:t>
            </w:r>
          </w:p>
        </w:tc>
      </w:tr>
      <w:tr>
        <w:trPr>
          <w:trHeight w:val="162"/>
        </w:trPr>
        <w:tc>
          <w:tcPr>
            <w:tcW w:w="6300" w:type="dxa"/>
            <w:vAlign w:val="bottom"/>
            <w:tcBorders>
              <w:bottom w:val="single" w:sz="8" w:color="CCEEFF"/>
            </w:tcBorders>
            <w:gridSpan w:val="2"/>
          </w:tcPr>
          <w:p>
            <w:pPr>
              <w:ind w:left="220"/>
              <w:spacing w:after="0" w:line="162" w:lineRule="exact"/>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11,589</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3,028</w:t>
            </w:r>
          </w:p>
        </w:tc>
      </w:tr>
      <w:tr>
        <w:trPr>
          <w:trHeight w:val="155"/>
        </w:trPr>
        <w:tc>
          <w:tcPr>
            <w:tcW w:w="6300" w:type="dxa"/>
            <w:vAlign w:val="bottom"/>
            <w:gridSpan w:val="2"/>
            <w:shd w:val="clear" w:color="auto" w:fill="CCEEFF"/>
          </w:tcPr>
          <w:p>
            <w:pPr>
              <w:ind w:left="440"/>
              <w:spacing w:after="0" w:line="156" w:lineRule="exact"/>
              <w:rPr>
                <w:sz w:val="20"/>
                <w:szCs w:val="20"/>
                <w:color w:val="auto"/>
              </w:rPr>
            </w:pPr>
            <w:r>
              <w:rPr>
                <w:rFonts w:ascii="Arial" w:cs="Arial" w:eastAsia="Arial" w:hAnsi="Arial"/>
                <w:sz w:val="15"/>
                <w:szCs w:val="15"/>
                <w:color w:val="auto"/>
              </w:rPr>
              <w:t>Total liabilities</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573,389</w:t>
            </w:r>
          </w:p>
        </w:tc>
        <w:tc>
          <w:tcPr>
            <w:tcW w:w="2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487,147</w:t>
            </w:r>
          </w:p>
        </w:tc>
      </w:tr>
      <w:tr>
        <w:trPr>
          <w:trHeight w:val="155"/>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63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Commitments and contingencies (Note 16)</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6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w w:val="99"/>
              </w:rPr>
              <w:t>Series A Redeemable Common Equivalent Preferred Units: $0 par value, 222,150,000 units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5"/>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authorized, issued and outstanding</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277,762</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264,729</w:t>
            </w:r>
          </w:p>
        </w:tc>
      </w:tr>
      <w:tr>
        <w:trPr>
          <w:trHeight w:val="149"/>
        </w:trPr>
        <w:tc>
          <w:tcPr>
            <w:tcW w:w="6300" w:type="dxa"/>
            <w:vAlign w:val="bottom"/>
            <w:gridSpan w:val="2"/>
          </w:tcPr>
          <w:p>
            <w:pPr>
              <w:ind w:left="220"/>
              <w:spacing w:after="0" w:line="149" w:lineRule="exact"/>
              <w:rPr>
                <w:sz w:val="20"/>
                <w:szCs w:val="20"/>
                <w:color w:val="auto"/>
              </w:rPr>
            </w:pPr>
            <w:r>
              <w:rPr>
                <w:rFonts w:ascii="Arial" w:cs="Arial" w:eastAsia="Arial" w:hAnsi="Arial"/>
                <w:sz w:val="15"/>
                <w:szCs w:val="15"/>
                <w:color w:val="auto"/>
              </w:rPr>
              <w:t>Series B Redeemable Common Equivalent Preferred Units: $0 par value, 17,000,000 units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5"/>
        </w:trPr>
        <w:tc>
          <w:tcPr>
            <w:tcW w:w="6300" w:type="dxa"/>
            <w:vAlign w:val="bottom"/>
            <w:gridSpan w:val="2"/>
          </w:tcPr>
          <w:p>
            <w:pPr>
              <w:ind w:left="220"/>
              <w:spacing w:after="0"/>
              <w:rPr>
                <w:sz w:val="20"/>
                <w:szCs w:val="20"/>
                <w:color w:val="auto"/>
              </w:rPr>
            </w:pPr>
            <w:r>
              <w:rPr>
                <w:rFonts w:ascii="Arial" w:cs="Arial" w:eastAsia="Arial" w:hAnsi="Arial"/>
                <w:sz w:val="15"/>
                <w:szCs w:val="15"/>
                <w:color w:val="auto"/>
              </w:rPr>
              <w:t>authorized, issued and outstanding</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17,991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17,142</w:t>
            </w:r>
          </w:p>
        </w:tc>
      </w:tr>
      <w:tr>
        <w:trPr>
          <w:trHeight w:val="162"/>
        </w:trPr>
        <w:tc>
          <w:tcPr>
            <w:tcW w:w="6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6300" w:type="dxa"/>
            <w:vAlign w:val="bottom"/>
            <w:gridSpan w:val="2"/>
          </w:tcPr>
          <w:p>
            <w:pPr>
              <w:ind w:left="20"/>
              <w:spacing w:after="0" w:line="162" w:lineRule="exact"/>
              <w:rPr>
                <w:sz w:val="20"/>
                <w:szCs w:val="20"/>
                <w:color w:val="auto"/>
              </w:rPr>
            </w:pPr>
            <w:r>
              <w:rPr>
                <w:rFonts w:ascii="Arial" w:cs="Arial" w:eastAsia="Arial" w:hAnsi="Arial"/>
                <w:sz w:val="15"/>
                <w:szCs w:val="15"/>
                <w:b w:val="1"/>
                <w:bCs w:val="1"/>
                <w:i w:val="1"/>
                <w:iCs w:val="1"/>
                <w:color w:val="auto"/>
              </w:rPr>
              <w:t>Unitholders' Deficit</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6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w w:val="95"/>
              </w:rPr>
              <w:t>Common Units: $0 par value 375,420,213 units authorized; 332,209,476 units and 329,042,787</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5"/>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units issued and outstanding at June 30, 2022 and December 31, 2021, respectively</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62"/>
        </w:trPr>
        <w:tc>
          <w:tcPr>
            <w:tcW w:w="630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Additional paid-in-capital</w:t>
            </w:r>
          </w:p>
        </w:tc>
        <w:tc>
          <w:tcPr>
            <w:tcW w:w="14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60,975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60,973</w:t>
            </w:r>
          </w:p>
        </w:tc>
      </w:tr>
      <w:tr>
        <w:trPr>
          <w:trHeight w:val="162"/>
        </w:trPr>
        <w:tc>
          <w:tcPr>
            <w:tcW w:w="6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Accumulated deficit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(276,196)</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(251,725)</w:t>
            </w:r>
          </w:p>
        </w:tc>
      </w:tr>
      <w:tr>
        <w:trPr>
          <w:trHeight w:val="162"/>
        </w:trPr>
        <w:tc>
          <w:tcPr>
            <w:tcW w:w="6300" w:type="dxa"/>
            <w:vAlign w:val="bottom"/>
            <w:tcBorders>
              <w:bottom w:val="single" w:sz="8" w:color="CCEEFF"/>
            </w:tcBorders>
            <w:gridSpan w:val="2"/>
          </w:tcPr>
          <w:p>
            <w:pPr>
              <w:ind w:left="220"/>
              <w:spacing w:after="0" w:line="162" w:lineRule="exact"/>
              <w:rPr>
                <w:sz w:val="20"/>
                <w:szCs w:val="20"/>
                <w:color w:val="auto"/>
              </w:rPr>
            </w:pPr>
            <w:r>
              <w:rPr>
                <w:rFonts w:ascii="Arial" w:cs="Arial" w:eastAsia="Arial" w:hAnsi="Arial"/>
                <w:sz w:val="15"/>
                <w:szCs w:val="15"/>
                <w:color w:val="auto"/>
              </w:rPr>
              <w:t>Accumulated other comprehensive income</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4,724</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12,018</w:t>
            </w:r>
          </w:p>
        </w:tc>
      </w:tr>
      <w:tr>
        <w:trPr>
          <w:trHeight w:val="156"/>
        </w:trPr>
        <w:tc>
          <w:tcPr>
            <w:tcW w:w="6300" w:type="dxa"/>
            <w:vAlign w:val="bottom"/>
            <w:gridSpan w:val="2"/>
            <w:shd w:val="clear" w:color="auto" w:fill="CCEEFF"/>
          </w:tcPr>
          <w:p>
            <w:pPr>
              <w:ind w:left="440"/>
              <w:spacing w:after="0" w:line="156" w:lineRule="exact"/>
              <w:rPr>
                <w:sz w:val="20"/>
                <w:szCs w:val="20"/>
                <w:color w:val="auto"/>
              </w:rPr>
            </w:pPr>
            <w:r>
              <w:rPr>
                <w:rFonts w:ascii="Arial" w:cs="Arial" w:eastAsia="Arial" w:hAnsi="Arial"/>
                <w:sz w:val="15"/>
                <w:szCs w:val="15"/>
                <w:b w:val="1"/>
                <w:bCs w:val="1"/>
                <w:color w:val="auto"/>
              </w:rPr>
              <w:t>Total unitholders' deficit attributable to Westrock Coffee Holdings, LLC</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(210,497)</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(178,734)</w:t>
            </w:r>
          </w:p>
        </w:tc>
      </w:tr>
      <w:tr>
        <w:trPr>
          <w:trHeight w:val="162"/>
        </w:trPr>
        <w:tc>
          <w:tcPr>
            <w:tcW w:w="6300" w:type="dxa"/>
            <w:vAlign w:val="bottom"/>
            <w:tcBorders>
              <w:bottom w:val="single" w:sz="8" w:color="CCEEFF"/>
            </w:tcBorders>
            <w:gridSpan w:val="2"/>
          </w:tcPr>
          <w:p>
            <w:pPr>
              <w:ind w:left="220"/>
              <w:spacing w:after="0" w:line="162" w:lineRule="exact"/>
              <w:rPr>
                <w:sz w:val="20"/>
                <w:szCs w:val="20"/>
                <w:color w:val="auto"/>
              </w:rPr>
            </w:pPr>
            <w:r>
              <w:rPr>
                <w:rFonts w:ascii="Arial" w:cs="Arial" w:eastAsia="Arial" w:hAnsi="Arial"/>
                <w:sz w:val="15"/>
                <w:szCs w:val="15"/>
                <w:color w:val="auto"/>
              </w:rPr>
              <w:t>Noncontrolling interest</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2,801</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2,736</w:t>
            </w:r>
          </w:p>
        </w:tc>
      </w:tr>
      <w:tr>
        <w:trPr>
          <w:trHeight w:val="156"/>
        </w:trPr>
        <w:tc>
          <w:tcPr>
            <w:tcW w:w="6300" w:type="dxa"/>
            <w:vAlign w:val="bottom"/>
            <w:gridSpan w:val="2"/>
            <w:shd w:val="clear" w:color="auto" w:fill="CCEEFF"/>
          </w:tcPr>
          <w:p>
            <w:pPr>
              <w:ind w:left="440"/>
              <w:spacing w:after="0" w:line="156" w:lineRule="exact"/>
              <w:rPr>
                <w:sz w:val="20"/>
                <w:szCs w:val="20"/>
                <w:color w:val="auto"/>
              </w:rPr>
            </w:pPr>
            <w:r>
              <w:rPr>
                <w:rFonts w:ascii="Arial" w:cs="Arial" w:eastAsia="Arial" w:hAnsi="Arial"/>
                <w:sz w:val="15"/>
                <w:szCs w:val="15"/>
                <w:b w:val="1"/>
                <w:bCs w:val="1"/>
                <w:color w:val="auto"/>
              </w:rPr>
              <w:t>Total unitholders' deficit</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(207,696)</w:t>
            </w:r>
          </w:p>
        </w:tc>
        <w:tc>
          <w:tcPr>
            <w:tcW w:w="2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(175,998)</w:t>
            </w:r>
          </w:p>
        </w:tc>
      </w:tr>
      <w:tr>
        <w:trPr>
          <w:trHeight w:val="155"/>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630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Arial" w:cs="Arial" w:eastAsia="Arial" w:hAnsi="Arial"/>
                <w:sz w:val="15"/>
                <w:szCs w:val="15"/>
                <w:b w:val="1"/>
                <w:bCs w:val="1"/>
                <w:color w:val="auto"/>
              </w:rPr>
              <w:t>Total Liabilities, Redeemable Units and Unitholders' Deficit</w:t>
            </w:r>
          </w:p>
        </w:tc>
        <w:tc>
          <w:tcPr>
            <w:tcW w:w="1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661,446</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593,020</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60" w:right="59"/>
        <w:spacing w:after="0" w:line="263" w:lineRule="auto"/>
        <w:rPr>
          <w:sz w:val="20"/>
          <w:szCs w:val="20"/>
          <w:color w:val="auto"/>
        </w:rPr>
      </w:pPr>
      <w:r>
        <w:rPr>
          <w:rFonts w:ascii="Arial" w:cs="Arial" w:eastAsia="Arial" w:hAnsi="Arial"/>
          <w:sz w:val="18"/>
          <w:szCs w:val="18"/>
          <w:b w:val="1"/>
          <w:bCs w:val="1"/>
          <w:color w:val="auto"/>
        </w:rPr>
        <w:t>WESTROCK COFFEE COMPANY (f/k/a Westrock Coffee Holdings, LLC) CONDENSED CONSOLIDATED STATEMENTS OF OPERATIONS (Unaudited)</w:t>
      </w: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unit data)</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5"/>
        </w:trPr>
        <w:tc>
          <w:tcPr>
            <w:tcW w:w="4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Costs of sales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184,515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332,512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Loss (gain) on disposal of property, plant and equipment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7"/>
              </w:rPr>
              <w:t>Net (loss) income attributable to non-controlling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unitholders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Accumulating preferred dividends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unitholders</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common unit: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units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332,209</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331,195</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332,209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329,043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331,195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(f/k/a Westrock Coffee Holdings,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Three Months Ended June 30,</w:t>
            </w:r>
          </w:p>
        </w:tc>
        <w:tc>
          <w:tcPr>
            <w:tcW w:w="18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56"/>
        </w:trPr>
        <w:tc>
          <w:tcPr>
            <w:tcW w:w="566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3"/>
                <w:szCs w:val="13"/>
                <w:color w:val="auto"/>
              </w:rPr>
            </w:pPr>
          </w:p>
        </w:tc>
        <w:tc>
          <w:tcPr>
            <w:tcW w:w="72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$(10,524)</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$(12,192)</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i w:val="1"/>
                <w:iCs w:val="1"/>
                <w:color w:val="auto"/>
              </w:rPr>
              <w:t>Other comprehensive income (loss), net of tax:</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Unrealized (loss) gain on derivative instruments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other comprehensive (loss)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(1,521)</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(17,818)</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Comprehensive (loss) income attributable to non-controlling interests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9"/>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loss attributable to unitholders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(8,147)</w:t>
            </w: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4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(17,883)</w:t>
            </w:r>
          </w:p>
        </w:tc>
        <w:tc>
          <w:tcPr>
            <w:tcW w:w="4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Accumulating preferred dividends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(6,109)</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loss attributable to common unitholders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(15,292)</w:t>
            </w: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4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(31,765)</w:t>
            </w:r>
          </w:p>
        </w:tc>
        <w:tc>
          <w:tcPr>
            <w:tcW w:w="4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(20,931)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Westrock Coffee Holdings,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UNITHOLDERS’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9"/>
          </w:tcPr>
          <w:p>
            <w:pPr>
              <w:ind w:left="400"/>
              <w:spacing w:after="0"/>
              <w:rPr>
                <w:sz w:val="20"/>
                <w:szCs w:val="20"/>
                <w:color w:val="auto"/>
              </w:rPr>
            </w:pPr>
            <w:r>
              <w:rPr>
                <w:rFonts w:ascii="Arial" w:cs="Arial" w:eastAsia="Arial" w:hAnsi="Arial"/>
                <w:sz w:val="13"/>
                <w:szCs w:val="13"/>
                <w:b w:val="1"/>
                <w:bCs w:val="1"/>
                <w:color w:val="auto"/>
              </w:rPr>
              <w:t>Common Units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3"/>
                <w:szCs w:val="13"/>
                <w:color w:val="auto"/>
              </w:rPr>
            </w:pPr>
          </w:p>
        </w:tc>
        <w:tc>
          <w:tcPr>
            <w:tcW w:w="9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Comprehensive</w:t>
            </w:r>
          </w:p>
        </w:tc>
        <w:tc>
          <w:tcPr>
            <w:tcW w:w="1040" w:type="dxa"/>
            <w:vAlign w:val="bottom"/>
            <w:gridSpan w:val="3"/>
          </w:tcPr>
          <w:p>
            <w:pPr>
              <w:ind w:left="20"/>
              <w:spacing w:after="0"/>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4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(Thousands)</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3"/>
                <w:szCs w:val="13"/>
                <w:b w:val="1"/>
                <w:bCs w:val="1"/>
                <w:color w:val="auto"/>
              </w:rPr>
              <w:t>Units</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6"/>
          </w:tcPr>
          <w:p>
            <w:pPr>
              <w:jc w:val="center"/>
              <w:ind w:right="140"/>
              <w:spacing w:after="0" w:line="129" w:lineRule="exact"/>
              <w:rPr>
                <w:sz w:val="20"/>
                <w:szCs w:val="20"/>
                <w:color w:val="auto"/>
              </w:rPr>
            </w:pPr>
            <w:r>
              <w:rPr>
                <w:rFonts w:ascii="Arial" w:cs="Arial" w:eastAsia="Arial" w:hAnsi="Arial"/>
                <w:sz w:val="13"/>
                <w:szCs w:val="13"/>
                <w:b w:val="1"/>
                <w:bCs w:val="1"/>
                <w:color w:val="auto"/>
                <w:w w:val="90"/>
              </w:rPr>
              <w:t>Paid-in Capital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3"/>
              </w:rPr>
              <w:t>Income</w:t>
            </w:r>
          </w:p>
        </w:tc>
        <w:tc>
          <w:tcPr>
            <w:tcW w:w="160" w:type="dxa"/>
            <w:vAlign w:val="bottom"/>
          </w:tcPr>
          <w:p>
            <w:pPr>
              <w:spacing w:after="0"/>
              <w:rPr>
                <w:sz w:val="11"/>
                <w:szCs w:val="11"/>
                <w:color w:val="auto"/>
              </w:rPr>
            </w:pPr>
          </w:p>
        </w:tc>
        <w:tc>
          <w:tcPr>
            <w:tcW w:w="88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9"/>
              </w:rPr>
              <w:t>Total Deficit</w:t>
            </w:r>
          </w:p>
        </w:tc>
        <w:tc>
          <w:tcPr>
            <w:tcW w:w="0" w:type="dxa"/>
            <w:vAlign w:val="bottom"/>
          </w:tcPr>
          <w:p>
            <w:pPr>
              <w:spacing w:after="0"/>
              <w:rPr>
                <w:sz w:val="1"/>
                <w:szCs w:val="1"/>
                <w:color w:val="auto"/>
              </w:rPr>
            </w:pPr>
          </w:p>
        </w:tc>
      </w:tr>
      <w:tr>
        <w:trPr>
          <w:trHeight w:val="128"/>
        </w:trPr>
        <w:tc>
          <w:tcPr>
            <w:tcW w:w="20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March 31, 2021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329,043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4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60,056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(217,743)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2,718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2,407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(152,562)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(6,094)</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(6,068)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w w:val="97"/>
              </w:rPr>
              <w:t>Other comprehensive income (loss)</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4,547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Accumulating preferred dividends</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(6,109)</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(6,109)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40" w:type="dxa"/>
            <w:vAlign w:val="bottom"/>
            <w:tcBorders>
              <w:bottom w:val="single" w:sz="8" w:color="CCEEFF"/>
            </w:tcBorders>
            <w:gridSpan w:val="3"/>
          </w:tcPr>
          <w:p>
            <w:pPr>
              <w:ind w:left="120"/>
              <w:spacing w:after="0" w:line="129" w:lineRule="exact"/>
              <w:rPr>
                <w:sz w:val="20"/>
                <w:szCs w:val="20"/>
                <w:color w:val="auto"/>
              </w:rPr>
            </w:pPr>
            <w:r>
              <w:rPr>
                <w:rFonts w:ascii="Arial" w:cs="Arial" w:eastAsia="Arial" w:hAnsi="Arial"/>
                <w:sz w:val="13"/>
                <w:szCs w:val="13"/>
                <w:b w:val="1"/>
                <w:bCs w:val="1"/>
                <w:color w:val="auto"/>
              </w:rPr>
              <w:t>Balance at June 30, 2021</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329,043</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ind w:left="54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60,362</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rPr>
              <w:t>(229,946)</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7,265</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(159,886)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Balance at March 31, 2022</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332,210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1"/>
                <w:szCs w:val="11"/>
                <w:color w:val="auto"/>
              </w:rPr>
            </w:pPr>
          </w:p>
        </w:tc>
        <w:tc>
          <w:tcPr>
            <w:tcW w:w="840" w:type="dxa"/>
            <w:vAlign w:val="bottom"/>
            <w:gridSpan w:val="3"/>
          </w:tcPr>
          <w:p>
            <w:pPr>
              <w:ind w:left="540"/>
              <w:spacing w:after="0" w:line="135" w:lineRule="exact"/>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60,667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(263,338)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7,158</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2,907</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(192,606)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6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(5,713)</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(5,819)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w w:val="97"/>
              </w:rPr>
              <w:t>Other comprehensive income (loss)</w:t>
            </w:r>
          </w:p>
        </w:tc>
        <w:tc>
          <w:tcPr>
            <w:tcW w:w="6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(2,434)</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(2,434)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6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Accumulating preferred dividends</w:t>
            </w:r>
          </w:p>
        </w:tc>
        <w:tc>
          <w:tcPr>
            <w:tcW w:w="60" w:type="dxa"/>
            <w:vAlign w:val="bottom"/>
          </w:tcPr>
          <w:p>
            <w:pPr>
              <w:spacing w:after="0"/>
              <w:rPr>
                <w:sz w:val="11"/>
                <w:szCs w:val="11"/>
                <w:color w:val="auto"/>
              </w:rPr>
            </w:pPr>
          </w:p>
        </w:tc>
        <w:tc>
          <w:tcPr>
            <w:tcW w:w="8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(7,145)</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(7,145)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40" w:type="dxa"/>
            <w:vAlign w:val="bottom"/>
            <w:tcBorders>
              <w:top w:val="single" w:sz="8" w:color="CCEEFF"/>
              <w:bottom w:val="single" w:sz="8" w:color="CCEEFF"/>
            </w:tcBorders>
            <w:gridSpan w:val="3"/>
            <w:shd w:val="clear" w:color="auto" w:fill="CCEEFF"/>
          </w:tcPr>
          <w:p>
            <w:pPr>
              <w:ind w:left="120"/>
              <w:spacing w:after="0" w:line="129" w:lineRule="exact"/>
              <w:rPr>
                <w:sz w:val="20"/>
                <w:szCs w:val="20"/>
                <w:color w:val="auto"/>
              </w:rPr>
            </w:pPr>
            <w:r>
              <w:rPr>
                <w:rFonts w:ascii="Arial" w:cs="Arial" w:eastAsia="Arial" w:hAnsi="Arial"/>
                <w:sz w:val="13"/>
                <w:szCs w:val="13"/>
                <w:b w:val="1"/>
                <w:bCs w:val="1"/>
                <w:color w:val="auto"/>
              </w:rPr>
              <w:t>Balance at June 30, 2022</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332,210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ind w:left="540"/>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60,975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(276,196)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(207,696)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9"/>
          </w:tcPr>
          <w:p>
            <w:pPr>
              <w:jc w:val="center"/>
              <w:ind w:right="80"/>
              <w:spacing w:after="0"/>
              <w:rPr>
                <w:sz w:val="20"/>
                <w:szCs w:val="20"/>
                <w:color w:val="auto"/>
              </w:rPr>
            </w:pPr>
            <w:r>
              <w:rPr>
                <w:rFonts w:ascii="Arial" w:cs="Arial" w:eastAsia="Arial" w:hAnsi="Arial"/>
                <w:sz w:val="13"/>
                <w:szCs w:val="13"/>
                <w:b w:val="1"/>
                <w:bCs w:val="1"/>
                <w:color w:val="auto"/>
                <w:w w:val="88"/>
              </w:rPr>
              <w:t>Common Units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Comprehensive</w:t>
            </w:r>
          </w:p>
        </w:tc>
        <w:tc>
          <w:tcPr>
            <w:tcW w:w="1040" w:type="dxa"/>
            <w:vAlign w:val="bottom"/>
            <w:gridSpan w:val="3"/>
          </w:tcPr>
          <w:p>
            <w:pPr>
              <w:ind w:left="20"/>
              <w:spacing w:after="0"/>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14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(Thousands)</w:t>
            </w:r>
          </w:p>
        </w:tc>
        <w:tc>
          <w:tcPr>
            <w:tcW w:w="60" w:type="dxa"/>
            <w:vAlign w:val="bottom"/>
          </w:tcPr>
          <w:p>
            <w:pPr>
              <w:spacing w:after="0"/>
              <w:rPr>
                <w:sz w:val="11"/>
                <w:szCs w:val="11"/>
                <w:color w:val="auto"/>
              </w:rPr>
            </w:pPr>
          </w:p>
        </w:tc>
        <w:tc>
          <w:tcPr>
            <w:tcW w:w="840" w:type="dxa"/>
            <w:vAlign w:val="bottom"/>
            <w:tcBorders>
              <w:top w:val="single" w:sz="8" w:color="auto"/>
            </w:tcBorders>
            <w:gridSpan w:val="3"/>
          </w:tcPr>
          <w:p>
            <w:pPr>
              <w:ind w:left="240"/>
              <w:spacing w:after="0" w:line="129" w:lineRule="exact"/>
              <w:rPr>
                <w:sz w:val="20"/>
                <w:szCs w:val="20"/>
                <w:color w:val="auto"/>
              </w:rPr>
            </w:pPr>
            <w:r>
              <w:rPr>
                <w:rFonts w:ascii="Arial" w:cs="Arial" w:eastAsia="Arial" w:hAnsi="Arial"/>
                <w:sz w:val="13"/>
                <w:szCs w:val="13"/>
                <w:b w:val="1"/>
                <w:bCs w:val="1"/>
                <w:color w:val="auto"/>
              </w:rPr>
              <w:t>Units</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5"/>
          </w:tcPr>
          <w:p>
            <w:pPr>
              <w:spacing w:after="0" w:line="129" w:lineRule="exact"/>
              <w:rPr>
                <w:sz w:val="20"/>
                <w:szCs w:val="20"/>
                <w:color w:val="auto"/>
              </w:rPr>
            </w:pPr>
            <w:r>
              <w:rPr>
                <w:rFonts w:ascii="Arial" w:cs="Arial" w:eastAsia="Arial" w:hAnsi="Arial"/>
                <w:sz w:val="13"/>
                <w:szCs w:val="13"/>
                <w:b w:val="1"/>
                <w:bCs w:val="1"/>
                <w:color w:val="auto"/>
              </w:rPr>
              <w:t>Paid-in Capital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5"/>
              </w:rPr>
              <w:t>Deficit</w:t>
            </w:r>
          </w:p>
        </w:tc>
        <w:tc>
          <w:tcPr>
            <w:tcW w:w="8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3"/>
              </w:rPr>
              <w:t>Income</w:t>
            </w:r>
          </w:p>
        </w:tc>
        <w:tc>
          <w:tcPr>
            <w:tcW w:w="160" w:type="dxa"/>
            <w:vAlign w:val="bottom"/>
          </w:tcPr>
          <w:p>
            <w:pPr>
              <w:spacing w:after="0"/>
              <w:rPr>
                <w:sz w:val="11"/>
                <w:szCs w:val="11"/>
                <w:color w:val="auto"/>
              </w:rPr>
            </w:pPr>
          </w:p>
        </w:tc>
        <w:tc>
          <w:tcPr>
            <w:tcW w:w="88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9"/>
              </w:rPr>
              <w:t>Total Deficit</w:t>
            </w:r>
          </w:p>
        </w:tc>
        <w:tc>
          <w:tcPr>
            <w:tcW w:w="0" w:type="dxa"/>
            <w:vAlign w:val="bottom"/>
          </w:tcPr>
          <w:p>
            <w:pPr>
              <w:spacing w:after="0"/>
              <w:rPr>
                <w:sz w:val="1"/>
                <w:szCs w:val="1"/>
                <w:color w:val="auto"/>
              </w:rPr>
            </w:pPr>
          </w:p>
        </w:tc>
      </w:tr>
      <w:tr>
        <w:trPr>
          <w:trHeight w:val="129"/>
        </w:trPr>
        <w:tc>
          <w:tcPr>
            <w:tcW w:w="208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2020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325,983</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gridSpan w:val="2"/>
            <w:shd w:val="clear" w:color="auto" w:fill="CCEEFF"/>
          </w:tcPr>
          <w:p>
            <w:pPr>
              <w:ind w:left="5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59,912</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(205,570)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3,820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2,097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(139,741)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(12,528)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(12,192)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comprehensive income</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8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3,060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Net unit settlement</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Accumulating preferred dividends</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4"/>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(11,848)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(11,848)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gridSpan w:val="3"/>
          </w:tcPr>
          <w:p>
            <w:pPr>
              <w:ind w:left="120"/>
              <w:spacing w:after="0" w:line="129" w:lineRule="exact"/>
              <w:rPr>
                <w:sz w:val="20"/>
                <w:szCs w:val="20"/>
                <w:color w:val="auto"/>
              </w:rPr>
            </w:pPr>
            <w:r>
              <w:rPr>
                <w:rFonts w:ascii="Arial" w:cs="Arial" w:eastAsia="Arial" w:hAnsi="Arial"/>
                <w:sz w:val="13"/>
                <w:szCs w:val="13"/>
                <w:b w:val="1"/>
                <w:bCs w:val="1"/>
                <w:color w:val="auto"/>
              </w:rPr>
              <w:t>Balance at June 30, 2021</w:t>
            </w:r>
          </w:p>
        </w:tc>
        <w:tc>
          <w:tcPr>
            <w:tcW w:w="6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329,043</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2"/>
          </w:tcPr>
          <w:p>
            <w:pPr>
              <w:ind w:left="5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60,362</w:t>
            </w: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rPr>
              <w:t>(229,946)</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7,265</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2,433</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(159,886)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Balance at December 31, 2021</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329,043</w:t>
            </w:r>
          </w:p>
        </w:tc>
        <w:tc>
          <w:tcPr>
            <w:tcW w:w="80" w:type="dxa"/>
            <w:vAlign w:val="bottom"/>
          </w:tcPr>
          <w:p>
            <w:pPr>
              <w:spacing w:after="0"/>
              <w:rPr>
                <w:sz w:val="11"/>
                <w:szCs w:val="11"/>
                <w:color w:val="auto"/>
              </w:rPr>
            </w:pPr>
          </w:p>
        </w:tc>
        <w:tc>
          <w:tcPr>
            <w:tcW w:w="14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80"/>
              <w:spacing w:after="0" w:line="135" w:lineRule="exact"/>
              <w:rPr>
                <w:sz w:val="20"/>
                <w:szCs w:val="20"/>
                <w:color w:val="auto"/>
              </w:rPr>
            </w:pPr>
            <w:r>
              <w:rPr>
                <w:rFonts w:ascii="Arial" w:cs="Arial" w:eastAsia="Arial" w:hAnsi="Arial"/>
                <w:sz w:val="13"/>
                <w:szCs w:val="13"/>
                <w:color w:val="auto"/>
              </w:rPr>
              <w:t>—</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60,973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(251,725)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12,018</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2,736</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(175,998)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8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Net income (loss)</w:t>
            </w:r>
          </w:p>
        </w:tc>
        <w:tc>
          <w:tcPr>
            <w:tcW w:w="60" w:type="dxa"/>
            <w:vAlign w:val="bottom"/>
          </w:tcPr>
          <w:p>
            <w:pPr>
              <w:spacing w:after="0"/>
              <w:rPr>
                <w:sz w:val="11"/>
                <w:szCs w:val="11"/>
                <w:color w:val="auto"/>
              </w:rPr>
            </w:pPr>
          </w:p>
        </w:tc>
        <w:tc>
          <w:tcPr>
            <w:tcW w:w="8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(10,589)</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(10,524)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Other comprehensive income</w:t>
            </w:r>
          </w:p>
        </w:tc>
        <w:tc>
          <w:tcPr>
            <w:tcW w:w="60" w:type="dxa"/>
            <w:vAlign w:val="bottom"/>
          </w:tcPr>
          <w:p>
            <w:pPr>
              <w:spacing w:after="0"/>
              <w:rPr>
                <w:sz w:val="11"/>
                <w:szCs w:val="11"/>
                <w:color w:val="auto"/>
              </w:rPr>
            </w:pPr>
          </w:p>
        </w:tc>
        <w:tc>
          <w:tcPr>
            <w:tcW w:w="8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(7,294)</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(7,294)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Equity-based compensation</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3,167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Net unit settlement</w:t>
            </w:r>
          </w:p>
        </w:tc>
        <w:tc>
          <w:tcPr>
            <w:tcW w:w="60" w:type="dxa"/>
            <w:vAlign w:val="bottom"/>
          </w:tcPr>
          <w:p>
            <w:pPr>
              <w:spacing w:after="0"/>
              <w:rPr>
                <w:sz w:val="11"/>
                <w:szCs w:val="11"/>
                <w:color w:val="auto"/>
              </w:rPr>
            </w:pPr>
          </w:p>
        </w:tc>
        <w:tc>
          <w:tcPr>
            <w:tcW w:w="8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(477)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(477)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8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Accumulating preferred dividends</w:t>
            </w:r>
          </w:p>
        </w:tc>
        <w:tc>
          <w:tcPr>
            <w:tcW w:w="60" w:type="dxa"/>
            <w:vAlign w:val="bottom"/>
          </w:tcPr>
          <w:p>
            <w:pPr>
              <w:spacing w:after="0"/>
              <w:rPr>
                <w:sz w:val="11"/>
                <w:szCs w:val="11"/>
                <w:color w:val="auto"/>
              </w:rPr>
            </w:pPr>
          </w:p>
        </w:tc>
        <w:tc>
          <w:tcPr>
            <w:tcW w:w="84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ind w:left="58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jc w:val="right"/>
              <w:ind w:right="140"/>
              <w:spacing w:after="0" w:line="135" w:lineRule="exact"/>
              <w:rPr>
                <w:sz w:val="20"/>
                <w:szCs w:val="20"/>
                <w:color w:val="auto"/>
              </w:rPr>
            </w:pPr>
            <w:r>
              <w:rPr>
                <w:rFonts w:ascii="Arial" w:cs="Arial" w:eastAsia="Arial" w:hAnsi="Arial"/>
                <w:sz w:val="13"/>
                <w:szCs w:val="13"/>
                <w:color w:val="auto"/>
              </w:rPr>
              <w:t>(13,882)</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(13,882)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40" w:type="dxa"/>
            <w:vAlign w:val="bottom"/>
            <w:tcBorders>
              <w:top w:val="single" w:sz="8" w:color="CCEEFF"/>
            </w:tcBorders>
            <w:gridSpan w:val="3"/>
            <w:shd w:val="clear" w:color="auto" w:fill="CCEEFF"/>
          </w:tcPr>
          <w:p>
            <w:pPr>
              <w:ind w:left="120"/>
              <w:spacing w:after="0" w:line="129" w:lineRule="exact"/>
              <w:rPr>
                <w:sz w:val="20"/>
                <w:szCs w:val="20"/>
                <w:color w:val="auto"/>
              </w:rPr>
            </w:pPr>
            <w:r>
              <w:rPr>
                <w:rFonts w:ascii="Arial" w:cs="Arial" w:eastAsia="Arial" w:hAnsi="Arial"/>
                <w:sz w:val="13"/>
                <w:szCs w:val="13"/>
                <w:b w:val="1"/>
                <w:bCs w:val="1"/>
                <w:color w:val="auto"/>
              </w:rPr>
              <w:t>Balance at June 30, 2022</w:t>
            </w: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332,210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gridSpan w:val="3"/>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shd w:val="clear" w:color="auto" w:fill="CCEEFF"/>
          </w:tcPr>
          <w:p>
            <w:pPr>
              <w:ind w:left="58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60,975</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0" w:type="dxa"/>
            <w:vAlign w:val="bottom"/>
            <w:tcBorders>
              <w:top w:val="single" w:sz="8" w:color="CCEEFF"/>
            </w:tcBorders>
            <w:gridSpan w:val="2"/>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(276,196)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(207,696)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63" w:lineRule="auto"/>
        <w:rPr>
          <w:sz w:val="20"/>
          <w:szCs w:val="20"/>
          <w:color w:val="auto"/>
        </w:rPr>
      </w:pPr>
      <w:r>
        <w:rPr>
          <w:rFonts w:ascii="Arial" w:cs="Arial" w:eastAsia="Arial" w:hAnsi="Arial"/>
          <w:sz w:val="18"/>
          <w:szCs w:val="18"/>
          <w:b w:val="1"/>
          <w:bCs w:val="1"/>
          <w:color w:val="auto"/>
        </w:rPr>
        <w:t>WESTROCK COFFEE COMPANY (f/k/a Westrock Coffee Holdings, LLC) CONDENSED CONSOLIDATED STATEMENTS OF CASH FLOWS (Unaudited)</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31"/>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53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(10,524)</w:t>
            </w:r>
          </w:p>
        </w:tc>
        <w:tc>
          <w:tcPr>
            <w:tcW w:w="20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i w:val="1"/>
                <w:iCs w:val="1"/>
                <w:color w:val="auto"/>
                <w:w w:val="98"/>
              </w:rPr>
              <w:t>Adjustments to reconcile net loss to net cash provided by (used in)</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activities:</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11,966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Paid-in-Kind interest added to debt principal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credit losses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w w:val="93"/>
              </w:rPr>
              <w:t>Amortization of deferred financing fees included in 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Mark-to-market adjustments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transactions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Change in deferred income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Change in operating assets and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640"/>
              <w:spacing w:after="0"/>
              <w:rPr>
                <w:sz w:val="20"/>
                <w:szCs w:val="20"/>
                <w:color w:val="auto"/>
              </w:rPr>
            </w:pPr>
            <w:r>
              <w:rPr>
                <w:rFonts w:ascii="Arial" w:cs="Arial" w:eastAsia="Arial" w:hAnsi="Arial"/>
                <w:sz w:val="18"/>
                <w:szCs w:val="18"/>
                <w:color w:val="auto"/>
              </w:rPr>
              <w:t>Derivative assets and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 and other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37,278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liabilities and other</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(46,974)</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to intangible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property and equipment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debt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Proceeds from debt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107,423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debt issuance costs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unit settlement</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 and restricted cash</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Cash and cash equivalents and restricted cash at beginning of period</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18,185</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Property, plant and equipment acquired but not yet paid</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Accumulating preferred dividends</w:t>
            </w:r>
          </w:p>
        </w:tc>
        <w:tc>
          <w:tcPr>
            <w:tcW w:w="4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80" w:type="dxa"/>
            <w:vAlign w:val="bottom"/>
            <w:gridSpan w:val="2"/>
          </w:tcPr>
          <w:p>
            <w:pPr>
              <w:ind w:left="20"/>
              <w:spacing w:after="0"/>
              <w:rPr>
                <w:sz w:val="20"/>
                <w:szCs w:val="20"/>
                <w:color w:val="auto"/>
              </w:rPr>
            </w:pPr>
            <w:r>
              <w:rPr>
                <w:rFonts w:ascii="Arial" w:cs="Arial" w:eastAsia="Arial" w:hAnsi="Arial"/>
                <w:sz w:val="18"/>
                <w:szCs w:val="18"/>
                <w:color w:val="auto"/>
                <w:w w:val="98"/>
              </w:rPr>
              <w:t>The total cash and cash equivalents and restricted cash is as follows: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June 30, 2022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June 30, 2021</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14,343</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3,842</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WESTROCK COFFEE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Westrock Coffee Holdings, LLC)</w:t>
      </w:r>
    </w:p>
    <w:p>
      <w:pPr>
        <w:spacing w:after="0" w:line="9" w:lineRule="exact"/>
        <w:rPr>
          <w:sz w:val="20"/>
          <w:szCs w:val="20"/>
          <w:color w:val="auto"/>
        </w:rPr>
      </w:pPr>
    </w:p>
    <w:p>
      <w:pPr>
        <w:ind w:left="4040" w:right="1239" w:hanging="2155"/>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199"/>
        <w:spacing w:after="0" w:line="257" w:lineRule="auto"/>
        <w:rPr>
          <w:sz w:val="20"/>
          <w:szCs w:val="20"/>
          <w:color w:val="auto"/>
        </w:rPr>
      </w:pPr>
      <w:r>
        <w:rPr>
          <w:rFonts w:ascii="Arial" w:cs="Arial" w:eastAsia="Arial" w:hAnsi="Arial"/>
          <w:sz w:val="18"/>
          <w:szCs w:val="18"/>
          <w:color w:val="auto"/>
        </w:rPr>
        <w:t>Westrock Coffee Company (f/k/a Westrock Coffee Holdings, LLC) (the “Company,” “Westrock,” “we,” “us,” or “our”), a Delaware corporation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8"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has an 85% ownership interest in Falcon Coffees Limited, which operates our trading business and is reported within our Sustainable Sourcing &amp; Traceability segment. Equity interests not owned by us are reflected as non-controlling interests. In the Condensed Consolidated Statements of Operations, we allocate net income (loss) attributable to non-controlling interest to arrive at net income (loss) attributable to unitholders based on their proportionate share.</w:t>
      </w:r>
    </w:p>
    <w:p>
      <w:pPr>
        <w:spacing w:after="0" w:line="15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Company operates seven manufacturing facilities, three of which are located in Concord, North Carolina, two in North Little Rock, Arkansas, one in Kigali, Rwanda, and one in Johor Bahru, Malaysia.</w:t>
      </w:r>
    </w:p>
    <w:p>
      <w:pPr>
        <w:spacing w:after="0" w:line="170"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On August 26, 2022, in accordance with the transaction agreement, dated April 4, 2022, by and among the Company, Riverview Acquisition Corp., a special purpose acquisition vehicle and a Delaware corporation (“Riverview”), and the other parties thereto (as amended, modified or supplemented, the “Transaction Agreement”), the Company completed its previously announced de-SPAC merger transaction (the “Transaction”) with Riverview. In connection with the closing of the Transaction, the Company converted from a Delaware limited liability company to a Delaware corporation and changed its corporate name from “Westrock Coffee Holdings, LLC” to “Westrock Coffee Company” (the “Conversion”).</w:t>
      </w:r>
    </w:p>
    <w:p>
      <w:pPr>
        <w:spacing w:after="0" w:line="164"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Substantially concurrently with the closing of the Transaction, the Company has received $230.9 million in gross proceeds (which amount includes contribution to the Company of certain notes) from common stock PIPE investments at $10.00 per share (the “PIPE Financing”), $66.3 million from the trust account of Riverview, and has entered into a credit agreement (the “Credit Agreement”) among the Company, Westrock Beverage Solutions, LLC (f/k/a Westrock Coffee Company, LLC), a Delaware limited liability company and wholly owned subsidiary of the Company (“WBS”), as the borrower, Wells Fargo Bank, N.A. as administrative agent, as collateral agent, and as swingline leader, Wells Fargo Securities, LLC as sustainability structuring agent, and each issuing bank and lender party thereto, that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Transaction and new Term Loan Facility of $175.0 million were used to pay off and terminate our then existing term loan and asset-based lending agreements, and to pay expenses related to the Transaction and Credit Agreement. Following these payments, the Company had net proceeds of approximately $87.0 million and has $175.0 million of available borrowing capacity under our Revolving Credit Facility. See Note 18 for additional disclosures related to the Transaction.</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Consolidation</w:t>
      </w:r>
    </w:p>
    <w:p>
      <w:pPr>
        <w:spacing w:after="0" w:line="229"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2021 was derived from the audited financial statements, but does not include all disclosures required by GAAP.</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2021 consolidated financial statements and notes thereto included in our Registration Statement on Form S-4 (File No. 333-264464) filed with the U.S. Securities and Exchange Commission (“SEC”) on April 25, 2022, as amended by Amendments No. 1, 2, 3 and 4 thereto filed with SEC on June 10, 2022, July 15, 2022, August 1, 2022 and August 3, 2022, respectively.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Accounts receivable consists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Activity in the allowance for credit losses was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2"/>
              </w:rPr>
              <w:t>Three Months Ended June 30,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w w:val="97"/>
              </w:rPr>
              <w:t>Charged to selling, general and administrative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Green coffee associated with our forward contracts is recorded at net realizable value, which approximates market price, within our Sustainable Sourcing &amp; Traceability segment, consistent with our forward purchase contracts recorded at fair value in accordance with ASC 815, Derivatives and Hedging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Update ASU 2016-02 – Leases (Topic 842) and Update ASU 2018-10 – Codification Improvements to Topic 842, Leases</w:t>
      </w:r>
    </w:p>
    <w:p>
      <w:pPr>
        <w:spacing w:after="0" w:line="140"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 xml:space="preserve">Effective January 1, 2022, we account for leases in accordance with Accounting Standards Codification (“ASC”)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The standard establishes a right-of-use (ROU) model that requires a lessee to recognize a ROU asset</w:t>
      </w:r>
      <w:r>
        <w:rPr>
          <w:rFonts w:ascii="Arial" w:cs="Arial" w:eastAsia="Arial" w:hAnsi="Arial"/>
          <w:sz w:val="18"/>
          <w:szCs w:val="18"/>
          <w:i w:val="1"/>
          <w:iCs w:val="1"/>
          <w:color w:val="auto"/>
        </w:rPr>
        <w:t xml:space="preserve"> </w:t>
      </w:r>
      <w:r>
        <w:rPr>
          <w:rFonts w:ascii="Arial" w:cs="Arial" w:eastAsia="Arial" w:hAnsi="Arial"/>
          <w:sz w:val="18"/>
          <w:szCs w:val="18"/>
          <w:color w:val="auto"/>
        </w:rPr>
        <w:t>and lease liability on the balance sheet for all leases with a term longer than 12 months. Leases will be classified as finance or operating, with classification affecting the pattern and classification of expense recognition in the statement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 xml:space="preserve">We adopted ASC 842 using a modified retrospective transition approach as permitted by the amendments of ASU 2018-11 </w:t>
      </w:r>
      <w:r>
        <w:rPr>
          <w:rFonts w:ascii="Arial" w:cs="Arial" w:eastAsia="Arial" w:hAnsi="Arial"/>
          <w:sz w:val="18"/>
          <w:szCs w:val="18"/>
          <w:i w:val="1"/>
          <w:iCs w:val="1"/>
          <w:color w:val="auto"/>
        </w:rPr>
        <w:t>Leases (Topic 842): Target Improvements</w:t>
      </w:r>
      <w:r>
        <w:rPr>
          <w:rFonts w:ascii="Arial" w:cs="Arial" w:eastAsia="Arial" w:hAnsi="Arial"/>
          <w:sz w:val="18"/>
          <w:szCs w:val="18"/>
          <w:color w:val="auto"/>
        </w:rPr>
        <w:t>, which provides an alternative modified retrospective transition method.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we were not required to adjust our comparative period financial information for effects of the standard or make the new required lease disclosures for periods before the date of adoption (i.e., January 1, 2022).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w:t>
      </w:r>
    </w:p>
    <w:p>
      <w:pPr>
        <w:spacing w:after="0" w:line="19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and (ii) the customer has a right to control the use of the identified asset. We enter into lease contracts for manufacturing and production facilities, warehouse facilities, vehicles and machinery and equipment. Upon adoption, we recognized $13.0 million of ROU assets and lease liabilities on our Condensed Consolidated Balance Sheets. See Note 9 for additional disclosures related to leases.</w:t>
      </w:r>
    </w:p>
    <w:p>
      <w:pPr>
        <w:spacing w:after="0" w:line="195"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ROU assets are initially measured at cost, which comprises the initial amount of the lease liability adjusted for lease payments made at or before the lease commencement date, plus any initial direct costs incurred, less any lease incentives received. The lease liabilities are initially measured at the present value of the unpaid lease payments at the lease commencement date. Lease expense, for operating leases, is recognized on a straight-line basis over the lease term.</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Key estimates and judgements include the following:</w:t>
      </w:r>
    </w:p>
    <w:p>
      <w:pPr>
        <w:spacing w:after="0" w:line="225" w:lineRule="exact"/>
        <w:rPr>
          <w:sz w:val="20"/>
          <w:szCs w:val="20"/>
          <w:color w:val="auto"/>
        </w:rPr>
      </w:pPr>
    </w:p>
    <w:p>
      <w:pPr>
        <w:ind w:left="1040" w:right="139" w:hanging="639"/>
        <w:spacing w:after="0" w:line="273"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Discount rate</w:t>
      </w:r>
      <w:r>
        <w:rPr>
          <w:rFonts w:ascii="Arial" w:cs="Arial" w:eastAsia="Arial" w:hAnsi="Arial"/>
          <w:sz w:val="17"/>
          <w:szCs w:val="17"/>
          <w:color w:val="auto"/>
        </w:rPr>
        <w:t xml:space="preserve"> – ASC 842 requires a lessee to discount its unpaid lease payments using the rate implicit in the lease or, if that rate cannot be readily determined, its incremental borrowing rate. As we generally do not know the rate implicit in our leases, we use our incremental borrowing rate, based on the information available at the lease commencement date, in determining the present value of our lease payments. Our incremental borrowing rate for a lease is the rate of interest we would have to pay on a collateralized basis to borrow an amount equal to the lease payments under similar terms.</w:t>
      </w:r>
    </w:p>
    <w:p>
      <w:pPr>
        <w:spacing w:after="0" w:line="177" w:lineRule="exact"/>
        <w:rPr>
          <w:rFonts w:ascii="Arial" w:cs="Arial" w:eastAsia="Arial" w:hAnsi="Arial"/>
          <w:sz w:val="17"/>
          <w:szCs w:val="17"/>
          <w:color w:val="auto"/>
        </w:rPr>
      </w:pPr>
    </w:p>
    <w:p>
      <w:pPr>
        <w:ind w:left="1040" w:right="99" w:hanging="639"/>
        <w:spacing w:after="0" w:line="26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xml:space="preserve"> – The lease term for all of our leases includes the noncancellable period of the lease plus any additional periods covered by either a lessee option to extend (or not to terminate) the lease that is reasonably certain to be exercised.</w:t>
      </w:r>
    </w:p>
    <w:p>
      <w:pPr>
        <w:spacing w:after="0" w:line="184"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Variable lease payments associated with our leases are recognized when the event, activity, or circumstance in the lease agreement on which those payments are assessed occurs. Variable lease payments are included in both costs of sales and selling, general and administrative expense in our Condensed Consolidated Statements of Operations.</w:t>
      </w:r>
    </w:p>
    <w:p>
      <w:pPr>
        <w:spacing w:after="0" w:line="14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We monitor for events or changes in circumstances that require a reassessment of a lease. When a reassessment results in the remeasurement of a lease liability, a corresponding adjustment is made to the carrying amount of the associated ROU asset, unless doing so would reduce the carrying amount of the ROU asset to an amount less than zero. In that case, the amount of the adjustment that would result in a negative ROU asset is recorded in the Condensed Consolidated Statements of Operations.</w:t>
      </w:r>
    </w:p>
    <w:p>
      <w:pPr>
        <w:spacing w:after="0" w:line="188" w:lineRule="exact"/>
        <w:rPr>
          <w:sz w:val="20"/>
          <w:szCs w:val="20"/>
          <w:color w:val="auto"/>
        </w:rPr>
      </w:pPr>
    </w:p>
    <w:p>
      <w:pPr>
        <w:jc w:val="both"/>
        <w:ind w:left="60" w:right="399"/>
        <w:spacing w:after="0" w:line="301" w:lineRule="auto"/>
        <w:rPr>
          <w:sz w:val="20"/>
          <w:szCs w:val="20"/>
          <w:color w:val="auto"/>
        </w:rPr>
      </w:pPr>
      <w:r>
        <w:rPr>
          <w:rFonts w:ascii="Arial" w:cs="Arial" w:eastAsia="Arial" w:hAnsi="Arial"/>
          <w:sz w:val="16"/>
          <w:szCs w:val="16"/>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 Furthermore, we have elected to combine lease and non-lease components for all contracts. Non-lease components primarily relate to maintenance services related to the leased asset.</w:t>
      </w:r>
    </w:p>
    <w:p>
      <w:pPr>
        <w:spacing w:after="0" w:line="37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Contracts with Customers (ASC 606)</w:t>
      </w:r>
    </w:p>
    <w:p>
      <w:pPr>
        <w:spacing w:after="0" w:line="225"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 xml:space="preserve">We measure revenue based on the consideration specified in the client arrangement, and revenue is recognized when the performance obligations in the client arrangement are satisfied in accordance with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(“ASC 606”). Our principal source of revenue is from the procurement, trade, manufacture, and distribution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coffee, tea, flavors, extracts and ingredients to customers in the United States, Europe, and Asia.</w:t>
      </w:r>
    </w:p>
    <w:p>
      <w:pPr>
        <w:spacing w:after="0" w:line="171" w:lineRule="exact"/>
        <w:rPr>
          <w:sz w:val="20"/>
          <w:szCs w:val="20"/>
          <w:color w:val="auto"/>
        </w:rPr>
      </w:pPr>
    </w:p>
    <w:p>
      <w:pPr>
        <w:ind w:left="60" w:right="399"/>
        <w:spacing w:after="0" w:line="255" w:lineRule="auto"/>
        <w:rPr>
          <w:sz w:val="20"/>
          <w:szCs w:val="20"/>
          <w:color w:val="auto"/>
        </w:rPr>
      </w:pPr>
      <w:r>
        <w:rPr>
          <w:rFonts w:ascii="Arial" w:cs="Arial" w:eastAsia="Arial" w:hAnsi="Arial"/>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92"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Forward Contracts (ASC 815)</w:t>
      </w:r>
    </w:p>
    <w:p>
      <w:pPr>
        <w:spacing w:after="0" w:line="22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 portion of the Company’s revenues relate to the physical delivery and settlement of forward sales contracts for green coffee that are accounted for under ASC 815. These forward sales contracts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8"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Revenues from forward sales contracts are recognized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and six months ended June 30, 2022, we recorded $0.3 million and $7.2 million of net unrealized gains, respectively, within costs of sales. For the three and six months ended June 30, 2021, we recorded $3.0 million and $0.6 million of net unrealized losses, respectively, within costs of sales.</w:t>
      </w:r>
    </w:p>
    <w:p>
      <w:pPr>
        <w:spacing w:after="0" w:line="177"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For the three and six months ended June 30, 2022, the Company recognized $52.4 million and $90.5 million in revenues under ASC 815, respectively, and for the three and six months ended June 30, 2021, the Company recognized $36.5 million and $63.9 million in revenues under ASC 815, respectively, which are reported within the Company’s Sustainable Sourcing &amp; Traceability segment.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Estimates</w:t>
      </w:r>
    </w:p>
    <w:p>
      <w:pPr>
        <w:spacing w:after="0" w:line="225"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$1.7 million and $1.9 million at June 30, 2022 and December 31, 2021.</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Contract balances relate primarily to advances received from the Company’s customers before revenue is recognized. The Company does not have any material contract liabilities as of June 30, 2022 or December 31, 2021. Receivables from contracts with customers are included in accounts receivable, net on the Company’s Condensed Consolidated Balance Sheets. At June 30, 2022 and December 31, 2021, accounts receivable, net included $98.1 million and $89.0 million in receivables from contracts with customers, respectively.</w:t>
      </w:r>
    </w:p>
    <w:p>
      <w:pPr>
        <w:spacing w:after="0" w:line="176"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Contract acquisition costs for obtaining contracts that are deemed recoverable are capitalized as contract costs. Such costs result from the payment of sales incentives and are amortized over the contract life. As of June 30, 2022 and December 31, 2021, no costs were capitalized as all arrangements were less than a year.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 disaggregation of revenues from sales to external customers by type are presented below:</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Coffee &amp; tea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Flavors, extracts &amp; ingredients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55,063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47,335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Green coffee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64,807</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inventories as of June 30, 2022 and December 31, 2021:</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8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2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14,895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Green coffee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49,192</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155,323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109,166</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Green coffee inventories represent green coffee held for re-sale. At June 30, 2022 and December 31, 2021, all green coffee held for resale was included within our Sustainable Sourcing &amp; Traceability segment.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Property, Plant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property, plant and equipment, net: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00" w:type="dxa"/>
            <w:vAlign w:val="bottom"/>
            <w:gridSpan w:val="4"/>
          </w:tcPr>
          <w:p>
            <w:pPr>
              <w:ind w:left="20"/>
              <w:spacing w:after="0"/>
              <w:rPr>
                <w:sz w:val="20"/>
                <w:szCs w:val="20"/>
                <w:color w:val="auto"/>
              </w:rPr>
            </w:pPr>
            <w:r>
              <w:rPr>
                <w:rFonts w:ascii="Arial" w:cs="Arial" w:eastAsia="Arial" w:hAnsi="Arial"/>
                <w:sz w:val="14"/>
                <w:szCs w:val="14"/>
                <w:color w:val="auto"/>
              </w:rPr>
              <w:t>(Thousands)</w:t>
            </w:r>
          </w:p>
        </w:tc>
        <w:tc>
          <w:tcPr>
            <w:tcW w:w="1540" w:type="dxa"/>
            <w:vAlign w:val="bottom"/>
            <w:gridSpan w:val="3"/>
          </w:tcPr>
          <w:p>
            <w:pPr>
              <w:jc w:val="center"/>
              <w:ind w:right="247"/>
              <w:spacing w:after="0"/>
              <w:rPr>
                <w:sz w:val="20"/>
                <w:szCs w:val="20"/>
                <w:color w:val="auto"/>
              </w:rPr>
            </w:pPr>
            <w:r>
              <w:rPr>
                <w:rFonts w:ascii="Arial" w:cs="Arial" w:eastAsia="Arial" w:hAnsi="Arial"/>
                <w:sz w:val="14"/>
                <w:szCs w:val="14"/>
                <w:b w:val="1"/>
                <w:bCs w:val="1"/>
                <w:color w:val="auto"/>
                <w:w w:val="92"/>
              </w:rPr>
              <w:t>Depreciable Lives</w:t>
            </w: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June 30, 2022</w:t>
            </w: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1540" w:type="dxa"/>
            <w:vAlign w:val="bottom"/>
            <w:gridSpan w:val="3"/>
          </w:tcPr>
          <w:p>
            <w:pPr>
              <w:jc w:val="center"/>
              <w:ind w:right="267"/>
              <w:spacing w:after="0"/>
              <w:rPr>
                <w:sz w:val="20"/>
                <w:szCs w:val="20"/>
                <w:color w:val="auto"/>
              </w:rPr>
            </w:pPr>
            <w:r>
              <w:rPr>
                <w:rFonts w:ascii="Arial" w:cs="Arial" w:eastAsia="Arial" w:hAnsi="Arial"/>
                <w:sz w:val="18"/>
                <w:szCs w:val="18"/>
                <w:color w:val="auto"/>
                <w:w w:val="88"/>
              </w:rPr>
              <w:t>10-40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44,082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43,895</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Leasehold improvements</w:t>
            </w:r>
            <w:r>
              <w:rPr>
                <w:rFonts w:ascii="Arial" w:cs="Arial" w:eastAsia="Arial" w:hAnsi="Arial"/>
                <w:sz w:val="25"/>
                <w:szCs w:val="25"/>
                <w:color w:val="auto"/>
                <w:vertAlign w:val="superscript"/>
              </w:rPr>
              <w:t>1</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Plant equipment</w:t>
            </w:r>
          </w:p>
        </w:tc>
        <w:tc>
          <w:tcPr>
            <w:tcW w:w="1540" w:type="dxa"/>
            <w:vAlign w:val="bottom"/>
            <w:gridSpan w:val="3"/>
          </w:tcPr>
          <w:p>
            <w:pPr>
              <w:jc w:val="center"/>
              <w:ind w:right="267"/>
              <w:spacing w:after="0"/>
              <w:rPr>
                <w:sz w:val="20"/>
                <w:szCs w:val="20"/>
                <w:color w:val="auto"/>
              </w:rPr>
            </w:pPr>
            <w:r>
              <w:rPr>
                <w:rFonts w:ascii="Arial" w:cs="Arial" w:eastAsia="Arial" w:hAnsi="Arial"/>
                <w:sz w:val="18"/>
                <w:szCs w:val="18"/>
                <w:color w:val="auto"/>
                <w:w w:val="89"/>
              </w:rPr>
              <w:t>3-15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89,951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88,155</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Vehicles and transportation equipment</w:t>
            </w:r>
          </w:p>
        </w:tc>
        <w:tc>
          <w:tcPr>
            <w:tcW w:w="1540" w:type="dxa"/>
            <w:vAlign w:val="bottom"/>
            <w:gridSpan w:val="3"/>
            <w:shd w:val="clear" w:color="auto" w:fill="CCEEFF"/>
          </w:tcPr>
          <w:p>
            <w:pPr>
              <w:jc w:val="center"/>
              <w:ind w:right="247"/>
              <w:spacing w:after="0"/>
              <w:rPr>
                <w:sz w:val="20"/>
                <w:szCs w:val="20"/>
                <w:color w:val="auto"/>
              </w:rPr>
            </w:pPr>
            <w:r>
              <w:rPr>
                <w:rFonts w:ascii="Arial" w:cs="Arial" w:eastAsia="Arial" w:hAnsi="Arial"/>
                <w:sz w:val="18"/>
                <w:szCs w:val="18"/>
                <w:color w:val="auto"/>
                <w:w w:val="87"/>
              </w:rPr>
              <w:t>3-5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IT systems</w:t>
            </w:r>
          </w:p>
        </w:tc>
        <w:tc>
          <w:tcPr>
            <w:tcW w:w="1540" w:type="dxa"/>
            <w:vAlign w:val="bottom"/>
            <w:gridSpan w:val="3"/>
          </w:tcPr>
          <w:p>
            <w:pPr>
              <w:jc w:val="center"/>
              <w:ind w:right="247"/>
              <w:spacing w:after="0"/>
              <w:rPr>
                <w:sz w:val="20"/>
                <w:szCs w:val="20"/>
                <w:color w:val="auto"/>
              </w:rPr>
            </w:pPr>
            <w:r>
              <w:rPr>
                <w:rFonts w:ascii="Arial" w:cs="Arial" w:eastAsia="Arial" w:hAnsi="Arial"/>
                <w:sz w:val="18"/>
                <w:szCs w:val="18"/>
                <w:color w:val="auto"/>
                <w:w w:val="87"/>
              </w:rPr>
              <w:t>3-7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2,454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540" w:type="dxa"/>
            <w:vAlign w:val="bottom"/>
            <w:gridSpan w:val="3"/>
            <w:shd w:val="clear" w:color="auto" w:fill="CCEEFF"/>
          </w:tcPr>
          <w:p>
            <w:pPr>
              <w:jc w:val="center"/>
              <w:ind w:right="267"/>
              <w:spacing w:after="0"/>
              <w:rPr>
                <w:sz w:val="20"/>
                <w:szCs w:val="20"/>
                <w:color w:val="auto"/>
              </w:rPr>
            </w:pPr>
            <w:r>
              <w:rPr>
                <w:rFonts w:ascii="Arial" w:cs="Arial" w:eastAsia="Arial" w:hAnsi="Arial"/>
                <w:sz w:val="18"/>
                <w:szCs w:val="18"/>
                <w:color w:val="auto"/>
                <w:w w:val="89"/>
              </w:rPr>
              <w:t>3-10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line="216" w:lineRule="exact"/>
              <w:rPr>
                <w:sz w:val="20"/>
                <w:szCs w:val="20"/>
                <w:color w:val="auto"/>
              </w:rPr>
            </w:pPr>
            <w:r>
              <w:rPr>
                <w:rFonts w:ascii="Arial" w:cs="Arial" w:eastAsia="Arial" w:hAnsi="Arial"/>
                <w:sz w:val="17"/>
                <w:szCs w:val="17"/>
                <w:color w:val="auto"/>
              </w:rPr>
              <w:t>Customer beverage equipment</w:t>
            </w:r>
            <w:r>
              <w:rPr>
                <w:rFonts w:ascii="Arial" w:cs="Arial" w:eastAsia="Arial" w:hAnsi="Arial"/>
                <w:sz w:val="25"/>
                <w:szCs w:val="25"/>
                <w:color w:val="auto"/>
                <w:vertAlign w:val="superscript"/>
              </w:rPr>
              <w:t>2</w:t>
            </w:r>
          </w:p>
        </w:tc>
        <w:tc>
          <w:tcPr>
            <w:tcW w:w="1540" w:type="dxa"/>
            <w:vAlign w:val="bottom"/>
            <w:gridSpan w:val="3"/>
          </w:tcPr>
          <w:p>
            <w:pPr>
              <w:jc w:val="center"/>
              <w:ind w:right="247"/>
              <w:spacing w:after="0"/>
              <w:rPr>
                <w:sz w:val="20"/>
                <w:szCs w:val="20"/>
                <w:color w:val="auto"/>
              </w:rPr>
            </w:pPr>
            <w:r>
              <w:rPr>
                <w:rFonts w:ascii="Arial" w:cs="Arial" w:eastAsia="Arial" w:hAnsi="Arial"/>
                <w:sz w:val="18"/>
                <w:szCs w:val="18"/>
                <w:color w:val="auto"/>
                <w:w w:val="87"/>
              </w:rPr>
              <w:t>3-5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23,184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24,341</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Lease right-of-use assets</w:t>
            </w:r>
            <w:r>
              <w:rPr>
                <w:rFonts w:ascii="Arial" w:cs="Arial" w:eastAsia="Arial" w:hAnsi="Arial"/>
                <w:sz w:val="25"/>
                <w:szCs w:val="25"/>
                <w:color w:val="auto"/>
                <w:vertAlign w:val="superscript"/>
              </w:rPr>
              <w:t>3</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Construction in progress and equipment deposits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18,066</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180,254</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(59,582)</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(52,641)</w:t>
            </w: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131,802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 Leasehold improvements are amortized over the shorter of their estimated useful lives or the related lease life.</w:t>
      </w:r>
    </w:p>
    <w:p>
      <w:pPr>
        <w:ind w:left="60"/>
        <w:spacing w:after="0" w:line="221" w:lineRule="auto"/>
        <w:rPr>
          <w:sz w:val="20"/>
          <w:szCs w:val="20"/>
          <w:color w:val="auto"/>
        </w:rPr>
      </w:pPr>
      <w:r>
        <w:rPr>
          <w:rFonts w:ascii="Arial" w:cs="Arial" w:eastAsia="Arial" w:hAnsi="Arial"/>
          <w:sz w:val="14"/>
          <w:szCs w:val="14"/>
          <w:color w:val="auto"/>
        </w:rPr>
        <w:t>2 - Customer beverage equipment consists of brewers held on site at customer locations.</w:t>
      </w:r>
    </w:p>
    <w:p>
      <w:pPr>
        <w:ind w:left="60"/>
        <w:spacing w:after="0"/>
        <w:rPr>
          <w:sz w:val="20"/>
          <w:szCs w:val="20"/>
          <w:color w:val="auto"/>
        </w:rPr>
      </w:pPr>
      <w:r>
        <w:rPr>
          <w:rFonts w:ascii="Arial" w:cs="Arial" w:eastAsia="Arial" w:hAnsi="Arial"/>
          <w:sz w:val="14"/>
          <w:szCs w:val="14"/>
          <w:color w:val="auto"/>
        </w:rPr>
        <w:t>3 - Lease right-of-use assets are amortized over the shorter of the useful life of the asset or the lease term.</w:t>
      </w:r>
    </w:p>
    <w:p>
      <w:pPr>
        <w:spacing w:after="0" w:line="128"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Depreciation expense for the three and six months ended June 30, 2022 was $4.3 million and $8.5 million, respectively, and depreciation expense for the three and six months ended June 30, 2021 was $4.4 million and $9.0 million, respectively. Assets classified as construction in progress and equipment deposits are not depreciated, as they are not ready for production use. All assets classified as construction in progress and equipment deposits at June 30, 2022 are expected to be in production use.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Goodwill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carrying amount of goodwill:</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37"/>
              <w:spacing w:after="0"/>
              <w:rPr>
                <w:sz w:val="20"/>
                <w:szCs w:val="20"/>
                <w:color w:val="auto"/>
              </w:rPr>
            </w:pPr>
            <w:r>
              <w:rPr>
                <w:rFonts w:ascii="Arial" w:cs="Arial" w:eastAsia="Arial" w:hAnsi="Arial"/>
                <w:sz w:val="14"/>
                <w:szCs w:val="14"/>
                <w:b w:val="1"/>
                <w:bCs w:val="1"/>
                <w:color w:val="auto"/>
              </w:rPr>
              <w:t>Beverage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37"/>
              <w:spacing w:after="0"/>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173,936</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173,936</w:t>
            </w: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impairment loss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(76,883)</w:t>
            </w: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 net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97,053</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60"/>
        </w:trPr>
        <w:tc>
          <w:tcPr>
            <w:tcW w:w="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Intangible Assets,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intangible assets, net as of June 30, 2022 and December 31,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6020" w:type="dxa"/>
            <w:vAlign w:val="bottom"/>
            <w:gridSpan w:val="4"/>
          </w:tcPr>
          <w:p>
            <w:pPr>
              <w:ind w:left="20"/>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4"/>
                <w:szCs w:val="14"/>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137,500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(15,388)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122,112</w:t>
            </w:r>
          </w:p>
        </w:tc>
        <w:tc>
          <w:tcPr>
            <w:tcW w:w="20" w:type="dxa"/>
            <w:vAlign w:val="bottom"/>
          </w:tcPr>
          <w:p>
            <w:pPr>
              <w:spacing w:after="0"/>
              <w:rPr>
                <w:sz w:val="18"/>
                <w:szCs w:val="18"/>
                <w:color w:val="auto"/>
              </w:rPr>
            </w:pPr>
          </w:p>
        </w:tc>
      </w:tr>
      <w:tr>
        <w:trPr>
          <w:trHeight w:val="216"/>
        </w:trPr>
        <w:tc>
          <w:tcPr>
            <w:tcW w:w="6020" w:type="dxa"/>
            <w:vAlign w:val="bottom"/>
            <w:gridSpan w:val="4"/>
          </w:tcPr>
          <w:p>
            <w:pPr>
              <w:ind w:left="20"/>
              <w:spacing w:after="0"/>
              <w:rPr>
                <w:sz w:val="20"/>
                <w:szCs w:val="20"/>
                <w:color w:val="auto"/>
              </w:rPr>
            </w:pPr>
            <w:r>
              <w:rPr>
                <w:rFonts w:ascii="Arial" w:cs="Arial" w:eastAsia="Arial" w:hAnsi="Arial"/>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60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09"/>
        </w:trPr>
        <w:tc>
          <w:tcPr>
            <w:tcW w:w="6020" w:type="dxa"/>
            <w:vAlign w:val="bottom"/>
            <w:gridSpan w:val="4"/>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138,525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(15,960)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122,565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ind w:right="67"/>
              <w:spacing w:after="0"/>
              <w:rPr>
                <w:sz w:val="20"/>
                <w:szCs w:val="20"/>
                <w:color w:val="auto"/>
              </w:rPr>
            </w:pPr>
            <w:r>
              <w:rPr>
                <w:rFonts w:ascii="Arial" w:cs="Arial" w:eastAsia="Arial" w:hAnsi="Arial"/>
                <w:sz w:val="14"/>
                <w:szCs w:val="14"/>
                <w:b w:val="1"/>
                <w:bCs w:val="1"/>
                <w:color w:val="auto"/>
                <w:w w:val="91"/>
              </w:rPr>
              <w:t>December 31, 2021</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3"/>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6020" w:type="dxa"/>
            <w:vAlign w:val="bottom"/>
            <w:gridSpan w:val="4"/>
          </w:tcPr>
          <w:p>
            <w:pPr>
              <w:ind w:left="20"/>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137,500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(12,091)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125,409</w:t>
            </w: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6020" w:type="dxa"/>
            <w:vAlign w:val="bottom"/>
            <w:gridSpan w:val="4"/>
          </w:tcPr>
          <w:p>
            <w:pPr>
              <w:ind w:left="2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138,478</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125,914</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Amortization expense of intangible assets was $1.7 million and $3.4 million for the three and six months ended June 30, 2022, respectively, and amortization expense of intangible assets was $1.7 million and $3.3 million for the three and six months ended June 30, 2021, respectively. As of June 30, 2022, the weighted average useful life for definite-lived intangibles is approximately 20 years.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We have operating leases for manufacturing and production facilities, warehouse facilities, vehicles and machinery and equipment. The remaining non-cancelable terms on our leases range from 1 year to 22 years, some of which may include options to extend the leases generally between 1 and 10 years, and some of which may include options to terminate the leases within 1 year. We do not have any leases with material residual value guarantees or restrictive covenants.</w:t>
      </w:r>
    </w:p>
    <w:p>
      <w:pPr>
        <w:spacing w:after="0" w:line="15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table summarizes the amount of right-of-use lease assets and lease liabilities included in each respective line item on the Company’s Condensed Consolidated Balance Sheets: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Balance Sheet Location</w:t>
            </w:r>
          </w:p>
        </w:tc>
        <w:tc>
          <w:tcPr>
            <w:tcW w:w="240" w:type="dxa"/>
            <w:vAlign w:val="bottom"/>
          </w:tcPr>
          <w:p>
            <w:pPr>
              <w:spacing w:after="0"/>
              <w:rPr>
                <w:sz w:val="14"/>
                <w:szCs w:val="14"/>
                <w:color w:val="auto"/>
              </w:rPr>
            </w:pPr>
          </w:p>
        </w:tc>
        <w:tc>
          <w:tcPr>
            <w:tcW w:w="1340" w:type="dxa"/>
            <w:vAlign w:val="bottom"/>
          </w:tcPr>
          <w:p>
            <w:pPr>
              <w:jc w:val="right"/>
              <w:ind w:right="275"/>
              <w:spacing w:after="0"/>
              <w:rPr>
                <w:sz w:val="20"/>
                <w:szCs w:val="20"/>
                <w:color w:val="auto"/>
              </w:rPr>
            </w:pPr>
            <w:r>
              <w:rPr>
                <w:rFonts w:ascii="Arial" w:cs="Arial" w:eastAsia="Arial" w:hAnsi="Arial"/>
                <w:sz w:val="14"/>
                <w:szCs w:val="14"/>
                <w:b w:val="1"/>
                <w:bCs w:val="1"/>
                <w:color w:val="auto"/>
              </w:rPr>
              <w:t>June 30, 2022</w:t>
            </w:r>
          </w:p>
        </w:tc>
      </w:tr>
      <w:tr>
        <w:trPr>
          <w:trHeight w:val="210"/>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Right-of-use operating lease assets</w:t>
            </w:r>
          </w:p>
        </w:tc>
        <w:tc>
          <w:tcPr>
            <w:tcW w:w="16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Other long-term assets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 current</w:t>
            </w:r>
          </w:p>
        </w:tc>
        <w:tc>
          <w:tcPr>
            <w:tcW w:w="35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Accrued expenses and other 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Other long-term liabilities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w:t>
            </w:r>
          </w:p>
        </w:tc>
      </w:tr>
    </w:tbl>
    <w:p>
      <w:pPr>
        <w:spacing w:after="0" w:line="202"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Depending on the nature of the lease, lease costs are classified within costs of sales or selling, general and administrative expense on the Company’s Condensed Consolidated Statements of Operations. The components of lease costs are as follow:</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June 30, 2022</w:t>
            </w: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June 30, 2022</w:t>
            </w: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r>
      <w:tr>
        <w:trPr>
          <w:trHeight w:val="216"/>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r>
      <w:tr>
        <w:trPr>
          <w:trHeight w:val="209"/>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560"/>
        </w:trPr>
        <w:tc>
          <w:tcPr>
            <w:tcW w:w="5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presents information about the Company’s weighted average discount rate and remaining lease term:</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2022</w:t>
            </w:r>
          </w:p>
        </w:tc>
      </w:tr>
      <w:tr>
        <w:trPr>
          <w:trHeight w:val="210"/>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CEEFF"/>
            </w:tcBorders>
            <w:shd w:val="clear" w:color="auto" w:fill="CCEEFF"/>
          </w:tcPr>
          <w:p>
            <w:pPr>
              <w:spacing w:after="0"/>
              <w:rPr>
                <w:sz w:val="18"/>
                <w:szCs w:val="18"/>
                <w:color w:val="auto"/>
              </w:rPr>
            </w:pP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w:t>
            </w:r>
          </w:p>
        </w:tc>
        <w:tc>
          <w:tcPr>
            <w:tcW w:w="200" w:type="dxa"/>
            <w:vAlign w:val="bottom"/>
          </w:tcPr>
          <w:p>
            <w:pPr>
              <w:spacing w:after="0"/>
              <w:rPr>
                <w:sz w:val="20"/>
                <w:szCs w:val="20"/>
                <w:color w:val="auto"/>
              </w:rPr>
            </w:pP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5.2 years</w:t>
            </w:r>
          </w:p>
        </w:tc>
      </w:tr>
      <w:tr>
        <w:trPr>
          <w:trHeight w:val="418"/>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Supplemental cash flow information about the Company’s leases is as follows: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5"/>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2022</w:t>
            </w:r>
          </w:p>
        </w:tc>
      </w:tr>
      <w:tr>
        <w:trPr>
          <w:trHeight w:val="209"/>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June 30,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non-cancellable operating leases as of June 30, 2022 are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r>
      <w:tr>
        <w:trPr>
          <w:trHeight w:val="209"/>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future minimum lease payments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14,136</w:t>
            </w: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w:t>
            </w:r>
          </w:p>
        </w:tc>
      </w:tr>
      <w:tr>
        <w:trPr>
          <w:trHeight w:val="210"/>
        </w:trPr>
        <w:tc>
          <w:tcPr>
            <w:tcW w:w="7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Present value of minimum lease payments</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w:t>
            </w: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Disclosures related to periods prior to adoption of ASC 842</w:t>
      </w:r>
    </w:p>
    <w:p>
      <w:pPr>
        <w:spacing w:after="0" w:line="22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Rent expense for operating lease agreements under the previous lease guidance was $1.1 million and $2.2 million for the three and six months ended June 30, 2021, respectively.</w:t>
      </w:r>
    </w:p>
    <w:p>
      <w:pPr>
        <w:spacing w:after="0" w:line="170"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color w:val="auto"/>
        </w:rPr>
        <w:t>As previously reported in our audited Consolidated Financial Statements for year ended December 31, 2021, the minimum future lease payments under the previous lease guidance as of December 31, 2021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4,332</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3,286</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22,876</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560"/>
        </w:trPr>
        <w:tc>
          <w:tcPr>
            <w:tcW w:w="6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long-term debt was as follows: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209"/>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232,961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235,668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ABL facility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51,890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International notes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3,126</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loans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6100" w:type="dxa"/>
            <w:vAlign w:val="bottom"/>
          </w:tcPr>
          <w:p>
            <w:pPr>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295,219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(8,735)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r>
      <w:tr>
        <w:trPr>
          <w:trHeight w:val="209"/>
        </w:trPr>
        <w:tc>
          <w:tcPr>
            <w:tcW w:w="6100" w:type="dxa"/>
            <w:vAlign w:val="bottom"/>
          </w:tcPr>
          <w:p>
            <w:pPr>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277,064</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Prior Term Loan Facility</w:t>
      </w:r>
    </w:p>
    <w:p>
      <w:pPr>
        <w:spacing w:after="0" w:line="225"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On February 28, 2020, WBS, as borrower, borrowed $240.0 million of term loans from various financial institutions pursuant to a loan and security agreement (the “Prior Term Loan Agreement”) (such term loans, the “Prior Term Loan Facility”). The Prior Term Loan Facility, which was secured by substantially all the assets of WBS, accrued interest quarterly, at the borrower’s option, at the LIBOR or Prime Rate plus an Applicable Margin, as such terms were defined in the Prior Term Loan Agreement, that corresponded to our total leverage ratio at the end of each quarter. All outstanding loans during the period presented accrued interest at the LIBOR Rate, and the interest rate on the Prior Term Loan Facility was 9.75% on June 30, 2022.</w:t>
      </w:r>
    </w:p>
    <w:p>
      <w:pPr>
        <w:spacing w:after="0" w:line="195"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The outstanding Prior Term Loan Facility also carried a Payment-in-Kind (“PIK”) interest rate of 0.25% that accrued to the outstanding balance quarterly as long as the Run-Rate EBITDA, as such term is defined in the Prior Term Loan Agreement, was under certain defined thresholds. For the three and six months ended June 30, 2022, $0.1 million and $0.3 million of PIK interest was accrued, respectively. For the three and six months ended June 30, 2021, $0.4 million and $1.0 million of PIK interest was accrued, respectively.</w:t>
      </w:r>
    </w:p>
    <w:p>
      <w:pPr>
        <w:spacing w:after="0" w:line="188"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Principal payments on the Prior Term Loan Facility were due quarterly, in the amount of 0.625% of the original principal beginning June 30, 2021, 0.9375% of the original principal beginning June 30, 2023, and 1.25% of the original principal balance beginning June 30, 2024 through maturity.</w:t>
      </w:r>
    </w:p>
    <w:p>
      <w:pPr>
        <w:spacing w:after="0" w:line="184"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We incurred $5.6 million of financing fees in connection with the issuance of the Prior Term Loan Facility. The financing fees were being amortized using the straight-line method, which is approximate to the effective interest method, over a period of five years, which represents the term to maturity of the Prior Term Loan Facility.</w:t>
      </w:r>
    </w:p>
    <w:p>
      <w:pPr>
        <w:spacing w:after="0" w:line="165"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On July 13, 2022, the Company entered into Amendment No. 6 to the Prior Term Loan Agreement (the “Sixth Term Loan Amendment”) to permit the Wooster Pre-fund, as defined in Note 18. The Sixth Term Loan Amendment included the following modifications: (i) permitting the incurrence of subordinated debt from Wooster in the form of the Convertible Note, as defined in Note 18; (ii) extending the PIK interest period to December 31, 2022; (iii) amending the definitions of EBITDA, Fixed Charge Coverage Ratio and Total Debt (which excludes the Convertible Note); and (iv) amending the level of the Minimum Liquidity covenant that the Company is required to comply with. The definition of EBITDA was modified to increase the cap on add-backs for the quarter ended June 30, 2022 and the quarter ended September 30, 2022 from 15% of EBITDA to 20% of EBITDA. The Wooster Pre-fund, together with the Sixth Term Loan Amendment, allowed the Company to meet increased capital expenditure and working capital needs of the business and to remain in compliance with its financial covenants as of June 30, 2022.</w:t>
      </w:r>
    </w:p>
    <w:p>
      <w:pPr>
        <w:spacing w:after="0" w:line="185"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color w:val="auto"/>
        </w:rPr>
        <w:t>In connection with the closing of the Transaction, all outstanding Prior Term Loan Facility balances were repaid, and the associated Prior Term Loan Agreement was terminated. See Note 18 for additional disclosures related to the new credit agreement.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Prior ABL Facility</w:t>
      </w:r>
    </w:p>
    <w:p>
      <w:pPr>
        <w:spacing w:after="0" w:line="225"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On February 28, 2020, WBS, as borrower, entered into a credit agreement with Bank of America as administrative agent (the “Prior ABL Credit Agreement”) that created an asset-based loan of $90.0 million (the “Prior ABL Facility”). Proceeds from the Prior ABL Facility could be used for any lawful corporate purposes, including working capital. Depending on the loan type, interest accrued, at the borrower’s option, at the LIBOR or Base Rate plus an Applicable Margin, as such terms were defined in the Prior ABL Credit Agreement. The Applicable Margin ranged from 1.50% to 3.00% for LIBOR Rate loans and 0.50% to 2.00% for Base Rate loans.</w:t>
      </w:r>
    </w:p>
    <w:p>
      <w:pPr>
        <w:spacing w:after="0" w:line="192"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We incurred related financing fees of $2.6 million which were capitalized and reported within other long-term assets on our Condensed Consolidated Balance Sheets and were being amortized using the straight-line method over the duration of the amended Prior ABL Facility.</w:t>
      </w:r>
    </w:p>
    <w:p>
      <w:pPr>
        <w:spacing w:after="0" w:line="184"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As of June 30, 2022, our total availability under the Prior ABL Facility was $14.5 million, which was based on our borrowing base (accounts receivables and inventory as of May 31, 2022). As of June 30, 2022, we had $72.8 million of outstanding borrowings under the Prior ABL Facility and $2.7 million of outstanding letters of credit. The Prior ABL Facility carried a commitment fee on any of the unused commitment of 0.375% per annum. The weighted average effective interest rate on our outstanding borrowings was 5.8% on June 30, 2022.</w:t>
      </w:r>
    </w:p>
    <w:p>
      <w:pPr>
        <w:spacing w:after="0" w:line="176"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On July 13, 2022, the Company entered into Amendment No. 4 to the Prior ABL Credit Agreement, which included the following modifications: (i) permitting the incurrence of the Wooster Pre-fund, as defined in Note 18, and (ii) amending the definitions of EBITDA, Fixed Charge Coverage Ratio and Total Debt (which excludes the Convertible Note, as defined in Note 18). The definition of EBITDA was modified to increase the cap on add-backs for the quarter ended June 30, 2022 and the quarter ended September 30, 2022 from 15% of EBITDA to 20% of EBITDA.</w:t>
      </w:r>
    </w:p>
    <w:p>
      <w:pPr>
        <w:spacing w:after="0" w:line="176"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In connection with the closing of the Transaction, all outstanding Prior ABL Facility balances were repaid, and the associated Prior ABL Credit Agreement was terminated. Outstanding letters of credit will be replaced by letters of credit under the new credit agreement entered into in connection with the Transaction. See Note 18 for additional disclosures related to the new credit agreement.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 Compliance</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respective loan and security agreements, as amended, governing the Prior ABL Facility and the Prior Term Loan Facility each contain a number of covenants and restrictions, including covenants that limit our and certain of our subsidiaries’ ability, subject to certain exceptions and qualifications, to (i) pay dividends or make distributions, repurchase equity securities, prepay subordinated debt or make certain investments, (ii) incur additional debt or issue certain disqualified stock or preferred stock, (iii) create or incur liens on assets securing indebtedness, (iv) merge or consolidate with another company or sell all or substantially all of our assets taken as a whole, (v) enter into transactions with affiliates, and (vi) sell assets. The covenants and restrictions are substantially similar across both credit facilities. As of June 30, 2022, and the Closing, we were in compliance with covenants under both the Prior Term Loan Facility and Prior ABL Facility. As of August 29, 2022, upon termination of the Prior Term Loan Facility and Prior ABL Facility, the Company is no longer subject to the covenants and restrictions under these agreements.</w:t>
      </w:r>
    </w:p>
    <w:p>
      <w:pPr>
        <w:spacing w:after="0" w:line="185"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Under the terms of the Credit Agreement entered into on August 29, 2022, beginning on September 30, 2022, the Company will be subject to a number of covenants and restrictions, including a maximum net leverage ratio and minimum interest coverage ratio, each as defined in the Credit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International Debt and Lending Facilities</w:t>
      </w:r>
    </w:p>
    <w:p>
      <w:pPr>
        <w:spacing w:after="0" w:line="225"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At June 30, 2022, Westrock Coffee International, LLC, an Arkansas limited liability company and wholly owned subsidiary of the Company, through its subsidiary Falcon Coffees Limited (“Falcon”) had a $1.6 million promissory note payable with responsAbility SICAV (Lux), split into two tranches. Proceeds from the note are restricted for the sole purpose of financing Falcon’s trading activities. The note was amended in January 2022 to adjust the maturity of certain tranches, and to re-set interest rates. Borrowings on the note bear interest at a fixed rate of 9.5% for both the $0.9 million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9" w:lineRule="auto"/>
        <w:rPr>
          <w:sz w:val="20"/>
          <w:szCs w:val="20"/>
          <w:color w:val="auto"/>
        </w:rPr>
      </w:pPr>
      <w:r>
        <w:rPr>
          <w:rFonts w:ascii="Arial" w:cs="Arial" w:eastAsia="Arial" w:hAnsi="Arial"/>
          <w:sz w:val="17"/>
          <w:szCs w:val="17"/>
          <w:color w:val="auto"/>
        </w:rPr>
        <w:t>tranche and the $0.7 million tranche maturing on September 30, 2022 and December 31, 2022, respectively. Westrock Coffee International, LLC, through its subsidiary Rwanda Trading Company, maintains two mortgage-backed lending facilities with a local bank in Rwanda: a short-term trade finance facility with a balance of $8.9 million at June 30, 2022 and a long-term note payable with a balance of $1.9 million at June 30, 2022.</w:t>
      </w:r>
    </w:p>
    <w:p>
      <w:pPr>
        <w:spacing w:after="0" w:line="171"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Falcon maintains a working capital trade finance facility with multiple financial institutions, which prior to March 16, 2022, was agented by Brown Brothers Harriman (“BBH”), a related party of the Company through its equity interests in the Company, and was reported as short-term related party debt on the Condensed Consolidated Balance Sheets. On March 16, 2022, Falcon refinanced its working capital trade finance facility, and the facility was transferred to different lenders with the same terms as the previous facility. At the time of refinance, there was $49.3 million outstanding under the facility. The new facility is uncommitted, repayable on demand and secured by Falcon’s assets. The facility is renewable on an annual basis beginning in March 2023. On April 29, 2022, the facility size increased from $50 million to $55 million and subsequently, on June 16, 2022, the facility size increased to $62.5 million. At June 30, 2022, there was $52.0 million outstanding under the facility, which is recorded in short-term debt in the Condensed Consolidated Balance Sheets. Interest is payable monthly at the U.S. Prime Rate plus 1.50%, subject to a minimum rate of 5.00%. The facility carries an agent fee of 0.25% of total available capital. Availability under the facility is subject to a borrowing base calculation. The credit facility is secured by substantially all liquid assets of Falcon. Falcon’s facility contains certain restrictive financial covenants which require Falcon to maintain certain levels of working capital, debt, and net worth. Falcon was in compliance with these financial covenants as of June 30,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Subordinated Related Party Debt</w:t>
      </w:r>
    </w:p>
    <w:p>
      <w:pPr>
        <w:spacing w:after="0" w:line="225" w:lineRule="exact"/>
        <w:rPr>
          <w:sz w:val="20"/>
          <w:szCs w:val="20"/>
          <w:color w:val="auto"/>
        </w:rPr>
      </w:pPr>
    </w:p>
    <w:p>
      <w:pPr>
        <w:jc w:val="both"/>
        <w:ind w:left="60" w:right="199"/>
        <w:spacing w:after="0" w:line="275" w:lineRule="auto"/>
        <w:rPr>
          <w:sz w:val="20"/>
          <w:szCs w:val="20"/>
          <w:color w:val="auto"/>
        </w:rPr>
      </w:pPr>
      <w:r>
        <w:rPr>
          <w:rFonts w:ascii="Arial" w:cs="Arial" w:eastAsia="Arial" w:hAnsi="Arial"/>
          <w:sz w:val="17"/>
          <w:szCs w:val="17"/>
          <w:color w:val="auto"/>
        </w:rPr>
        <w:t>On February 28, 2020, we issued $13.3 million of subordinated debt (the “Subordinated Notes”) to Wooster Capital, LLC (“Wooster”) and Jo Ellen Ford, related parties of the Company through their equity ownership and relation with Joe Ford, the chairman of our board of directors. The Subordinated Notes provided for maturity on the earlier of (i) six months after the Prior Term Loan Facility due in 2025 is paid in full or (ii) 10 years from the date of issuance (February 2030). Interest was payable quarterly at the end of each calendar quarter at a rate of 6% per annum.</w:t>
      </w:r>
    </w:p>
    <w:p>
      <w:pPr>
        <w:spacing w:after="0" w:line="176"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Substantially concurrently with the closing of the Transaction and pursuant to the terms of their respective subscription agreements with the Company, Wooster and Jo Ellen Ford contributed their respective Subordinated Notes to the Company and in exchange for such contribution, the Company issued shares of common stock, par value $0.01 per share, of the Company (“Common Stock”) to Wooster and Jo Ellen Ford. The Company issued a total of 1,330,000 shares of Common Stock in exchange for the contribution of the Subordinated Notes, which were subsequently extinguished.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spacing w:after="0" w:line="178"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(“AOCI”) and are reclassified into the line item in the Condensed Consolidated Statements of Operations in which the hedged items are recorded in the same period the hedged items affect earnings.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six months ended June 30, 2022 or 2021.</w:t>
      </w:r>
    </w:p>
    <w:p>
      <w:pPr>
        <w:spacing w:after="0" w:line="18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Within our Beverage Solutions segment, we have entered into coffee futures and options contracts to hedge our exposure to price fluctuations on green coffee associated with certain price-to-be-fixed purchase contracts, which generally range from three to twelve months in length. These derivative instruments have been designated and qualified as a part of our commodity cash flow hedging program. The objective of this hedging program is to reduce the variability of cash flows associated with future purchases of green coffee.</w:t>
      </w:r>
    </w:p>
    <w:p>
      <w:pPr>
        <w:spacing w:after="0" w:line="188"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notional amount for the coffee futures contracts that were designated and qualified for our commodity cash flow hedging program was 1.5 million pounds and 7.9 million pounds as of June 30, 2022 and December 31, 2021, respectively. During the three and six months ended June 30, 2022, the Company purchased coffee futures contracts and coffee options contracts under our cash flow hedging program with aggregate notional amounts of 6.9 million pounds and 48.2 million pounds, respectively. During the three and six months ended June 30, 2021, the Company purchased coffee futures contracts and coffee options contracts under our cash flow hedging program with aggregate notional amounts of 21.3 million pounds and 48.6 million pounds, respectively.</w:t>
      </w:r>
    </w:p>
    <w:p>
      <w:pPr>
        <w:spacing w:after="0" w:line="177"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color w:val="auto"/>
        </w:rPr>
        <w:t>Approximately $2.7 million and $6.8 million of net realized gains, representing the effective portion of the cash flow hedge, were subsequently reclassified from AOCI to earnings and recognized in costs of sales in the Condensed Consolidated Statements of Operations for the three and six months ended June 30, 2022, respectively. Approximately $1.3 million and $1.9 million of net realized gains, representing the effective portion of the cash flow hedge, were subsequently reclassified from AOCI to earnings and recognized in costs of sales in the Condensed Consolidated Statements of Operations for the three and six months ended June 30, 2021, respectively. As of June 30, 2022, the estimated amount of net gains reported in AOCI that is expected to be reclassified to the Condensed Consolidated Statements of Operations within the next twelve months is $2.1 million.</w:t>
      </w:r>
    </w:p>
    <w:p>
      <w:pPr>
        <w:spacing w:after="0" w:line="178"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fair value of our derivative assets and liabilities included in the Condensed Consolidated Balance Sheets are set forth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gridSpan w:val="4"/>
          </w:tcPr>
          <w:p>
            <w:pPr>
              <w:ind w:left="20"/>
              <w:spacing w:after="0"/>
              <w:rPr>
                <w:sz w:val="20"/>
                <w:szCs w:val="20"/>
                <w:color w:val="auto"/>
              </w:rPr>
            </w:pPr>
            <w:r>
              <w:rPr>
                <w:rFonts w:ascii="Arial" w:cs="Arial" w:eastAsia="Arial" w:hAnsi="Arial"/>
                <w:sz w:val="14"/>
                <w:szCs w:val="14"/>
                <w:color w:val="auto"/>
              </w:rPr>
              <w:t>(Thousands)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June 30, 2022</w:t>
            </w: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4"/>
              </w:rPr>
              <w:t>Derivative assets designated as cash flow</w:t>
            </w:r>
          </w:p>
        </w:tc>
        <w:tc>
          <w:tcPr>
            <w:tcW w:w="2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Arial" w:cs="Arial" w:eastAsia="Arial" w:hAnsi="Arial"/>
                <w:sz w:val="17"/>
                <w:szCs w:val="17"/>
                <w:color w:val="auto"/>
              </w:rPr>
              <w:t>Coffee futures contracts</w:t>
            </w:r>
            <w:r>
              <w:rPr>
                <w:rFonts w:ascii="Arial" w:cs="Arial" w:eastAsia="Arial" w:hAnsi="Arial"/>
                <w:sz w:val="25"/>
                <w:szCs w:val="25"/>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Derivative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Coffee options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Derivative assets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Derivative assets not designated as cash</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4"/>
          </w:tcPr>
          <w:p>
            <w:pPr>
              <w:ind w:left="20"/>
              <w:spacing w:after="0"/>
              <w:rPr>
                <w:sz w:val="20"/>
                <w:szCs w:val="20"/>
                <w:color w:val="auto"/>
              </w:rPr>
            </w:pPr>
            <w:r>
              <w:rPr>
                <w:rFonts w:ascii="Arial" w:cs="Arial" w:eastAsia="Arial" w:hAnsi="Arial"/>
                <w:sz w:val="18"/>
                <w:szCs w:val="18"/>
                <w:b w:val="1"/>
                <w:bCs w:val="1"/>
                <w:color w:val="auto"/>
              </w:rPr>
              <w:t>flow hedging instruments: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Forward sales contracts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Derivative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w:t>
            </w:r>
          </w:p>
        </w:tc>
        <w:tc>
          <w:tcPr>
            <w:tcW w:w="5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14,990</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derivative assets</w:t>
            </w:r>
          </w:p>
        </w:tc>
        <w:tc>
          <w:tcPr>
            <w:tcW w:w="2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Derivative liabilities designated as cash flow</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Arial" w:cs="Arial" w:eastAsia="Arial" w:hAnsi="Arial"/>
                <w:sz w:val="17"/>
                <w:szCs w:val="17"/>
                <w:color w:val="auto"/>
              </w:rPr>
              <w:t>Coffee futures contracts</w:t>
            </w:r>
            <w:r>
              <w:rPr>
                <w:rFonts w:ascii="Arial" w:cs="Arial" w:eastAsia="Arial" w:hAnsi="Arial"/>
                <w:sz w:val="25"/>
                <w:szCs w:val="25"/>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color w:val="auto"/>
                <w:w w:val="96"/>
              </w:rPr>
              <w:t>Derivative liabilities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829</w:t>
            </w:r>
          </w:p>
        </w:tc>
        <w:tc>
          <w:tcPr>
            <w:tcW w:w="5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Coffee options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Derivative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6"/>
              </w:rPr>
              <w:t>Derivative liabilities not designated as cash</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4"/>
          </w:tcPr>
          <w:p>
            <w:pPr>
              <w:ind w:left="20"/>
              <w:spacing w:after="0"/>
              <w:rPr>
                <w:sz w:val="20"/>
                <w:szCs w:val="20"/>
                <w:color w:val="auto"/>
              </w:rPr>
            </w:pPr>
            <w:r>
              <w:rPr>
                <w:rFonts w:ascii="Arial" w:cs="Arial" w:eastAsia="Arial" w:hAnsi="Arial"/>
                <w:sz w:val="18"/>
                <w:szCs w:val="18"/>
                <w:b w:val="1"/>
                <w:bCs w:val="1"/>
                <w:color w:val="auto"/>
              </w:rPr>
              <w:t>flow hedging instruments: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Forward purchase contracts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Derivative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5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derivative liabilities</w:t>
            </w:r>
          </w:p>
        </w:tc>
        <w:tc>
          <w:tcPr>
            <w:tcW w:w="2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 The fair value of coffee futures excludes amounts related to margin accounts.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pre-tax net gains and losses for our derivative instruments: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Statement of</w:t>
            </w:r>
          </w:p>
        </w:tc>
        <w:tc>
          <w:tcPr>
            <w:tcW w:w="21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Three Months Ended June 30,</w:t>
            </w: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06"/>
        </w:trPr>
        <w:tc>
          <w:tcPr>
            <w:tcW w:w="3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Operations</w:t>
            </w:r>
          </w:p>
        </w:tc>
        <w:tc>
          <w:tcPr>
            <w:tcW w:w="200" w:type="dxa"/>
            <w:vAlign w:val="bottom"/>
          </w:tcPr>
          <w:p>
            <w:pPr>
              <w:spacing w:after="0"/>
              <w:rPr>
                <w:sz w:val="12"/>
                <w:szCs w:val="12"/>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00" w:type="dxa"/>
            <w:vAlign w:val="bottom"/>
            <w:tcBorders>
              <w:top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9"/>
              </w:rPr>
              <w:t>Derivative assets designated as cash flow</w:t>
            </w:r>
          </w:p>
        </w:tc>
        <w:tc>
          <w:tcPr>
            <w:tcW w:w="1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Arial" w:cs="Arial" w:eastAsia="Arial" w:hAnsi="Arial"/>
                <w:sz w:val="18"/>
                <w:szCs w:val="18"/>
                <w:color w:val="auto"/>
                <w:w w:val="94"/>
              </w:rPr>
              <w:t>Net realized gains (losses) on coffee derivatives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Costs of sales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2,701</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6,831</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3"/>
              </w:rPr>
              <w:t>Derivative assets and liabilities not designated</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cash flow hedging instruments:</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Net unrealized gains (losses) on forward sales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purchase contracts</w:t>
            </w:r>
          </w:p>
        </w:tc>
        <w:tc>
          <w:tcPr>
            <w:tcW w:w="1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Costs of sales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24"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1—Valuation is based upon quoted prices for identical instruments traded in active markets.</w:t>
      </w:r>
    </w:p>
    <w:p>
      <w:pPr>
        <w:spacing w:after="0" w:line="225" w:lineRule="exact"/>
        <w:rPr>
          <w:rFonts w:ascii="Arial" w:cs="Arial" w:eastAsia="Arial" w:hAnsi="Arial"/>
          <w:sz w:val="18"/>
          <w:szCs w:val="18"/>
          <w:color w:val="auto"/>
        </w:rPr>
      </w:pPr>
    </w:p>
    <w:p>
      <w:pPr>
        <w:ind w:left="720" w:right="79" w:hanging="319"/>
        <w:spacing w:after="0" w:line="272"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77" w:lineRule="exact"/>
        <w:rPr>
          <w:rFonts w:ascii="Arial" w:cs="Arial" w:eastAsia="Arial" w:hAnsi="Arial"/>
          <w:sz w:val="17"/>
          <w:szCs w:val="17"/>
          <w:color w:val="auto"/>
        </w:rPr>
      </w:pPr>
    </w:p>
    <w:p>
      <w:pPr>
        <w:ind w:left="720" w:right="119" w:hanging="319"/>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fair value of financial instruments at June 30,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6"/>
        </w:trPr>
        <w:tc>
          <w:tcPr>
            <w:tcW w:w="45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(Thousands)</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12"/>
              <w:spacing w:after="0" w:line="155" w:lineRule="exact"/>
              <w:rPr>
                <w:sz w:val="20"/>
                <w:szCs w:val="20"/>
                <w:color w:val="auto"/>
              </w:rPr>
            </w:pPr>
            <w:r>
              <w:rPr>
                <w:rFonts w:ascii="Arial" w:cs="Arial" w:eastAsia="Arial" w:hAnsi="Arial"/>
                <w:sz w:val="14"/>
                <w:szCs w:val="14"/>
                <w:b w:val="1"/>
                <w:bCs w:val="1"/>
                <w:color w:val="auto"/>
              </w:rPr>
              <w:t>Total</w:t>
            </w:r>
          </w:p>
        </w:tc>
      </w:tr>
      <w:tr>
        <w:trPr>
          <w:trHeight w:val="210"/>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Green coffee associated with forward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55,952</w:t>
            </w:r>
          </w:p>
        </w:tc>
      </w:tr>
      <w:tr>
        <w:trPr>
          <w:trHeight w:val="216"/>
        </w:trPr>
        <w:tc>
          <w:tcPr>
            <w:tcW w:w="4540" w:type="dxa"/>
            <w:vAlign w:val="bottom"/>
            <w:gridSpan w:val="2"/>
          </w:tcPr>
          <w:p>
            <w:pPr>
              <w:ind w:left="120"/>
              <w:spacing w:after="0"/>
              <w:rPr>
                <w:sz w:val="20"/>
                <w:szCs w:val="20"/>
                <w:color w:val="auto"/>
              </w:rPr>
            </w:pPr>
            <w:r>
              <w:rPr>
                <w:rFonts w:ascii="Arial" w:cs="Arial" w:eastAsia="Arial" w:hAnsi="Arial"/>
                <w:sz w:val="18"/>
                <w:szCs w:val="18"/>
                <w:color w:val="auto"/>
              </w:rPr>
              <w:t>Forward sales contracts</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14,990</w:t>
            </w:r>
          </w:p>
        </w:tc>
      </w:tr>
      <w:tr>
        <w:trPr>
          <w:trHeight w:val="216"/>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Coffee options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50"/>
        </w:trPr>
        <w:tc>
          <w:tcPr>
            <w:tcW w:w="4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70,942</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71,644</w:t>
            </w:r>
          </w:p>
        </w:tc>
      </w:tr>
      <w:tr>
        <w:trPr>
          <w:trHeight w:val="196"/>
        </w:trPr>
        <w:tc>
          <w:tcPr>
            <w:tcW w:w="4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4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Coffee futures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4540" w:type="dxa"/>
            <w:vAlign w:val="bottom"/>
            <w:gridSpan w:val="2"/>
          </w:tcPr>
          <w:p>
            <w:pPr>
              <w:ind w:left="120"/>
              <w:spacing w:after="0"/>
              <w:rPr>
                <w:sz w:val="20"/>
                <w:szCs w:val="20"/>
                <w:color w:val="auto"/>
              </w:rPr>
            </w:pPr>
            <w:r>
              <w:rPr>
                <w:rFonts w:ascii="Arial" w:cs="Arial" w:eastAsia="Arial" w:hAnsi="Arial"/>
                <w:sz w:val="18"/>
                <w:szCs w:val="18"/>
                <w:color w:val="auto"/>
              </w:rPr>
              <w:t>Forward purchase contracts</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6,754</w:t>
            </w:r>
          </w:p>
        </w:tc>
      </w:tr>
      <w:tr>
        <w:trPr>
          <w:trHeight w:val="210"/>
        </w:trPr>
        <w:tc>
          <w:tcPr>
            <w:tcW w:w="45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fair value of financial instruments at December 31,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5"/>
        </w:trPr>
        <w:tc>
          <w:tcPr>
            <w:tcW w:w="454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(Thousands)</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13"/>
              <w:spacing w:after="0" w:line="155" w:lineRule="exact"/>
              <w:rPr>
                <w:sz w:val="20"/>
                <w:szCs w:val="20"/>
                <w:color w:val="auto"/>
              </w:rPr>
            </w:pPr>
            <w:r>
              <w:rPr>
                <w:rFonts w:ascii="Arial" w:cs="Arial" w:eastAsia="Arial" w:hAnsi="Arial"/>
                <w:sz w:val="14"/>
                <w:szCs w:val="14"/>
                <w:b w:val="1"/>
                <w:bCs w:val="1"/>
                <w:color w:val="auto"/>
              </w:rPr>
              <w:t>Total</w:t>
            </w:r>
          </w:p>
        </w:tc>
      </w:tr>
      <w:tr>
        <w:trPr>
          <w:trHeight w:val="210"/>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Green coffee associated with forward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47,845</w:t>
            </w:r>
          </w:p>
        </w:tc>
      </w:tr>
      <w:tr>
        <w:trPr>
          <w:trHeight w:val="216"/>
        </w:trPr>
        <w:tc>
          <w:tcPr>
            <w:tcW w:w="4540" w:type="dxa"/>
            <w:vAlign w:val="bottom"/>
            <w:gridSpan w:val="2"/>
          </w:tcPr>
          <w:p>
            <w:pPr>
              <w:ind w:left="120"/>
              <w:spacing w:after="0"/>
              <w:rPr>
                <w:sz w:val="20"/>
                <w:szCs w:val="20"/>
                <w:color w:val="auto"/>
              </w:rPr>
            </w:pPr>
            <w:r>
              <w:rPr>
                <w:rFonts w:ascii="Arial" w:cs="Arial" w:eastAsia="Arial" w:hAnsi="Arial"/>
                <w:sz w:val="18"/>
                <w:szCs w:val="18"/>
                <w:color w:val="auto"/>
              </w:rPr>
              <w:t>Coffee futures contracts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Forward sales contracts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r>
      <w:tr>
        <w:trPr>
          <w:trHeight w:val="250"/>
        </w:trPr>
        <w:tc>
          <w:tcPr>
            <w:tcW w:w="4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61,438</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61,610</w:t>
            </w:r>
          </w:p>
        </w:tc>
      </w:tr>
      <w:tr>
        <w:trPr>
          <w:trHeight w:val="196"/>
        </w:trPr>
        <w:tc>
          <w:tcPr>
            <w:tcW w:w="4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4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Forward purchase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r>
      <w:tr>
        <w:trPr>
          <w:trHeight w:val="210"/>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14,021</w:t>
            </w: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00"/>
        <w:spacing w:after="0" w:line="289" w:lineRule="auto"/>
        <w:rPr>
          <w:sz w:val="20"/>
          <w:szCs w:val="20"/>
          <w:color w:val="auto"/>
        </w:rPr>
      </w:pPr>
      <w:r>
        <w:rPr>
          <w:rFonts w:ascii="Arial" w:cs="Arial" w:eastAsia="Arial" w:hAnsi="Arial"/>
          <w:sz w:val="16"/>
          <w:szCs w:val="16"/>
          <w:color w:val="auto"/>
        </w:rPr>
        <w:t>Financial instruments consist primarily of cash, accounts receivable, accounts payable, and long-term debt. The carrying amount of cash, accounts receivable and accounts payable was estimated by management to approximate fair value due to the relatively short period of time to maturity for those instruments. In November 2021, we amended our Prior Term Loan Agreement and our Prior ABL Credit Agreement, which comprise our material long-term debt obligations. As there was no re-pricing of those obligations in connection with the amendments, the carrying amount of these obligations was estimated by management to approximate fair value as of June 30, 2022 and December 31, 2021. Due to the LIBOR-based nature of the Prior Term Loan Facility and the Prior ABL Facility, the Prior Term Loan Facility and the Prior ABL Facility are carried on the Condensed Consolidated Balance Sheets at amortized costs. The fair value of the Prior Term Loan Facility and the Prior ABL Facility was determined based on Level 2 inputs under the fair value hierarchy.</w:t>
      </w:r>
    </w:p>
    <w:p>
      <w:pPr>
        <w:spacing w:after="0" w:line="166" w:lineRule="exact"/>
        <w:rPr>
          <w:sz w:val="20"/>
          <w:szCs w:val="20"/>
          <w:color w:val="auto"/>
        </w:rPr>
      </w:pPr>
    </w:p>
    <w:p>
      <w:pPr>
        <w:ind w:left="60" w:right="900"/>
        <w:spacing w:after="0" w:line="286" w:lineRule="auto"/>
        <w:rPr>
          <w:sz w:val="20"/>
          <w:szCs w:val="20"/>
          <w:color w:val="auto"/>
        </w:rPr>
      </w:pPr>
      <w:r>
        <w:rPr>
          <w:rFonts w:ascii="Arial" w:cs="Arial" w:eastAsia="Arial" w:hAnsi="Arial"/>
          <w:sz w:val="17"/>
          <w:szCs w:val="17"/>
          <w:color w:val="auto"/>
        </w:rPr>
        <w:t>Non-financial assets and liabilities, including property, plant and equipment, goodwill, and intangible assets are measured at fair value on a non-recurring basis. No events occurred during the three or six months ended June 30, 2022 and 2021, requiring these non-financial assets and liabilities to be subsequently recognized at fair value.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Accumulated Other Comprehensive Income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accumulated other comprehensive loss, net of tax by component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1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June 30,</w:t>
            </w: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56"/>
        </w:trPr>
        <w:tc>
          <w:tcPr>
            <w:tcW w:w="568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 hedge changes in fair value gain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6,899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Amounts reclassified from accumulated comprehensive income</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(2,701)</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9"/>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Net accumulated other comprehensive income</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Less: Other comprehensive 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1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Amounts reclassified from accumulated comprehensive income</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Net other comprehensive income</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Less: Other comprehensive income attributable to noncontrolling interests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at end of period</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Earnings per Unit</w:t>
      </w:r>
    </w:p>
    <w:p>
      <w:pPr>
        <w:spacing w:after="0" w:line="229" w:lineRule="exact"/>
        <w:rPr>
          <w:sz w:val="20"/>
          <w:szCs w:val="20"/>
          <w:color w:val="auto"/>
        </w:rPr>
      </w:pPr>
    </w:p>
    <w:p>
      <w:pPr>
        <w:ind w:left="60" w:right="760"/>
        <w:spacing w:after="0" w:line="296" w:lineRule="auto"/>
        <w:rPr>
          <w:sz w:val="20"/>
          <w:szCs w:val="20"/>
          <w:color w:val="auto"/>
        </w:rPr>
      </w:pPr>
      <w:r>
        <w:rPr>
          <w:rFonts w:ascii="Arial" w:cs="Arial" w:eastAsia="Arial" w:hAnsi="Arial"/>
          <w:sz w:val="16"/>
          <w:szCs w:val="16"/>
          <w:color w:val="auto"/>
        </w:rPr>
        <w:t>Prior to the Conversion, the Company’s ownership interests consisted of two classes of equity units, referred to as Common Units and Common Equivalent Preferred Units (“CEP Units”). The dilutive effect of CEP Units is calculated by using the “if-converted” method. This assumes an add-back of dividends on the CEP Units to net income attributable to unitholders as if the securities were converted to Common Units at the beginning of the reporting period (or at the time of issuance, if later), and the resulting Common Units are included in the number of weighted-average units outstanding.</w:t>
      </w:r>
    </w:p>
    <w:p>
      <w:pPr>
        <w:spacing w:after="0" w:line="161" w:lineRule="exact"/>
        <w:rPr>
          <w:sz w:val="20"/>
          <w:szCs w:val="20"/>
          <w:color w:val="auto"/>
        </w:rPr>
      </w:pPr>
    </w:p>
    <w:p>
      <w:pPr>
        <w:ind w:left="60" w:right="1100"/>
        <w:spacing w:after="0" w:line="277" w:lineRule="auto"/>
        <w:rPr>
          <w:sz w:val="20"/>
          <w:szCs w:val="20"/>
          <w:color w:val="auto"/>
        </w:rPr>
      </w:pPr>
      <w:r>
        <w:rPr>
          <w:rFonts w:ascii="Arial" w:cs="Arial" w:eastAsia="Arial" w:hAnsi="Arial"/>
          <w:sz w:val="18"/>
          <w:szCs w:val="18"/>
          <w:color w:val="auto"/>
        </w:rPr>
        <w:t>The dilutive effect of time-based option awards and restricted stock units is calculated using the treasury stock method, while performance-based vesting units are treated as contingently issuable.</w:t>
      </w:r>
    </w:p>
    <w:p>
      <w:pPr>
        <w:spacing w:after="0" w:line="38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720"/>
          </w:cols>
          <w:pgMar w:left="1440" w:top="517" w:right="7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We have excluded from the computation of diluted units the effect of time-based unit options, restricted Common Units, and CEP Units because their inclusion would have an anti-dilutive effect due to our reported net loss. We had 16.4 million unit options, 4.5 million restricted Common Units, and 239.2 million CEP Units outstanding at June 30, 2022, and 13.1 million, 9.1 million and 222.2 million of unit options, restricted Common Units, and CEP Units outstanding, respectively, at June 30, 2021.</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color w:val="auto"/>
              </w:rPr>
              <w:t>(Thousands, except per unit data)</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Unit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 to common unitholders - 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Impact of if-converted securities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unitholders - diluted</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Weighted-average common units outstanding - 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328,062</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Impact of if-converted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other dilutive securities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Weighted-average common units outstanding - diluted</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332,209</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331,195</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328,062</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Dilutive loss per common unit</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Note 15. Segment Information</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Management, including our chief executive officer, who is our chief operating decision maker, manages our business in two operating segments.</w:t>
      </w:r>
    </w:p>
    <w:p>
      <w:pPr>
        <w:spacing w:after="0" w:line="170"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u w:val="single" w:color="auto"/>
          <w:color w:val="auto"/>
        </w:rPr>
        <w:t>Beverage Solutions:</w:t>
      </w:r>
      <w:r>
        <w:rPr>
          <w:rFonts w:ascii="Arial" w:cs="Arial" w:eastAsia="Arial" w:hAnsi="Arial"/>
          <w:sz w:val="18"/>
          <w:szCs w:val="18"/>
          <w:color w:val="auto"/>
        </w:rPr>
        <w:t xml:space="preserve"> Through this segment, we combine our product innovation and customer insights to provide value-added beverage solutions, including coffee, tea, juices,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92"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xml:space="preserve">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87"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equity-based compensation expense and the impact, which may be recurring in nature, of acquisition, transaction and integrations costs, including management services and consulting agreements entered into in connection with the acquisition of S&amp;D Coffee, Inc. (“S&amp;D”), impairment charges, non-cash mark-to-market adjustments, certain costs specifically excluded from the calculation of EBITDA under our material debt agreements, and other similar or infrequent items (although we may not have had such charges in the periods presented).</w:t>
      </w:r>
    </w:p>
    <w:p>
      <w:pPr>
        <w:spacing w:after="0" w:line="38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Selected financial data related to our segments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June 30, 2022</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Sustainable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auto"/>
                <w:w w:val="90"/>
              </w:rPr>
              <w:t>Total of</w:t>
            </w:r>
          </w:p>
        </w:tc>
        <w:tc>
          <w:tcPr>
            <w:tcW w:w="20" w:type="dxa"/>
            <w:vAlign w:val="bottom"/>
          </w:tcPr>
          <w:p>
            <w:pPr>
              <w:spacing w:after="0"/>
              <w:rPr>
                <w:sz w:val="12"/>
                <w:szCs w:val="12"/>
                <w:color w:val="auto"/>
              </w:rPr>
            </w:pPr>
          </w:p>
        </w:tc>
      </w:tr>
      <w:tr>
        <w:trPr>
          <w:trHeight w:val="162"/>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Beverage</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Sourcing &amp;</w:t>
            </w: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Reportable</w:t>
            </w:r>
          </w:p>
        </w:tc>
      </w:tr>
      <w:tr>
        <w:trPr>
          <w:trHeight w:val="171"/>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Traceability</w:t>
            </w: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Segments</w:t>
            </w:r>
          </w:p>
        </w:tc>
      </w:tr>
      <w:tr>
        <w:trPr>
          <w:trHeight w:val="209"/>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(5,911)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(1,499)</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2,304</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Management and consulting fees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r>
      <w:tr>
        <w:trPr>
          <w:trHeight w:val="250"/>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w:t>
            </w:r>
          </w:p>
        </w:tc>
        <w:tc>
          <w:tcPr>
            <w:tcW w:w="20" w:type="dxa"/>
            <w:vAlign w:val="bottom"/>
          </w:tcPr>
          <w:p>
            <w:pPr>
              <w:spacing w:after="0"/>
              <w:rPr>
                <w:sz w:val="21"/>
                <w:szCs w:val="21"/>
                <w:color w:val="auto"/>
              </w:rPr>
            </w:pPr>
          </w:p>
        </w:tc>
      </w:tr>
      <w:tr>
        <w:trPr>
          <w:trHeight w:val="196"/>
        </w:trPr>
        <w:tc>
          <w:tcPr>
            <w:tcW w:w="4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546,449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114,997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661,446</w:t>
            </w:r>
          </w:p>
        </w:tc>
        <w:tc>
          <w:tcPr>
            <w:tcW w:w="20" w:type="dxa"/>
            <w:vAlign w:val="bottom"/>
          </w:tcPr>
          <w:p>
            <w:pPr>
              <w:spacing w:after="0"/>
              <w:rPr>
                <w:sz w:val="20"/>
                <w:szCs w:val="20"/>
                <w:color w:val="auto"/>
              </w:rPr>
            </w:pPr>
          </w:p>
        </w:tc>
      </w:tr>
      <w:tr>
        <w:trPr>
          <w:trHeight w:val="364"/>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June 30, 2021</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Sustainable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auto"/>
                <w:w w:val="90"/>
              </w:rPr>
              <w:t>Total of</w:t>
            </w:r>
          </w:p>
        </w:tc>
        <w:tc>
          <w:tcPr>
            <w:tcW w:w="20" w:type="dxa"/>
            <w:vAlign w:val="bottom"/>
          </w:tcPr>
          <w:p>
            <w:pPr>
              <w:spacing w:after="0"/>
              <w:rPr>
                <w:sz w:val="12"/>
                <w:szCs w:val="12"/>
                <w:color w:val="auto"/>
              </w:rPr>
            </w:pPr>
          </w:p>
        </w:tc>
      </w:tr>
      <w:tr>
        <w:trPr>
          <w:trHeight w:val="162"/>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Beverage</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Sourcing &amp;</w:t>
            </w: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Reportable</w:t>
            </w:r>
          </w:p>
        </w:tc>
      </w:tr>
      <w:tr>
        <w:trPr>
          <w:trHeight w:val="171"/>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Traceability</w:t>
            </w:r>
          </w:p>
        </w:tc>
        <w:tc>
          <w:tcPr>
            <w:tcW w:w="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Segments</w:t>
            </w: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1"/>
              </w:rPr>
              <w:t>(4,583)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171,144</w:t>
            </w:r>
          </w:p>
        </w:tc>
        <w:tc>
          <w:tcPr>
            <w:tcW w:w="20" w:type="dxa"/>
            <w:vAlign w:val="bottom"/>
          </w:tcPr>
          <w:p>
            <w:pPr>
              <w:spacing w:after="0"/>
              <w:rPr>
                <w:sz w:val="18"/>
                <w:szCs w:val="18"/>
                <w:color w:val="auto"/>
              </w:rPr>
            </w:pPr>
          </w:p>
        </w:tc>
      </w:tr>
      <w:tr>
        <w:trPr>
          <w:trHeight w:val="216"/>
        </w:trPr>
        <w:tc>
          <w:tcPr>
            <w:tcW w:w="4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Management and consulting fees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Gain on disposal of property, plant and equipment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8"/>
                <w:szCs w:val="18"/>
                <w:color w:val="auto"/>
              </w:rPr>
            </w:pPr>
          </w:p>
        </w:tc>
      </w:tr>
      <w:tr>
        <w:trPr>
          <w:trHeight w:val="250"/>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20" w:type="dxa"/>
            <w:vAlign w:val="bottom"/>
          </w:tcPr>
          <w:p>
            <w:pPr>
              <w:spacing w:after="0"/>
              <w:rPr>
                <w:sz w:val="21"/>
                <w:szCs w:val="21"/>
                <w:color w:val="auto"/>
              </w:rPr>
            </w:pPr>
          </w:p>
        </w:tc>
      </w:tr>
      <w:tr>
        <w:trPr>
          <w:trHeight w:val="196"/>
        </w:trPr>
        <w:tc>
          <w:tcPr>
            <w:tcW w:w="4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493,686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69,077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562,763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1"/>
              </w:rPr>
              <w:t>Six Months Ended June 30, 2022</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Sustainable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auto"/>
                <w:w w:val="90"/>
              </w:rPr>
              <w:t>Total of</w:t>
            </w:r>
          </w:p>
        </w:tc>
        <w:tc>
          <w:tcPr>
            <w:tcW w:w="20" w:type="dxa"/>
            <w:vAlign w:val="bottom"/>
          </w:tcPr>
          <w:p>
            <w:pPr>
              <w:spacing w:after="0"/>
              <w:rPr>
                <w:sz w:val="12"/>
                <w:szCs w:val="12"/>
                <w:color w:val="auto"/>
              </w:rPr>
            </w:pPr>
          </w:p>
        </w:tc>
      </w:tr>
      <w:tr>
        <w:trPr>
          <w:trHeight w:val="162"/>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Beverage</w:t>
            </w:r>
          </w:p>
        </w:tc>
        <w:tc>
          <w:tcPr>
            <w:tcW w:w="1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Sourcing &amp;</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Intersegment</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Reportable</w:t>
            </w:r>
          </w:p>
        </w:tc>
      </w:tr>
      <w:tr>
        <w:trPr>
          <w:trHeight w:val="171"/>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Traceability</w:t>
            </w: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Segments</w:t>
            </w: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106,232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(3,083)</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4,787</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Management and consulting fees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8"/>
                <w:szCs w:val="18"/>
                <w:color w:val="auto"/>
              </w:rPr>
            </w:pPr>
          </w:p>
        </w:tc>
      </w:tr>
      <w:tr>
        <w:trPr>
          <w:trHeight w:val="249"/>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w:t>
            </w:r>
          </w:p>
        </w:tc>
        <w:tc>
          <w:tcPr>
            <w:tcW w:w="20" w:type="dxa"/>
            <w:vAlign w:val="bottom"/>
          </w:tcPr>
          <w:p>
            <w:pPr>
              <w:spacing w:after="0"/>
              <w:rPr>
                <w:sz w:val="21"/>
                <w:szCs w:val="21"/>
                <w:color w:val="auto"/>
              </w:rPr>
            </w:pPr>
          </w:p>
        </w:tc>
      </w:tr>
      <w:tr>
        <w:trPr>
          <w:trHeight w:val="197"/>
        </w:trPr>
        <w:tc>
          <w:tcPr>
            <w:tcW w:w="4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546,449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114,997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661,446</w:t>
            </w:r>
          </w:p>
        </w:tc>
        <w:tc>
          <w:tcPr>
            <w:tcW w:w="20" w:type="dxa"/>
            <w:vAlign w:val="bottom"/>
          </w:tcPr>
          <w:p>
            <w:pPr>
              <w:spacing w:after="0"/>
              <w:rPr>
                <w:sz w:val="20"/>
                <w:szCs w:val="20"/>
                <w:color w:val="auto"/>
              </w:rPr>
            </w:pPr>
          </w:p>
        </w:tc>
      </w:tr>
      <w:tr>
        <w:trPr>
          <w:trHeight w:val="364"/>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1"/>
              </w:rPr>
              <w:t>Six Months Ended June 30, 2021</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Sustainable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auto"/>
                <w:w w:val="90"/>
              </w:rPr>
              <w:t>Total of</w:t>
            </w:r>
          </w:p>
        </w:tc>
        <w:tc>
          <w:tcPr>
            <w:tcW w:w="20" w:type="dxa"/>
            <w:vAlign w:val="bottom"/>
          </w:tcPr>
          <w:p>
            <w:pPr>
              <w:spacing w:after="0"/>
              <w:rPr>
                <w:sz w:val="12"/>
                <w:szCs w:val="12"/>
                <w:color w:val="auto"/>
              </w:rPr>
            </w:pPr>
          </w:p>
        </w:tc>
      </w:tr>
      <w:tr>
        <w:trPr>
          <w:trHeight w:val="162"/>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Beverage</w:t>
            </w:r>
          </w:p>
        </w:tc>
        <w:tc>
          <w:tcPr>
            <w:tcW w:w="1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Sourcing &amp;</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Intersegment</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Reportable</w:t>
            </w:r>
          </w:p>
        </w:tc>
      </w:tr>
      <w:tr>
        <w:trPr>
          <w:trHeight w:val="171"/>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Traceability</w:t>
            </w: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Segments</w:t>
            </w: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20" w:type="dxa"/>
            <w:vAlign w:val="bottom"/>
          </w:tcPr>
          <w:p>
            <w:pPr>
              <w:spacing w:after="0"/>
              <w:rPr>
                <w:sz w:val="18"/>
                <w:szCs w:val="18"/>
                <w:color w:val="auto"/>
              </w:rPr>
            </w:pPr>
          </w:p>
        </w:tc>
      </w:tr>
      <w:tr>
        <w:trPr>
          <w:trHeight w:val="216"/>
        </w:trPr>
        <w:tc>
          <w:tcPr>
            <w:tcW w:w="4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15,669</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Management and consulting fees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18"/>
                <w:szCs w:val="18"/>
                <w:color w:val="auto"/>
              </w:rPr>
            </w:pPr>
          </w:p>
        </w:tc>
      </w:tr>
      <w:tr>
        <w:trPr>
          <w:trHeight w:val="250"/>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w:t>
            </w:r>
          </w:p>
        </w:tc>
        <w:tc>
          <w:tcPr>
            <w:tcW w:w="20" w:type="dxa"/>
            <w:vAlign w:val="bottom"/>
          </w:tcPr>
          <w:p>
            <w:pPr>
              <w:spacing w:after="0"/>
              <w:rPr>
                <w:sz w:val="21"/>
                <w:szCs w:val="21"/>
                <w:color w:val="auto"/>
              </w:rPr>
            </w:pPr>
          </w:p>
        </w:tc>
      </w:tr>
      <w:tr>
        <w:trPr>
          <w:trHeight w:val="197"/>
        </w:trPr>
        <w:tc>
          <w:tcPr>
            <w:tcW w:w="4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493,686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69,077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562,763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following table presents net sales information by geographic area. Net sales are attributed to countries based on the customer invoice location.</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0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181,526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334,541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 countries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223,413</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561"/>
        </w:trPr>
        <w:tc>
          <w:tcPr>
            <w:tcW w:w="4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We are subject to various claims and legal proceedings with respect to matters such as governmental regulations, and other actions arising out of the ordinary course of business. Management believes that the resolution of these matters will not have a material adverse effect on our financial position, results of operations, or cash flow.</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had $2.7 million in standby letters of credit outstanding as of June 30, 2022.</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We have future purchase obligations of $371.7 million as of June 30, 2022 that consist of commitments for the purchase of inventory over the next 12 months. These obligations represent the minimum contractual obligations expected under the normal course of business.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Related Party Transactions</w:t>
      </w:r>
    </w:p>
    <w:p>
      <w:pPr>
        <w:spacing w:after="0" w:line="229"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The Company transacts with certain entities or persons that have ownership in the Company, and/or for which our co-founder and Chief Executive Officer Scott Ford, our co-founder and Chairman, Joe Ford, or close family members of the Fords, have ownership interests in. As such, these persons and entities are deemed related parties.</w:t>
      </w:r>
    </w:p>
    <w:p>
      <w:pPr>
        <w:spacing w:after="0" w:line="149"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In connection with the acquisition of S&amp;D on February 28, 2020, certain affiliates of BBH were issued CEP Units, at which time BBH became a related party.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consolidated financial statements reflect the following transactions with related parties: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gridSpan w:val="3"/>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June 30, 2022</w:t>
            </w:r>
          </w:p>
        </w:tc>
        <w:tc>
          <w:tcPr>
            <w:tcW w:w="16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related party debt:</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Brown Brothers Harriman</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Subordinated related party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Wooster Capital</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gridSpan w:val="2"/>
          </w:tcPr>
          <w:p>
            <w:pPr>
              <w:ind w:left="100"/>
              <w:spacing w:after="0" w:line="216" w:lineRule="exact"/>
              <w:rPr>
                <w:sz w:val="20"/>
                <w:szCs w:val="20"/>
                <w:color w:val="auto"/>
              </w:rPr>
            </w:pPr>
            <w:r>
              <w:rPr>
                <w:rFonts w:ascii="Arial" w:cs="Arial" w:eastAsia="Arial" w:hAnsi="Arial"/>
                <w:sz w:val="17"/>
                <w:szCs w:val="17"/>
                <w:color w:val="auto"/>
              </w:rPr>
              <w:t>Jo Ellen Ford</w:t>
            </w:r>
            <w:r>
              <w:rPr>
                <w:rFonts w:ascii="Arial" w:cs="Arial" w:eastAsia="Arial" w:hAnsi="Arial"/>
                <w:sz w:val="25"/>
                <w:szCs w:val="25"/>
                <w:color w:val="auto"/>
                <w:vertAlign w:val="superscript"/>
              </w:rPr>
              <w:t>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gridSpan w:val="3"/>
            <w:vMerge w:val="restart"/>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73"/>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24"/>
                <w:szCs w:val="24"/>
                <w:color w:val="auto"/>
              </w:rPr>
            </w:pPr>
          </w:p>
        </w:tc>
        <w:tc>
          <w:tcPr>
            <w:tcW w:w="2100" w:type="dxa"/>
            <w:vAlign w:val="bottom"/>
            <w:tcBorders>
              <w:bottom w:val="single" w:sz="8" w:color="auto"/>
            </w:tcBorders>
            <w:gridSpan w:val="8"/>
          </w:tcPr>
          <w:p>
            <w:pPr>
              <w:jc w:val="right"/>
              <w:ind w:right="1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3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2022</w:t>
            </w: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 net: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Brown Brothers Harriman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287</w:t>
            </w:r>
          </w:p>
        </w:tc>
        <w:tc>
          <w:tcPr>
            <w:tcW w:w="740" w:type="dxa"/>
            <w:vAlign w:val="bottom"/>
            <w:gridSpan w:val="2"/>
          </w:tcPr>
          <w:p>
            <w:pPr>
              <w:jc w:val="right"/>
              <w:ind w:right="42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6"/>
              </w:rPr>
              <w:t>541</w:t>
            </w:r>
          </w:p>
        </w:tc>
        <w:tc>
          <w:tcPr>
            <w:tcW w:w="16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Wooster Capital</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Jo Ellen Ford</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86"/>
              </w:rPr>
              <w:t>106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Westrock Finance, LLC</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583</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943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 Related through common ownership</w:t>
      </w:r>
    </w:p>
    <w:p>
      <w:pPr>
        <w:ind w:left="60"/>
        <w:spacing w:after="0"/>
        <w:rPr>
          <w:sz w:val="20"/>
          <w:szCs w:val="20"/>
          <w:color w:val="auto"/>
        </w:rPr>
      </w:pPr>
      <w:r>
        <w:rPr>
          <w:rFonts w:ascii="Arial" w:cs="Arial" w:eastAsia="Arial" w:hAnsi="Arial"/>
          <w:sz w:val="14"/>
          <w:szCs w:val="14"/>
          <w:color w:val="auto"/>
        </w:rPr>
        <w:t>2 – Related through common ownership and management</w:t>
      </w:r>
    </w:p>
    <w:p>
      <w:pPr>
        <w:spacing w:after="0" w:line="196"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In connection with the acquisition of S&amp;D in February 2020, the Company entered into a Management Services Agreement with Westrock Group, LLC (“Westrock Group”), which expires February 2023. Under the terms of the agreement Westrock Group will be paid $10.0 million in return for financial, managerial, operational, and strategic services. The associated expense is recorded within selling, general and administrative expense in our Condensed Consolidated Statements of Operations. The Company recognized $0.8 million and $1.7 million of such expenses during the three and six months ended, respectively, for both June 30, 2022 and 2021. In addition, the Company reimburses Westrock Group for the usage of a corporate aircraft, and its portion of shared office space. For the three and six months ended June 30, 2022, the Company incurred expenses of $0.2 million and $0.5 million, respectively, for such items, which are recorded in selling, general and administrative expenses on our Condensed Consolidated Statements of Operations. For the three and six months ended June 30, 2021, the Company incurred expenses of $0.2 million and $0.3</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million, respectively, for such items. At June 30, 2022 and December 31, 2021, we had payables to Westrock Group of $0.5 million and $0.2 million, respectively, reported within accrued expenses and other current liabilities on our Condensed Consolidated Balance Sheets.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color w:val="auto"/>
        </w:rPr>
        <w:t>On August 26, 2022, in accordance with the Transaction Agreement, the Company completed its previously announced de-SPAC merger transaction with Riverview. The Company issued 6,618,151 million shares of Common Stock to shareholders of Riverview, receiving $66.3 million of the cash held in the trust account of Riverview. The 6,618,151 million shares include 1,910,000 shares issued to PIPE investors who elected to satisfy their PIPE commitments through the purchase of Riverview Class A Shares on the public market, as permitted under the terms of their subscription agreements. As a part of the Transaction, Westrock converted from a Delaware limited liability company to a Delaware corporation and the Company changed its corporate name from “Westrock Coffee Holdings, LLC” to “Westrock Coffee Company.” Substantially concurrently with the closing of the Transaction, the Company has received $230.9 million in gross proceeds (which amount includes the contribution to the Company of the Subordinated Notes and the Convertible Note, defined below) from PIPE Financing and has entered into a credit agreement among the Company, WBS, as the borrower, Wells Fargo Bank, N.A. as administrative agent, as collateral agent, and as swingline leader, Wells Fargo Securities, LLC, as sustainability structuring agent, and each issuing bank and lender party thereto, that includes (a) the Revolving Credit Facility in an initial aggregate principal amount of $175.0 million, under which there were no outstanding borrowings as of August 29, 2022, and (b) the Term Loan Facility in an initial aggregate principal amount of $175.0 million. Proceeds from the Transaction and the Term Loan Facility were used, in part, to retire borrowings under the Company’s existing term loan agreement and asset-based lending facility. The Revolving Credit Facility and the Term Loan Facility will mature on August 29, 2027.</w:t>
      </w:r>
    </w:p>
    <w:p>
      <w:pPr>
        <w:spacing w:after="0" w:line="191"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In connection with the Transaction, on July 14, 2022, and as discussed within Note 10, pursuant to the terms of the subscription agreement entered into between the Company and Wooster, in which Wooster agreed to subscribe for and purchase, and the Company agreed to issue and sell to Wooster, prior to and substantially concurrently with the closing of the Transaction, an aggregate of 2,150,000 shares of Common Stock at a purchase price of $10.00 per share, for aggregate gross proceeds of $21,500,000 to the Company, Wooster pre-funded $11.7 million of its commitment (the “Wooster Pre-fund”) and in exchange thereof was issued a subordinated convertible note by the Company (the “Convertible Note”). The Convertible Note had a principal amount of $11.7 million, a maturity of one year and an interest rate of 8% per annum which was payable quarterly on the last business day of each quarter. On August 26, 2022, in connection with the closing of the Transaction, the Convertible Note automatically converted, in accordance with its terms, into 1,170,000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i w:val="1"/>
          <w:iCs w:val="1"/>
          <w:color w:val="auto"/>
        </w:rPr>
        <w:t xml:space="preserve">The following Management’s Discussion and Analysis of Financial Condition and Results of Operations describes the principal factors affecting the results of operations, financial condition, and changes in financial condition for the three and six months ended June 30, 2022. This discussion should be read in conjunction with the accompanying Condensed Consolidated Financial Statements, and the notes thereto set forth in Part I, Item 1 of this Quarterly Report on Form 10-Q and our December 31, 2021 Audited Consolidated Financial Statements and notes thereto included in our Registration Statement on Form S-4 </w:t>
      </w:r>
      <w:r>
        <w:rPr>
          <w:rFonts w:ascii="Arial" w:cs="Arial" w:eastAsia="Arial" w:hAnsi="Arial"/>
          <w:sz w:val="16"/>
          <w:szCs w:val="16"/>
          <w:color w:val="auto"/>
        </w:rPr>
        <w:t>(File No. 333-264464)</w:t>
      </w:r>
      <w:r>
        <w:rPr>
          <w:rFonts w:ascii="Arial" w:cs="Arial" w:eastAsia="Arial" w:hAnsi="Arial"/>
          <w:sz w:val="16"/>
          <w:szCs w:val="16"/>
          <w:i w:val="1"/>
          <w:iCs w:val="1"/>
          <w:color w:val="auto"/>
        </w:rPr>
        <w:t>, filed with the U.S. Securities and Exchange Commission (“SEC”) on April 25, 2022, as amended by Amendments No. 1, 2, 3 and 4 thereto filed with SEC on June 10, 2022, July 15, 2022, August 1, 2022 and August 3, 2022, respectively (the “Registration Statement”).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Westrock Coffee Company (f/k/a Westrock Coffee Holdings, LLC) (the “Company,” “Westrock,” “we,” “us,” or “our”) is a leading integrated coffee, tea, flavors, extracts, and ingredients solutions provider in the United States, providing coffee sourcing, supply chain management, product development, roasting, packaging, and distribution to the retail, food service and restaurant, convenience store and travel center, non-commercial account, CPG, and hospitality industries around the world. We supply the world’s most iconic brands with the world’s most innovative coffee, tea, flavors, extracts, and ingredients products.</w:t>
      </w:r>
    </w:p>
    <w:p>
      <w:pPr>
        <w:spacing w:after="0" w:line="192" w:lineRule="exact"/>
        <w:rPr>
          <w:sz w:val="20"/>
          <w:szCs w:val="20"/>
          <w:color w:val="auto"/>
        </w:rPr>
      </w:pPr>
    </w:p>
    <w:p>
      <w:pPr>
        <w:ind w:left="60" w:right="499"/>
        <w:spacing w:after="0" w:line="311" w:lineRule="auto"/>
        <w:rPr>
          <w:sz w:val="20"/>
          <w:szCs w:val="20"/>
          <w:color w:val="auto"/>
        </w:rPr>
      </w:pPr>
      <w:r>
        <w:rPr>
          <w:rFonts w:ascii="Arial" w:cs="Arial" w:eastAsia="Arial" w:hAnsi="Arial"/>
          <w:sz w:val="16"/>
          <w:szCs w:val="16"/>
          <w:color w:val="auto"/>
        </w:rPr>
        <w:t>In connection with the closing of our previously announced de-SPAC merger transaction (the “Transaction”) with Riverview Acquisition Corp. (“Riverview”), the Company converted from a Delaware limited liability company to a Delaware corporation and changed its name from “Westrock Coffee Holdings, LLC” to “Westrock Coffee Company.”</w:t>
      </w:r>
    </w:p>
    <w:p>
      <w:pPr>
        <w:spacing w:after="0" w:line="149"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(“ESG”)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operate our business in two segments: Beverage Solutions and Sustainable Sourcing &amp; Traceability (“SS&amp;T”).</w:t>
      </w:r>
    </w:p>
    <w:p>
      <w:pPr>
        <w:spacing w:after="0" w:line="237"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u w:val="single" w:color="auto"/>
          <w:color w:val="auto"/>
        </w:rPr>
        <w:t>Beverage Solutions</w:t>
      </w:r>
      <w:r>
        <w:rPr>
          <w:rFonts w:ascii="Arial" w:cs="Arial" w:eastAsia="Arial" w:hAnsi="Arial"/>
          <w:sz w:val="17"/>
          <w:szCs w:val="17"/>
          <w:color w:val="auto"/>
        </w:rPr>
        <w:t>: Through this segment, we combine our product innovation and customer insights to provide value-added beverage solutions, including coffee, tea, juices,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78"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u w:val="single" w:color="auto"/>
          <w:color w:val="auto"/>
        </w:rPr>
        <w:t>Sustainable Sourcing &amp; Traceability</w:t>
      </w:r>
      <w:r>
        <w:rPr>
          <w:rFonts w:ascii="Arial" w:cs="Arial" w:eastAsia="Arial" w:hAnsi="Arial"/>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We use Adjusted EBITDA to evaluate our performance, identify trends, formulate financial projections, and to make strategic decisions.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 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66"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We define “EBITDA” as net (loss) income, as defined by GAAP, before interest expense, provision for income taxes and depreciation and amortization. We define “Adjusted EBITDA” as EBITDA before equity-based compensation expense and the impact, which may be recurring in nature, of acquisition, restructuring and integration related costs, including management services and consulting agreements entered into in connection with the acquisition of S&amp;D, impairment charges, non-cash mark-to-market adjustments, certain costs specifically excluded from the calculation of EBITDA under our material debt agreements,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spacing w:after="0" w:line="182"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reconciliation of our net loss to EBITDA and Adjusted EBITDA for the three and six months ended June 30, 2022 and 2021 is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040" w:type="dxa"/>
            <w:vAlign w:val="bottom"/>
            <w:gridSpan w:val="6"/>
          </w:tcPr>
          <w:p>
            <w:pPr>
              <w:ind w:left="140"/>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4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(12,192)</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Acquisition, restructuring and integration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and consulting fees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Loss on disposal of property, plant and equipment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Mark-to-market adjustments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6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11,183</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Beverage Solutions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Sustainable Sourcing &amp; Traceability</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gridSpan w:val="2"/>
          </w:tcPr>
          <w:p>
            <w:pPr>
              <w:ind w:left="20"/>
              <w:spacing w:after="0"/>
              <w:rPr>
                <w:sz w:val="20"/>
                <w:szCs w:val="20"/>
                <w:color w:val="auto"/>
              </w:rPr>
            </w:pPr>
            <w:r>
              <w:rPr>
                <w:rFonts w:ascii="Arial" w:cs="Arial" w:eastAsia="Arial" w:hAnsi="Arial"/>
                <w:sz w:val="18"/>
                <w:szCs w:val="18"/>
                <w:b w:val="1"/>
                <w:bCs w:val="1"/>
                <w:color w:val="auto"/>
              </w:rPr>
              <w:t>Subtotal of Reportable Segments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Merger with Riverview Acquisition Corp.</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On August 26, 2022, the Company completed the Transaction with Riverview. The Company issued 6,618,151 million shares of common stock, par value $0.01 per share, of the Company (the “Common Stock”), to shareholders of Riverview, receiving $66.3 million of the cash held in the trust account of Riverview. The 6,618,151 million shares include 1,910,000 shares issued to PIPE investors who elected to satisfy their PIPE commitments through the purchase of Riverview Class A Shares on the public market, as permitted under the terms of their subscription agreements. As a part of the Transaction, Westrock converted from a Delaware limited liability company to a Delaware corporation and the Company changed its corporate name from “Westrock Coffee Holdings, LLC” to “Westrock Coffee Company.” Substantially concurrently with the closing of the Transaction, the Company has received $230.9 million in gross proceeds (which amount includes the contribution to the Company of certain notes) from Common Stock PIPE investments (the “PIPE Financing”) at $10.00 per share and has entered into a credit agreement among the Company, WBS, as the borrower, Wells Fargo Bank, N.A. as administrative agent, as collateral agent, and as swingline leader, Wells Fargo Securities, LLC, as sustainability structuring agent, and each issuing bank and lender party thereto for (a) a senior secured first lien revolving credit facility in an initial aggregate principal amount of $175.0 million (the “Revolving Credit Facility”), under which there were no outstanding borrowings as of August 29, 2022, and (b) a senior secured first lien term loan facility in an initial aggregate principal amount of $175.0 million (the “Term Loan Facility”). The Revolving Credit Facility and the Term Loan Facility will mature on August 29, 2027. Proceeds from the Transaction and the Term Loan Facility were used, in part, to retire borrowings under the Company’s existing term loan agreement and asset-based lending facility. In addition, $25.0 million of the Company’s outstanding related party subordinated debt (including $13.3 million outstanding at June 30, 2022) was converted to equity in satisfaction of such related parties’ obligations under its subscription agreements, as described below in “PIPE Pre-Funding” and “Liquidity and Capital Resources—Subordinated Related Party Debt.”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PIPE Pre-Funding</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In connection with the Transaction, the Company and Riverview had entered into subscription agreements (the “Subscription Agreement”) with certain institutional and accredited investors (the “PIPE Investors”). Pursuant to the terms of its Subscription Agreement, on July 14, 2022, Wooster pre-funded $11.7 million of its committed PIPE Financing (the “Wooster Pre-fund”) and in exchange was issued a subordinated convertible note by Westrock (the “Convertible Note”). The Convertible Note had a principal amount of $11.7 million, a maturity of one year (July 13, 2023) and an interest rate of 8% per annum, which was payable quarterly on the last business day of each quarter. Upon closing of the Transaction, the Convertible Note was converted into 1,170,000 shares of Common Stock, which is equal to the quotient of the principal amount of the Convertible Note, then outstanding, divided by $10.00.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Sixth Amendment to the Prior Term Loan Agreement</w:t>
      </w:r>
    </w:p>
    <w:p>
      <w:pPr>
        <w:spacing w:after="0" w:line="225"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On July 13, 2022, the Company entered into Amendment No. 6 to the Prior Term Loan Agreement (the “Sixth Term Loan Amendment”) in order to permit the Wooster Pre-fund. The Sixth Term Loan Amendment included the following modifications: (i) permitting the incurrence of subordinated debt from Wooster in the form of the Convertible Note; (ii) extending the PIK interest period to December 31, 2022; (iii) amending the definitions of EBITDA, Fixed Charge Coverage Ratio and Total Debt (which excludes the Convertible Note); and (iv) amending the level of the Minimum Liquidity covenant that the Company is required to comply with. The definition of EBITDA was modified to increase the cap on add-backs for the quarter ended June 30, 2022 and the quarter ended September 30, 2022 from 15% of EBITDA to 20% of EBITDA. The Wooster Pre-fund, together with the Sixth Term Loan Amendment, allowed the Company to meet increased capital expenditure and working capital needs of the business and to remain in compliance with its financial covenants as of June 30, 2022.</w:t>
      </w:r>
    </w:p>
    <w:p>
      <w:pPr>
        <w:spacing w:after="0" w:line="18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 connection with the closing of the Transaction, all loans outstanding under the Prior Term Loan Facility were repaid, and the associated Prior Term Loan Agreement was terminated.</w:t>
      </w:r>
    </w:p>
    <w:p>
      <w:pPr>
        <w:spacing w:after="0" w:line="38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Fourth Amendment to the Prior ABL Credit Agreement</w:t>
      </w:r>
    </w:p>
    <w:p>
      <w:pPr>
        <w:spacing w:after="0" w:line="225"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On July 13, 2022, the Company entered into Amendment No. 4 to the Prior ABL Credit Agreement, which included the following modifications: (i) permitting the incurrence of subordinated debt from Wooster in the form of the Convertible Note and (ii) amending the definitions of EBITDA, Fixed Charge Coverage Ratio and Total Debt (which excludes the Convertible Note). The definition of EBITDA was modified to increase the cap on add-backs for the quarter ended June 30, 2022 and the quarter ended September 30, 2022 from 15% of EBITDA to 20% of EBITDA.</w:t>
      </w:r>
    </w:p>
    <w:p>
      <w:pPr>
        <w:spacing w:after="0" w:line="1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In connection with the closing of the Transaction, all loans outstanding under the Prior ABL Facility were repaid, and the associated Prior ABL Credit Agreement was terminated.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2022 and 2021</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8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of</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2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1"/>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June 30, 2022</w:t>
            </w:r>
          </w:p>
        </w:tc>
        <w:tc>
          <w:tcPr>
            <w:tcW w:w="9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Revenues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9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223,413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171,144</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Costs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184,515</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82.6 %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136,791</w:t>
            </w:r>
          </w:p>
        </w:tc>
        <w:tc>
          <w:tcPr>
            <w:tcW w:w="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79.9 %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34,353</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35,048</w:t>
            </w:r>
          </w:p>
        </w:tc>
        <w:tc>
          <w:tcPr>
            <w:tcW w:w="98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15.7 %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Acquisition, restructuring and integration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2,304</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(gain) on disposal of property, plant and equipment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8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37,536</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32,720</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98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8,813</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8,261</w:t>
            </w:r>
          </w:p>
        </w:tc>
        <w:tc>
          <w:tcPr>
            <w:tcW w:w="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60" w:type="dxa"/>
            <w:vAlign w:val="bottom"/>
            <w:vMerge w:val="continue"/>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60" w:type="dxa"/>
            <w:vAlign w:val="bottom"/>
            <w:vMerge w:val="continue"/>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unitholders</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60" w:type="dxa"/>
            <w:vAlign w:val="bottom"/>
            <w:vMerge w:val="continue"/>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Accumulating preferred dividends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(7,145)</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(6,109)</w:t>
            </w:r>
          </w:p>
        </w:tc>
        <w:tc>
          <w:tcPr>
            <w:tcW w:w="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unitholders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CCEEFF"/>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 following table sets forth selected financial information of our reportable segments for the three months ended June 30, 2022 and 2021:</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Beverage</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Sustainable</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Intersegment</w:t>
            </w:r>
          </w:p>
        </w:tc>
        <w:tc>
          <w:tcPr>
            <w:tcW w:w="14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93"/>
              </w:rPr>
              <w:t>Sourcing &amp;</w:t>
            </w: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Solutions</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Traceability</w:t>
            </w:r>
          </w:p>
        </w:tc>
        <w:tc>
          <w:tcPr>
            <w:tcW w:w="2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4"/>
                <w:szCs w:val="14"/>
                <w:b w:val="1"/>
                <w:bCs w:val="1"/>
                <w:color w:val="auto"/>
                <w:w w:val="89"/>
              </w:rPr>
              <w:t>Revenues</w:t>
            </w:r>
            <w:r>
              <w:rPr>
                <w:rFonts w:ascii="Arial" w:cs="Arial" w:eastAsia="Arial" w:hAnsi="Arial"/>
                <w:sz w:val="20"/>
                <w:szCs w:val="20"/>
                <w:b w:val="1"/>
                <w:bCs w:val="1"/>
                <w:color w:val="auto"/>
                <w:w w:val="89"/>
                <w:vertAlign w:val="superscript"/>
              </w:rPr>
              <w:t>(1)</w:t>
            </w:r>
          </w:p>
        </w:tc>
        <w:tc>
          <w:tcPr>
            <w:tcW w:w="1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right"/>
              <w:ind w:right="4271"/>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$ 170,865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$ 58,459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(5,911)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$ 223,413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right"/>
              <w:ind w:right="4271"/>
              <w:spacing w:after="0"/>
              <w:rPr>
                <w:sz w:val="20"/>
                <w:szCs w:val="20"/>
                <w:color w:val="auto"/>
              </w:rPr>
            </w:pPr>
            <w:r>
              <w:rPr>
                <w:rFonts w:ascii="Arial" w:cs="Arial" w:eastAsia="Arial" w:hAnsi="Arial"/>
                <w:sz w:val="18"/>
                <w:szCs w:val="18"/>
                <w:color w:val="auto"/>
              </w:rPr>
              <w:t>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Segment Costs of Sales: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right"/>
              <w:ind w:right="4271"/>
              <w:spacing w:after="0"/>
              <w:rPr>
                <w:sz w:val="20"/>
                <w:szCs w:val="20"/>
                <w:color w:val="auto"/>
              </w:rPr>
            </w:pPr>
            <w:r>
              <w:rPr>
                <w:rFonts w:ascii="Arial" w:cs="Arial" w:eastAsia="Arial" w:hAnsi="Arial"/>
                <w:sz w:val="18"/>
                <w:szCs w:val="18"/>
                <w:color w:val="auto"/>
              </w:rPr>
              <w:t>2022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50,830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right"/>
              <w:ind w:right="4271"/>
              <w:spacing w:after="0"/>
              <w:rPr>
                <w:sz w:val="20"/>
                <w:szCs w:val="20"/>
                <w:color w:val="auto"/>
              </w:rPr>
            </w:pPr>
            <w:r>
              <w:rPr>
                <w:rFonts w:ascii="Arial" w:cs="Arial" w:eastAsia="Arial" w:hAnsi="Arial"/>
                <w:sz w:val="18"/>
                <w:szCs w:val="18"/>
                <w:color w:val="auto"/>
              </w:rPr>
              <w:t>2021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102,899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33,892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136,791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right"/>
              <w:ind w:right="4271"/>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right"/>
              <w:ind w:right="4271"/>
              <w:spacing w:after="0"/>
              <w:rPr>
                <w:sz w:val="20"/>
                <w:szCs w:val="20"/>
                <w:color w:val="auto"/>
              </w:rPr>
            </w:pPr>
            <w:r>
              <w:rPr>
                <w:rFonts w:ascii="Arial" w:cs="Arial" w:eastAsia="Arial" w:hAnsi="Arial"/>
                <w:sz w:val="18"/>
                <w:szCs w:val="18"/>
                <w:color w:val="auto"/>
              </w:rPr>
              <w:t>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Segment Adjusted EBITDA:</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jc w:val="right"/>
              <w:ind w:right="4271"/>
              <w:spacing w:after="0"/>
              <w:rPr>
                <w:sz w:val="20"/>
                <w:szCs w:val="20"/>
                <w:color w:val="auto"/>
              </w:rPr>
            </w:pPr>
            <w:r>
              <w:rPr>
                <w:rFonts w:ascii="Arial" w:cs="Arial" w:eastAsia="Arial" w:hAnsi="Arial"/>
                <w:sz w:val="18"/>
                <w:szCs w:val="18"/>
                <w:color w:val="auto"/>
              </w:rPr>
              <w:t>2022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jc w:val="right"/>
              <w:ind w:right="4271"/>
              <w:spacing w:after="0"/>
              <w:rPr>
                <w:sz w:val="20"/>
                <w:szCs w:val="20"/>
                <w:color w:val="auto"/>
              </w:rPr>
            </w:pPr>
            <w:r>
              <w:rPr>
                <w:rFonts w:ascii="Arial" w:cs="Arial" w:eastAsia="Arial" w:hAnsi="Arial"/>
                <w:sz w:val="18"/>
                <w:szCs w:val="18"/>
                <w:color w:val="auto"/>
              </w:rPr>
              <w:t>2021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 Margin:</w:t>
            </w:r>
          </w:p>
        </w:tc>
        <w:tc>
          <w:tcPr>
            <w:tcW w:w="2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18"/>
                <w:szCs w:val="18"/>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color w:val="auto"/>
              </w:rPr>
              <w:t>7.3 %</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1.6 %</w:t>
            </w:r>
          </w:p>
        </w:tc>
        <w:tc>
          <w:tcPr>
            <w:tcW w:w="900" w:type="dxa"/>
            <w:vAlign w:val="bottom"/>
          </w:tcPr>
          <w:p>
            <w:pPr>
              <w:ind w:left="3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rPr>
              <w:t>2021</w:t>
            </w:r>
          </w:p>
        </w:tc>
        <w:tc>
          <w:tcPr>
            <w:tcW w:w="192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7.7 %</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2.3 %</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7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Intersegment revenues represent sales of green coffee from our SS&amp;T segment to our Beverage Solutions Segment.</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left="60" w:right="139"/>
        <w:spacing w:after="0" w:line="259" w:lineRule="auto"/>
        <w:rPr>
          <w:sz w:val="20"/>
          <w:szCs w:val="20"/>
          <w:color w:val="auto"/>
        </w:rPr>
      </w:pPr>
      <w:r>
        <w:rPr>
          <w:rFonts w:ascii="Arial" w:cs="Arial" w:eastAsia="Arial" w:hAnsi="Arial"/>
          <w:sz w:val="18"/>
          <w:szCs w:val="18"/>
          <w:color w:val="auto"/>
        </w:rPr>
        <w:t>Net Sales from our Beverage Solutions segment were $170.9 million for the three months ended June 30, 2022, compared to $134.4 million for the three months ended June 30, 2021, an increase of approximately 27.1%. The increase was driven by a 57% increase in single serve cup volumes, and a 20% increase in flavors, extracts and ingredients volumes, compared to the three months ended June 30, 2021.</w:t>
      </w:r>
    </w:p>
    <w:p>
      <w:pPr>
        <w:spacing w:after="0" w:line="187"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Net Sales from our SS&amp;T segment totaled $52.5 million, net of intersegment revenues, during the three months ended June 30, 2022, increasing 43.0% compared to $36.7 million during the three months ended June 30, 2021. The increase is driven by an increase in the average sales price per pound, which increased 44% for the three months ended June 30, 2022 compared to the three months ended June 30, 2021. The increase in the average sales price per pound is directly correlated to the global commodities price, which increased approximately 53% for the three months ended June 30, 2022 compared to the three months ended June 30, 2021. SS&amp;T sales volume remained flat, with a change of less than 1%, for the three months ended June 30, 2022 compared to the three months ended June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In our Beverage Solutions segment, costs of sales increased to $133.7 million for the three months ended June 30, 2022, from $102.9 million for the three months ended June 30, 2021; however, costs of sales as a percentage of segment revenues remained approximately flat at 78% and 77%, for the three months ended June 30, 2022 and 2021, respectively. The increase in costs of sales was driven by an increase in green coffee, tea and liquid extract costs of approximately $30.7 million, due to increased production volumes and underlying commodities pricing.</w:t>
      </w:r>
    </w:p>
    <w:p>
      <w:pPr>
        <w:spacing w:after="0" w:line="176"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In our SS&amp;T segment, costs of sales increased $16.9 million to $50.8 million for the three months ended June 30, 2022. This increase is primarily due to an increase in green coffee cost driven by an increase in underlying commodities pricings, as volume of green coffee sold was essentially flat year-over-year. Costs of sales for the three months ended June 30, 2022 included $1.4 million of net unrealized losses on forward sales and purchase contracts and mark-to-market adjustment on green coffee inventory compared to no such costs for the three months ended June 30, 2021.</w:t>
      </w:r>
    </w:p>
    <w:p>
      <w:pPr>
        <w:spacing w:after="0" w:line="37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jc w:val="right"/>
              <w:ind w:right="1010"/>
              <w:spacing w:after="0"/>
              <w:rPr>
                <w:sz w:val="20"/>
                <w:szCs w:val="20"/>
                <w:color w:val="auto"/>
              </w:rPr>
            </w:pPr>
            <w:r>
              <w:rPr>
                <w:rFonts w:ascii="Arial" w:cs="Arial" w:eastAsia="Arial" w:hAnsi="Arial"/>
                <w:sz w:val="14"/>
                <w:szCs w:val="14"/>
                <w:b w:val="1"/>
                <w:bCs w:val="1"/>
                <w:color w:val="auto"/>
                <w:w w:val="94"/>
              </w:rPr>
              <w:t>Three Months Ended June 30,</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2"/>
              <w:spacing w:after="0" w:line="142" w:lineRule="exact"/>
              <w:rPr>
                <w:sz w:val="20"/>
                <w:szCs w:val="20"/>
                <w:color w:val="auto"/>
              </w:rPr>
            </w:pPr>
            <w:r>
              <w:rPr>
                <w:rFonts w:ascii="Arial" w:cs="Arial" w:eastAsia="Arial" w:hAnsi="Arial"/>
                <w:sz w:val="14"/>
                <w:szCs w:val="14"/>
                <w:b w:val="1"/>
                <w:bCs w:val="1"/>
                <w:color w:val="auto"/>
                <w:w w:val="96"/>
              </w:rPr>
              <w:t>2022</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Segment</w:t>
            </w:r>
          </w:p>
        </w:tc>
        <w:tc>
          <w:tcPr>
            <w:tcW w:w="2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Revenues</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$ 32,673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$ 29,702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60" w:type="dxa"/>
            <w:vAlign w:val="bottom"/>
            <w:gridSpan w:val="2"/>
          </w:tcPr>
          <w:p>
            <w:pPr>
              <w:ind w:left="120"/>
              <w:spacing w:after="0"/>
              <w:rPr>
                <w:sz w:val="20"/>
                <w:szCs w:val="20"/>
                <w:color w:val="auto"/>
              </w:rPr>
            </w:pPr>
            <w:r>
              <w:rPr>
                <w:rFonts w:ascii="Arial" w:cs="Arial" w:eastAsia="Arial" w:hAnsi="Arial"/>
                <w:sz w:val="18"/>
                <w:szCs w:val="18"/>
                <w:color w:val="auto"/>
              </w:rPr>
              <w:t>Sustainable Sourcing &amp; Traceability</w:t>
            </w:r>
          </w:p>
        </w:tc>
        <w:tc>
          <w:tcPr>
            <w:tcW w:w="680" w:type="dxa"/>
            <w:vAlign w:val="bottom"/>
          </w:tcPr>
          <w:p>
            <w:pPr>
              <w:jc w:val="right"/>
              <w:spacing w:after="0"/>
              <w:rPr>
                <w:sz w:val="20"/>
                <w:szCs w:val="20"/>
                <w:color w:val="auto"/>
              </w:rPr>
            </w:pPr>
            <w:r>
              <w:rPr>
                <w:rFonts w:ascii="Arial" w:cs="Arial" w:eastAsia="Arial" w:hAnsi="Arial"/>
                <w:sz w:val="18"/>
                <w:szCs w:val="18"/>
                <w:color w:val="auto"/>
              </w:rPr>
              <w:t>2,375</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4.5 %</w:t>
            </w:r>
          </w:p>
        </w:tc>
        <w:tc>
          <w:tcPr>
            <w:tcW w:w="680" w:type="dxa"/>
            <w:vAlign w:val="bottom"/>
          </w:tcPr>
          <w:p>
            <w:pPr>
              <w:jc w:val="right"/>
              <w:spacing w:after="0"/>
              <w:rPr>
                <w:sz w:val="20"/>
                <w:szCs w:val="20"/>
                <w:color w:val="auto"/>
              </w:rPr>
            </w:pPr>
            <w:r>
              <w:rPr>
                <w:rFonts w:ascii="Arial" w:cs="Arial" w:eastAsia="Arial" w:hAnsi="Arial"/>
                <w:sz w:val="18"/>
                <w:szCs w:val="18"/>
                <w:color w:val="auto"/>
              </w:rPr>
              <w:t>2,117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selling, general and administrative expense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$ 35,048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Total selling, general and administrative expenses in our Beverage Solutions segment increased $3.0 million to $32.7 million for the three months ended June 30, 2022, compared to the three months ended June 30, 2021. The increase is primarily due to an approximately $1.2 million increase in advertising costs, $1.1 million increase in legal and professional fees, and a $0.8 million increase in software maintenance costs for the three months ended June 30, 2022 compared to the three months ended June 30, 2021. In our SS&amp;T segment, selling, general and administrative costs increased $0.3 million due to increased personnel costs.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Restructuring and Integration Expense</w:t>
      </w:r>
    </w:p>
    <w:p>
      <w:pPr>
        <w:spacing w:after="0" w:line="225"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Acquisition, restructuring and integration expenses for the three months ended June 30, 2022 were $2.3 million, $0.9 million of which related to public-company preparedness costs, and $0.8 million related to the integration of our new enterprise resource planning system. During the three months ended June 30, 2021, we incurred $1.0 million of acquisition, restructuring and integration expenses, approximately $0.8 million of which were integration costs related to the acquired S&amp;D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2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Arial" w:cs="Arial" w:eastAsia="Arial" w:hAnsi="Arial"/>
                <w:sz w:val="18"/>
                <w:szCs w:val="18"/>
                <w:b w:val="1"/>
                <w:bCs w:val="1"/>
                <w:color w:val="auto"/>
              </w:rPr>
              <w:t>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ABL facility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related party debt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Subordinated related party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trade finance lines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International notes payable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20"/>
              <w:spacing w:after="0"/>
              <w:rPr>
                <w:sz w:val="20"/>
                <w:szCs w:val="20"/>
                <w:color w:val="auto"/>
              </w:rPr>
            </w:pPr>
            <w:r>
              <w:rPr>
                <w:rFonts w:ascii="Arial" w:cs="Arial" w:eastAsia="Arial" w:hAnsi="Arial"/>
                <w:sz w:val="18"/>
                <w:szCs w:val="18"/>
                <w:b w:val="1"/>
                <w:bCs w:val="1"/>
                <w:color w:val="auto"/>
              </w:rPr>
              <w:t>Total cash interest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Payments-in-kind interest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non-cash interest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interest expense, net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Interest expense for the three months ended June 30, 2022 was $8.8 million compared to $8.3 million for the three months ended June 30, 2021. The increase is primarily driven by an increase in the utilization of Falcon’s working capital trade finance facility, and an increase in average Prior ABL Facility borrowings during the three months ended June 30, 2022 compared to the three months ended June 30, 2021. This increase was partially offset by a decrease in the payment-in-kind interest rate applicable to our Prior Term Loan Facility.</w:t>
      </w: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Income tax benefit for the three months ended June 30, 2022 was $1.5 million, resulting in an effective tax rate of 20.5%, compared to an income tax benefit for the three months ended June 30, 2021 of $0.5 million, resulting in an effective tax rate of 7.6%. The effective tax rates differ primarily due to the impact of state income taxes and permanent differences, namely the global intangible low-taxed income (“GILTI”) inclusion, in relation to forecasted earnings before income taxes.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Ended June 30, 2022 and 2021</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 of</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4660" w:type="dxa"/>
            <w:vAlign w:val="bottom"/>
            <w:gridSpan w:val="2"/>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7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409,841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Costs of sales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332,512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81.1 %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258,987</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Acquisition, restructuring and integration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4,787</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1,943</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75,185</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65,692</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2,144</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16,861</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15,669</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(1,443)</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unitholders</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Accumulating preferred dividends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(13,882)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(11,848)</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unitholders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sets forth selected financial information of our reportable segments for the six months ended June 30, 2022 and 2021.</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Beverage</w:t>
            </w:r>
          </w:p>
        </w:tc>
        <w:tc>
          <w:tcPr>
            <w:tcW w:w="2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w w:val="94"/>
              </w:rPr>
              <w:t>Sustainable</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Intersegment</w:t>
            </w:r>
          </w:p>
        </w:tc>
        <w:tc>
          <w:tcPr>
            <w:tcW w:w="14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Total of</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20"/>
              <w:spacing w:after="0" w:line="145" w:lineRule="exact"/>
              <w:rPr>
                <w:sz w:val="20"/>
                <w:szCs w:val="20"/>
                <w:color w:val="auto"/>
              </w:rPr>
            </w:pPr>
            <w:r>
              <w:rPr>
                <w:rFonts w:ascii="Arial" w:cs="Arial" w:eastAsia="Arial" w:hAnsi="Arial"/>
                <w:sz w:val="14"/>
                <w:szCs w:val="14"/>
                <w:b w:val="1"/>
                <w:bCs w:val="1"/>
                <w:color w:val="auto"/>
                <w:w w:val="99"/>
              </w:rPr>
              <w:t>Sourcing &amp;</w:t>
            </w: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w w:val="95"/>
              </w:rPr>
              <w:t>Traceability</w:t>
            </w:r>
          </w:p>
        </w:tc>
        <w:tc>
          <w:tcPr>
            <w:tcW w:w="2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4"/>
                <w:szCs w:val="14"/>
                <w:b w:val="1"/>
                <w:bCs w:val="1"/>
                <w:color w:val="auto"/>
                <w:w w:val="89"/>
              </w:rPr>
              <w:t>Revenues</w:t>
            </w:r>
            <w:r>
              <w:rPr>
                <w:rFonts w:ascii="Arial" w:cs="Arial" w:eastAsia="Arial" w:hAnsi="Arial"/>
                <w:sz w:val="20"/>
                <w:szCs w:val="20"/>
                <w:b w:val="1"/>
                <w:bCs w:val="1"/>
                <w:color w:val="auto"/>
                <w:w w:val="89"/>
                <w:vertAlign w:val="superscript"/>
              </w:rPr>
              <w:t>(1)</w:t>
            </w:r>
          </w:p>
        </w:tc>
        <w:tc>
          <w:tcPr>
            <w:tcW w:w="1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jc w:val="right"/>
              <w:ind w:right="4231"/>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$ 319,226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$ 106,232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(15,617)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$ 409,841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jc w:val="right"/>
              <w:ind w:right="4231"/>
              <w:spacing w:after="0"/>
              <w:rPr>
                <w:sz w:val="20"/>
                <w:szCs w:val="20"/>
                <w:color w:val="auto"/>
              </w:rPr>
            </w:pPr>
            <w:r>
              <w:rPr>
                <w:rFonts w:ascii="Arial" w:cs="Arial" w:eastAsia="Arial" w:hAnsi="Arial"/>
                <w:sz w:val="18"/>
                <w:szCs w:val="18"/>
                <w:color w:val="auto"/>
              </w:rPr>
              <w:t>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261,668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Segment Costs of Sales: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jc w:val="right"/>
              <w:ind w:right="4231"/>
              <w:spacing w:after="0"/>
              <w:rPr>
                <w:sz w:val="20"/>
                <w:szCs w:val="20"/>
                <w:color w:val="auto"/>
              </w:rPr>
            </w:pPr>
            <w:r>
              <w:rPr>
                <w:rFonts w:ascii="Arial" w:cs="Arial" w:eastAsia="Arial" w:hAnsi="Arial"/>
                <w:sz w:val="18"/>
                <w:szCs w:val="18"/>
                <w:color w:val="auto"/>
              </w:rPr>
              <w:t>2022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84,381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jc w:val="right"/>
              <w:ind w:right="4231"/>
              <w:spacing w:after="0"/>
              <w:rPr>
                <w:sz w:val="20"/>
                <w:szCs w:val="20"/>
                <w:color w:val="auto"/>
              </w:rPr>
            </w:pPr>
            <w:r>
              <w:rPr>
                <w:rFonts w:ascii="Arial" w:cs="Arial" w:eastAsia="Arial" w:hAnsi="Arial"/>
                <w:sz w:val="18"/>
                <w:szCs w:val="18"/>
                <w:color w:val="auto"/>
              </w:rPr>
              <w:t>2021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201,143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57,844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258,987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jc w:val="right"/>
              <w:ind w:right="4231"/>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71,095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6,234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77,329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jc w:val="right"/>
              <w:ind w:right="4231"/>
              <w:spacing w:after="0"/>
              <w:rPr>
                <w:sz w:val="20"/>
                <w:szCs w:val="20"/>
                <w:color w:val="auto"/>
              </w:rPr>
            </w:pPr>
            <w:r>
              <w:rPr>
                <w:rFonts w:ascii="Arial" w:cs="Arial" w:eastAsia="Arial" w:hAnsi="Arial"/>
                <w:sz w:val="18"/>
                <w:szCs w:val="18"/>
                <w:color w:val="auto"/>
              </w:rPr>
              <w:t>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Segment Adjusted EBITDA:</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jc w:val="right"/>
              <w:ind w:right="4231"/>
              <w:spacing w:after="0"/>
              <w:rPr>
                <w:sz w:val="20"/>
                <w:szCs w:val="20"/>
                <w:color w:val="auto"/>
              </w:rPr>
            </w:pPr>
            <w:r>
              <w:rPr>
                <w:rFonts w:ascii="Arial" w:cs="Arial" w:eastAsia="Arial" w:hAnsi="Arial"/>
                <w:sz w:val="18"/>
                <w:szCs w:val="18"/>
                <w:color w:val="auto"/>
              </w:rPr>
              <w:t>2022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jc w:val="right"/>
              <w:ind w:right="4231"/>
              <w:spacing w:after="0"/>
              <w:rPr>
                <w:sz w:val="20"/>
                <w:szCs w:val="20"/>
                <w:color w:val="auto"/>
              </w:rPr>
            </w:pPr>
            <w:r>
              <w:rPr>
                <w:rFonts w:ascii="Arial" w:cs="Arial" w:eastAsia="Arial" w:hAnsi="Arial"/>
                <w:sz w:val="18"/>
                <w:szCs w:val="18"/>
                <w:color w:val="auto"/>
              </w:rPr>
              <w:t>2021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19,492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 Margin:</w:t>
            </w:r>
          </w:p>
        </w:tc>
        <w:tc>
          <w:tcPr>
            <w:tcW w:w="2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Arial" w:cs="Arial" w:eastAsia="Arial" w:hAnsi="Arial"/>
                <w:sz w:val="18"/>
                <w:szCs w:val="18"/>
                <w:color w:val="auto"/>
              </w:rPr>
              <w:t>2022</w:t>
            </w:r>
          </w:p>
        </w:tc>
        <w:tc>
          <w:tcPr>
            <w:tcW w:w="1900" w:type="dxa"/>
            <w:vAlign w:val="bottom"/>
          </w:tcPr>
          <w:p>
            <w:pPr>
              <w:spacing w:after="0"/>
              <w:rPr>
                <w:sz w:val="18"/>
                <w:szCs w:val="18"/>
                <w:color w:val="auto"/>
              </w:rPr>
            </w:pP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7.2 %</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2.0 %</w:t>
            </w:r>
          </w:p>
        </w:tc>
        <w:tc>
          <w:tcPr>
            <w:tcW w:w="900" w:type="dxa"/>
            <w:vAlign w:val="bottom"/>
          </w:tcPr>
          <w:p>
            <w:pPr>
              <w:ind w:left="3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rPr>
              <w:t>2021</w:t>
            </w:r>
          </w:p>
        </w:tc>
        <w:tc>
          <w:tcPr>
            <w:tcW w:w="190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7.1 %</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1.6 %</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7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Intersegment revenues represent sales of green coffee from our SS&amp;T segment to our Beverage Solutions segment.</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Net sales from our Beverage Solutions segment for the six months ended June 30, 2022 were $319.2 million, compared to $261.7 million for the six months ended June 30, 2021, an increase of approximately 22%. The increase was driven by a 42% increase in single serve cup volumes, and a 15% increase in flavors, extracts and ingredients volumes, compared to the six months ended June 30, 2021.</w:t>
      </w:r>
    </w:p>
    <w:p>
      <w:pPr>
        <w:spacing w:after="0" w:line="187"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Net sales from our SS&amp;T segment totaled $90.6 million, net of intersegment revenues, for the six months ended June 30, 2022 compared to $64.8 million for the six months ended June 30, 2021, primarily due to increases in underlying commodities pricing, as the volume of green coffee sold was essentially flat year-over-year.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of Sales</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In our Beverage Solutions segment, costs of sales increased to $248.1 million for the six months ended June 30, 2022, compared to $201.1 million for the six months ended June 30, 2021; however, costs of sales as a percentage of segment revenues remained approximately flat at 78% and 77% for the six months ended June 30, 2022 and 2021, respectively. The increase in costs of sales is primarily due to a $46.9 million increase in green coffee, tea and liquid extracts costs, driven by higher volumes and commodity price increases, specifically related to green coffee.</w:t>
      </w:r>
    </w:p>
    <w:p>
      <w:pPr>
        <w:spacing w:after="0" w:line="17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In our SS&amp;T segment, costs of sales were $84.4 million for the six months ended June 30, 2022, an increase of $26.5 million compared to the six months ended June 30, 2021. This increase is primarily due to an increase in green coffee cost driven by an increase in underlying commodities pricings, as volume of green coffee sold was essentially flat year-over-year. Costs of sales for the six months ended June 30, 2022 included $0.3 million of net unrealized losses on forward sales and purchase contracts and mark-to-market adjustment on green coffee inventory compared to $2.0 million of net unrealized gains on forward sales and purchase contracts and mark-to-market adjustment on green coffee inventory for the six months ended June 30, 2021.</w:t>
      </w:r>
    </w:p>
    <w:p>
      <w:pPr>
        <w:spacing w:after="0" w:line="200" w:lineRule="exact"/>
        <w:rPr>
          <w:sz w:val="20"/>
          <w:szCs w:val="20"/>
          <w:color w:val="auto"/>
        </w:rPr>
      </w:pPr>
    </w:p>
    <w:p>
      <w:pPr>
        <w:spacing w:after="0" w:line="21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6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Segment</w:t>
            </w:r>
          </w:p>
        </w:tc>
        <w:tc>
          <w:tcPr>
            <w:tcW w:w="24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Revenues</w:t>
            </w: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$ 64,931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$ 59,369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980" w:type="dxa"/>
            <w:vAlign w:val="bottom"/>
            <w:gridSpan w:val="2"/>
          </w:tcPr>
          <w:p>
            <w:pPr>
              <w:ind w:left="120"/>
              <w:spacing w:after="0"/>
              <w:rPr>
                <w:sz w:val="20"/>
                <w:szCs w:val="20"/>
                <w:color w:val="auto"/>
              </w:rPr>
            </w:pPr>
            <w:r>
              <w:rPr>
                <w:rFonts w:ascii="Arial" w:cs="Arial" w:eastAsia="Arial" w:hAnsi="Arial"/>
                <w:sz w:val="18"/>
                <w:szCs w:val="18"/>
                <w:color w:val="auto"/>
              </w:rPr>
              <w:t>Sustainable Sourcing &amp; Traceability</w:t>
            </w:r>
          </w:p>
        </w:tc>
        <w:tc>
          <w:tcPr>
            <w:tcW w:w="680" w:type="dxa"/>
            <w:vAlign w:val="bottom"/>
          </w:tcPr>
          <w:p>
            <w:pPr>
              <w:jc w:val="right"/>
              <w:spacing w:after="0"/>
              <w:rPr>
                <w:sz w:val="20"/>
                <w:szCs w:val="20"/>
                <w:color w:val="auto"/>
              </w:rPr>
            </w:pPr>
            <w:r>
              <w:rPr>
                <w:rFonts w:ascii="Arial" w:cs="Arial" w:eastAsia="Arial" w:hAnsi="Arial"/>
                <w:sz w:val="18"/>
                <w:szCs w:val="18"/>
                <w:color w:val="auto"/>
              </w:rPr>
              <w:t>5,178</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5.7 %</w:t>
            </w:r>
          </w:p>
        </w:tc>
        <w:tc>
          <w:tcPr>
            <w:tcW w:w="680" w:type="dxa"/>
            <w:vAlign w:val="bottom"/>
          </w:tcPr>
          <w:p>
            <w:pPr>
              <w:jc w:val="right"/>
              <w:spacing w:after="0"/>
              <w:rPr>
                <w:sz w:val="20"/>
                <w:szCs w:val="20"/>
                <w:color w:val="auto"/>
              </w:rPr>
            </w:pPr>
            <w:r>
              <w:rPr>
                <w:rFonts w:ascii="Arial" w:cs="Arial" w:eastAsia="Arial" w:hAnsi="Arial"/>
                <w:sz w:val="18"/>
                <w:szCs w:val="18"/>
                <w:color w:val="auto"/>
              </w:rPr>
              <w:t>4,137</w:t>
            </w:r>
          </w:p>
        </w:tc>
        <w:tc>
          <w:tcPr>
            <w:tcW w:w="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selling, general and administrative expense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$ 70,109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$ 63,506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Total selling, general and administrative expenses in our Beverage Solutions segment increased $5.6 million to $64.9 million for the six months ended June 30, 2022, compared to the six months ended June 30, 2021. The increase is primarily due to an approximately $1.5 million increase in advertising costs, $1.2 million increase in contract services, $1.1 million increase in freight costs resulting from increased freight rates and $1.1 million increase in bad debt expenses, for the six months ended June 30, 2022 compared to the six months ended June 30, 2021. In our SS&amp;T segment, selling, general and administrative costs increased $1.0 million due to increased personnel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Restructuring and Integration Expense</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Acquisition, restructuring and integration expense increased $2.8 million to $4.8 million for the six months ended June 30, 2022, approximately $2.5 million of which related to public-company preparedness costs and $1.4 million of which related to the integration of our new enterprise resource planning system. During the six months ended June 30, 2021, we incurred $2.0 million of acquisition, restructuring and integration expenses, approximately $1.2 million of which were integration costs related to the acquired S&amp;D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ABL facility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related party debt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Subordinated related party debt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trade finance lines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International notes payable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68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cash interest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13,775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Non-cash:</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Payments-in-kind interest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non-cash interest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Interest expense for the six months ended June 30, 2022 increased by $1.2 million to $16.9 million. The increase is primarily driven by an increase in the utilization of Falcon’s working capital trade finance facility, and an increase in average Prior ABL Facility borrowings during the six months ended June 30, 2022, compared to the six months ended June 30, 2021. This increase was partially offset by a decrease in the payment-in-kind interest rate applicable to our Prior Term Loan Facility.</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Income tax benefit for the six months ended June 30, 2022 was $3.1 million, resulting in an effective tax rate of 22.7%, compared to an income tax benefit for the six months ended June 30, 2021 of $1.4 million, resulting in an effective tax rate of 10.6%. The effective tax rates differ primarily due to the impact of state income taxes and permanent differences, namely the global intangible low-taxed income (“GILTI”) inclusion, in relation to forecasted earnings before income taxes.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49"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57"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For further information on our critical accounting policies and estimates, see “Management Discussion and Analysis of Financial Condition and Results of Operations” and notes to our audited financial statements included in the Registration Statement. As of June 30, 2022, there have been no material changes to these estimates.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99"/>
        <w:spacing w:after="0" w:line="286" w:lineRule="auto"/>
        <w:rPr>
          <w:sz w:val="20"/>
          <w:szCs w:val="20"/>
          <w:color w:val="auto"/>
        </w:rPr>
      </w:pPr>
      <w:r>
        <w:rPr>
          <w:rFonts w:ascii="Arial" w:cs="Arial" w:eastAsia="Arial" w:hAnsi="Arial"/>
          <w:sz w:val="17"/>
          <w:szCs w:val="17"/>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Revolving Credit Facility</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08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94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(46,974)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(12,963)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As of June 30, 2022, we had unrestricted cash and cash equivalents of $14.3 million and $14.5 million of borrowing availability under our Prior ABL Facility, which was based on our borrowing base (accounts receivables and inventory as of May 31, 2022). Subsequent to June 30, 2022, other than payments made in connection with the Transaction, there have been no material outlays of funds outside of our budgeted capital expenditures. On August 29, 2022, we used proceeds from the Transaction and Term Loan Facility of $175.0 million to pay off and terminate our existing Prior Term Loan Facility and Prior ABL Facility and have $175.0 million of available borrowing capacity under our new Revolving Credit Facility. We believe we have sufficient liquidity to fund our operations for the foreseeable future, meet our debt obligations, and to comply with our new debt covenants, however; if there was a sudden or prolonged negative change in our expectations regarding our liquidity, we may be forced to cease investments in our growth.</w:t>
      </w:r>
    </w:p>
    <w:p>
      <w:pPr>
        <w:spacing w:after="0" w:line="166"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For the six months ended June 30, 2022, net cash used in operating activities was $47.0 million compared to $0.8 million for the six months ended June 30, 2021. The change is primarily attributable to increased working capital needs, primarily related to a $46.1 million increase in inventory levels to meet anticipated customer demand.</w:t>
      </w:r>
    </w:p>
    <w:p>
      <w:pPr>
        <w:spacing w:after="0" w:line="165"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Net cash used in investing activities was $13.0 million for the six months ended June 30, 2022, compared to $7.5 million for the six months ended June 30, 2021. The increase was primarily driven by an increase of $6.6 million in growth capital expenditures for the six months ended June 30, 2022 compared to the six months ended June 30, 2021.</w:t>
      </w:r>
    </w:p>
    <w:p>
      <w:pPr>
        <w:spacing w:after="0" w:line="36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color w:val="auto"/>
        </w:rPr>
        <w:t>For the six months ended June 30, 2022, net cash provided by financing activities was $55.3 million, compared to $7.7 million for the six months ended June 30, 2021. The increase is primarily related to an increase in net proceeds from debt of approximately $47.3 million, which were primarily used to fund inventory purchases.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Prior Term Loan Facility</w:t>
      </w:r>
    </w:p>
    <w:p>
      <w:pPr>
        <w:spacing w:after="0" w:line="225"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On February 28, 2020, Westrock Beverage Solutions, LLC (f/k/a Westrock Coffee Company, LLC), a Delaware limited liability company and wholly owned subsidiary of the Company (“WBS”), as borrower, borrowed $240.0 million of term loans from various financial institutions pursuant to a loan and security agreement (the “Prior Term Loan Agreement”) (such term loans, the “Prior Term Loan Facility”). The Prior Term Loan Facility accrued interest quarterly, at the borrower’s option, at the LIBOR or Prime Rate plus an Applicable Margin, as such terms were defined in the Prior Term Loan Agreement, that corresponded to our total leverage ratio at the end of each quarter. All outstanding loans accrued interest in the second quarter of 2022 at the LIBOR Rate, and the interest rate on the Prior Term Loan Facility was 9.75% on June 30, 2022.</w:t>
      </w:r>
    </w:p>
    <w:p>
      <w:pPr>
        <w:spacing w:after="0" w:line="192"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color w:val="auto"/>
        </w:rPr>
        <w:t>On July 13, 2022, the Company entered into Amendment No. 6 to the Prior Term Loan Agreement (the “Sixth Term Loan Amendment”) in order to permit the Wooster Pre-fund. The Sixth Term Loan Amendment included the following modifications: (i) permitting the incurrence of subordinated debt from Wooster in the form of the Convertible Note; (ii) extending the PIK interest period to December 31, 2022; (iii) amending the definitions of EBITDA, Fixed Charge Coverage Ratio and Total Debt (which excludes the Convertible Note); and (iv) amending the level of the Minimum Liquidity covenant that the Company is required to comply with. The definition of EBITDA was modified to increase the cap on add-backs for the quarter ended June 30, 2022 and the quarter ended September 30, 2022 from 15% of EBITDA to 20% of EBITDA. The Wooster Pre-fund, together with the Sixth Term Loan Amendment, allowed the Company to meet increased capital expenditure and working capital needs of the business and to remain in compliance with its financial covenants as of June 30, 2022.</w:t>
      </w:r>
    </w:p>
    <w:p>
      <w:pPr>
        <w:spacing w:after="0" w:line="185"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The Prior Term Loan Facility was repaid with proceeds from the Transaction, and the Prior Term Loan Agreement was terminated and replaced by the Credit Agreement described below under the heading “New Credit Agreement”.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Prior ABL Facility</w:t>
      </w:r>
    </w:p>
    <w:p>
      <w:pPr>
        <w:spacing w:after="0" w:line="225"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On February 28, 2020, WBS, as borrower, entered into a credit agreement with Bank of America as administrative agent (the “Prior ABL Credit Agreement”) that created an asset-based loan of $90.0 million (the “Prior ABL Facility”). Proceeds from the Prior ABL Facility could be used for any lawful corporate purposes, including working capital. Depending on the loan type, interest accrued, at the borrower’s option, at the LIBOR or Base Rate plus an Applicable Margin, as such terms were defined in the Prior ABL Credit Agreement. The Applicable Margin ranged from 1.50% to 3.00% for LIBOR Rate loans and 0.50% to 2.00% for Base Rate loans.</w:t>
      </w:r>
    </w:p>
    <w:p>
      <w:pPr>
        <w:spacing w:after="0" w:line="192"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As of June 30, 2022, our total availability under the Prior ABL Facility was $14.5 million, which was based on our borrowing base (accounts receivables and inventory as of May 31, 2022). As of June 30, 2022, we had $72.8 million of outstanding borrowings under the Prior ABL Facility and $2.7 million of letters of credit. The Prior ABL Facility carried a commitment fee on any of the unused commitment of 0.375% per annum. The weighted average effective interest rate on our outstanding borrowings was 5.8% on June 30, 2022.</w:t>
      </w:r>
    </w:p>
    <w:p>
      <w:pPr>
        <w:spacing w:after="0" w:line="188"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On July 13, 2022, the Company entered into Amendment No. 4 to the Prior ABL Credit Agreement, which included the following modifications: (i) permitting the incurrence of subordinated debt from Wooster in the form of the Convertible Note and (ii) amending the definitions of EBITDA, Fixed Charge Coverage Ratio and Total Debt (which excludes the Convertible Note). The definition of EBITDA was modified to increase the cap on add-backs for the quarter ended June 30, 2022 and the quarter ended September 30, 2022 from 15% of EBITDA to 20% of EBITDA.</w:t>
      </w:r>
    </w:p>
    <w:p>
      <w:pPr>
        <w:spacing w:after="0" w:line="176"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color w:val="auto"/>
        </w:rPr>
        <w:t>The Prior ABL Facility was repaid with the proceeds from the Transaction, and the Prior ABL Facility was terminated and replaced by the Credit Agreement described below under the heading “New Credit Agreement”.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w:t>
      </w:r>
    </w:p>
    <w:p>
      <w:pPr>
        <w:spacing w:after="0" w:line="225"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In connection with the Transaction, on July 14, 2022, pursuant to the terms of the subscription agreement entered into between the Company and Wooster, in which Wooster agreed to subscribe for and purchase, and the Company agreed to issue and sell to Wooster, prior to and substantially concurrently with the closing of the Transaction, an aggregate of 2,150,000 shares of Common Stock at a purchase price of $10.00 per share, for aggregate gross proceeds of $21,500,000 to the Company, Wooster pre-funded $11.7 million of its commitment (the “Wooster Pre-fund”) and in exchange thereof was issued the Convertible Note. The Convertible Note had a principal amount of $11.7 million, a one-year maturity, and an interest rate of 8% per annum, which was payable quarterly on the last business day of each quarter. On August 26, 2022, in connection with the closing of the Transaction, the Convertible Note was automatically converted into 1.17 million shares of Common Stock.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Credit Agreement</w:t>
      </w:r>
    </w:p>
    <w:p>
      <w:pPr>
        <w:spacing w:after="0" w:line="225"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color w:val="auto"/>
        </w:rPr>
        <w:t>On August 29, 2022, in connection with the Transaction, the Company entered into a credit agreement (the “Credit Agreement”) among the Company, WBS, as the borrower (the “Borrower”), Wells Fargo Bank, N.A., as administrative agent, as collateral agent, and as swingline lender, Wells Fargo Securities, LLC, as sustainability structuring agent, and each issuing bank and lender party thereto. The Credit Agreement includes (a) the Revolving Credit Facility in an initial aggregate principal amount of $175.0 million and (b) the Term Loan Facility in an initial aggregate principal amount of $175.0 million. The proceeds from the Revolving Credit Facility and the Term Loan Facility will be used for paying off existing indebtedness, working capital and other general corporate purposes. The Revolving Credit Facility and the Term Loan Facility will mature on August 29, 2027. As of August 29, 2022, there are no borrowings outstanding under the Revolving Credit Facility.</w:t>
      </w:r>
    </w:p>
    <w:p>
      <w:pPr>
        <w:spacing w:after="0" w:line="181"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Borrowings under the Revolving Credit Facility or the Term Loan Facility will bear interest, at the borrower’s option, initially at an annual rate equal to (a) Term SOFR (as defined in the Credit Agreement) plus a credit spread adjustment of 0.10% for loans with an interest period of one month, 0.15% for loans with an interest period of three months and 0.25% for loans with an interest period of six months, as applicable, (the “Adjusted Term SOFR Rate”) plus the applicable margin or (b) the base rate (determined by reference to the greatest of (i) the rate of interest last quoted by The Wall Street Journal in the U.S. as the prime rate in effect, (ii) the NYFRB Rate (as defined in the Credit Agreement) from time to time plus 0.50% and (iii) the Adjusted Term SOFR Rate for a one month interest period plus 1.00%, (the “Base Rate”)) plus the applicable margin. The applicable margin for the Revolving Credit Facility and the Term Loan Facility ranges from 1.50% to 2.50% for Adjusted Term SOFR Rate loans and from 0.50% to 1.50% for Base Rate loans, in each case depending on the total net leverage ratio. As of August 29, 2022, all borrowings under the Term Loan Facility will bear interest at the applicable Adjusted Term SOFR Rate plus the applicable margin.</w:t>
      </w:r>
    </w:p>
    <w:p>
      <w:pPr>
        <w:spacing w:after="0" w:line="182" w:lineRule="exact"/>
        <w:rPr>
          <w:sz w:val="20"/>
          <w:szCs w:val="20"/>
          <w:color w:val="auto"/>
        </w:rPr>
      </w:pPr>
    </w:p>
    <w:p>
      <w:pPr>
        <w:jc w:val="both"/>
        <w:ind w:left="60" w:right="299"/>
        <w:spacing w:after="0" w:line="277" w:lineRule="auto"/>
        <w:rPr>
          <w:sz w:val="20"/>
          <w:szCs w:val="20"/>
          <w:color w:val="auto"/>
        </w:rPr>
      </w:pPr>
      <w:r>
        <w:rPr>
          <w:rFonts w:ascii="Arial" w:cs="Arial" w:eastAsia="Arial" w:hAnsi="Arial"/>
          <w:sz w:val="18"/>
          <w:szCs w:val="18"/>
          <w:color w:val="auto"/>
        </w:rPr>
        <w:t>Commitment fees on the daily unused amount of commitments under the Revolving Credit Facility range from 0.20% to 0.35% depending on the total net leverage ratio.</w:t>
      </w:r>
    </w:p>
    <w:p>
      <w:pPr>
        <w:spacing w:after="0" w:line="170" w:lineRule="exact"/>
        <w:rPr>
          <w:sz w:val="20"/>
          <w:szCs w:val="20"/>
          <w:color w:val="auto"/>
        </w:rPr>
      </w:pPr>
    </w:p>
    <w:p>
      <w:pPr>
        <w:jc w:val="both"/>
        <w:ind w:left="60" w:right="319"/>
        <w:spacing w:after="0" w:line="311" w:lineRule="auto"/>
        <w:rPr>
          <w:sz w:val="20"/>
          <w:szCs w:val="20"/>
          <w:color w:val="auto"/>
        </w:rPr>
      </w:pPr>
      <w:r>
        <w:rPr>
          <w:rFonts w:ascii="Arial" w:cs="Arial" w:eastAsia="Arial" w:hAnsi="Arial"/>
          <w:sz w:val="16"/>
          <w:szCs w:val="16"/>
          <w:color w:val="auto"/>
        </w:rPr>
        <w:t>The Credit Agreement contains two financial covenants requiring maintenance of a total net leverage ratio not to exceed 4.50 to 1.00, with a stepdown to 4.00 to 1.00 on the 18-month anniversary of the closing date of the Transaction and an interest coverage ratio of at least 1.50 to 1.00, which will be tested with the fiscal quarter ending September 30, 2022.</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Debt and Lending Facilities</w:t>
      </w:r>
    </w:p>
    <w:p>
      <w:pPr>
        <w:spacing w:after="0" w:line="225"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At June 30, 2022, Westrock Coffee International, LLC (“Westrock International”), through its subsidiary Falcon Coffees Limited (“Falcon”) had a $1.6 million promissory note payable with responsAbility SICAV (Lux), split into two tranches. Proceeds from the note are restricted for the sole purpose of financing Falcon’s trading activities. The note was amended in January 2022 to adjust the maturity of certain tranches, and to re-set interest rates. Borrowings on the note bear interest at a fixed rate of 9.5% for both the $0.9 million tranche and the $0.7 million tranche maturing on September 30, 2022 and December 31, 2022, respectively. Westrock Coffee International, LLC, through its subsidiary Rwanda Trading Company, maintains two mortgage-backed lending facilities with a local bank in Rwanda: a short-term trade finance facility with a balance of $8.9 million at June 30, 2022 and a long-term note payable with a balance of $1.9 million at June 30, 2022.</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Falcon maintains a working capital trade finance facility with multiple financial institutions, which prior to March 16, 2022, was agented by BBH, a related party of the Company through its equity interests in the Company, and was reported as short-term related party debt on the Condensed Consolidated Balance Sheets. On March 16, 2022, Falcon refinanced its working capital trade finance facility, and the facility was transferred to different lenders with the same terms as the previous facility. The new facility is uncommitted, repayable on demand and secured by Falcon’s assets. The facility is renewable on an annual basis beginning in March 2023. On April 29, 2022, the facility size increased from $50 million to $55 million and subsequently, on June 16, 2022, the facility size increased to $62.5 million. At June 30, 2022, there was $52.0 million outstanding under the facility, which is recorded in short-term debt in the Condensed Consolidated Balance Sheets. Interest is payable monthly at the U.S. Prime Rate plus 1.50%, subject to a minimum rate of 5.00%. The facility carries an agent fee of 0.25% of total available capital. Availability under the facility is subject to a borrowing base calculation. The credit facility is secured by substantially all liquid assets of Falcon. Falcon’s facility contains certain restrictive financial covenants which require Falcon to maintain certain levels of working capital, debt, and net worth. Falcon was in compliance with these financial covenants as of June 30, 2022.</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Subordinated Related Party Debt</w:t>
      </w:r>
    </w:p>
    <w:p>
      <w:pPr>
        <w:spacing w:after="0" w:line="225"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On February 28, 2020, we issued $13.3 million of subordinated debt (the “Subordinated Notes”) to Wooster and Jo Ellen Ford. The Subordinated Notes provided for maturity on the earlier of (i) six months after the Prior Term Loan Facility is paid in full or (ii) 10 years from the date of issuance (February 2030). Interest was payable quarterly at the end of each calendar quarter at a rate of 6% per annum. Substantially concurrently with the closing of the Transaction and pursuant to the terms of their respective subscription agreements with the Company, Wooster and Jo Ellen Ford contributed their respective Subordinated Notes to the Company and in exchange for such contribution, the Company issued shares of Common Stock to Wooster and Jo Ellen Ford. The Company issued a total of 1,330,000 shares of Common Stock in exchange for the contribution of the Subordinated Notes, which were subsequently extinguished.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and Long-Term Liquidity</w:t>
      </w:r>
    </w:p>
    <w:p>
      <w:pPr>
        <w:spacing w:after="0" w:line="225"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Our current liquidity needs are to fund operating expenses, meet debt service obligations, and fund both current and long-term investment activities, which include capital expenditures. Proceeds from the Transaction were used to repay all existing term loan and asset-based lending facilities. In addition, we expect to use proceeds to fund our near-term growth strategies, which include, (i) extending and enhancing product offerings through innovation, (ii) expanding our customer base, (iii) expanding geographically, (iv) funding accretive acquisitions, and (v) continuing to drive margin expansion. As of August 29, 2022, we had no borrowings outstanding under our Revolving Credit Facility.</w:t>
      </w:r>
    </w:p>
    <w:p>
      <w:pPr>
        <w:spacing w:after="0" w:line="164"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A key component of our long-term growth strategy will be to complete the phased build-out of our FE&amp;I manufacturing facility in Conway, Arkansas, which will utilize state-of-the-art equipment, including advanced robotics specifically designed to efficiently manufacture and package a wide range of beverages, such as canned or bottled cold brew coffees, lattes, assorted teas, and juice-based products, as well as single serve coffee capsules. This facility will also incorporate a premiere product development laboratory, enabling us to test and produce new beverage solutions. We believe proceeds from the Transaction and available borrowings under our Revolving Credit Facility will provide sufficient cash on-hand to complete the initial build-out of this facility, which is currently expected to be approximately $190 million over the next three years. However, the Company will continuously evaluate its liquidity needs, and if it is determined that we have insufficient liquidity to fund the Conway build-out or fund our acquisition strategy, we may delay the initial build-out of the Conway facility and/or modify the scope of the build-out and we may reprioritize our strategy to focus on organic growth opportunities, which may have an adverse impact on our ability to achieve our growth objectives.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material contractual obligations include the payment of principal and interest under our debt obligations. Our Term Loan Facility requires quarterly principal payments during the first three years of approximately $2.2 million (1.25% of the original principal balance beginning December 31, 2022. Quarterly payments increase to approximately $3.3 million and $4.4 million (1.875% and 2.5% of the original principal balance) during the fourth and fifth years, respectively. We have no other material obligations to pay principal amounts of our long-term debt obligations prior to their maturity.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Future purchase obligations of $371.7 million as of June 30, 2022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categorize our capital expenditures as (i) growth, (ii) maintenance, (iii) customer beverage equipment or (iv) other.</w:t>
      </w:r>
    </w:p>
    <w:p>
      <w:pPr>
        <w:spacing w:after="0" w:line="237"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 expenditures for the six months ended June 30, 2022 and 2021 were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Growth</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Maintenance</w:t>
            </w: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Beverage</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Equipment</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10,393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15,163</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Six months ended June 30,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5,424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2,071</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color w:val="auto"/>
        </w:rPr>
        <w:t>We expect to invest to expand our FE&amp;I product manufacturing capacity in Conway, Arkansas, for which we currently expect to spend approximately $190 million over the next 3 years to complete the initial build-out.</w:t>
      </w:r>
    </w:p>
    <w:p>
      <w:pPr>
        <w:spacing w:after="0" w:line="14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Regarding Market Risk</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There has been no material change in the commodities price risk, interest rate risk, inflation and supply chain disruption risk or risk associated with the Russia/Ukraine conflict discussed in the section titled “Management’s Discussion and Analysis of Financial Condition and Results of Operations – Quantitative and Qualitative Disclosures About Market Risk” in the Registration Statement.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60" w:right="499"/>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9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2022, the end of the period covered by this Quarterly Report. Based on this evaluation, our Principal Executive Officer and Principal Financial Officer concluded that our disclosure controls and procedures were not effective as of June 30, 2022 due to the material weaknesses in our internal control over financial reporting, described below.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Material Weaknesses in Internal Control Over Financial Reporting</w:t>
      </w:r>
    </w:p>
    <w:p>
      <w:pPr>
        <w:spacing w:after="0" w:line="22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June 30, 2022.</w:t>
      </w:r>
    </w:p>
    <w:p>
      <w:pPr>
        <w:spacing w:after="0" w:line="171"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spacing w:after="0" w:line="187" w:lineRule="exact"/>
        <w:rPr>
          <w:sz w:val="20"/>
          <w:szCs w:val="20"/>
          <w:color w:val="auto"/>
        </w:rPr>
      </w:pPr>
    </w:p>
    <w:p>
      <w:pPr>
        <w:ind w:left="720" w:right="79" w:hanging="319"/>
        <w:spacing w:after="0" w:line="288"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Westrock did not design and maintain effective controls to address the identification of and accounting for certain non-routine, unusual or complex transactions, including the proper application of U.S. GAAP to such transactions. Specifically, Westrock did not design and maintain effective controls to timely identify and account for issuances of redeemable common equivalent preferred units, the S&amp;D acquisition transaction, a disposal transaction, and arrangements with forward repurchase obligations which resulted in material audit adjustments to shareholders’ deficit; intangible assets, net; goodwill; acquisition, restructuring and integration expense; and impairment charges; within the consolidated financial statements as of and for the year ended December 31, 2020 and in immaterial misstatements to revenue; costs of sales; interest expense; inventory; accrued expenses and other current liabilities; and the cash flow presentation between operating and financing activities within the consolidated financial statements as of and for the years ended December 31, 2021 and 2020.</w:t>
      </w:r>
    </w:p>
    <w:p>
      <w:pPr>
        <w:spacing w:after="0" w:line="195" w:lineRule="exact"/>
        <w:rPr>
          <w:rFonts w:ascii="Arial" w:cs="Arial" w:eastAsia="Arial" w:hAnsi="Arial"/>
          <w:sz w:val="16"/>
          <w:szCs w:val="16"/>
          <w:color w:val="auto"/>
        </w:rPr>
      </w:pPr>
    </w:p>
    <w:p>
      <w:pPr>
        <w:ind w:left="720" w:right="79" w:hanging="319"/>
        <w:spacing w:after="0" w:line="279"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Westrock did not design and maintain effective controls over the period-end financial reporting process to achieve complete and accurate financial accounting, reporting and disclosures, including the presentation and classification of various accounts in the financial statements, which resulted in immaterial adjustments to product revenues; product costs of sales; selling, general and administrative expense; loss on disposal of</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spacing w:after="0" w:line="275" w:lineRule="auto"/>
        <w:rPr>
          <w:sz w:val="20"/>
          <w:szCs w:val="20"/>
          <w:color w:val="auto"/>
        </w:rPr>
      </w:pPr>
      <w:r>
        <w:rPr>
          <w:rFonts w:ascii="Arial" w:cs="Arial" w:eastAsia="Arial" w:hAnsi="Arial"/>
          <w:sz w:val="17"/>
          <w:szCs w:val="17"/>
          <w:color w:val="auto"/>
        </w:rPr>
        <w:t>property, plant and equipment; other (income) expense, net; accounts receivable, net, inventories; derivative assets, net; prepaid expenses and other current assets; property, plant, and equipment, net; goodwill; intangible assets, net; other long-term assets; accounts payable; accrued expenses and other current liabilities and the cash flow presentation of debt payments and proceeds within financing activities within the consolidated financial statements as of and for the year ended December 31, 2020.</w:t>
      </w:r>
    </w:p>
    <w:p>
      <w:pPr>
        <w:spacing w:after="0" w:line="190" w:lineRule="exact"/>
        <w:rPr>
          <w:sz w:val="20"/>
          <w:szCs w:val="20"/>
          <w:color w:val="auto"/>
        </w:rPr>
      </w:pPr>
    </w:p>
    <w:p>
      <w:pPr>
        <w:ind w:left="720" w:right="13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197" w:lineRule="exact"/>
        <w:rPr>
          <w:rFonts w:ascii="Arial" w:cs="Arial" w:eastAsia="Arial" w:hAnsi="Arial"/>
          <w:sz w:val="18"/>
          <w:szCs w:val="18"/>
          <w:color w:val="auto"/>
        </w:rPr>
      </w:pPr>
    </w:p>
    <w:p>
      <w:pPr>
        <w:ind w:left="720" w:right="79" w:hanging="319"/>
        <w:spacing w:after="0" w:line="267"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Westrock did not design and maintain effective controls over certain information technology (“IT”) or general computer controls for information systems that are relevant to the preparation of the consolidated financial statements. 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 These IT deficiencies did not result in adjustments to the consolidated financial statements. However, the deficiencies, when aggregated, could impact the Westrock’s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it was determined these deficiencies in the aggregate constitute a material weakness.</w:t>
      </w:r>
    </w:p>
    <w:p>
      <w:pPr>
        <w:spacing w:after="0" w:line="191"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Additionally, each of these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184"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Plans</w:t>
      </w:r>
    </w:p>
    <w:p>
      <w:pPr>
        <w:spacing w:after="0" w:line="22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Westrock has taken and is taking certain measures to remediate the material weaknesses described above, including the following:</w:t>
      </w:r>
    </w:p>
    <w:p>
      <w:pPr>
        <w:spacing w:after="0" w:line="170" w:lineRule="exact"/>
        <w:rPr>
          <w:sz w:val="20"/>
          <w:szCs w:val="20"/>
          <w:color w:val="auto"/>
        </w:rPr>
      </w:pPr>
    </w:p>
    <w:p>
      <w:pPr>
        <w:ind w:left="720" w:right="159" w:hanging="319"/>
        <w:spacing w:after="0" w:line="286"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Hiring additional accounting and IT personnel, including a new chief accounting officer hired in May 2021 and a new technical accounting resource hired in April 2022, with the appropriate level of knowledge, training, and experience to improve our internal control over financial reporting and IT capabilities.</w:t>
      </w:r>
    </w:p>
    <w:p>
      <w:pPr>
        <w:spacing w:after="0" w:line="165" w:lineRule="exact"/>
        <w:rPr>
          <w:rFonts w:ascii="Arial" w:cs="Arial" w:eastAsia="Arial" w:hAnsi="Arial"/>
          <w:sz w:val="17"/>
          <w:szCs w:val="17"/>
          <w:color w:val="auto"/>
        </w:rPr>
      </w:pPr>
    </w:p>
    <w:p>
      <w:pPr>
        <w:jc w:val="both"/>
        <w:ind w:left="720" w:right="299" w:hanging="319"/>
        <w:spacing w:after="0" w:line="34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Developing and formalizing a risk assessment process across the organization to identify risks and design new controls or enhance existing controls responsive to such risks to ensure timely and accurate financial reporting.</w:t>
      </w:r>
    </w:p>
    <w:p>
      <w:pPr>
        <w:spacing w:after="0" w:line="123" w:lineRule="exact"/>
        <w:rPr>
          <w:rFonts w:ascii="Arial" w:cs="Arial" w:eastAsia="Arial" w:hAnsi="Arial"/>
          <w:sz w:val="16"/>
          <w:szCs w:val="16"/>
          <w:color w:val="auto"/>
        </w:rPr>
      </w:pPr>
    </w:p>
    <w:p>
      <w:pPr>
        <w:ind w:left="720" w:right="539" w:hanging="319"/>
        <w:spacing w:after="0" w:line="34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Formally assessing non-routine, unusual and complex accounting transactions, as well as other technical accounting and financial reporting matters including controls over the preparation and review of accounting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55" w:lineRule="auto"/>
        <w:rPr>
          <w:sz w:val="20"/>
          <w:szCs w:val="20"/>
          <w:color w:val="auto"/>
        </w:rPr>
      </w:pPr>
      <w:r>
        <w:rPr>
          <w:rFonts w:ascii="Arial" w:cs="Arial" w:eastAsia="Arial" w:hAnsi="Arial"/>
          <w:sz w:val="18"/>
          <w:szCs w:val="18"/>
          <w:color w:val="auto"/>
        </w:rPr>
        <w:t>memoranda addressing these matters. During the quarter ended June 30, 2022, we implemented controls to identify non-routine, unusual and complex accounting transactions and require that the accounting implications of such transactions are formally assessed, documented and reviewed by a relevant senior member of our accounting team in a timely manner. In addition, we have engaged third party subject matter experts to advise us with respect to certain complex non-routine transactions in addition to management’s review of such transactions, where appropriate.</w:t>
      </w:r>
    </w:p>
    <w:p>
      <w:pPr>
        <w:spacing w:after="0" w:line="206" w:lineRule="exact"/>
        <w:rPr>
          <w:sz w:val="20"/>
          <w:szCs w:val="20"/>
          <w:color w:val="auto"/>
        </w:rPr>
      </w:pPr>
    </w:p>
    <w:p>
      <w:pPr>
        <w:ind w:left="720" w:right="57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Engaging a third party to assist in designing and implementing controls related to period-end financial reporting, segregation of duties and IT general controls.</w:t>
      </w:r>
    </w:p>
    <w:p>
      <w:pPr>
        <w:spacing w:after="0" w:line="183" w:lineRule="exact"/>
        <w:rPr>
          <w:rFonts w:ascii="Arial" w:cs="Arial" w:eastAsia="Arial" w:hAnsi="Arial"/>
          <w:sz w:val="18"/>
          <w:szCs w:val="18"/>
          <w:color w:val="auto"/>
        </w:rPr>
      </w:pPr>
    </w:p>
    <w:p>
      <w:pPr>
        <w:ind w:left="720" w:right="119" w:hanging="319"/>
        <w:spacing w:after="0" w:line="30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Designing and implementing controls to formalize roles and review responsibilities to align with Westrock’s team’s skills and experience and designing and implementing controls over segregation of duties.</w:t>
      </w:r>
    </w:p>
    <w:p>
      <w:pPr>
        <w:spacing w:after="0" w:line="159" w:lineRule="exact"/>
        <w:rPr>
          <w:rFonts w:ascii="Arial" w:cs="Arial" w:eastAsia="Arial" w:hAnsi="Arial"/>
          <w:sz w:val="17"/>
          <w:szCs w:val="17"/>
          <w:color w:val="auto"/>
        </w:rPr>
      </w:pPr>
    </w:p>
    <w:p>
      <w:pPr>
        <w:ind w:left="720" w:right="23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Designing and implementing formal accounting procedures and controls supporting Westrock’s period-end financial reporting process, including controls over the preparation and review of account reconciliations and journal entries.</w:t>
      </w:r>
    </w:p>
    <w:p>
      <w:pPr>
        <w:spacing w:after="0" w:line="197" w:lineRule="exact"/>
        <w:rPr>
          <w:rFonts w:ascii="Arial" w:cs="Arial" w:eastAsia="Arial" w:hAnsi="Arial"/>
          <w:sz w:val="18"/>
          <w:szCs w:val="18"/>
          <w:color w:val="auto"/>
        </w:rPr>
      </w:pPr>
    </w:p>
    <w:p>
      <w:pPr>
        <w:ind w:left="720" w:right="79" w:hanging="319"/>
        <w:spacing w:after="0" w:line="25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and (v) review of service organization reports and related end-user control considerations.</w:t>
      </w:r>
    </w:p>
    <w:p>
      <w:pPr>
        <w:spacing w:after="0" w:line="208"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Designing and implementing IT general controls, including controls over change management, the review and update of user access rights and privileges, controls over batch jobs and data backups, and program development approvals and testing.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Other than the implementation of controls related to the accounting for non-routine, unusual or complex transactions described above, there were no changes in our internal control over financial reporting, as such term is defined in Rule 13a-15(f) under the Exchange Act, that occurred during the three months ended June 30, 2022 that has materially affected, or is reasonably likely to materially affect, our internal control over financial reporting.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419"/>
        <w:spacing w:after="0" w:line="311" w:lineRule="auto"/>
        <w:rPr>
          <w:sz w:val="20"/>
          <w:szCs w:val="20"/>
          <w:color w:val="auto"/>
        </w:rPr>
      </w:pPr>
      <w:r>
        <w:rPr>
          <w:rFonts w:ascii="Arial" w:cs="Arial" w:eastAsia="Arial" w:hAnsi="Arial"/>
          <w:sz w:val="16"/>
          <w:szCs w:val="16"/>
          <w:color w:val="auto"/>
        </w:rPr>
        <w:t>In addition to the information set forth in this Quarterly Report on Form 10-Q, you should carefully consider the risks described under the subsection titled “Risks Related to Westrock’s Business and Industry”, “Risks Related to Westrock Following the Consummation of the Business Combination”, and “Risks Related to the Ownership of Westrock</w:t>
      </w:r>
    </w:p>
    <w:p>
      <w:pPr>
        <w:spacing w:after="0" w:line="365"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Common Shares Following the Business Combination” discussed in the section titled “Risk Factors” in the Registration Statement. There have been no material changes to the risk factors subsequent to that filing.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Exhibit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Index</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Filing</w:t>
            </w:r>
          </w:p>
        </w:tc>
        <w:tc>
          <w:tcPr>
            <w:tcW w:w="740" w:type="dxa"/>
            <w:vAlign w:val="bottom"/>
          </w:tcPr>
          <w:p>
            <w:pPr>
              <w:jc w:val="right"/>
              <w:ind w:right="136"/>
              <w:spacing w:after="0" w:line="13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5"/>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4"/>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6"/>
                <w:szCs w:val="16"/>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File No.</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24"/>
                <w:szCs w:val="24"/>
                <w:color w:val="auto"/>
              </w:rPr>
            </w:pPr>
          </w:p>
        </w:tc>
        <w:tc>
          <w:tcPr>
            <w:tcW w:w="3840" w:type="dxa"/>
            <w:vAlign w:val="bottom"/>
            <w:tcBorders>
              <w:bottom w:val="single" w:sz="8" w:color="0000EE"/>
            </w:tcBorders>
            <w:gridSpan w:val="25"/>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Transaction Agreement, dated as of April 4, 2022, by</w:t>
              </w:r>
            </w:hyperlink>
          </w:p>
        </w:tc>
        <w:tc>
          <w:tcPr>
            <w:tcW w:w="100" w:type="dxa"/>
            <w:vAlign w:val="bottom"/>
            <w:gridSpan w:val="3"/>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and among Riverview Acquisition Corp., Westrock</w:t>
              </w:r>
            </w:hyperlink>
          </w:p>
        </w:tc>
        <w:tc>
          <w:tcPr>
            <w:tcW w:w="24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264464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Coffee Holdings, LLC, Origin Merger Sub I, Inc. and</w:t>
              </w:r>
            </w:hyperlink>
          </w:p>
        </w:tc>
        <w:tc>
          <w:tcPr>
            <w:tcW w:w="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54">
              <w:r>
                <w:rPr>
                  <w:rFonts w:ascii="Arial" w:cs="Arial" w:eastAsia="Arial" w:hAnsi="Arial"/>
                  <w:sz w:val="18"/>
                  <w:szCs w:val="18"/>
                  <w:color w:val="0000EE"/>
                  <w:w w:val="94"/>
                </w:rPr>
                <w:t>Origin Merger Sub II, LLC</w:t>
              </w:r>
            </w:hyperlink>
          </w:p>
        </w:tc>
        <w:tc>
          <w:tcPr>
            <w:tcW w:w="1980" w:type="dxa"/>
            <w:vAlign w:val="bottom"/>
            <w:gridSpan w:val="23"/>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34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2"/>
              </w:rPr>
              <w:t>Certificate of Incorporation of Westrock Coffee</w:t>
            </w:r>
          </w:p>
        </w:tc>
        <w:tc>
          <w:tcPr>
            <w:tcW w:w="500" w:type="dxa"/>
            <w:vAlign w:val="bottom"/>
            <w:gridSpan w:val="16"/>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Company</w:t>
            </w:r>
          </w:p>
        </w:tc>
        <w:tc>
          <w:tcPr>
            <w:tcW w:w="3240" w:type="dxa"/>
            <w:vAlign w:val="bottom"/>
            <w:gridSpan w:val="2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3940" w:type="dxa"/>
            <w:vAlign w:val="bottom"/>
            <w:gridSpan w:val="28"/>
          </w:tcPr>
          <w:p>
            <w:pPr>
              <w:spacing w:after="0"/>
              <w:rPr>
                <w:sz w:val="20"/>
                <w:szCs w:val="20"/>
                <w:color w:val="auto"/>
              </w:rPr>
            </w:pPr>
            <w:r>
              <w:rPr>
                <w:rFonts w:ascii="Arial" w:cs="Arial" w:eastAsia="Arial" w:hAnsi="Arial"/>
                <w:sz w:val="18"/>
                <w:szCs w:val="18"/>
                <w:color w:val="0000EE"/>
              </w:rPr>
              <w:t>Bylaws of Westrock Coffee Company</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36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Amended and Restated Warrant Agreement by and</w:t>
            </w:r>
          </w:p>
        </w:tc>
        <w:tc>
          <w:tcPr>
            <w:tcW w:w="26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among Westrock Coffee Company, Computershare</w:t>
            </w:r>
          </w:p>
        </w:tc>
        <w:tc>
          <w:tcPr>
            <w:tcW w:w="26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Inc. and Computershare Trust Company, N.A.</w:t>
            </w:r>
          </w:p>
        </w:tc>
        <w:tc>
          <w:tcPr>
            <w:tcW w:w="620" w:type="dxa"/>
            <w:vAlign w:val="bottom"/>
            <w:gridSpan w:val="18"/>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Specimen Common Stock Certificate of Westrock</w:t>
              </w:r>
            </w:hyperlink>
          </w:p>
        </w:tc>
        <w:tc>
          <w:tcPr>
            <w:tcW w:w="340" w:type="dxa"/>
            <w:vAlign w:val="bottom"/>
            <w:gridSpan w:val="11"/>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Coffee Company</w:t>
              </w:r>
            </w:hyperlink>
          </w:p>
        </w:tc>
        <w:tc>
          <w:tcPr>
            <w:tcW w:w="2700" w:type="dxa"/>
            <w:vAlign w:val="bottom"/>
            <w:gridSpan w:val="25"/>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264464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Specimen Warrant Certificate of Westrock Coffee</w:t>
              </w:r>
            </w:hyperlink>
          </w:p>
        </w:tc>
        <w:tc>
          <w:tcPr>
            <w:tcW w:w="360" w:type="dxa"/>
            <w:vAlign w:val="bottom"/>
            <w:gridSpan w:val="13"/>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Company</w:t>
              </w:r>
            </w:hyperlink>
          </w:p>
        </w:tc>
        <w:tc>
          <w:tcPr>
            <w:tcW w:w="3240" w:type="dxa"/>
            <w:vAlign w:val="bottom"/>
            <w:gridSpan w:val="2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264464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3940" w:type="dxa"/>
            <w:vAlign w:val="bottom"/>
            <w:gridSpan w:val="28"/>
          </w:tcPr>
          <w:p>
            <w:pPr>
              <w:spacing w:after="0"/>
              <w:rPr>
                <w:rFonts w:ascii="Arial" w:cs="Arial" w:eastAsia="Arial" w:hAnsi="Arial"/>
                <w:sz w:val="18"/>
                <w:szCs w:val="18"/>
                <w:color w:val="0000EE"/>
              </w:rPr>
            </w:pPr>
            <w:hyperlink r:id="rId57">
              <w:r>
                <w:rPr>
                  <w:rFonts w:ascii="Arial" w:cs="Arial" w:eastAsia="Arial" w:hAnsi="Arial"/>
                  <w:sz w:val="18"/>
                  <w:szCs w:val="18"/>
                  <w:color w:val="0000EE"/>
                </w:rPr>
                <w:t>Investor Rights Agreement, dated as of April 4,</w:t>
              </w:r>
            </w:hyperlink>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7"/>
              </w:rPr>
              <w:t>4.8</w:t>
            </w:r>
          </w:p>
        </w:tc>
        <w:tc>
          <w:tcPr>
            <w:tcW w:w="16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2022, by and among Westrock Coffee Company,</w:t>
              </w:r>
            </w:hyperlink>
          </w:p>
        </w:tc>
        <w:tc>
          <w:tcPr>
            <w:tcW w:w="44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264464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Westrock Group, LLC, The Stephens Group, LLC,</w:t>
              </w:r>
            </w:hyperlink>
          </w:p>
        </w:tc>
        <w:tc>
          <w:tcPr>
            <w:tcW w:w="28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Sowell Westrock, L.P., BBH Capital Partners V, L.P.,</w:t>
              </w:r>
            </w:hyperlink>
          </w:p>
        </w:tc>
        <w:tc>
          <w:tcPr>
            <w:tcW w:w="12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BBH Capital Partners V-A, L.P., BBH CPV WCC</w:t>
              </w:r>
            </w:hyperlink>
          </w:p>
        </w:tc>
        <w:tc>
          <w:tcPr>
            <w:tcW w:w="34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8"/>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Co-Investment LLC and Riverview Sponsor</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Partners, LLC</w:t>
              </w:r>
            </w:hyperlink>
          </w:p>
        </w:tc>
        <w:tc>
          <w:tcPr>
            <w:tcW w:w="2160" w:type="dxa"/>
            <w:vAlign w:val="bottom"/>
            <w:tcBorders>
              <w:top w:val="single" w:sz="8" w:color="0000EE"/>
            </w:tcBorders>
            <w:gridSpan w:val="7"/>
          </w:tcPr>
          <w:p>
            <w:pPr>
              <w:spacing w:after="0"/>
              <w:rPr>
                <w:sz w:val="17"/>
                <w:szCs w:val="17"/>
                <w:color w:val="auto"/>
              </w:rPr>
            </w:pPr>
          </w:p>
        </w:tc>
        <w:tc>
          <w:tcPr>
            <w:tcW w:w="760" w:type="dxa"/>
            <w:vAlign w:val="bottom"/>
            <w:gridSpan w:val="19"/>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3720" w:type="dxa"/>
            <w:vAlign w:val="bottom"/>
            <w:tcBorders>
              <w:bottom w:val="single" w:sz="8" w:color="0000EE"/>
            </w:tcBorders>
            <w:gridSpan w:val="22"/>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Registration Rights Agreement, dated as of April 4,</w:t>
              </w:r>
            </w:hyperlink>
          </w:p>
        </w:tc>
        <w:tc>
          <w:tcPr>
            <w:tcW w:w="220" w:type="dxa"/>
            <w:vAlign w:val="bottom"/>
            <w:gridSpan w:val="6"/>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2022, by and among Westrock Coffee Holdings, LLC</w:t>
              </w:r>
            </w:hyperlink>
          </w:p>
        </w:tc>
        <w:tc>
          <w:tcPr>
            <w:tcW w:w="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264464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8"/>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and the other parties thereto</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3940" w:type="dxa"/>
            <w:vAlign w:val="bottom"/>
            <w:gridSpan w:val="28"/>
          </w:tcPr>
          <w:p>
            <w:pPr>
              <w:spacing w:after="0"/>
              <w:rPr>
                <w:rFonts w:ascii="Arial" w:cs="Arial" w:eastAsia="Arial" w:hAnsi="Arial"/>
                <w:sz w:val="18"/>
                <w:szCs w:val="18"/>
                <w:color w:val="0000EE"/>
              </w:rPr>
            </w:pPr>
            <w:hyperlink r:id="rId59">
              <w:r>
                <w:rPr>
                  <w:rFonts w:ascii="Arial" w:cs="Arial" w:eastAsia="Arial" w:hAnsi="Arial"/>
                  <w:sz w:val="18"/>
                  <w:szCs w:val="18"/>
                  <w:color w:val="0000EE"/>
                </w:rPr>
                <w:t>Sponsor Support Agreement, dated as of April 4,</w:t>
              </w:r>
            </w:hyperlink>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820" w:type="dxa"/>
            <w:vAlign w:val="bottom"/>
            <w:gridSpan w:val="3"/>
          </w:tcPr>
          <w:p>
            <w:pPr>
              <w:jc w:val="center"/>
              <w:ind w:left="113"/>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August 3,</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2022, by and among Westrock Coffee Holdings,</w:t>
              </w:r>
            </w:hyperlink>
          </w:p>
        </w:tc>
        <w:tc>
          <w:tcPr>
            <w:tcW w:w="42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264464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LLC, Riverview Acquisition Corp., and Riverview</w:t>
              </w:r>
            </w:hyperlink>
          </w:p>
        </w:tc>
        <w:tc>
          <w:tcPr>
            <w:tcW w:w="28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Sponsor Partners, LLC</w:t>
              </w:r>
            </w:hyperlink>
          </w:p>
        </w:tc>
        <w:tc>
          <w:tcPr>
            <w:tcW w:w="2280" w:type="dxa"/>
            <w:vAlign w:val="bottom"/>
            <w:gridSpan w:val="24"/>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3940" w:type="dxa"/>
            <w:vAlign w:val="bottom"/>
            <w:gridSpan w:val="28"/>
          </w:tcPr>
          <w:p>
            <w:pPr>
              <w:spacing w:after="0"/>
              <w:rPr>
                <w:sz w:val="20"/>
                <w:szCs w:val="20"/>
                <w:color w:val="auto"/>
              </w:rPr>
            </w:pPr>
            <w:r>
              <w:rPr>
                <w:rFonts w:ascii="Arial" w:cs="Arial" w:eastAsia="Arial" w:hAnsi="Arial"/>
                <w:sz w:val="18"/>
                <w:szCs w:val="18"/>
                <w:color w:val="0000EE"/>
              </w:rPr>
              <w:t>Credit Agreement, dated as of August 29, 2022,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among Westrock Beverage Solutions, LLC, as the</w:t>
            </w:r>
          </w:p>
        </w:tc>
        <w:tc>
          <w:tcPr>
            <w:tcW w:w="34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borrower, Westrock Coffee Company, Wells Fargo</w:t>
            </w:r>
          </w:p>
        </w:tc>
        <w:tc>
          <w:tcPr>
            <w:tcW w:w="30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8"/>
          </w:tcPr>
          <w:p>
            <w:pPr>
              <w:spacing w:after="0" w:line="196" w:lineRule="exact"/>
              <w:rPr>
                <w:sz w:val="20"/>
                <w:szCs w:val="20"/>
                <w:color w:val="auto"/>
              </w:rPr>
            </w:pPr>
            <w:r>
              <w:rPr>
                <w:rFonts w:ascii="Arial" w:cs="Arial" w:eastAsia="Arial" w:hAnsi="Arial"/>
                <w:sz w:val="18"/>
                <w:szCs w:val="18"/>
                <w:color w:val="0000EE"/>
                <w:w w:val="93"/>
              </w:rPr>
              <w:t>Bank, N.A., as administrative agent, collateral agent,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and swingline lender, Wells Fargo Securities, LLC,</w:t>
            </w:r>
          </w:p>
        </w:tc>
        <w:tc>
          <w:tcPr>
            <w:tcW w:w="120" w:type="dxa"/>
            <w:vAlign w:val="bottom"/>
            <w:tcBorders>
              <w:top w:val="single" w:sz="8" w:color="0000EE"/>
            </w:tcBorders>
            <w:gridSpan w:val="3"/>
          </w:tcPr>
          <w:p>
            <w:pPr>
              <w:spacing w:after="0"/>
              <w:rPr>
                <w:sz w:val="17"/>
                <w:szCs w:val="17"/>
                <w:color w:val="auto"/>
              </w:rPr>
            </w:pPr>
          </w:p>
        </w:tc>
        <w:tc>
          <w:tcPr>
            <w:tcW w:w="14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as sustainability structuring agent, and each issuing</w:t>
            </w:r>
          </w:p>
        </w:tc>
        <w:tc>
          <w:tcPr>
            <w:tcW w:w="24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bank and lender party thereto.</w:t>
            </w:r>
          </w:p>
        </w:tc>
        <w:tc>
          <w:tcPr>
            <w:tcW w:w="1780" w:type="dxa"/>
            <w:vAlign w:val="bottom"/>
            <w:gridSpan w:val="21"/>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10.4</w:t>
            </w:r>
          </w:p>
        </w:tc>
        <w:tc>
          <w:tcPr>
            <w:tcW w:w="37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Employment Agreement, dated August 26, 2022, by</w:t>
            </w:r>
          </w:p>
        </w:tc>
        <w:tc>
          <w:tcPr>
            <w:tcW w:w="2100" w:type="dxa"/>
            <w:vAlign w:val="bottom"/>
            <w:gridSpan w:val="3"/>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8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and between Westrock Coffee Company and Scott T.</w:t>
            </w:r>
          </w:p>
        </w:tc>
        <w:tc>
          <w:tcPr>
            <w:tcW w:w="2060" w:type="dxa"/>
            <w:vAlign w:val="bottom"/>
            <w:gridSpan w:val="2"/>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Ford</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10.5</w:t>
            </w:r>
          </w:p>
        </w:tc>
        <w:tc>
          <w:tcPr>
            <w:tcW w:w="5880" w:type="dxa"/>
            <w:vAlign w:val="bottom"/>
            <w:gridSpan w:val="21"/>
          </w:tcPr>
          <w:p>
            <w:pPr>
              <w:spacing w:after="0"/>
              <w:rPr>
                <w:sz w:val="20"/>
                <w:szCs w:val="20"/>
                <w:color w:val="auto"/>
              </w:rPr>
            </w:pPr>
            <w:r>
              <w:rPr>
                <w:rFonts w:ascii="Arial" w:cs="Arial" w:eastAsia="Arial" w:hAnsi="Arial"/>
                <w:sz w:val="18"/>
                <w:szCs w:val="18"/>
                <w:color w:val="0000EE"/>
              </w:rPr>
              <w:t>Employment Agreement, dated August 26, 2022, by</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and between Westrock Coffee Company and T.</w:t>
            </w:r>
          </w:p>
        </w:tc>
        <w:tc>
          <w:tcPr>
            <w:tcW w:w="360" w:type="dxa"/>
            <w:vAlign w:val="bottom"/>
            <w:tcBorders>
              <w:top w:val="single" w:sz="8" w:color="0000EE"/>
            </w:tcBorders>
            <w:gridSpan w:val="10"/>
          </w:tcPr>
          <w:p>
            <w:pPr>
              <w:spacing w:after="0"/>
              <w:rPr>
                <w:sz w:val="17"/>
                <w:szCs w:val="17"/>
                <w:color w:val="auto"/>
              </w:rPr>
            </w:pPr>
          </w:p>
        </w:tc>
        <w:tc>
          <w:tcPr>
            <w:tcW w:w="212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Christopher Pledger</w:t>
            </w:r>
          </w:p>
        </w:tc>
        <w:tc>
          <w:tcPr>
            <w:tcW w:w="4420" w:type="dxa"/>
            <w:vAlign w:val="bottom"/>
            <w:gridSpan w:val="17"/>
          </w:tcPr>
          <w:p>
            <w:pPr>
              <w:spacing w:after="0"/>
              <w:rPr>
                <w:sz w:val="17"/>
                <w:szCs w:val="17"/>
                <w:color w:val="auto"/>
              </w:rPr>
            </w:pPr>
          </w:p>
        </w:tc>
        <w:tc>
          <w:tcPr>
            <w:tcW w:w="2220" w:type="dxa"/>
            <w:vAlign w:val="bottom"/>
          </w:tcPr>
          <w:p>
            <w:pPr>
              <w:spacing w:after="0"/>
              <w:rPr>
                <w:sz w:val="17"/>
                <w:szCs w:val="17"/>
                <w:color w:val="auto"/>
              </w:rPr>
            </w:pPr>
          </w:p>
        </w:tc>
      </w:tr>
      <w:tr>
        <w:trPr>
          <w:trHeight w:val="412"/>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10.6</w:t>
            </w:r>
          </w:p>
        </w:tc>
        <w:tc>
          <w:tcPr>
            <w:tcW w:w="37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Employment Agreement, dated August 26, 2022, by</w:t>
            </w:r>
          </w:p>
        </w:tc>
        <w:tc>
          <w:tcPr>
            <w:tcW w:w="2100" w:type="dxa"/>
            <w:vAlign w:val="bottom"/>
            <w:gridSpan w:val="3"/>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8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and between Westrock Coffee Company and William</w:t>
            </w:r>
          </w:p>
        </w:tc>
        <w:tc>
          <w:tcPr>
            <w:tcW w:w="20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A. Ford</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10.7</w:t>
            </w:r>
          </w:p>
        </w:tc>
        <w:tc>
          <w:tcPr>
            <w:tcW w:w="5880" w:type="dxa"/>
            <w:vAlign w:val="bottom"/>
            <w:gridSpan w:val="21"/>
          </w:tcPr>
          <w:p>
            <w:pPr>
              <w:spacing w:after="0"/>
              <w:rPr>
                <w:sz w:val="20"/>
                <w:szCs w:val="20"/>
                <w:color w:val="auto"/>
              </w:rPr>
            </w:pPr>
            <w:r>
              <w:rPr>
                <w:rFonts w:ascii="Arial" w:cs="Arial" w:eastAsia="Arial" w:hAnsi="Arial"/>
                <w:sz w:val="18"/>
                <w:szCs w:val="18"/>
                <w:color w:val="0000EE"/>
              </w:rPr>
              <w:t>Westrock Coffee Company 2022 Equity Incentive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6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Plan</w:t>
            </w:r>
          </w:p>
        </w:tc>
        <w:tc>
          <w:tcPr>
            <w:tcW w:w="2280" w:type="dxa"/>
            <w:vAlign w:val="bottom"/>
            <w:gridSpan w:val="12"/>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10.8</w:t>
            </w:r>
          </w:p>
        </w:tc>
        <w:tc>
          <w:tcPr>
            <w:tcW w:w="36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Westrock Coffee Company Annual Cash Incentive</w:t>
            </w:r>
          </w:p>
        </w:tc>
        <w:tc>
          <w:tcPr>
            <w:tcW w:w="2220" w:type="dxa"/>
            <w:vAlign w:val="bottom"/>
            <w:gridSpan w:val="9"/>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Plan</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10.9</w:t>
            </w:r>
          </w:p>
        </w:tc>
        <w:tc>
          <w:tcPr>
            <w:tcW w:w="37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Amended and Restated Westrock Coffee Company</w:t>
            </w:r>
          </w:p>
        </w:tc>
        <w:tc>
          <w:tcPr>
            <w:tcW w:w="2180" w:type="dxa"/>
            <w:vAlign w:val="bottom"/>
            <w:gridSpan w:val="7"/>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2020 Stock Option Incentive Plan</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31.1</w:t>
            </w: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3"/>
              </w:rPr>
              <w:t>Chief Executive Officer—Certification pursuant to</w:t>
            </w:r>
          </w:p>
        </w:tc>
        <w:tc>
          <w:tcPr>
            <w:tcW w:w="2200" w:type="dxa"/>
            <w:vAlign w:val="bottom"/>
            <w:gridSpan w:val="8"/>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Rule 13a-14(a) or Rule 15d-14(a) of the Securities</w:t>
            </w:r>
          </w:p>
        </w:tc>
        <w:tc>
          <w:tcPr>
            <w:tcW w:w="2220" w:type="dxa"/>
            <w:vAlign w:val="bottom"/>
            <w:gridSpan w:val="9"/>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Exchange Act of 1934, as adopted pursuant to</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Section 302 of the Sarbanes-Oxley Act of 2002.</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91"/>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31.2</w:t>
            </w:r>
          </w:p>
        </w:tc>
        <w:tc>
          <w:tcPr>
            <w:tcW w:w="36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Chief Financial Officer—Certification pursuant to</w:t>
            </w:r>
          </w:p>
        </w:tc>
        <w:tc>
          <w:tcPr>
            <w:tcW w:w="2240" w:type="dxa"/>
            <w:vAlign w:val="bottom"/>
            <w:gridSpan w:val="10"/>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Rule 13a-14(a) or Rule 15d-14(a) of the Securities</w:t>
            </w:r>
          </w:p>
        </w:tc>
        <w:tc>
          <w:tcPr>
            <w:tcW w:w="2220" w:type="dxa"/>
            <w:vAlign w:val="bottom"/>
            <w:gridSpan w:val="9"/>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Exchange Act of 1934, as adopted pursuant to</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880" w:type="dxa"/>
            <w:vAlign w:val="bottom"/>
            <w:gridSpan w:val="21"/>
          </w:tcPr>
          <w:p>
            <w:pPr>
              <w:spacing w:after="0" w:line="196" w:lineRule="exact"/>
              <w:rPr>
                <w:sz w:val="20"/>
                <w:szCs w:val="20"/>
                <w:color w:val="auto"/>
              </w:rPr>
            </w:pPr>
            <w:r>
              <w:rPr>
                <w:rFonts w:ascii="Arial" w:cs="Arial" w:eastAsia="Arial" w:hAnsi="Arial"/>
                <w:sz w:val="18"/>
                <w:szCs w:val="18"/>
                <w:color w:val="0000EE"/>
              </w:rPr>
              <w:t>Section 302 of the Sarbanes-Oxley Act of 2002.</w:t>
            </w:r>
          </w:p>
        </w:tc>
        <w:tc>
          <w:tcPr>
            <w:tcW w:w="22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90"/>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32.1</w:t>
            </w: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3"/>
              </w:rPr>
              <w:t>Chief Executive Officer—Certification pursuant to</w:t>
            </w:r>
          </w:p>
        </w:tc>
        <w:tc>
          <w:tcPr>
            <w:tcW w:w="2200" w:type="dxa"/>
            <w:vAlign w:val="bottom"/>
            <w:gridSpan w:val="8"/>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6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Rule13a-14(b) or Rule 15d-14(b) of the Securities</w:t>
            </w:r>
          </w:p>
        </w:tc>
        <w:tc>
          <w:tcPr>
            <w:tcW w:w="2260" w:type="dxa"/>
            <w:vAlign w:val="bottom"/>
            <w:gridSpan w:val="11"/>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7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Exchange Act of 1934 and 18 U.S.C. Section 1350,</w:t>
            </w:r>
          </w:p>
        </w:tc>
        <w:tc>
          <w:tcPr>
            <w:tcW w:w="2160" w:type="dxa"/>
            <w:vAlign w:val="bottom"/>
            <w:gridSpan w:val="6"/>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74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as adopted pursuant to Section 906 of the Sarbanes-</w:t>
            </w:r>
          </w:p>
        </w:tc>
        <w:tc>
          <w:tcPr>
            <w:tcW w:w="2140" w:type="dxa"/>
            <w:vAlign w:val="bottom"/>
            <w:gridSpan w:val="5"/>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4480" w:type="dxa"/>
            <w:vAlign w:val="bottom"/>
            <w:gridSpan w:val="18"/>
          </w:tcPr>
          <w:p>
            <w:pPr>
              <w:spacing w:after="0"/>
              <w:rPr>
                <w:sz w:val="17"/>
                <w:szCs w:val="17"/>
                <w:color w:val="auto"/>
              </w:rPr>
            </w:pPr>
          </w:p>
        </w:tc>
        <w:tc>
          <w:tcPr>
            <w:tcW w:w="2220" w:type="dxa"/>
            <w:vAlign w:val="bottom"/>
          </w:tcPr>
          <w:p>
            <w:pPr>
              <w:spacing w:after="0"/>
              <w:rPr>
                <w:sz w:val="17"/>
                <w:szCs w:val="17"/>
                <w:color w:val="auto"/>
              </w:rPr>
            </w:pPr>
          </w:p>
        </w:tc>
      </w:tr>
      <w:tr>
        <w:trPr>
          <w:trHeight w:val="290"/>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32.2</w:t>
            </w:r>
          </w:p>
        </w:tc>
        <w:tc>
          <w:tcPr>
            <w:tcW w:w="36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Chief Financial Officer—Certification pursuant to</w:t>
            </w:r>
          </w:p>
        </w:tc>
        <w:tc>
          <w:tcPr>
            <w:tcW w:w="2240" w:type="dxa"/>
            <w:vAlign w:val="bottom"/>
            <w:gridSpan w:val="10"/>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80" w:type="dxa"/>
            <w:vAlign w:val="bottom"/>
          </w:tcPr>
          <w:p>
            <w:pPr>
              <w:spacing w:after="0"/>
              <w:rPr>
                <w:sz w:val="17"/>
                <w:szCs w:val="17"/>
                <w:color w:val="auto"/>
              </w:rPr>
            </w:pPr>
          </w:p>
        </w:tc>
        <w:tc>
          <w:tcPr>
            <w:tcW w:w="36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0"/>
              </w:rPr>
              <w:t>Rule 13a-14(b) or Rule 15d-14(b) of the Securities</w:t>
            </w:r>
          </w:p>
        </w:tc>
        <w:tc>
          <w:tcPr>
            <w:tcW w:w="2220" w:type="dxa"/>
            <w:vAlign w:val="bottom"/>
            <w:gridSpan w:val="9"/>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7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Exchange Act of 1934 and 18 U.S.C. Section 1350,</w:t>
            </w:r>
          </w:p>
        </w:tc>
        <w:tc>
          <w:tcPr>
            <w:tcW w:w="2160" w:type="dxa"/>
            <w:vAlign w:val="bottom"/>
            <w:gridSpan w:val="6"/>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74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as adopted pursuant to Section 906 of the Sarbanes-</w:t>
            </w:r>
          </w:p>
        </w:tc>
        <w:tc>
          <w:tcPr>
            <w:tcW w:w="2140" w:type="dxa"/>
            <w:vAlign w:val="bottom"/>
            <w:gridSpan w:val="5"/>
          </w:tcPr>
          <w:p>
            <w:pPr>
              <w:spacing w:after="0"/>
              <w:rPr>
                <w:sz w:val="17"/>
                <w:szCs w:val="17"/>
                <w:color w:val="auto"/>
              </w:rPr>
            </w:pPr>
          </w:p>
        </w:tc>
        <w:tc>
          <w:tcPr>
            <w:tcW w:w="22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4480" w:type="dxa"/>
            <w:vAlign w:val="bottom"/>
            <w:gridSpan w:val="18"/>
          </w:tcPr>
          <w:p>
            <w:pPr>
              <w:spacing w:after="0"/>
              <w:rPr>
                <w:sz w:val="17"/>
                <w:szCs w:val="17"/>
                <w:color w:val="auto"/>
              </w:rPr>
            </w:pPr>
          </w:p>
        </w:tc>
        <w:tc>
          <w:tcPr>
            <w:tcW w:w="2220" w:type="dxa"/>
            <w:vAlign w:val="bottom"/>
          </w:tcPr>
          <w:p>
            <w:pPr>
              <w:spacing w:after="0"/>
              <w:rPr>
                <w:sz w:val="17"/>
                <w:szCs w:val="17"/>
                <w:color w:val="auto"/>
              </w:rPr>
            </w:pPr>
          </w:p>
        </w:tc>
      </w:tr>
      <w:tr>
        <w:trPr>
          <w:trHeight w:val="317"/>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2"/>
              </w:rPr>
              <w:t>101.INS</w:t>
            </w:r>
          </w:p>
        </w:tc>
        <w:tc>
          <w:tcPr>
            <w:tcW w:w="5880" w:type="dxa"/>
            <w:vAlign w:val="bottom"/>
            <w:gridSpan w:val="21"/>
          </w:tcPr>
          <w:p>
            <w:pPr>
              <w:spacing w:after="0"/>
              <w:rPr>
                <w:sz w:val="20"/>
                <w:szCs w:val="20"/>
                <w:color w:val="auto"/>
              </w:rPr>
            </w:pPr>
            <w:r>
              <w:rPr>
                <w:rFonts w:ascii="Arial" w:cs="Arial" w:eastAsia="Arial" w:hAnsi="Arial"/>
                <w:sz w:val="18"/>
                <w:szCs w:val="18"/>
                <w:color w:val="auto"/>
              </w:rPr>
              <w:t>XBRL Instance Document - the instance document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18"/>
                <w:szCs w:val="18"/>
                <w:color w:val="auto"/>
              </w:rPr>
            </w:pPr>
          </w:p>
        </w:tc>
        <w:tc>
          <w:tcPr>
            <w:tcW w:w="5880" w:type="dxa"/>
            <w:vAlign w:val="bottom"/>
            <w:gridSpan w:val="21"/>
          </w:tcPr>
          <w:p>
            <w:pPr>
              <w:spacing w:after="0"/>
              <w:rPr>
                <w:sz w:val="20"/>
                <w:szCs w:val="20"/>
                <w:color w:val="auto"/>
              </w:rPr>
            </w:pPr>
            <w:r>
              <w:rPr>
                <w:rFonts w:ascii="Arial" w:cs="Arial" w:eastAsia="Arial" w:hAnsi="Arial"/>
                <w:sz w:val="18"/>
                <w:szCs w:val="18"/>
                <w:color w:val="auto"/>
              </w:rPr>
              <w:t>does not appear in the Interactive Data File because</w:t>
            </w:r>
          </w:p>
        </w:tc>
        <w:tc>
          <w:tcPr>
            <w:tcW w:w="22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880" w:type="dxa"/>
            <w:vAlign w:val="bottom"/>
            <w:gridSpan w:val="21"/>
          </w:tcPr>
          <w:p>
            <w:pPr>
              <w:spacing w:after="0"/>
              <w:rPr>
                <w:sz w:val="20"/>
                <w:szCs w:val="20"/>
                <w:color w:val="auto"/>
              </w:rPr>
            </w:pPr>
            <w:r>
              <w:rPr>
                <w:rFonts w:ascii="Arial" w:cs="Arial" w:eastAsia="Arial" w:hAnsi="Arial"/>
                <w:sz w:val="18"/>
                <w:szCs w:val="18"/>
                <w:color w:val="auto"/>
              </w:rPr>
              <w:t>its XBRL tags are embedded within the Inline XBRL</w:t>
            </w:r>
          </w:p>
        </w:tc>
        <w:tc>
          <w:tcPr>
            <w:tcW w:w="22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5880" w:type="dxa"/>
            <w:vAlign w:val="bottom"/>
            <w:gridSpan w:val="21"/>
          </w:tcPr>
          <w:p>
            <w:pPr>
              <w:spacing w:after="0"/>
              <w:rPr>
                <w:sz w:val="20"/>
                <w:szCs w:val="20"/>
                <w:color w:val="auto"/>
              </w:rPr>
            </w:pPr>
            <w:r>
              <w:rPr>
                <w:rFonts w:ascii="Arial" w:cs="Arial" w:eastAsia="Arial" w:hAnsi="Arial"/>
                <w:sz w:val="18"/>
                <w:szCs w:val="18"/>
                <w:color w:val="auto"/>
              </w:rPr>
              <w:t>document.</w:t>
            </w:r>
          </w:p>
        </w:tc>
        <w:tc>
          <w:tcPr>
            <w:tcW w:w="2220" w:type="dxa"/>
            <w:vAlign w:val="bottom"/>
          </w:tcPr>
          <w:p>
            <w:pPr>
              <w:spacing w:after="0"/>
              <w:rPr>
                <w:sz w:val="20"/>
                <w:szCs w:val="20"/>
                <w:color w:val="auto"/>
              </w:rPr>
            </w:pPr>
          </w:p>
        </w:tc>
      </w:tr>
      <w:tr>
        <w:trPr>
          <w:trHeight w:val="310"/>
        </w:trPr>
        <w:tc>
          <w:tcPr>
            <w:tcW w:w="7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588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7"/>
              </w:rPr>
              <w:t>101.CAL</w:t>
            </w:r>
          </w:p>
        </w:tc>
        <w:tc>
          <w:tcPr>
            <w:tcW w:w="5880" w:type="dxa"/>
            <w:vAlign w:val="bottom"/>
            <w:gridSpan w:val="21"/>
          </w:tcPr>
          <w:p>
            <w:pPr>
              <w:spacing w:after="0"/>
              <w:rPr>
                <w:sz w:val="20"/>
                <w:szCs w:val="20"/>
                <w:color w:val="auto"/>
              </w:rPr>
            </w:pPr>
            <w:r>
              <w:rPr>
                <w:rFonts w:ascii="Arial" w:cs="Arial" w:eastAsia="Arial" w:hAnsi="Arial"/>
                <w:sz w:val="18"/>
                <w:szCs w:val="18"/>
                <w:color w:val="auto"/>
              </w:rPr>
              <w:t>XBRL Taxonomy Calculation Linkbase Document.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7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5880" w:type="dxa"/>
            <w:vAlign w:val="bottom"/>
            <w:gridSpan w:val="21"/>
          </w:tcPr>
          <w:p>
            <w:pPr>
              <w:spacing w:after="0"/>
              <w:rPr>
                <w:sz w:val="20"/>
                <w:szCs w:val="20"/>
                <w:color w:val="auto"/>
              </w:rPr>
            </w:pPr>
            <w:r>
              <w:rPr>
                <w:rFonts w:ascii="Arial" w:cs="Arial" w:eastAsia="Arial" w:hAnsi="Arial"/>
                <w:sz w:val="18"/>
                <w:szCs w:val="18"/>
                <w:color w:val="auto"/>
              </w:rPr>
              <w:t>XBRL Definition Linkbase Document.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98"/>
              </w:rPr>
              <w:t>101.LAB</w:t>
            </w:r>
          </w:p>
        </w:tc>
        <w:tc>
          <w:tcPr>
            <w:tcW w:w="5880" w:type="dxa"/>
            <w:vAlign w:val="bottom"/>
            <w:gridSpan w:val="21"/>
          </w:tcPr>
          <w:p>
            <w:pPr>
              <w:spacing w:after="0"/>
              <w:rPr>
                <w:sz w:val="20"/>
                <w:szCs w:val="20"/>
                <w:color w:val="auto"/>
              </w:rPr>
            </w:pPr>
            <w:r>
              <w:rPr>
                <w:rFonts w:ascii="Arial" w:cs="Arial" w:eastAsia="Arial" w:hAnsi="Arial"/>
                <w:sz w:val="18"/>
                <w:szCs w:val="18"/>
                <w:color w:val="auto"/>
              </w:rPr>
              <w:t>XBRL Taxonomy Label Linkbase Document.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780" w:type="dxa"/>
            <w:vAlign w:val="bottom"/>
          </w:tcPr>
          <w:p>
            <w:pPr>
              <w:jc w:val="center"/>
              <w:ind w:right="10"/>
              <w:spacing w:after="0"/>
              <w:rPr>
                <w:sz w:val="20"/>
                <w:szCs w:val="20"/>
                <w:color w:val="auto"/>
              </w:rPr>
            </w:pPr>
            <w:r>
              <w:rPr>
                <w:rFonts w:ascii="Arial" w:cs="Arial" w:eastAsia="Arial" w:hAnsi="Arial"/>
                <w:sz w:val="18"/>
                <w:szCs w:val="18"/>
                <w:color w:val="auto"/>
                <w:w w:val="88"/>
              </w:rPr>
              <w:t>101.PRE</w:t>
            </w:r>
          </w:p>
        </w:tc>
        <w:tc>
          <w:tcPr>
            <w:tcW w:w="5880" w:type="dxa"/>
            <w:vAlign w:val="bottom"/>
            <w:gridSpan w:val="21"/>
          </w:tcPr>
          <w:p>
            <w:pPr>
              <w:spacing w:after="0"/>
              <w:rPr>
                <w:sz w:val="20"/>
                <w:szCs w:val="20"/>
                <w:color w:val="auto"/>
              </w:rPr>
            </w:pPr>
            <w:r>
              <w:rPr>
                <w:rFonts w:ascii="Arial" w:cs="Arial" w:eastAsia="Arial" w:hAnsi="Arial"/>
                <w:sz w:val="18"/>
                <w:szCs w:val="18"/>
                <w:color w:val="auto"/>
              </w:rPr>
              <w:t>XBRL Taxonomy Presentation Linkbase Document.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12"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4319" w:hanging="568"/>
        <w:spacing w:after="0" w:line="259"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60" w:hanging="310"/>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Westrock Coffee Company</w:t>
            </w:r>
          </w:p>
        </w:tc>
      </w:tr>
      <w:tr>
        <w:trPr>
          <w:trHeight w:val="250"/>
        </w:trPr>
        <w:tc>
          <w:tcPr>
            <w:tcW w:w="3040" w:type="dxa"/>
            <w:vAlign w:val="bottom"/>
          </w:tcPr>
          <w:p>
            <w:pPr>
              <w:spacing w:after="0"/>
              <w:rPr>
                <w:sz w:val="20"/>
                <w:szCs w:val="20"/>
                <w:color w:val="auto"/>
              </w:rPr>
            </w:pPr>
            <w:r>
              <w:rPr>
                <w:rFonts w:ascii="Arial" w:cs="Arial" w:eastAsia="Arial" w:hAnsi="Arial"/>
                <w:sz w:val="18"/>
                <w:szCs w:val="18"/>
                <w:color w:val="auto"/>
              </w:rPr>
              <w:t>Date: August 29, 2022</w:t>
            </w:r>
          </w:p>
        </w:tc>
        <w:tc>
          <w:tcPr>
            <w:tcW w:w="2000" w:type="dxa"/>
            <w:vAlign w:val="bottom"/>
          </w:tcPr>
          <w:p>
            <w:pPr>
              <w:ind w:left="142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T. Christopher Pledger</w:t>
            </w:r>
          </w:p>
        </w:tc>
      </w:tr>
      <w:tr>
        <w:trPr>
          <w:trHeight w:val="229"/>
        </w:trPr>
        <w:tc>
          <w:tcPr>
            <w:tcW w:w="3040" w:type="dxa"/>
            <w:vAlign w:val="bottom"/>
          </w:tcPr>
          <w:p>
            <w:pPr>
              <w:spacing w:after="0"/>
              <w:rPr>
                <w:sz w:val="19"/>
                <w:szCs w:val="19"/>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T. Christopher Pledger</w:t>
            </w:r>
          </w:p>
        </w:tc>
      </w:tr>
      <w:tr>
        <w:trPr>
          <w:trHeight w:val="230"/>
        </w:trPr>
        <w:tc>
          <w:tcPr>
            <w:tcW w:w="3040" w:type="dxa"/>
            <w:vAlign w:val="bottom"/>
          </w:tcPr>
          <w:p>
            <w:pPr>
              <w:spacing w:after="0"/>
              <w:rPr>
                <w:sz w:val="20"/>
                <w:szCs w:val="20"/>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3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93"/>
        </w:trPr>
        <w:tc>
          <w:tcPr>
            <w:tcW w:w="3040" w:type="dxa"/>
            <w:vAlign w:val="bottom"/>
          </w:tcPr>
          <w:p>
            <w:pPr>
              <w:spacing w:after="0"/>
              <w:rPr>
                <w:sz w:val="20"/>
                <w:szCs w:val="20"/>
                <w:color w:val="auto"/>
              </w:rPr>
            </w:pPr>
            <w:r>
              <w:rPr>
                <w:rFonts w:ascii="Arial" w:cs="Arial" w:eastAsia="Arial" w:hAnsi="Arial"/>
                <w:sz w:val="18"/>
                <w:szCs w:val="18"/>
                <w:color w:val="auto"/>
              </w:rPr>
              <w:t>Date: August 29, 2022</w:t>
            </w:r>
          </w:p>
        </w:tc>
        <w:tc>
          <w:tcPr>
            <w:tcW w:w="2000" w:type="dxa"/>
            <w:vAlign w:val="bottom"/>
          </w:tcPr>
          <w:p>
            <w:pPr>
              <w:ind w:left="142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Blake Schuhmacher</w:t>
            </w:r>
          </w:p>
        </w:tc>
      </w:tr>
      <w:tr>
        <w:trPr>
          <w:trHeight w:val="229"/>
        </w:trPr>
        <w:tc>
          <w:tcPr>
            <w:tcW w:w="3040" w:type="dxa"/>
            <w:vAlign w:val="bottom"/>
          </w:tcPr>
          <w:p>
            <w:pPr>
              <w:spacing w:after="0"/>
              <w:rPr>
                <w:sz w:val="19"/>
                <w:szCs w:val="19"/>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Blake Schuhmacher</w:t>
            </w:r>
          </w:p>
        </w:tc>
      </w:tr>
      <w:tr>
        <w:trPr>
          <w:trHeight w:val="230"/>
        </w:trPr>
        <w:tc>
          <w:tcPr>
            <w:tcW w:w="3040" w:type="dxa"/>
            <w:vAlign w:val="bottom"/>
          </w:tcPr>
          <w:p>
            <w:pPr>
              <w:spacing w:after="0"/>
              <w:rPr>
                <w:sz w:val="20"/>
                <w:szCs w:val="20"/>
                <w:color w:val="auto"/>
              </w:rPr>
            </w:pPr>
          </w:p>
        </w:tc>
        <w:tc>
          <w:tcPr>
            <w:tcW w:w="2000" w:type="dxa"/>
            <w:vAlign w:val="bottom"/>
          </w:tcPr>
          <w:p>
            <w:pPr>
              <w:ind w:left="1420"/>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w w:val="98"/>
              </w:rPr>
              <w:t>Senior Vice President – Chief Accounting Officer</w:t>
            </w:r>
          </w:p>
        </w:tc>
      </w:tr>
      <w:tr>
        <w:trPr>
          <w:trHeight w:val="243"/>
        </w:trPr>
        <w:tc>
          <w:tcPr>
            <w:tcW w:w="30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WESTROCK COFFEE COMPANY</w:t>
      </w:r>
    </w:p>
    <w:p>
      <w:pPr>
        <w:spacing w:after="0" w:line="233"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Westrock Coffee Company (the “</w:t>
      </w:r>
      <w:r>
        <w:rPr>
          <w:rFonts w:ascii="Arial" w:cs="Arial" w:eastAsia="Arial" w:hAnsi="Arial"/>
          <w:sz w:val="22"/>
          <w:szCs w:val="22"/>
          <w:b w:val="1"/>
          <w:bCs w:val="1"/>
          <w:color w:val="auto"/>
        </w:rPr>
        <w:t>Corporation</w:t>
      </w:r>
      <w:r>
        <w:rPr>
          <w:rFonts w:ascii="Arial" w:cs="Arial" w:eastAsia="Arial" w:hAnsi="Arial"/>
          <w:sz w:val="22"/>
          <w:szCs w:val="22"/>
          <w:color w:val="auto"/>
        </w:rPr>
        <w:t>”).</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ARTICLE II.</w:t>
      </w:r>
    </w:p>
    <w:p>
      <w:pPr>
        <w:spacing w:after="0" w:line="212" w:lineRule="exact"/>
        <w:rPr>
          <w:sz w:val="20"/>
          <w:szCs w:val="20"/>
          <w:color w:val="auto"/>
        </w:rPr>
      </w:pPr>
    </w:p>
    <w:p>
      <w:pPr>
        <w:ind w:right="600" w:firstLine="648"/>
        <w:spacing w:after="0" w:line="238" w:lineRule="auto"/>
        <w:rPr>
          <w:sz w:val="20"/>
          <w:szCs w:val="20"/>
          <w:color w:val="auto"/>
        </w:rPr>
      </w:pPr>
      <w:r>
        <w:rPr>
          <w:rFonts w:ascii="Arial" w:cs="Arial" w:eastAsia="Arial" w:hAnsi="Arial"/>
          <w:sz w:val="22"/>
          <w:szCs w:val="22"/>
          <w:color w:val="auto"/>
        </w:rPr>
        <w:t>The name and address of the Corporation’s registered office in the State of Delaware is c/o The Corporation Trust Company, 1209 Orange Street in the City of Wilmington, County of New Castle, State of Delaware 19801. The name of the Corporation’s registered agent at such address is The Corporation Trust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12" w:lineRule="exact"/>
        <w:rPr>
          <w:sz w:val="20"/>
          <w:szCs w:val="20"/>
          <w:color w:val="auto"/>
        </w:rPr>
      </w:pPr>
    </w:p>
    <w:p>
      <w:pPr>
        <w:jc w:val="both"/>
        <w:ind w:right="240" w:firstLine="648"/>
        <w:spacing w:after="0"/>
        <w:rPr>
          <w:sz w:val="20"/>
          <w:szCs w:val="20"/>
          <w:color w:val="auto"/>
        </w:rPr>
      </w:pPr>
      <w:r>
        <w:rPr>
          <w:rFonts w:ascii="Arial" w:cs="Arial" w:eastAsia="Arial" w:hAnsi="Arial"/>
          <w:sz w:val="22"/>
          <w:szCs w:val="22"/>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22"/>
          <w:szCs w:val="22"/>
          <w:b w:val="1"/>
          <w:bCs w:val="1"/>
          <w:color w:val="auto"/>
        </w:rPr>
        <w:t>DGCL</w:t>
      </w:r>
      <w:r>
        <w:rPr>
          <w:rFonts w:ascii="Arial" w:cs="Arial" w:eastAsia="Arial" w:hAnsi="Arial"/>
          <w:sz w:val="22"/>
          <w:szCs w:val="22"/>
          <w:color w:val="auto"/>
        </w:rPr>
        <w:t>”), as it now exists or may hereafter be amended or supplemented.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12" w:lineRule="exact"/>
        <w:rPr>
          <w:sz w:val="20"/>
          <w:szCs w:val="20"/>
          <w:color w:val="auto"/>
        </w:rPr>
      </w:pPr>
    </w:p>
    <w:p>
      <w:pPr>
        <w:ind w:right="60" w:firstLine="656"/>
        <w:spacing w:after="0" w:line="275" w:lineRule="auto"/>
        <w:tabs>
          <w:tab w:leader="none" w:pos="1296"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Corporation is authorized to issue two classes of capital stock to be designated, respectively, “Common Stock” and “Preferred Stock.” The total number of shares of all classes of capital stock that the Corporation shall have authority to issue is 350,000,000 shares, consisting of: (i) 300,000,000 shares of Common Stock, with the par value of $0.01 per share (“</w:t>
      </w:r>
      <w:r>
        <w:rPr>
          <w:rFonts w:ascii="Arial" w:cs="Arial" w:eastAsia="Arial" w:hAnsi="Arial"/>
          <w:sz w:val="19"/>
          <w:szCs w:val="19"/>
          <w:b w:val="1"/>
          <w:bCs w:val="1"/>
          <w:color w:val="auto"/>
        </w:rPr>
        <w:t>Common Stock</w:t>
      </w:r>
      <w:r>
        <w:rPr>
          <w:rFonts w:ascii="Arial" w:cs="Arial" w:eastAsia="Arial" w:hAnsi="Arial"/>
          <w:sz w:val="19"/>
          <w:szCs w:val="19"/>
          <w:color w:val="auto"/>
        </w:rPr>
        <w:t>”); and (ii) 50,000,000 shares of Preferred Stock, with the par value of $0.01 per share (“</w:t>
      </w:r>
      <w:r>
        <w:rPr>
          <w:rFonts w:ascii="Arial" w:cs="Arial" w:eastAsia="Arial" w:hAnsi="Arial"/>
          <w:sz w:val="19"/>
          <w:szCs w:val="19"/>
          <w:b w:val="1"/>
          <w:bCs w:val="1"/>
          <w:color w:val="auto"/>
        </w:rPr>
        <w:t>Preferred Stock</w:t>
      </w:r>
      <w:r>
        <w:rPr>
          <w:rFonts w:ascii="Arial" w:cs="Arial" w:eastAsia="Arial" w:hAnsi="Arial"/>
          <w:sz w:val="19"/>
          <w:szCs w:val="19"/>
          <w:color w:val="auto"/>
        </w:rPr>
        <w:t>”), of which 24,000,000 shares are designated as Series A Convertible Preferred Stock (“</w:t>
      </w:r>
      <w:r>
        <w:rPr>
          <w:rFonts w:ascii="Arial" w:cs="Arial" w:eastAsia="Arial" w:hAnsi="Arial"/>
          <w:sz w:val="19"/>
          <w:szCs w:val="19"/>
          <w:b w:val="1"/>
          <w:bCs w:val="1"/>
          <w:color w:val="auto"/>
        </w:rPr>
        <w:t>Series A Preferred Stock</w:t>
      </w:r>
      <w:r>
        <w:rPr>
          <w:rFonts w:ascii="Arial" w:cs="Arial" w:eastAsia="Arial" w:hAnsi="Arial"/>
          <w:sz w:val="19"/>
          <w:szCs w:val="19"/>
          <w:color w:val="auto"/>
        </w:rPr>
        <w:t xml:space="preserve">”), having the designation, powers, preferences and relative, participating, optional or other special rights, including voting powers and rights, and the qualifications, limitations or restrictions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157" w:lineRule="exact"/>
        <w:rPr>
          <w:rFonts w:ascii="Arial" w:cs="Arial" w:eastAsia="Arial" w:hAnsi="Arial"/>
          <w:sz w:val="19"/>
          <w:szCs w:val="19"/>
          <w:color w:val="auto"/>
        </w:rPr>
      </w:pPr>
    </w:p>
    <w:p>
      <w:pPr>
        <w:ind w:right="20" w:firstLine="656"/>
        <w:spacing w:after="0" w:line="275" w:lineRule="auto"/>
        <w:tabs>
          <w:tab w:leader="none" w:pos="1296" w:val="left"/>
        </w:tabs>
        <w:numPr>
          <w:ilvl w:val="0"/>
          <w:numId w:val="13"/>
        </w:numPr>
        <w:rPr>
          <w:rFonts w:ascii="Arial" w:cs="Arial" w:eastAsia="Arial" w:hAnsi="Arial"/>
          <w:sz w:val="19"/>
          <w:szCs w:val="19"/>
          <w:color w:val="auto"/>
        </w:rPr>
      </w:pPr>
      <w:r>
        <w:rPr>
          <w:rFonts w:ascii="Arial" w:cs="Arial" w:eastAsia="Arial" w:hAnsi="Arial"/>
          <w:sz w:val="19"/>
          <w:szCs w:val="19"/>
          <w:color w:val="auto"/>
        </w:rPr>
        <w:t>Subject to the rights of the holders of any one or more series of Preferred Stock then outstanding, the number of authorized shares of Common Stock or Preferred Stock may be increased or decreased, in each case by the affirmative vote of the holders of a majority of the combined voting power of the outstanding shares of capital stock of the Corporation entitled to vote thereon, voting together as a single class, irrespective of the provisions of Section 242(b)(2) of the DGCL, and no vote of the holders of any class or series of Common Stock or Preferred Stock voting separately as a class will be required therefor. Notwithstanding the immediately preceding sentence, the number of authorized shares of any particular class or series may not be decreased below the number of shares of such class or series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2" w:name="page53"/>
    <w:bookmarkEnd w:id="52"/>
    <w:p>
      <w:pPr>
        <w:ind w:left="1280" w:hanging="644"/>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656"/>
        <w:spacing w:after="0"/>
        <w:tabs>
          <w:tab w:leader="none" w:pos="1940"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140" w:firstLine="1952"/>
        <w:spacing w:after="0" w:line="328" w:lineRule="auto"/>
        <w:tabs>
          <w:tab w:leader="none" w:pos="2572" w:val="left"/>
        </w:tabs>
        <w:numPr>
          <w:ilvl w:val="2"/>
          <w:numId w:val="14"/>
        </w:numPr>
        <w:rPr>
          <w:rFonts w:ascii="Arial" w:cs="Arial" w:eastAsia="Arial" w:hAnsi="Arial"/>
          <w:sz w:val="19"/>
          <w:szCs w:val="19"/>
          <w:color w:val="auto"/>
        </w:rPr>
      </w:pPr>
      <w:r>
        <w:rPr>
          <w:rFonts w:ascii="Arial" w:cs="Arial" w:eastAsia="Arial" w:hAnsi="Arial"/>
          <w:sz w:val="19"/>
          <w:szCs w:val="19"/>
          <w:color w:val="auto"/>
        </w:rPr>
        <w:t>Each holder of Common Stock will be entitled to one vote for each share of Common Stock held of record by such holder on all matters on which stockholders generally are entitled to vote.</w:t>
      </w:r>
    </w:p>
    <w:p>
      <w:pPr>
        <w:spacing w:after="0" w:line="104" w:lineRule="exact"/>
        <w:rPr>
          <w:rFonts w:ascii="Arial" w:cs="Arial" w:eastAsia="Arial" w:hAnsi="Arial"/>
          <w:sz w:val="19"/>
          <w:szCs w:val="19"/>
          <w:color w:val="auto"/>
        </w:rPr>
      </w:pPr>
    </w:p>
    <w:p>
      <w:pPr>
        <w:ind w:left="-20" w:right="80" w:firstLine="1952"/>
        <w:spacing w:after="0" w:line="287" w:lineRule="auto"/>
        <w:tabs>
          <w:tab w:leader="none" w:pos="2572" w:val="left"/>
        </w:tabs>
        <w:numPr>
          <w:ilvl w:val="2"/>
          <w:numId w:val="14"/>
        </w:numPr>
        <w:rPr>
          <w:rFonts w:ascii="Arial" w:cs="Arial" w:eastAsia="Arial" w:hAnsi="Arial"/>
          <w:sz w:val="19"/>
          <w:szCs w:val="19"/>
          <w:color w:val="auto"/>
        </w:rPr>
      </w:pPr>
      <w:r>
        <w:rPr>
          <w:rFonts w:ascii="Arial" w:cs="Arial" w:eastAsia="Arial" w:hAnsi="Arial"/>
          <w:sz w:val="19"/>
          <w:szCs w:val="19"/>
          <w:color w:val="auto"/>
        </w:rPr>
        <w:t xml:space="preserve">Except as otherwise required in this Certificate of Incorporation or by applicable law, the holders of Common Stock will vote together as a single class on all matters with the holders of Series A Preferred Stock (pursuant to the terms of Section 7 of </w:t>
      </w:r>
      <w:r>
        <w:rPr>
          <w:rFonts w:ascii="Arial" w:cs="Arial" w:eastAsia="Arial" w:hAnsi="Arial"/>
          <w:sz w:val="19"/>
          <w:szCs w:val="19"/>
          <w:u w:val="single" w:color="auto"/>
          <w:color w:val="auto"/>
        </w:rPr>
        <w:t>Exhibit A</w:t>
      </w:r>
      <w:r>
        <w:rPr>
          <w:rFonts w:ascii="Arial" w:cs="Arial" w:eastAsia="Arial" w:hAnsi="Arial"/>
          <w:sz w:val="19"/>
          <w:szCs w:val="19"/>
          <w:color w:val="auto"/>
        </w:rPr>
        <w:t>) and any other classes of Preferred Stock that are then entitled to vote together with the holders of Common Stock as a single class on all matters.</w:t>
      </w:r>
    </w:p>
    <w:p>
      <w:pPr>
        <w:spacing w:after="0" w:line="142" w:lineRule="exact"/>
        <w:rPr>
          <w:rFonts w:ascii="Arial" w:cs="Arial" w:eastAsia="Arial" w:hAnsi="Arial"/>
          <w:sz w:val="19"/>
          <w:szCs w:val="19"/>
          <w:color w:val="auto"/>
        </w:rPr>
      </w:pPr>
    </w:p>
    <w:p>
      <w:pPr>
        <w:ind w:left="-20" w:right="300" w:firstLine="1304"/>
        <w:spacing w:after="0" w:line="248" w:lineRule="auto"/>
        <w:tabs>
          <w:tab w:leader="none" w:pos="1924" w:val="left"/>
        </w:tabs>
        <w:numPr>
          <w:ilvl w:val="1"/>
          <w:numId w:val="14"/>
        </w:numPr>
        <w:rPr>
          <w:rFonts w:ascii="Arial" w:cs="Arial" w:eastAsia="Arial" w:hAnsi="Arial"/>
          <w:sz w:val="21"/>
          <w:szCs w:val="21"/>
          <w:color w:val="auto"/>
        </w:rPr>
      </w:pPr>
      <w:r>
        <w:rPr>
          <w:rFonts w:ascii="Arial" w:cs="Arial" w:eastAsia="Arial" w:hAnsi="Arial"/>
          <w:sz w:val="21"/>
          <w:szCs w:val="21"/>
          <w:u w:val="single" w:color="auto"/>
          <w:color w:val="auto"/>
        </w:rPr>
        <w:t>Dividends</w:t>
      </w:r>
      <w:r>
        <w:rPr>
          <w:rFonts w:ascii="Arial" w:cs="Arial" w:eastAsia="Arial" w:hAnsi="Arial"/>
          <w:sz w:val="21"/>
          <w:szCs w:val="21"/>
          <w:color w:val="auto"/>
        </w:rPr>
        <w:t>. Subject to applicable law and the rights, if any, of the holders of any outstanding series of Preferred Stock, including Series A Preferred Stock, or any class or series of capital stock having a preference senior to or the right to participate with Common Stock with respect to the payment of dividends, dividends of cash or property may be declared and paid on Common Stock out of the assets of the Corporation that are by law available therefor, at the times and in the amounts as the Board of Directors of the Corporation (the “</w:t>
      </w:r>
      <w:r>
        <w:rPr>
          <w:rFonts w:ascii="Arial" w:cs="Arial" w:eastAsia="Arial" w:hAnsi="Arial"/>
          <w:sz w:val="21"/>
          <w:szCs w:val="21"/>
          <w:b w:val="1"/>
          <w:bCs w:val="1"/>
          <w:color w:val="auto"/>
        </w:rPr>
        <w:t>Board of Directors</w:t>
      </w:r>
      <w:r>
        <w:rPr>
          <w:rFonts w:ascii="Arial" w:cs="Arial" w:eastAsia="Arial" w:hAnsi="Arial"/>
          <w:sz w:val="21"/>
          <w:szCs w:val="21"/>
          <w:color w:val="auto"/>
        </w:rPr>
        <w:t>”) in its discretion may determine.</w:t>
      </w:r>
    </w:p>
    <w:p>
      <w:pPr>
        <w:spacing w:after="0" w:line="176" w:lineRule="exact"/>
        <w:rPr>
          <w:rFonts w:ascii="Arial" w:cs="Arial" w:eastAsia="Arial" w:hAnsi="Arial"/>
          <w:sz w:val="21"/>
          <w:szCs w:val="21"/>
          <w:color w:val="auto"/>
        </w:rPr>
      </w:pPr>
    </w:p>
    <w:p>
      <w:pPr>
        <w:ind w:left="-20" w:firstLine="1304"/>
        <w:spacing w:after="0" w:line="271" w:lineRule="auto"/>
        <w:tabs>
          <w:tab w:leader="none" w:pos="1924"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Liquidation</w:t>
      </w:r>
      <w:r>
        <w:rPr>
          <w:rFonts w:ascii="Arial" w:cs="Arial" w:eastAsia="Arial" w:hAnsi="Arial"/>
          <w:sz w:val="19"/>
          <w:szCs w:val="19"/>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including Series A Preferred Stock, are entitled, if any, the holders of all outstanding shares of Common Stock will be entitled to receive,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an amount per share equal to the par value thereof, and thereafter, the holders of all outstanding shares of Common Stock will be entitled to receive the remaining assets of the Corporation available for distribution ratably in proportion to the number of shares of Common Stock held by such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for the avoidance of doubt that the sale, conveyance, exchange or transfer (for cash, shares of stock, securities or other consideration) of all or substantially all of the property and assets of the Corporation or any subsidiary of the Corporation, or any merger, consolidation, statutory exchange or any other business combination transaction of the Corporation or any subsidiary of the Corporation into or with any other person or the merger, consolidation, statutory exchange or any other business combination transaction of any other person shall not be considered to be a liquidation, dissolution or winding up of the affairs of the Corporation within the meaning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IV.C(3)</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20" w:right="540" w:firstLine="1304"/>
        <w:spacing w:after="0" w:line="250" w:lineRule="auto"/>
        <w:tabs>
          <w:tab w:leader="none" w:pos="1924"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No Redemption or Sinking Fund Provisions</w:t>
      </w:r>
      <w:r>
        <w:rPr>
          <w:rFonts w:ascii="Arial" w:cs="Arial" w:eastAsia="Arial" w:hAnsi="Arial"/>
          <w:sz w:val="22"/>
          <w:szCs w:val="22"/>
          <w:color w:val="auto"/>
        </w:rPr>
        <w:t>. There are no redemption or sinking fund provisions applicable to the shares of Common Stock.</w:t>
      </w:r>
    </w:p>
    <w:p>
      <w:pPr>
        <w:spacing w:after="0" w:line="174" w:lineRule="exact"/>
        <w:rPr>
          <w:rFonts w:ascii="Arial" w:cs="Arial" w:eastAsia="Arial" w:hAnsi="Arial"/>
          <w:sz w:val="22"/>
          <w:szCs w:val="22"/>
          <w:color w:val="auto"/>
        </w:rPr>
      </w:pPr>
    </w:p>
    <w:p>
      <w:pPr>
        <w:ind w:left="-20" w:right="20" w:firstLine="656"/>
        <w:spacing w:after="0" w:line="236" w:lineRule="auto"/>
        <w:tabs>
          <w:tab w:leader="none" w:pos="1276"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Preferred Stock</w:t>
      </w:r>
      <w:r>
        <w:rPr>
          <w:rFonts w:ascii="Arial" w:cs="Arial" w:eastAsia="Arial" w:hAnsi="Arial"/>
          <w:sz w:val="22"/>
          <w:szCs w:val="22"/>
          <w:color w:val="auto"/>
        </w:rPr>
        <w:t xml:space="preserve">. Shares of Preferred Stock, of which 24,000,000 shares have been designated as Series A Preferred Stock, the designation, powers, preferences and relative, participating, optional or other special rights, including voting powers and rights, and the qualifications, limitations or restrictions of which are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may be issued from time to time in one or more series of any number of shares;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9"/>
          <w:szCs w:val="19"/>
          <w:color w:val="auto"/>
        </w:rPr>
        <w:t>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of Directors pursuant to its authority to do so which is hereby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of Directors providing for the designation and issue of such shares of Preferred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12"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Subject to the rights of the holders of any series of Preferred Stock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ARTICLE VI.</w:t>
      </w:r>
    </w:p>
    <w:p>
      <w:pPr>
        <w:spacing w:after="0" w:line="21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8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business and affairs of the Corporation shall be managed by or under the direction of the Board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Directors.</w:t>
      </w:r>
    </w:p>
    <w:p>
      <w:pPr>
        <w:spacing w:after="0" w:line="188" w:lineRule="exact"/>
        <w:rPr>
          <w:rFonts w:ascii="Arial" w:cs="Arial" w:eastAsia="Arial" w:hAnsi="Arial"/>
          <w:sz w:val="19"/>
          <w:szCs w:val="19"/>
          <w:color w:val="auto"/>
        </w:rPr>
      </w:pPr>
    </w:p>
    <w:p>
      <w:pPr>
        <w:ind w:right="80" w:firstLine="656"/>
        <w:spacing w:after="0" w:line="246" w:lineRule="auto"/>
        <w:tabs>
          <w:tab w:leader="none" w:pos="1296" w:val="left"/>
        </w:tabs>
        <w:numPr>
          <w:ilvl w:val="0"/>
          <w:numId w:val="15"/>
        </w:numPr>
        <w:rPr>
          <w:rFonts w:ascii="Arial" w:cs="Arial" w:eastAsia="Arial" w:hAnsi="Arial"/>
          <w:sz w:val="21"/>
          <w:szCs w:val="21"/>
          <w:color w:val="auto"/>
        </w:rPr>
      </w:pPr>
      <w:r>
        <w:rPr>
          <w:rFonts w:ascii="Arial" w:cs="Arial" w:eastAsia="Arial" w:hAnsi="Arial"/>
          <w:sz w:val="21"/>
          <w:szCs w:val="21"/>
          <w:color w:val="auto"/>
        </w:rPr>
        <w:t>Subject to the terms of that certain Investor Rights Agreement, dated April 4, 2022 (as amended or modified from time to time in accordance with its terms, the “</w:t>
      </w:r>
      <w:r>
        <w:rPr>
          <w:rFonts w:ascii="Arial" w:cs="Arial" w:eastAsia="Arial" w:hAnsi="Arial"/>
          <w:sz w:val="21"/>
          <w:szCs w:val="21"/>
          <w:b w:val="1"/>
          <w:bCs w:val="1"/>
          <w:color w:val="auto"/>
        </w:rPr>
        <w:t>Investor Rights Agreement</w:t>
      </w:r>
      <w:r>
        <w:rPr>
          <w:rFonts w:ascii="Arial" w:cs="Arial" w:eastAsia="Arial" w:hAnsi="Arial"/>
          <w:sz w:val="21"/>
          <w:szCs w:val="21"/>
          <w:color w:val="auto"/>
        </w:rPr>
        <w:t>”), by and among the Corporation, Westrock Group, LLC, The Stephens Group, LLC, Sowell Westrock, L.P., BBH Capital Partners V, L.P., BBH Capital Partners V-A, L.P., BBH CPV WCC Co-Investment LLC, and Riverview Sponsor Partners, LLC, the Board of Directors shall consist of that number of members as shall be fixed from time to time exclusively by resolution adopted by the affirmative vote of a majority of the total number of directors which the Corporation would have if there were no vacancies (the “</w:t>
      </w:r>
      <w:r>
        <w:rPr>
          <w:rFonts w:ascii="Arial" w:cs="Arial" w:eastAsia="Arial" w:hAnsi="Arial"/>
          <w:sz w:val="21"/>
          <w:szCs w:val="21"/>
          <w:b w:val="1"/>
          <w:bCs w:val="1"/>
          <w:color w:val="auto"/>
        </w:rPr>
        <w:t>Whole Board</w:t>
      </w:r>
      <w:r>
        <w:rPr>
          <w:rFonts w:ascii="Arial" w:cs="Arial" w:eastAsia="Arial" w:hAnsi="Arial"/>
          <w:sz w:val="21"/>
          <w:szCs w:val="21"/>
          <w:color w:val="auto"/>
        </w:rPr>
        <w:t>”). Subject to the foregoing, the Board shall initially consist of ten (10) directors.</w:t>
      </w:r>
    </w:p>
    <w:p>
      <w:pPr>
        <w:spacing w:after="0" w:line="179" w:lineRule="exact"/>
        <w:rPr>
          <w:rFonts w:ascii="Arial" w:cs="Arial" w:eastAsia="Arial" w:hAnsi="Arial"/>
          <w:sz w:val="21"/>
          <w:szCs w:val="21"/>
          <w:color w:val="auto"/>
        </w:rPr>
      </w:pPr>
    </w:p>
    <w:p>
      <w:pPr>
        <w:ind w:right="40" w:firstLine="656"/>
        <w:spacing w:after="0" w:line="271" w:lineRule="auto"/>
        <w:tabs>
          <w:tab w:leader="none" w:pos="1296"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Board of Directors shall be and is divided into three classes, as nearly equal in number as possible, designated: Class I, Class II and Class III, with, as of the date hereof, Class I consisting of 3 directors, Class II consisting of 3 directors, and Class III consisting of 4 directors. In case of any increase or decrease, from time to time, in the number of directors, the number of directors in each class shall be apportioned as nearly equal as possible. No decrease in the number of authorized directors shall shorten the term of any incumbent director. Each director shall serve for a term ending on the date of the third annual meeting following the annual meeting at which such director was elected;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director initially appointed to Class I shall serve for a term expiring at the Corporation’s annual meeting of stockholders held in 2023; each director initially appointed to Class II shall serve for a term expiring at the Corporation’s annual meeting of stockholders held in 2024; and each director initially appointed to Class III shall serve for a term expiring at the Corporation’s annual meeting of stockholders held in 2025;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term of each director shall continue until the expiration of the term for which he or she has been elected, and until the election and qualification of his or her successor, or until his or her earlier death, resignation or removal. All directors whose terms expire at the annual meetings of stockholders in 2026 and any subsequent annual meeting shall be elected for terms expiring at the next annual meeting of stockholders and shall not be subject to the classification provision of this </w:t>
      </w:r>
      <w:r>
        <w:rPr>
          <w:rFonts w:ascii="Arial" w:cs="Arial" w:eastAsia="Arial" w:hAnsi="Arial"/>
          <w:sz w:val="19"/>
          <w:szCs w:val="19"/>
          <w:u w:val="single" w:color="auto"/>
          <w:color w:val="auto"/>
        </w:rPr>
        <w:t>Section VI.C</w:t>
      </w:r>
      <w:r>
        <w:rPr>
          <w:rFonts w:ascii="Arial" w:cs="Arial" w:eastAsia="Arial" w:hAnsi="Arial"/>
          <w:sz w:val="19"/>
          <w:szCs w:val="19"/>
          <w:color w:val="auto"/>
        </w:rPr>
        <w:t>, and following the annual meeting of stockholders in 2028, the Board of Directors shall no longer be classified.</w:t>
      </w:r>
    </w:p>
    <w:p>
      <w:pPr>
        <w:spacing w:after="0" w:line="156" w:lineRule="exact"/>
        <w:rPr>
          <w:rFonts w:ascii="Arial" w:cs="Arial" w:eastAsia="Arial" w:hAnsi="Arial"/>
          <w:sz w:val="19"/>
          <w:szCs w:val="19"/>
          <w:color w:val="auto"/>
        </w:rPr>
      </w:pPr>
    </w:p>
    <w:p>
      <w:pPr>
        <w:ind w:right="120" w:firstLine="656"/>
        <w:spacing w:after="0" w:line="279" w:lineRule="auto"/>
        <w:tabs>
          <w:tab w:leader="none" w:pos="1296"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Subject to the Investor Rights Agreement as well as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even if less than a quorum of the Board of Directors, and directors so chosen shall hold office until the expiration of the term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director whom he or she has replaced or until his or her successor shall have been duly elected and qualified.</w:t>
      </w:r>
    </w:p>
    <w:p>
      <w:pPr>
        <w:spacing w:after="0" w:line="241" w:lineRule="exact"/>
        <w:rPr>
          <w:sz w:val="20"/>
          <w:szCs w:val="20"/>
          <w:color w:val="auto"/>
        </w:rPr>
      </w:pPr>
    </w:p>
    <w:p>
      <w:pPr>
        <w:ind w:firstLine="656"/>
        <w:spacing w:after="0" w:line="245" w:lineRule="auto"/>
        <w:tabs>
          <w:tab w:leader="none" w:pos="1296" w:val="left"/>
        </w:tabs>
        <w:numPr>
          <w:ilvl w:val="0"/>
          <w:numId w:val="16"/>
        </w:numPr>
        <w:rPr>
          <w:rFonts w:ascii="Arial" w:cs="Arial" w:eastAsia="Arial" w:hAnsi="Arial"/>
          <w:sz w:val="21"/>
          <w:szCs w:val="21"/>
          <w:color w:val="auto"/>
        </w:rPr>
      </w:pPr>
      <w:r>
        <w:rPr>
          <w:rFonts w:ascii="Arial" w:cs="Arial" w:eastAsia="Arial" w:hAnsi="Arial"/>
          <w:sz w:val="21"/>
          <w:szCs w:val="21"/>
          <w:color w:val="auto"/>
        </w:rPr>
        <w:t>Subject to the Investor Rights Agreement, until such time as the Board of Directors is declassified, the entire Board of Directors or directors in a class elected for a term of two (2) or three (3) years may be removed from office only for cause, and only by the affirmative vote of the holders of at least a majority of the combined voting power of the outstanding shares of capital stock of the Corporation entitled to vote at an election of directors, at an election of directors duly called pursuant to the By-Laws of the Corporation. Except as set forth in the immediately preceding sentence and subject to the Investor Rights Agreement, any director, or the entire Board of Directors, may be removed from office with or without cause, but only by the affirmative vote of the holders of at least a majority of the combined voting power of the outstanding shares of capital stock of the Corporation entitled to vote at an election of directors, at an election of directors duly called pursuant to the By-Laws of the Corporation.</w:t>
      </w:r>
    </w:p>
    <w:p>
      <w:pPr>
        <w:spacing w:after="0" w:line="180" w:lineRule="exact"/>
        <w:rPr>
          <w:rFonts w:ascii="Arial" w:cs="Arial" w:eastAsia="Arial" w:hAnsi="Arial"/>
          <w:sz w:val="21"/>
          <w:szCs w:val="21"/>
          <w:color w:val="auto"/>
        </w:rPr>
      </w:pPr>
    </w:p>
    <w:p>
      <w:pPr>
        <w:ind w:right="140" w:firstLine="656"/>
        <w:spacing w:after="0" w:line="279" w:lineRule="auto"/>
        <w:tabs>
          <w:tab w:leader="none" w:pos="1296"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In addition to the powers and authority hereinbefore or by applicable law, including the DGCL, expressly conferred upon them, the directors are hereby empowered to exercise all such powers and do all such acts and things as may be exercised or done by the Corporation, subject, nevertheless, to the provisions of the DGCL and other applicable law, this Certificate of Incorporation, and any By-Laws adopted by the stockholders;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no By-Laws hereafter adopted by the stockholders shall invalidate any prior act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that would have been valid if such By-Laws had not been adopted.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12" w:lineRule="exact"/>
        <w:rPr>
          <w:sz w:val="20"/>
          <w:szCs w:val="20"/>
          <w:color w:val="auto"/>
        </w:rPr>
      </w:pPr>
    </w:p>
    <w:p>
      <w:pPr>
        <w:ind w:right="80" w:firstLine="656"/>
        <w:spacing w:after="0" w:line="279" w:lineRule="auto"/>
        <w:tabs>
          <w:tab w:leader="none" w:pos="1296"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 director or officer of the Corporation shall be liable to the Corporation or its stockholders for monetary damages for breach of fiduciary duty as a director or officer, as applicable, except to the extent such an exemption from liability or limitation thereof is not permitted under the DGCL as presently in effect or as the same may hereafter be amended. No amendment to or repeal of this provision shall apply to or have any effect on the liability or alleged liability of any director or officer of the Corporation for or with respect to any acts or omissions of such director or officer occurring prior to such amendment or repeal.</w:t>
      </w:r>
    </w:p>
    <w:p>
      <w:pPr>
        <w:spacing w:after="0" w:line="150" w:lineRule="exact"/>
        <w:rPr>
          <w:rFonts w:ascii="Arial" w:cs="Arial" w:eastAsia="Arial" w:hAnsi="Arial"/>
          <w:sz w:val="19"/>
          <w:szCs w:val="19"/>
          <w:color w:val="auto"/>
        </w:rPr>
      </w:pPr>
    </w:p>
    <w:p>
      <w:pPr>
        <w:ind w:right="80" w:firstLine="656"/>
        <w:spacing w:after="0" w:line="272" w:lineRule="auto"/>
        <w:tabs>
          <w:tab w:leader="none" w:pos="1296" w:val="left"/>
        </w:tabs>
        <w:numPr>
          <w:ilvl w:val="0"/>
          <w:numId w:val="17"/>
        </w:numPr>
        <w:rPr>
          <w:rFonts w:ascii="Arial" w:cs="Arial" w:eastAsia="Arial" w:hAnsi="Arial"/>
          <w:sz w:val="19"/>
          <w:szCs w:val="19"/>
          <w:color w:val="auto"/>
        </w:rPr>
      </w:pPr>
      <w:r>
        <w:rPr>
          <w:rFonts w:ascii="Arial" w:cs="Arial" w:eastAsia="Arial" w:hAnsi="Arial"/>
          <w:sz w:val="19"/>
          <w:szCs w:val="19"/>
          <w:color w:val="auto"/>
        </w:rPr>
        <w:t>Each person who was or is a party or is threatened to be made a party or is otherwise involved in any threatened, pending or completed action, suit or proceeding, whether civil, criminal, administrative or investigative (hereinafter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by reason of the fact that he or she or a person of whom he or she is the legal representative is or was, at any time during which this </w:t>
      </w:r>
      <w:r>
        <w:rPr>
          <w:rFonts w:ascii="Arial" w:cs="Arial" w:eastAsia="Arial" w:hAnsi="Arial"/>
          <w:sz w:val="19"/>
          <w:szCs w:val="19"/>
          <w:u w:val="single" w:color="auto"/>
          <w:color w:val="auto"/>
        </w:rPr>
        <w:t>Article VII(B)</w:t>
      </w:r>
      <w:r>
        <w:rPr>
          <w:rFonts w:ascii="Arial" w:cs="Arial" w:eastAsia="Arial" w:hAnsi="Arial"/>
          <w:sz w:val="19"/>
          <w:szCs w:val="19"/>
          <w:color w:val="auto"/>
        </w:rPr>
        <w:t xml:space="preserve"> is in effect (whether or not such person continues to serve in such capacity at the time any indemnification or advancement of expenses pursuant hereto is sought or at the time any proceeding relating thereto exists or is brought), a director or officer of the Corporation or is or was at any such time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an “</w:t>
      </w:r>
      <w:r>
        <w:rPr>
          <w:rFonts w:ascii="Arial" w:cs="Arial" w:eastAsia="Arial" w:hAnsi="Arial"/>
          <w:sz w:val="19"/>
          <w:szCs w:val="19"/>
          <w:b w:val="1"/>
          <w:bCs w:val="1"/>
          <w:color w:val="auto"/>
        </w:rPr>
        <w:t>indemnitee</w:t>
      </w:r>
      <w:r>
        <w:rPr>
          <w:rFonts w:ascii="Arial" w:cs="Arial" w:eastAsia="Arial" w:hAnsi="Arial"/>
          <w:sz w:val="19"/>
          <w:szCs w:val="19"/>
          <w:color w:val="auto"/>
        </w:rPr>
        <w:t>”), whether the basis of such proceeding is alleged action in an official capacity as a director, officer, trustee, employee or agent or in any other capacity while serving as a director, officer, trustee, employee or agent, shall be (and shall be deemed to have a contractual right to be) indemnified and held harmless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56" w:name="page57"/>
    <w:bookmarkEnd w:id="56"/>
    <w:p>
      <w:pPr>
        <w:spacing w:after="0" w:line="269" w:lineRule="auto"/>
        <w:rPr>
          <w:sz w:val="20"/>
          <w:szCs w:val="20"/>
          <w:color w:val="auto"/>
        </w:rPr>
      </w:pPr>
      <w:r>
        <w:rPr>
          <w:rFonts w:ascii="Arial" w:cs="Arial" w:eastAsia="Arial" w:hAnsi="Arial"/>
          <w:sz w:val="19"/>
          <w:szCs w:val="19"/>
          <w:color w:val="auto"/>
        </w:rPr>
        <w:t xml:space="preserve">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excise taxes under the Employee Retirement Income Security Act of 1974, as amended, or penalties and amounts paid or to be paid in settlement) incurred or suffered by such person in connection with such proceeding if the person acted in good faith and in a manner reasonably believed to be in or not opposed to the best interests of the Corporation, and, with respect to any criminal action or proceeding, had no reasonable cause to believe his or her conduct was unlawful. The termination of any proceeding by judgment, order, settlement,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of itself, create a presumption that the person did not act in good faith and in a manner that the person reasonably believed to be in or not opposed to the best interests of the Corporation, and, with respect to any criminal action or proceeding, had reasonable cause to believe that the person’s conduct was unlawful. Such indemnification shall continue as to a person who has ceased to be a director, officer, trustee, employee or agent and shall inure to the benefit of his or her heirs, executors and administrators;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provided in the By-Laws, the Corporation shall indemnify any such person seeking indemnification in connection with a proceeding (or part thereof) initiated by such person only if such proceeding (or part thereof) was authorized by the Board of Directors. 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indemnitee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shall be made only upon delivery to the Corporation of an undertaking by or on behalf of such director or officer, to repay all amounts so advanced if it shall ultimately be determined by final judicial decision from which there is no further right of appeal that such director or officer is not entitled to be indemnified for such expenses under this </w:t>
      </w:r>
      <w:r>
        <w:rPr>
          <w:rFonts w:ascii="Arial" w:cs="Arial" w:eastAsia="Arial" w:hAnsi="Arial"/>
          <w:sz w:val="19"/>
          <w:szCs w:val="19"/>
          <w:u w:val="single" w:color="auto"/>
          <w:color w:val="auto"/>
        </w:rPr>
        <w:t>Article VII(B)</w:t>
      </w:r>
      <w:r>
        <w:rPr>
          <w:rFonts w:ascii="Arial" w:cs="Arial" w:eastAsia="Arial" w:hAnsi="Arial"/>
          <w:sz w:val="19"/>
          <w:szCs w:val="19"/>
          <w:color w:val="auto"/>
        </w:rPr>
        <w:t xml:space="preserve"> or the By-Laws.</w:t>
      </w:r>
    </w:p>
    <w:p>
      <w:pPr>
        <w:spacing w:after="0" w:line="200" w:lineRule="exact"/>
        <w:rPr>
          <w:sz w:val="20"/>
          <w:szCs w:val="20"/>
          <w:color w:val="auto"/>
        </w:rPr>
      </w:pPr>
    </w:p>
    <w:p>
      <w:pPr>
        <w:spacing w:after="0" w:line="203" w:lineRule="exact"/>
        <w:rPr>
          <w:sz w:val="20"/>
          <w:szCs w:val="20"/>
          <w:color w:val="auto"/>
        </w:rPr>
      </w:pPr>
    </w:p>
    <w:p>
      <w:pPr>
        <w:ind w:right="260" w:firstLine="656"/>
        <w:spacing w:after="0" w:line="287" w:lineRule="auto"/>
        <w:tabs>
          <w:tab w:leader="none" w:pos="1296"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Neither any amendment nor repeal of any of the foregoing provisions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nor the adoption of any provision of this Certificate of Incorporation inconsistent with this </w:t>
      </w:r>
      <w:r>
        <w:rPr>
          <w:rFonts w:ascii="Arial" w:cs="Arial" w:eastAsia="Arial" w:hAnsi="Arial"/>
          <w:sz w:val="19"/>
          <w:szCs w:val="19"/>
          <w:u w:val="single" w:color="auto"/>
          <w:color w:val="auto"/>
        </w:rPr>
        <w:t>Article VII</w:t>
      </w:r>
      <w:r>
        <w:rPr>
          <w:rFonts w:ascii="Arial" w:cs="Arial" w:eastAsia="Arial" w:hAnsi="Arial"/>
          <w:sz w:val="19"/>
          <w:szCs w:val="19"/>
          <w:color w:val="auto"/>
        </w:rPr>
        <w:t>, shall eliminate, reduce or otherwise adversely affect any limitation on the personal liability of a director or officer of the Corporation existing at the time of such amendment, repeal or adoption of such an inconsistent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213" w:lineRule="exact"/>
        <w:rPr>
          <w:sz w:val="20"/>
          <w:szCs w:val="20"/>
          <w:color w:val="auto"/>
        </w:rPr>
      </w:pPr>
    </w:p>
    <w:p>
      <w:pPr>
        <w:ind w:firstLine="656"/>
        <w:spacing w:after="0" w:line="271"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Corporation waives, to the maximum extent permitted by law, the application of the doctrine of corporate opportunity, or any other analogous doctrine, with respect to the Corporation, any non-employee directors or stockholders or any of their respective affiliates. Without limiting the foregoing, the Corporation renounces, to the fullest extent permitted by law, any interest or expectancy of the Corporation, its stockholders and any of their respective affiliates in, or in being notified of or offered an opportunity to participate in, any Excluded Opportunity. An “</w:t>
      </w:r>
      <w:r>
        <w:rPr>
          <w:rFonts w:ascii="Arial" w:cs="Arial" w:eastAsia="Arial" w:hAnsi="Arial"/>
          <w:sz w:val="19"/>
          <w:szCs w:val="19"/>
          <w:b w:val="1"/>
          <w:bCs w:val="1"/>
          <w:color w:val="auto"/>
        </w:rPr>
        <w:t>Excluded Opportunity</w:t>
      </w:r>
      <w:r>
        <w:rPr>
          <w:rFonts w:ascii="Arial" w:cs="Arial" w:eastAsia="Arial" w:hAnsi="Arial"/>
          <w:sz w:val="19"/>
          <w:szCs w:val="19"/>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such director’s affiliates, partners, or other representatives (each of the foregoing, a “</w:t>
      </w:r>
      <w:r>
        <w:rPr>
          <w:rFonts w:ascii="Arial" w:cs="Arial" w:eastAsia="Arial" w:hAnsi="Arial"/>
          <w:sz w:val="19"/>
          <w:szCs w:val="19"/>
          <w:b w:val="1"/>
          <w:bCs w:val="1"/>
          <w:color w:val="auto"/>
        </w:rPr>
        <w:t>Covered Person</w:t>
      </w:r>
      <w:r>
        <w:rPr>
          <w:rFonts w:ascii="Arial" w:cs="Arial" w:eastAsia="Arial" w:hAnsi="Arial"/>
          <w:sz w:val="19"/>
          <w:szCs w:val="19"/>
          <w:color w:val="auto"/>
        </w:rPr>
        <w:t>”), unless such matter, transaction or interest is expressly offered to such director solely in his or her capacity as a director of the Corporation. No Covered Person shall have any duty to communicate or offer an Excluded Opportunity to the Corporation or any of its affiliates or stockholders, and no Covered Person shall have any liability to the Corporation, any of its affiliates or stockholders for breach of any duty, as a director or otherwise, by reason of the fact that such Covered Person pursues or acquires an Excluded Opportunity, directs an Excluded Opportunity to another person or fails to present an Excluded Opportunity, or information regarding an Excluded Opportunity, to the Corporation or any of its affiliates or stockholders.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right="360" w:firstLine="656"/>
        <w:spacing w:after="0"/>
        <w:tabs>
          <w:tab w:leader="none" w:pos="1296"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Any person or entity purchasing or otherwise acquiring or obtaining any interest in any capital stock of the Corporation shall be deemed to have notice and to have consented to the provisions of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60" w:firstLine="656"/>
        <w:spacing w:after="0" w:line="277"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not limit any protections or defenses available to, or indemnification rights of, any non-employee director of the Corporation under this Certificate of Incorporation or the Corporation’s By-Laws (as either may be amended from time to time) or applicable law. The renunciation of any interest in or expectancy with respect to any corporate opportunity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not be deemed exclusive of or limit in any way any other renunciation of a corporate opportunity by the Corporation or the Board of Directors or protection to which any Covered Person may be or may become entitled under any statute, bylaw, resolution, agreement, vote of stockholders or disinterested directors or otherwise.</w:t>
      </w:r>
    </w:p>
    <w:p>
      <w:pPr>
        <w:spacing w:after="0" w:line="151" w:lineRule="exact"/>
        <w:rPr>
          <w:rFonts w:ascii="Arial" w:cs="Arial" w:eastAsia="Arial" w:hAnsi="Arial"/>
          <w:sz w:val="19"/>
          <w:szCs w:val="19"/>
          <w:color w:val="auto"/>
        </w:rPr>
      </w:pPr>
    </w:p>
    <w:p>
      <w:pPr>
        <w:jc w:val="both"/>
        <w:ind w:right="20" w:firstLine="656"/>
        <w:spacing w:after="0" w:line="238" w:lineRule="auto"/>
        <w:tabs>
          <w:tab w:leader="none" w:pos="1296"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Neither the alteration, amendment, termination, expiration or repeal of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nor the adoption of any provision inconsistent with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eliminate or reduce the effect of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in respect of any matter occurring, or any cause of action that, but for this </w:t>
      </w:r>
      <w:r>
        <w:rPr>
          <w:rFonts w:ascii="Arial" w:cs="Arial" w:eastAsia="Arial" w:hAnsi="Arial"/>
          <w:sz w:val="22"/>
          <w:szCs w:val="22"/>
          <w:u w:val="single" w:color="auto"/>
          <w:color w:val="auto"/>
        </w:rPr>
        <w:t>Article VIII</w:t>
      </w:r>
      <w:r>
        <w:rPr>
          <w:rFonts w:ascii="Arial" w:cs="Arial" w:eastAsia="Arial" w:hAnsi="Arial"/>
          <w:sz w:val="22"/>
          <w:szCs w:val="22"/>
          <w:color w:val="auto"/>
        </w:rPr>
        <w:t>, would accrue or arise, prior to such alteration, amendment, termination, expiration or repeal.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IX.</w:t>
      </w:r>
    </w:p>
    <w:p>
      <w:pPr>
        <w:spacing w:after="0" w:line="21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Subject to the rights of the holders of any shares of Preferred Stock, including Series A Preferred Stock, the Corporation reserves the right to amend, restate, amend and restate, alter, modify or repeal any provision contained in this Certificate of Incorporation in any manner provided by the DGCL, and all rights conferred upon stockholders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58" w:name="page59"/>
    <w:bookmarkEnd w:id="58"/>
    <w:p>
      <w:pPr>
        <w:ind w:firstLine="648"/>
        <w:spacing w:after="0" w:line="274" w:lineRule="auto"/>
        <w:rPr>
          <w:sz w:val="20"/>
          <w:szCs w:val="20"/>
          <w:color w:val="auto"/>
        </w:rPr>
      </w:pPr>
      <w:r>
        <w:rPr>
          <w:rFonts w:ascii="Arial" w:cs="Arial" w:eastAsia="Arial" w:hAnsi="Arial"/>
          <w:sz w:val="19"/>
          <w:szCs w:val="19"/>
          <w:color w:val="auto"/>
        </w:rPr>
        <w:t>In furtherance and not in limitation of the powers conferred upon it by the laws of the State of Delaware, subject to the rights of the holders of any shares of Preferred Stock, including Series A Preferred Stock, the Board of Directors shall have the power to adopt, amend, restate, amend and restate, alter, modify or repeal the Corporation’s By-Laws (including by merger, consolidation or otherwise), except as provided in the Corporation’s By-Laws. The affirmative vote of at least a majority of the Whole Board shall be required to adopt, amend, restate, amend and restate, alter, modify or repeal the Corporation’s By-Laws. The Corporation’s By-Laws also may be adopted, amended, restated, amended and restated, altered, modified or repealed by the affirmative vote of the holders of a majority of the combined voting power of the outstanding shares of capital stock of the Corporation entitled to vote at an election of directors.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212"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Unless the Corporation consents in writing to the selection of an alternative forum, the sole and exclusive forum for: (a) any derivative action or proceeding brought on behalf of the Corporation; (b) any action asserting a claim for or based on a breach of a fiduciary duty owed by any current or former director or officer or other employee of the Corporation to the Corporation or to the Corporation’s stockholders, including a claim alleging the aiding and abetting of such a breach of fiduciary duty; (c) any action asserting a claim against the Corporation or any current or former director or officer or other employee of the Corporation arising pursuant to any provision of the DGCL or this Certificate of Incorporation or the Corporation’s By-Laws (as either may be amended from time to time); (d) any action asserting a claim related to or involving the Corporation that is governed by the internal affairs doctrine; or (e) any action asserting an “internal corporate claim” as that term is defined in Section 115 of the DGCL shall be the Chancery Court of the State of Delaware (or, if the Chancery Court of the State of Delaware declines to accept jurisdiction, any state or federal court within State of Delaware). Notwithstanding the foregoing, (i) the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will not apply to suits brought to enforce any liability or duty created by the Securities Exchange Act of 1934, as amended,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w:t>
      </w:r>
    </w:p>
    <w:p>
      <w:pPr>
        <w:spacing w:after="0" w:line="212"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If any provision or provisions of this Certificate of Incorporation shall be held to be invalid, illegal or unenforceable as applied to any circumstance for any reason whatsoever: (i) the validity, legality and enforceability of such provision or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Certificate of Incorporation (or any other provision of the By-Laws or any agreement entered by the Corporation), the provisions of this Certificate of Incorporation (including, without limitation, each such portion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59" w:name="page60"/>
    <w:bookmarkEnd w:id="59"/>
    <w:p>
      <w:pPr>
        <w:ind w:right="160"/>
        <w:spacing w:after="0" w:line="238" w:lineRule="auto"/>
        <w:rPr>
          <w:sz w:val="20"/>
          <w:szCs w:val="20"/>
          <w:color w:val="auto"/>
        </w:rPr>
      </w:pPr>
      <w:r>
        <w:rPr>
          <w:rFonts w:ascii="Arial" w:cs="Arial" w:eastAsia="Arial" w:hAnsi="Arial"/>
          <w:sz w:val="22"/>
          <w:szCs w:val="22"/>
          <w:color w:val="auto"/>
        </w:rPr>
        <w:t>paragraph of this Certificate of Incorporation containing any such provisions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applicable law.</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300" w:type="dxa"/>
            <w:vAlign w:val="bottom"/>
            <w:gridSpan w:val="4"/>
          </w:tcPr>
          <w:p>
            <w:pPr>
              <w:ind w:left="1640"/>
              <w:spacing w:after="0"/>
              <w:rPr>
                <w:sz w:val="20"/>
                <w:szCs w:val="20"/>
                <w:color w:val="auto"/>
              </w:rPr>
            </w:pPr>
            <w:r>
              <w:rPr>
                <w:rFonts w:ascii="Arial" w:cs="Arial" w:eastAsia="Arial" w:hAnsi="Arial"/>
                <w:sz w:val="22"/>
                <w:szCs w:val="22"/>
                <w:b w:val="1"/>
                <w:bCs w:val="1"/>
                <w:color w:val="auto"/>
              </w:rPr>
              <w:t>ARTICLE XII.</w:t>
            </w:r>
          </w:p>
        </w:tc>
      </w:tr>
      <w:tr>
        <w:trPr>
          <w:trHeight w:val="459"/>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20" w:type="dxa"/>
            <w:vAlign w:val="bottom"/>
            <w:gridSpan w:val="5"/>
          </w:tcPr>
          <w:p>
            <w:pPr>
              <w:ind w:left="60"/>
              <w:spacing w:after="0"/>
              <w:rPr>
                <w:sz w:val="20"/>
                <w:szCs w:val="20"/>
                <w:color w:val="auto"/>
              </w:rPr>
            </w:pPr>
            <w:r>
              <w:rPr>
                <w:rFonts w:ascii="Arial" w:cs="Arial" w:eastAsia="Arial" w:hAnsi="Arial"/>
                <w:sz w:val="22"/>
                <w:szCs w:val="22"/>
                <w:color w:val="auto"/>
              </w:rPr>
              <w:t>The name and mailing address of the incorporator are as follows:</w:t>
            </w:r>
          </w:p>
        </w:tc>
      </w:tr>
      <w:tr>
        <w:trPr>
          <w:trHeight w:val="206"/>
        </w:trPr>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2540" w:type="dxa"/>
            <w:vAlign w:val="bottom"/>
            <w:gridSpan w:val="2"/>
          </w:tcPr>
          <w:p>
            <w:pPr>
              <w:spacing w:after="0" w:line="195" w:lineRule="exact"/>
              <w:rPr>
                <w:sz w:val="20"/>
                <w:szCs w:val="20"/>
                <w:color w:val="auto"/>
              </w:rPr>
            </w:pPr>
            <w:r>
              <w:rPr>
                <w:rFonts w:ascii="Arial" w:cs="Arial" w:eastAsia="Arial" w:hAnsi="Arial"/>
                <w:sz w:val="22"/>
                <w:szCs w:val="22"/>
                <w:color w:val="auto"/>
              </w:rPr>
              <w:t>Name</w:t>
            </w:r>
          </w:p>
        </w:tc>
        <w:tc>
          <w:tcPr>
            <w:tcW w:w="23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gridSpan w:val="3"/>
          </w:tcPr>
          <w:p>
            <w:pPr>
              <w:ind w:left="60"/>
              <w:spacing w:after="0" w:line="195" w:lineRule="exact"/>
              <w:rPr>
                <w:sz w:val="20"/>
                <w:szCs w:val="20"/>
                <w:color w:val="auto"/>
              </w:rPr>
            </w:pPr>
            <w:r>
              <w:rPr>
                <w:rFonts w:ascii="Arial" w:cs="Arial" w:eastAsia="Arial" w:hAnsi="Arial"/>
                <w:sz w:val="22"/>
                <w:szCs w:val="22"/>
                <w:color w:val="auto"/>
              </w:rPr>
              <w:t>Mailing Address</w:t>
            </w:r>
          </w:p>
        </w:tc>
      </w:tr>
      <w:tr>
        <w:trPr>
          <w:trHeight w:val="237"/>
        </w:trPr>
        <w:tc>
          <w:tcPr>
            <w:tcW w:w="80" w:type="dxa"/>
            <w:vAlign w:val="bottom"/>
            <w:tcBorders>
              <w:left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spacing w:after="0"/>
              <w:rPr>
                <w:sz w:val="20"/>
                <w:szCs w:val="20"/>
                <w:color w:val="auto"/>
              </w:rPr>
            </w:pPr>
          </w:p>
        </w:tc>
      </w:tr>
      <w:tr>
        <w:trPr>
          <w:trHeight w:val="215"/>
        </w:trPr>
        <w:tc>
          <w:tcPr>
            <w:tcW w:w="80" w:type="dxa"/>
            <w:vAlign w:val="bottom"/>
            <w:tcBorders>
              <w:left w:val="single" w:sz="8" w:color="auto"/>
            </w:tcBorders>
          </w:tcPr>
          <w:p>
            <w:pPr>
              <w:spacing w:after="0"/>
              <w:rPr>
                <w:sz w:val="18"/>
                <w:szCs w:val="18"/>
                <w:color w:val="auto"/>
              </w:rPr>
            </w:pPr>
          </w:p>
        </w:tc>
        <w:tc>
          <w:tcPr>
            <w:tcW w:w="2540" w:type="dxa"/>
            <w:vAlign w:val="bottom"/>
            <w:gridSpan w:val="2"/>
          </w:tcPr>
          <w:p>
            <w:pPr>
              <w:spacing w:after="0" w:line="216" w:lineRule="exact"/>
              <w:rPr>
                <w:sz w:val="20"/>
                <w:szCs w:val="20"/>
                <w:color w:val="auto"/>
              </w:rPr>
            </w:pPr>
            <w:r>
              <w:rPr>
                <w:rFonts w:ascii="Arial" w:cs="Arial" w:eastAsia="Arial" w:hAnsi="Arial"/>
                <w:sz w:val="22"/>
                <w:szCs w:val="22"/>
                <w:color w:val="auto"/>
              </w:rPr>
              <w:t>Scott Ford</w:t>
            </w:r>
          </w:p>
        </w:tc>
        <w:tc>
          <w:tcPr>
            <w:tcW w:w="23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gridSpan w:val="3"/>
          </w:tcPr>
          <w:p>
            <w:pPr>
              <w:ind w:left="60"/>
              <w:spacing w:after="0" w:line="216" w:lineRule="exact"/>
              <w:rPr>
                <w:sz w:val="20"/>
                <w:szCs w:val="20"/>
                <w:color w:val="auto"/>
              </w:rPr>
            </w:pPr>
            <w:r>
              <w:rPr>
                <w:rFonts w:ascii="Arial" w:cs="Arial" w:eastAsia="Arial" w:hAnsi="Arial"/>
                <w:sz w:val="22"/>
                <w:szCs w:val="22"/>
                <w:color w:val="auto"/>
              </w:rPr>
              <w:t>100 River Bluff Drive</w:t>
            </w:r>
          </w:p>
        </w:tc>
      </w:tr>
      <w:tr>
        <w:trPr>
          <w:trHeight w:val="243"/>
        </w:trPr>
        <w:tc>
          <w:tcPr>
            <w:tcW w:w="80" w:type="dxa"/>
            <w:vAlign w:val="bottom"/>
            <w:tcBorders>
              <w:lef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4940" w:type="dxa"/>
            <w:vAlign w:val="bottom"/>
            <w:tcBorders>
              <w:right w:val="single" w:sz="8" w:color="auto"/>
            </w:tcBorders>
            <w:gridSpan w:val="3"/>
          </w:tcPr>
          <w:p>
            <w:pPr>
              <w:ind w:left="60"/>
              <w:spacing w:after="0" w:line="243" w:lineRule="exact"/>
              <w:rPr>
                <w:sz w:val="20"/>
                <w:szCs w:val="20"/>
                <w:color w:val="auto"/>
              </w:rPr>
            </w:pPr>
            <w:r>
              <w:rPr>
                <w:rFonts w:ascii="Arial" w:cs="Arial" w:eastAsia="Arial" w:hAnsi="Arial"/>
                <w:sz w:val="22"/>
                <w:szCs w:val="22"/>
                <w:color w:val="auto"/>
              </w:rPr>
              <w:t>Suite 210</w:t>
            </w:r>
          </w:p>
        </w:tc>
      </w:tr>
      <w:tr>
        <w:trPr>
          <w:trHeight w:val="274"/>
        </w:trPr>
        <w:tc>
          <w:tcPr>
            <w:tcW w:w="80" w:type="dxa"/>
            <w:vAlign w:val="bottom"/>
            <w:tcBorders>
              <w:lef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360" w:type="dxa"/>
            <w:vAlign w:val="bottom"/>
            <w:tcBorders>
              <w:right w:val="single" w:sz="8" w:color="auto"/>
            </w:tcBorders>
          </w:tcPr>
          <w:p>
            <w:pPr>
              <w:spacing w:after="0"/>
              <w:rPr>
                <w:sz w:val="23"/>
                <w:szCs w:val="23"/>
                <w:color w:val="auto"/>
              </w:rPr>
            </w:pPr>
          </w:p>
        </w:tc>
        <w:tc>
          <w:tcPr>
            <w:tcW w:w="4940" w:type="dxa"/>
            <w:vAlign w:val="bottom"/>
            <w:tcBorders>
              <w:right w:val="single" w:sz="8" w:color="auto"/>
            </w:tcBorders>
            <w:gridSpan w:val="3"/>
          </w:tcPr>
          <w:p>
            <w:pPr>
              <w:ind w:left="60"/>
              <w:spacing w:after="0"/>
              <w:rPr>
                <w:sz w:val="20"/>
                <w:szCs w:val="20"/>
                <w:color w:val="auto"/>
              </w:rPr>
            </w:pPr>
            <w:r>
              <w:rPr>
                <w:rFonts w:ascii="Arial" w:cs="Arial" w:eastAsia="Arial" w:hAnsi="Arial"/>
                <w:sz w:val="22"/>
                <w:szCs w:val="22"/>
                <w:color w:val="auto"/>
              </w:rPr>
              <w:t>Little Rock, Arkansas 72202</w:t>
            </w:r>
          </w:p>
        </w:tc>
      </w:tr>
      <w:tr>
        <w:trPr>
          <w:trHeight w:val="206"/>
        </w:trPr>
        <w:tc>
          <w:tcPr>
            <w:tcW w:w="8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ARTICLE XIII.</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of incorporation shall be effective as of 12:01 am August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0" w:name="page61"/>
    <w:bookmarkEnd w:id="60"/>
    <w:p>
      <w:pPr>
        <w:ind w:firstLine="648"/>
        <w:spacing w:after="0" w:line="329" w:lineRule="auto"/>
        <w:rPr>
          <w:sz w:val="20"/>
          <w:szCs w:val="20"/>
          <w:color w:val="auto"/>
        </w:rPr>
      </w:pPr>
      <w:r>
        <w:rPr>
          <w:rFonts w:ascii="Arial" w:cs="Arial" w:eastAsia="Arial" w:hAnsi="Arial"/>
          <w:sz w:val="19"/>
          <w:szCs w:val="19"/>
          <w:color w:val="auto"/>
        </w:rPr>
        <w:t>IN WITNESS WHEREOF, the undersigned, being the incorporator herein before named, has executed, signed and acknowledged this certificate of incorporation as of this 25th day of August, 2022.</w:t>
      </w:r>
    </w:p>
    <w:p>
      <w:pPr>
        <w:spacing w:after="0" w:line="32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By:/s/ Scott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6985</wp:posOffset>
            </wp:positionV>
            <wp:extent cx="2854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22"/>
          <w:szCs w:val="22"/>
          <w:color w:val="auto"/>
        </w:rPr>
        <w:t>Name: Scott Ford</w:t>
      </w:r>
    </w:p>
    <w:p>
      <w:pPr>
        <w:ind w:left="5420"/>
        <w:spacing w:after="0"/>
        <w:rPr>
          <w:sz w:val="20"/>
          <w:szCs w:val="20"/>
          <w:color w:val="auto"/>
        </w:rPr>
      </w:pPr>
      <w:r>
        <w:rPr>
          <w:rFonts w:ascii="Arial" w:cs="Arial" w:eastAsia="Arial" w:hAnsi="Arial"/>
          <w:sz w:val="22"/>
          <w:szCs w:val="22"/>
          <w:color w:val="auto"/>
        </w:rPr>
        <w:t>Title: 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784225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980" w:top="118" w:right="135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SERIES A PREFERRED STOCK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757555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OF SERIES A CONVERTIBLE PREFERRED STOCK</w:t>
      </w:r>
    </w:p>
    <w:p>
      <w:pPr>
        <w:spacing w:after="0" w:line="212"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color w:val="auto"/>
        </w:rPr>
        <w:t>This exhibit (this “</w:t>
      </w:r>
      <w:r>
        <w:rPr>
          <w:rFonts w:ascii="Arial" w:cs="Arial" w:eastAsia="Arial" w:hAnsi="Arial"/>
          <w:sz w:val="19"/>
          <w:szCs w:val="19"/>
          <w:u w:val="single" w:color="auto"/>
          <w:color w:val="auto"/>
        </w:rPr>
        <w:t>Exhibit</w:t>
      </w:r>
      <w:r>
        <w:rPr>
          <w:rFonts w:ascii="Arial" w:cs="Arial" w:eastAsia="Arial" w:hAnsi="Arial"/>
          <w:sz w:val="19"/>
          <w:szCs w:val="19"/>
          <w:color w:val="auto"/>
        </w:rPr>
        <w:t>”) to the certificate of incorporation (the “</w:t>
      </w:r>
      <w:r>
        <w:rPr>
          <w:rFonts w:ascii="Arial" w:cs="Arial" w:eastAsia="Arial" w:hAnsi="Arial"/>
          <w:sz w:val="19"/>
          <w:szCs w:val="19"/>
          <w:u w:val="single" w:color="auto"/>
          <w:color w:val="auto"/>
        </w:rPr>
        <w:t>Charter</w:t>
      </w:r>
      <w:r>
        <w:rPr>
          <w:rFonts w:ascii="Arial" w:cs="Arial" w:eastAsia="Arial" w:hAnsi="Arial"/>
          <w:sz w:val="19"/>
          <w:szCs w:val="19"/>
          <w:color w:val="auto"/>
        </w:rPr>
        <w:t>”) of Westrock Coffee Company,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sets forth the designation, powers, preferences and relative, participating, optional or other special rights, including voting powers and rights, and the qualifications, limitations or restrictions thereof of the series of preferred stock, par value $0.01 per share, of the Corporation (“</w:t>
      </w:r>
      <w:r>
        <w:rPr>
          <w:rFonts w:ascii="Arial" w:cs="Arial" w:eastAsia="Arial" w:hAnsi="Arial"/>
          <w:sz w:val="19"/>
          <w:szCs w:val="19"/>
          <w:u w:val="single" w:color="auto"/>
          <w:color w:val="auto"/>
        </w:rPr>
        <w:t>Preferred Stock</w:t>
      </w:r>
      <w:r>
        <w:rPr>
          <w:rFonts w:ascii="Arial" w:cs="Arial" w:eastAsia="Arial" w:hAnsi="Arial"/>
          <w:sz w:val="19"/>
          <w:szCs w:val="19"/>
          <w:color w:val="auto"/>
        </w:rPr>
        <w:t>”) designated as Series A Convertible Preferred Stock (“</w:t>
      </w:r>
      <w:r>
        <w:rPr>
          <w:rFonts w:ascii="Arial" w:cs="Arial" w:eastAsia="Arial" w:hAnsi="Arial"/>
          <w:sz w:val="19"/>
          <w:szCs w:val="19"/>
          <w:u w:val="single" w:color="auto"/>
          <w:color w:val="auto"/>
        </w:rPr>
        <w:t>Series A Preferred Stock</w:t>
      </w:r>
      <w:r>
        <w:rPr>
          <w:rFonts w:ascii="Arial" w:cs="Arial" w:eastAsia="Arial" w:hAnsi="Arial"/>
          <w:sz w:val="19"/>
          <w:szCs w:val="19"/>
          <w:color w:val="auto"/>
        </w:rPr>
        <w:t>”) as follows:</w:t>
      </w:r>
    </w:p>
    <w:p>
      <w:pPr>
        <w:spacing w:after="0" w:line="141" w:lineRule="exact"/>
        <w:rPr>
          <w:sz w:val="20"/>
          <w:szCs w:val="20"/>
          <w:color w:val="auto"/>
        </w:rPr>
      </w:pPr>
    </w:p>
    <w:p>
      <w:pPr>
        <w:ind w:right="40" w:firstLine="1296"/>
        <w:spacing w:after="0" w:line="276" w:lineRule="auto"/>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b w:val="1"/>
          <w:bCs w:val="1"/>
          <w:u w:val="single" w:color="auto"/>
          <w:color w:val="auto"/>
        </w:rPr>
        <w:t>Designation and Number of Shares</w:t>
      </w:r>
      <w:r>
        <w:rPr>
          <w:rFonts w:ascii="Arial" w:cs="Arial" w:eastAsia="Arial" w:hAnsi="Arial"/>
          <w:sz w:val="19"/>
          <w:szCs w:val="19"/>
          <w:color w:val="auto"/>
        </w:rPr>
        <w:t>. 24,000,000 shares of Preferred Stock are</w:t>
      </w:r>
      <w:r>
        <w:rPr>
          <w:rFonts w:ascii="Arial" w:cs="Arial" w:eastAsia="Arial" w:hAnsi="Arial"/>
          <w:sz w:val="19"/>
          <w:szCs w:val="19"/>
          <w:b w:val="1"/>
          <w:bCs w:val="1"/>
          <w:color w:val="auto"/>
        </w:rPr>
        <w:t xml:space="preserve"> </w:t>
      </w:r>
      <w:r>
        <w:rPr>
          <w:rFonts w:ascii="Arial" w:cs="Arial" w:eastAsia="Arial" w:hAnsi="Arial"/>
          <w:sz w:val="19"/>
          <w:szCs w:val="19"/>
          <w:color w:val="auto"/>
        </w:rPr>
        <w:t>designated as the “Series A Convertible Preferred Stock.” Such number of shares may be increased or decreased by resolution of the board of directors of the Corporation (the “</w:t>
      </w:r>
      <w:r>
        <w:rPr>
          <w:rFonts w:ascii="Arial" w:cs="Arial" w:eastAsia="Arial" w:hAnsi="Arial"/>
          <w:sz w:val="19"/>
          <w:szCs w:val="19"/>
          <w:u w:val="single" w:color="auto"/>
          <w:color w:val="auto"/>
        </w:rPr>
        <w:t>Board of Directors</w:t>
      </w:r>
      <w:r>
        <w:rPr>
          <w:rFonts w:ascii="Arial" w:cs="Arial" w:eastAsia="Arial" w:hAnsi="Arial"/>
          <w:sz w:val="19"/>
          <w:szCs w:val="19"/>
          <w:color w:val="auto"/>
        </w:rPr>
        <w:t xml:space="preserve">”) or any duly authorized committee thereof, subject to the terms and conditions hereof and the requirements of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increase shall cause the number of authorized shares of Series A Preferred Stock to exceed the total number of authorized shares of Preferred Stock and (ii) no decrease shall reduce the number of shares of Series A Preferred Stock to a number less than the number of such shares then outstanding. The Corporation shall have the authority to issue fractional shares of Series A Preferred Stock.</w:t>
      </w:r>
    </w:p>
    <w:p>
      <w:pPr>
        <w:spacing w:after="0" w:line="150" w:lineRule="exact"/>
        <w:rPr>
          <w:sz w:val="20"/>
          <w:szCs w:val="20"/>
          <w:color w:val="auto"/>
        </w:rPr>
      </w:pPr>
    </w:p>
    <w:p>
      <w:pPr>
        <w:ind w:right="120" w:firstLine="1296"/>
        <w:spacing w:after="0" w:line="251"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b w:val="1"/>
          <w:bCs w:val="1"/>
          <w:u w:val="single" w:color="auto"/>
          <w:color w:val="auto"/>
        </w:rPr>
        <w:t>General Matters; Ranking</w:t>
      </w:r>
      <w:r>
        <w:rPr>
          <w:rFonts w:ascii="Arial" w:cs="Arial" w:eastAsia="Arial" w:hAnsi="Arial"/>
          <w:sz w:val="21"/>
          <w:szCs w:val="21"/>
          <w:color w:val="auto"/>
        </w:rPr>
        <w:t>. Each share of Series A Preferred Stock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identical in all respects to every other share of Series A Preferred Stock. The Series A Preferred Stock, with respect to dividend rights and/or distribution rights upon the liquidation, winding up or dissolution, as applicable, of the Corporation, shall rank (i) senior to each class or series of Junior Stock, (ii) on parity with each class or series of Parity Stock and (iii) junior to each class or series of Senior Stock.</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As used herein, for all purposes of this Exhibit:</w:t>
      </w:r>
    </w:p>
    <w:p>
      <w:pPr>
        <w:spacing w:after="0" w:line="212" w:lineRule="exact"/>
        <w:rPr>
          <w:sz w:val="20"/>
          <w:szCs w:val="20"/>
          <w:color w:val="auto"/>
        </w:rPr>
      </w:pPr>
    </w:p>
    <w:p>
      <w:pPr>
        <w:ind w:left="340" w:right="140" w:firstLine="32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as to any Person, any other Person that, directly or indirectly, controls, or is controlled by, or is under common control with,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 that the Corporation and its Subsidiaries shall not be deemed to be Affiliates of any Holder or any of its Affiliates, and (ii) portfolio companies (as such term is customarily used among institutional investors) in which any Holder or any of its Affiliates has an investment (whether as debt or equity) shall not be deemed an Affiliate of such Holder.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58" w:lineRule="exact"/>
        <w:rPr>
          <w:sz w:val="20"/>
          <w:szCs w:val="20"/>
          <w:color w:val="auto"/>
        </w:rPr>
      </w:pPr>
    </w:p>
    <w:p>
      <w:pPr>
        <w:ind w:left="340" w:right="24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Price</w:t>
      </w:r>
      <w:r>
        <w:rPr>
          <w:rFonts w:ascii="Arial" w:cs="Arial" w:eastAsia="Arial" w:hAnsi="Arial"/>
          <w:sz w:val="22"/>
          <w:szCs w:val="22"/>
          <w:color w:val="auto"/>
        </w:rPr>
        <w:t>” means, with respect to an issuance of Common Stock, the Average VWAP of the Common Stock for the ten (10) Trading Days ending on and including the reference date (or if the reference date is not a Trading Day, the ten (10) Trading Days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706120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3" w:name="page64"/>
    <w:bookmarkEnd w:id="63"/>
    <w:p>
      <w:pPr>
        <w:ind w:right="380"/>
        <w:spacing w:after="0" w:line="238" w:lineRule="auto"/>
        <w:rPr>
          <w:sz w:val="20"/>
          <w:szCs w:val="20"/>
          <w:color w:val="auto"/>
        </w:rPr>
      </w:pPr>
      <w:r>
        <w:rPr>
          <w:rFonts w:ascii="Arial" w:cs="Arial" w:eastAsia="Arial" w:hAnsi="Arial"/>
          <w:sz w:val="22"/>
          <w:szCs w:val="22"/>
          <w:color w:val="auto"/>
        </w:rPr>
        <w:t>thereto) for the pricing of such issuance as specified in the definitive agreement for such issuance, or if no such reference date is specified, the Trading Day immediately preceding the date on which the definitive agreement for such issuance is entered into, or if there is no such definitive agreement, the date when the issuance is made.</w:t>
      </w:r>
    </w:p>
    <w:p>
      <w:pPr>
        <w:spacing w:after="0" w:line="185" w:lineRule="exact"/>
        <w:rPr>
          <w:sz w:val="20"/>
          <w:szCs w:val="20"/>
          <w:color w:val="auto"/>
        </w:rPr>
      </w:pPr>
    </w:p>
    <w:p>
      <w:pPr>
        <w:ind w:right="360"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VWAP</w:t>
      </w:r>
      <w:r>
        <w:rPr>
          <w:rFonts w:ascii="Arial" w:cs="Arial" w:eastAsia="Arial" w:hAnsi="Arial"/>
          <w:sz w:val="22"/>
          <w:szCs w:val="22"/>
          <w:color w:val="auto"/>
        </w:rPr>
        <w:t>” per share over a certain period means the arithmetic average of the daily VWAP per share for each Trading Day in the relevant period.</w:t>
      </w:r>
    </w:p>
    <w:p>
      <w:pPr>
        <w:spacing w:after="0" w:line="175" w:lineRule="exact"/>
        <w:rPr>
          <w:sz w:val="20"/>
          <w:szCs w:val="20"/>
          <w:color w:val="auto"/>
        </w:rPr>
      </w:pPr>
    </w:p>
    <w:p>
      <w:pPr>
        <w:ind w:right="420"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BBH Investor</w:t>
      </w:r>
      <w:r>
        <w:rPr>
          <w:rFonts w:ascii="Arial" w:cs="Arial" w:eastAsia="Arial" w:hAnsi="Arial"/>
          <w:sz w:val="22"/>
          <w:szCs w:val="22"/>
          <w:color w:val="auto"/>
        </w:rPr>
        <w:t>” means BBH Capital Partners V, L.P., BBH Capital Partners V-A, L.P., and BBH CPV WCC Co-Investment LLC.</w:t>
      </w:r>
    </w:p>
    <w:p>
      <w:pPr>
        <w:spacing w:after="0" w:line="175" w:lineRule="exact"/>
        <w:rPr>
          <w:sz w:val="20"/>
          <w:szCs w:val="20"/>
          <w:color w:val="auto"/>
        </w:rPr>
      </w:pPr>
    </w:p>
    <w:p>
      <w:pPr>
        <w:ind w:right="680" w:firstLine="32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w:t>
      </w:r>
      <w:r>
        <w:rPr>
          <w:rFonts w:ascii="Arial" w:cs="Arial" w:eastAsia="Arial" w:hAnsi="Arial"/>
          <w:sz w:val="19"/>
          <w:szCs w:val="19"/>
          <w:color w:val="auto"/>
        </w:rPr>
        <w:t>” means, with respect to any security, the ownership of such security by any “Beneficial Owner,” as such term is defined in Rules 13d-3 and 13d-5 under the Exchange Act.</w:t>
      </w:r>
    </w:p>
    <w:p>
      <w:pPr>
        <w:spacing w:after="0" w:line="105" w:lineRule="exact"/>
        <w:rPr>
          <w:sz w:val="20"/>
          <w:szCs w:val="20"/>
          <w:color w:val="auto"/>
        </w:rPr>
      </w:pPr>
    </w:p>
    <w:p>
      <w:pPr>
        <w:ind w:right="300" w:firstLine="32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Saturday or Sunday or any other day on which commercial banks in New York City are authorized or required by law or executive order to close.</w:t>
      </w:r>
    </w:p>
    <w:p>
      <w:pPr>
        <w:spacing w:after="0" w:line="151" w:lineRule="exact"/>
        <w:rPr>
          <w:sz w:val="20"/>
          <w:szCs w:val="20"/>
          <w:color w:val="auto"/>
        </w:rPr>
      </w:pPr>
    </w:p>
    <w:p>
      <w:pPr>
        <w:ind w:right="260"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By-Laws</w:t>
      </w:r>
      <w:r>
        <w:rPr>
          <w:rFonts w:ascii="Arial" w:cs="Arial" w:eastAsia="Arial" w:hAnsi="Arial"/>
          <w:sz w:val="22"/>
          <w:szCs w:val="22"/>
          <w:color w:val="auto"/>
        </w:rPr>
        <w:t>” means the By-Laws of the Corporation, as they may be amended, modified or restated from time to time.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close of business</w:t>
      </w:r>
      <w:r>
        <w:rPr>
          <w:rFonts w:ascii="Arial" w:cs="Arial" w:eastAsia="Arial" w:hAnsi="Arial"/>
          <w:sz w:val="22"/>
          <w:szCs w:val="22"/>
          <w:color w:val="auto"/>
        </w:rPr>
        <w:t>” means 5:00 p.m., New York City time.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$0.01 per share, of the Corporation.</w:t>
      </w:r>
    </w:p>
    <w:p>
      <w:pPr>
        <w:spacing w:after="0" w:line="206" w:lineRule="exact"/>
        <w:rPr>
          <w:sz w:val="20"/>
          <w:szCs w:val="20"/>
          <w:color w:val="auto"/>
        </w:rPr>
      </w:pPr>
    </w:p>
    <w:p>
      <w:pPr>
        <w:jc w:val="both"/>
        <w:ind w:right="100" w:firstLine="32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Price</w:t>
      </w:r>
      <w:r>
        <w:rPr>
          <w:rFonts w:ascii="Arial" w:cs="Arial" w:eastAsia="Arial" w:hAnsi="Arial"/>
          <w:sz w:val="22"/>
          <w:szCs w:val="22"/>
          <w:color w:val="auto"/>
        </w:rPr>
        <w:t xml:space="preserve">” initially means $11.50 per share of Series A Preferred Stock, which amount is subject to adjustment pursuant to </w:t>
      </w:r>
      <w:r>
        <w:rPr>
          <w:rFonts w:ascii="Arial" w:cs="Arial" w:eastAsia="Arial" w:hAnsi="Arial"/>
          <w:sz w:val="22"/>
          <w:szCs w:val="22"/>
          <w:u w:val="single" w:color="auto"/>
          <w:color w:val="auto"/>
        </w:rPr>
        <w:t>Section 12</w:t>
      </w:r>
      <w:r>
        <w:rPr>
          <w:rFonts w:ascii="Arial" w:cs="Arial" w:eastAsia="Arial" w:hAnsi="Arial"/>
          <w:sz w:val="22"/>
          <w:szCs w:val="22"/>
          <w:color w:val="auto"/>
        </w:rPr>
        <w:t>. Whenever this Exhibit refers to the Conversion Price as of a particular date without setting forth a particular time on such date, such reference shall be deemed to be the Conversion Price as of the close of business on such date.</w:t>
      </w:r>
    </w:p>
    <w:p>
      <w:pPr>
        <w:spacing w:after="0" w:line="185" w:lineRule="exact"/>
        <w:rPr>
          <w:sz w:val="20"/>
          <w:szCs w:val="20"/>
          <w:color w:val="auto"/>
        </w:rPr>
      </w:pPr>
    </w:p>
    <w:p>
      <w:pPr>
        <w:ind w:right="140" w:firstLine="32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Blocker</w:t>
      </w:r>
      <w:r>
        <w:rPr>
          <w:rFonts w:ascii="Arial" w:cs="Arial" w:eastAsia="Arial" w:hAnsi="Arial"/>
          <w:sz w:val="19"/>
          <w:szCs w:val="19"/>
          <w:color w:val="auto"/>
        </w:rPr>
        <w:t xml:space="preserve">” means any credit agreement or similar arrangement, pursuant to which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third-party lender provides debt financing to the Corporation or its Subsidiaries, which prevents or restricts the payment of any dividends, distributions, liquidation or dissolution proceeds or any other payment on or redemption of the Series A Preferred Stock, on customary terms for such an agreement for a public company with a similar financial profile as the Corporation when such agreement was entered into.</w:t>
      </w:r>
    </w:p>
    <w:p>
      <w:pPr>
        <w:spacing w:after="0" w:line="147" w:lineRule="exact"/>
        <w:rPr>
          <w:sz w:val="20"/>
          <w:szCs w:val="20"/>
          <w:color w:val="auto"/>
        </w:rPr>
      </w:pPr>
    </w:p>
    <w:p>
      <w:pPr>
        <w:ind w:firstLine="32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 Payment Date</w:t>
      </w:r>
      <w:r>
        <w:rPr>
          <w:rFonts w:ascii="Arial" w:cs="Arial" w:eastAsia="Arial" w:hAnsi="Arial"/>
          <w:sz w:val="19"/>
          <w:szCs w:val="19"/>
          <w:color w:val="auto"/>
        </w:rPr>
        <w:t>” means March 31, June 30, September 30 and December 31 of each year; provided that, if any such Dividend Payment Date is not a Business Day, then the applicable Dividend shall be payable on the next Business Day immediately following such Dividend Payment Date, without any interest.</w:t>
      </w:r>
    </w:p>
    <w:p>
      <w:pPr>
        <w:spacing w:after="0" w:line="134" w:lineRule="exact"/>
        <w:rPr>
          <w:sz w:val="20"/>
          <w:szCs w:val="20"/>
          <w:color w:val="auto"/>
        </w:rPr>
      </w:pPr>
    </w:p>
    <w:p>
      <w:pPr>
        <w:ind w:right="260"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Payment Period</w:t>
      </w:r>
      <w:r>
        <w:rPr>
          <w:rFonts w:ascii="Arial" w:cs="Arial" w:eastAsia="Arial" w:hAnsi="Arial"/>
          <w:sz w:val="22"/>
          <w:szCs w:val="22"/>
          <w:color w:val="auto"/>
        </w:rPr>
        <w:t>” means, in respect of any share of Series A Preferred Stock, the period from and including the Initial Issue Date of such share to but excluding the next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40"/>
          </w:cols>
          <w:pgMar w:left="1320" w:top="118" w:right="1039" w:bottom="1440" w:gutter="0" w:footer="0" w:header="0"/>
        </w:sectPr>
      </w:pPr>
    </w:p>
    <w:bookmarkStart w:id="64" w:name="page65"/>
    <w:bookmarkEnd w:id="64"/>
    <w:p>
      <w:pPr>
        <w:ind w:left="8" w:right="60"/>
        <w:spacing w:after="0" w:line="251" w:lineRule="auto"/>
        <w:rPr>
          <w:sz w:val="20"/>
          <w:szCs w:val="20"/>
          <w:color w:val="auto"/>
        </w:rPr>
      </w:pPr>
      <w:r>
        <w:rPr>
          <w:rFonts w:ascii="Arial" w:cs="Arial" w:eastAsia="Arial" w:hAnsi="Arial"/>
          <w:sz w:val="22"/>
          <w:szCs w:val="22"/>
          <w:color w:val="auto"/>
        </w:rPr>
        <w:t>Dividend Payment Date and, subsequently, in each case, the period from and including any Dividend Payment Date to but excluding the next Dividend Payment Date.</w:t>
      </w:r>
    </w:p>
    <w:p>
      <w:pPr>
        <w:spacing w:after="0" w:line="173" w:lineRule="exact"/>
        <w:rPr>
          <w:sz w:val="20"/>
          <w:szCs w:val="20"/>
          <w:color w:val="auto"/>
        </w:rPr>
      </w:pPr>
    </w:p>
    <w:p>
      <w:pPr>
        <w:ind w:left="8" w:right="320"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thereunder.</w:t>
      </w:r>
    </w:p>
    <w:p>
      <w:pPr>
        <w:spacing w:after="0" w:line="175" w:lineRule="exact"/>
        <w:rPr>
          <w:sz w:val="20"/>
          <w:szCs w:val="20"/>
          <w:color w:val="auto"/>
        </w:rPr>
      </w:pPr>
    </w:p>
    <w:p>
      <w:pPr>
        <w:ind w:left="8" w:right="20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with respect to any security or other property, the fair market value of such security or other property as reasonably determined in good faith by the Board of Directors, or an authorized committee thereof.</w:t>
      </w:r>
    </w:p>
    <w:p>
      <w:pPr>
        <w:spacing w:after="0" w:line="186" w:lineRule="exact"/>
        <w:rPr>
          <w:sz w:val="20"/>
          <w:szCs w:val="20"/>
          <w:color w:val="auto"/>
        </w:rPr>
      </w:pPr>
    </w:p>
    <w:p>
      <w:pPr>
        <w:jc w:val="both"/>
        <w:ind w:left="8" w:right="120" w:firstLine="324"/>
        <w:spacing w:after="0" w:line="273" w:lineRule="auto"/>
        <w:rPr>
          <w:sz w:val="20"/>
          <w:szCs w:val="20"/>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Fundamental Change</w:t>
      </w:r>
      <w:r>
        <w:rPr>
          <w:rFonts w:ascii="Arial" w:cs="Arial" w:eastAsia="Arial" w:hAnsi="Arial"/>
          <w:sz w:val="19"/>
          <w:szCs w:val="19"/>
          <w:color w:val="auto"/>
        </w:rPr>
        <w:t>” shall be deemed to have occurred, at any time after the Initial Issue Date, if any of the following occurs: the consummation of (i) a sale of all or substantially all of the consolidated assets of the Corporation (including by way of any reorganization, merger, consolidation or other similar transaction);</w:t>
      </w:r>
    </w:p>
    <w:p>
      <w:pPr>
        <w:spacing w:after="0" w:line="1" w:lineRule="exact"/>
        <w:rPr>
          <w:sz w:val="20"/>
          <w:szCs w:val="20"/>
          <w:color w:val="auto"/>
        </w:rPr>
      </w:pPr>
    </w:p>
    <w:p>
      <w:pPr>
        <w:ind w:left="8" w:hanging="8"/>
        <w:spacing w:after="0" w:line="242" w:lineRule="auto"/>
        <w:tabs>
          <w:tab w:leader="none" w:pos="326" w:val="left"/>
        </w:tabs>
        <w:numPr>
          <w:ilvl w:val="0"/>
          <w:numId w:val="20"/>
        </w:numPr>
        <w:rPr>
          <w:rFonts w:ascii="Arial" w:cs="Arial" w:eastAsia="Arial" w:hAnsi="Arial"/>
          <w:sz w:val="21"/>
          <w:szCs w:val="21"/>
          <w:color w:val="auto"/>
        </w:rPr>
      </w:pPr>
      <w:r>
        <w:rPr>
          <w:rFonts w:ascii="Arial" w:cs="Arial" w:eastAsia="Arial" w:hAnsi="Arial"/>
          <w:sz w:val="21"/>
          <w:szCs w:val="21"/>
          <w:color w:val="auto"/>
        </w:rPr>
        <w:t>a direct or indirect acquisition of Beneficial Ownership of more than fifty percent (50%) of the Voting Securities of the Corporation by another Person or “group” (within the meaning of Rules 13d-3 and 13d-5 under the Exchange Act) (other than an equityholder of the Corporation immediately prior to the closing of the Merger (as defined in the Investor Rights Agreement) or its Affiliates or any “group” arising out of the Investor Rights Agreement) by means of any transaction or series of transactions (including any reorganization, merger, consolidation, joint venture, share transfer or other similar transaction); (iii) a consolidation, merger, reorganization or other form of acquisition of or by the Corporation or other transaction in which the Corporation’s stockholders retain less than fifty percent (50%) of the Voting Securities of the entity resulting from such transaction (including, without limitation, an entity that, as a result of such transaction, owns the Corporation either directly or indirectly through one or more Subsidiaries) upon consummation of such transaction; or (iv) the obtaining by any Person or group (within the meaning of Rules 13d-3 and 13d-5 under the Exchange Act) (other than an equityholder of the Corporation immediately prior to the closing of the Merger (as defined in the Investor Rights Agreement) or its Affiliates or any “group” arising out of the Investor Rights Agreement) of the power to elect a majority of the members of the Board of Directors.</w:t>
      </w:r>
    </w:p>
    <w:p>
      <w:pPr>
        <w:spacing w:after="0" w:line="191" w:lineRule="exact"/>
        <w:rPr>
          <w:sz w:val="20"/>
          <w:szCs w:val="20"/>
          <w:color w:val="auto"/>
        </w:rPr>
      </w:pPr>
    </w:p>
    <w:p>
      <w:pPr>
        <w:ind w:left="32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Fundamental Change Effective Date</w:t>
      </w:r>
      <w:r>
        <w:rPr>
          <w:rFonts w:ascii="Arial" w:cs="Arial" w:eastAsia="Arial" w:hAnsi="Arial"/>
          <w:sz w:val="19"/>
          <w:szCs w:val="19"/>
          <w:color w:val="auto"/>
        </w:rPr>
        <w:t>” shall mean the effective date of the relevant Fundamental Change.</w:t>
      </w:r>
    </w:p>
    <w:p>
      <w:pPr>
        <w:spacing w:after="0" w:line="241" w:lineRule="exact"/>
        <w:rPr>
          <w:sz w:val="20"/>
          <w:szCs w:val="20"/>
          <w:color w:val="auto"/>
        </w:rPr>
      </w:pPr>
    </w:p>
    <w:p>
      <w:pPr>
        <w:ind w:left="8" w:right="120" w:firstLine="32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Fundamental Change Redemption Price</w:t>
      </w:r>
      <w:r>
        <w:rPr>
          <w:rFonts w:ascii="Arial" w:cs="Arial" w:eastAsia="Arial" w:hAnsi="Arial"/>
          <w:sz w:val="21"/>
          <w:szCs w:val="21"/>
          <w:color w:val="auto"/>
        </w:rPr>
        <w:t xml:space="preserve">” means: (a) with respect to a Fundamental Change in which the consent of Holders of a majority of the Series A Preferred Stock then outstanding is required pursuant to </w:t>
      </w:r>
      <w:r>
        <w:rPr>
          <w:rFonts w:ascii="Arial" w:cs="Arial" w:eastAsia="Arial" w:hAnsi="Arial"/>
          <w:sz w:val="21"/>
          <w:szCs w:val="21"/>
          <w:u w:val="single" w:color="auto"/>
          <w:color w:val="auto"/>
        </w:rPr>
        <w:t>Section 7(b)(iv)</w:t>
      </w:r>
      <w:r>
        <w:rPr>
          <w:rFonts w:ascii="Arial" w:cs="Arial" w:eastAsia="Arial" w:hAnsi="Arial"/>
          <w:sz w:val="21"/>
          <w:szCs w:val="21"/>
          <w:color w:val="auto"/>
        </w:rPr>
        <w:t xml:space="preserve">, the greater of (i) the Liquidation Preference and (ii) the amount of cash and the Fair Market Value of any other property that the Holder would have received if such Holder had converted such share of Series A Preferred Stock into Common Stock immediately prior to such Fundamental Change pursuant to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(with the deemed Conversion Date for such purpose being the time immediately prior to such Fundamental Change); and (b) with respect to a Fundamental Change in which the consent of Holders of a majority of the Series A Preferred Stock then outstanding is not required pursuant to </w:t>
      </w:r>
      <w:r>
        <w:rPr>
          <w:rFonts w:ascii="Arial" w:cs="Arial" w:eastAsia="Arial" w:hAnsi="Arial"/>
          <w:sz w:val="21"/>
          <w:szCs w:val="21"/>
          <w:u w:val="single" w:color="auto"/>
          <w:color w:val="auto"/>
        </w:rPr>
        <w:t>Section 7(b)(iv)</w:t>
      </w:r>
      <w:r>
        <w:rPr>
          <w:rFonts w:ascii="Arial" w:cs="Arial" w:eastAsia="Arial" w:hAnsi="Arial"/>
          <w:sz w:val="21"/>
          <w:szCs w:val="21"/>
          <w:color w:val="auto"/>
        </w:rPr>
        <w:t>, the greater of (i) the Minimum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118" w:right="999" w:bottom="1440" w:gutter="0" w:footer="0" w:header="0"/>
        </w:sectPr>
      </w:pPr>
    </w:p>
    <w:bookmarkStart w:id="65" w:name="page66"/>
    <w:bookmarkEnd w:id="65"/>
    <w:p>
      <w:pPr>
        <w:ind w:right="220"/>
        <w:spacing w:after="0" w:line="252" w:lineRule="auto"/>
        <w:rPr>
          <w:sz w:val="20"/>
          <w:szCs w:val="20"/>
          <w:color w:val="auto"/>
        </w:rPr>
      </w:pPr>
      <w:r>
        <w:rPr>
          <w:rFonts w:ascii="Arial" w:cs="Arial" w:eastAsia="Arial" w:hAnsi="Arial"/>
          <w:sz w:val="21"/>
          <w:szCs w:val="21"/>
          <w:color w:val="auto"/>
        </w:rPr>
        <w:t xml:space="preserve">and (ii) the amount of cash and the Fair Market Value of any other property that the Holder would have received if such Holder had converted such share of Series A Preferred Stock into Common Stock immediately prior to such Fundamental Change pursuant to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(with the deemed Conversion Date for such purpose being the time immediately prior to such Fundamental Change).</w:t>
      </w:r>
    </w:p>
    <w:p>
      <w:pPr>
        <w:spacing w:after="0" w:line="174" w:lineRule="exact"/>
        <w:rPr>
          <w:sz w:val="20"/>
          <w:szCs w:val="20"/>
          <w:color w:val="auto"/>
        </w:rPr>
      </w:pPr>
    </w:p>
    <w:p>
      <w:pPr>
        <w:ind w:firstLine="32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Holder</w:t>
      </w:r>
      <w:r>
        <w:rPr>
          <w:rFonts w:ascii="Arial" w:cs="Arial" w:eastAsia="Arial" w:hAnsi="Arial"/>
          <w:sz w:val="21"/>
          <w:szCs w:val="21"/>
          <w:color w:val="auto"/>
        </w:rPr>
        <w:t>” means each Person in whose name shares of Series A Preferred Stock are registered, who shall be treated by the Corporation as the absolute owner of those shares of Series A Preferred Stock for the purpose of making payment and settling conversions and for all other purposes.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Issue Date</w:t>
      </w:r>
      <w:r>
        <w:rPr>
          <w:rFonts w:ascii="Arial" w:cs="Arial" w:eastAsia="Arial" w:hAnsi="Arial"/>
          <w:sz w:val="22"/>
          <w:szCs w:val="22"/>
          <w:color w:val="auto"/>
        </w:rPr>
        <w:t>” means the first original issue date of the Series A Preferred Stock.</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Liquidation Preference</w:t>
      </w:r>
      <w:r>
        <w:rPr>
          <w:rFonts w:ascii="Arial" w:cs="Arial" w:eastAsia="Arial" w:hAnsi="Arial"/>
          <w:sz w:val="19"/>
          <w:szCs w:val="19"/>
          <w:color w:val="auto"/>
        </w:rPr>
        <w:t>” means, as to any share of Series A Preferred Stock, $11.50 per share.</w:t>
      </w:r>
    </w:p>
    <w:p>
      <w:pPr>
        <w:spacing w:after="0" w:line="241" w:lineRule="exact"/>
        <w:rPr>
          <w:sz w:val="20"/>
          <w:szCs w:val="20"/>
          <w:color w:val="auto"/>
        </w:rPr>
      </w:pPr>
    </w:p>
    <w:p>
      <w:pPr>
        <w:ind w:right="240" w:firstLine="32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Investor Rights Agreement</w:t>
      </w:r>
      <w:r>
        <w:rPr>
          <w:rFonts w:ascii="Arial" w:cs="Arial" w:eastAsia="Arial" w:hAnsi="Arial"/>
          <w:sz w:val="19"/>
          <w:szCs w:val="19"/>
          <w:color w:val="auto"/>
        </w:rPr>
        <w:t>” means that certain Investor Rights Agreement, dated April 4, 2022, by and among the Corporation, Westrock Group, LLC, The Stephens Group, LLC, Sowell Westrock, L.P., BBH Capital Partners V, L.P., BBH Capital Partners V-A, L.P., BBH CPV WCC Co-Investment LLC, and Riverview Sponsor Partners, LLC, as amended or modified from time to time in accordance with its terms.</w:t>
      </w:r>
    </w:p>
    <w:p>
      <w:pPr>
        <w:spacing w:after="0" w:line="143"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Stock</w:t>
      </w:r>
      <w:r>
        <w:rPr>
          <w:rFonts w:ascii="Arial" w:cs="Arial" w:eastAsia="Arial" w:hAnsi="Arial"/>
          <w:sz w:val="22"/>
          <w:szCs w:val="22"/>
          <w:color w:val="auto"/>
        </w:rPr>
        <w:t>” means (i) the Common Stock and (ii) each other class or series of capital stock of the Corporation established after the Initial Issue Date, the terms of which do not expressly provide that such class or series ranks senior or on parity to the Series A Preferred Stock as to dividend rights or distribution rights upon the Corporation’s liquidation, winding up or dissolution.</w:t>
      </w:r>
    </w:p>
    <w:p>
      <w:pPr>
        <w:spacing w:after="0" w:line="185" w:lineRule="exact"/>
        <w:rPr>
          <w:sz w:val="20"/>
          <w:szCs w:val="20"/>
          <w:color w:val="auto"/>
        </w:rPr>
      </w:pPr>
    </w:p>
    <w:p>
      <w:pPr>
        <w:jc w:val="both"/>
        <w:ind w:right="8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Legally Available Funds</w:t>
      </w:r>
      <w:r>
        <w:rPr>
          <w:rFonts w:ascii="Arial" w:cs="Arial" w:eastAsia="Arial" w:hAnsi="Arial"/>
          <w:sz w:val="22"/>
          <w:szCs w:val="22"/>
          <w:color w:val="auto"/>
        </w:rPr>
        <w:t>” means cash funds that are legally available to the Corporation to pay dividends and make redemption and other payments to the Holders of the Series A Preferred Stock and that are not then restricted by any Debt Blocker.</w:t>
      </w:r>
    </w:p>
    <w:p>
      <w:pPr>
        <w:spacing w:after="0" w:line="186" w:lineRule="exact"/>
        <w:rPr>
          <w:sz w:val="20"/>
          <w:szCs w:val="20"/>
          <w:color w:val="auto"/>
        </w:rPr>
      </w:pPr>
    </w:p>
    <w:p>
      <w:pPr>
        <w:jc w:val="both"/>
        <w:ind w:right="62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Liquidation Preference</w:t>
      </w:r>
      <w:r>
        <w:rPr>
          <w:rFonts w:ascii="Arial" w:cs="Arial" w:eastAsia="Arial" w:hAnsi="Arial"/>
          <w:sz w:val="22"/>
          <w:szCs w:val="22"/>
          <w:color w:val="auto"/>
        </w:rPr>
        <w:t xml:space="preserve">” means, as to any share of Series A Preferred Stock, the Initial Liquidation Preference of such share, plus any declared but unpaid Dividends on such share, as adjusted pursuant to </w:t>
      </w:r>
      <w:r>
        <w:rPr>
          <w:rFonts w:ascii="Arial" w:cs="Arial" w:eastAsia="Arial" w:hAnsi="Arial"/>
          <w:sz w:val="22"/>
          <w:szCs w:val="22"/>
          <w:u w:val="single" w:color="auto"/>
          <w:color w:val="auto"/>
        </w:rPr>
        <w:t>Section 6(c)</w:t>
      </w:r>
      <w:r>
        <w:rPr>
          <w:rFonts w:ascii="Arial" w:cs="Arial" w:eastAsia="Arial" w:hAnsi="Arial"/>
          <w:sz w:val="22"/>
          <w:szCs w:val="22"/>
          <w:color w:val="auto"/>
        </w:rPr>
        <w:t>, if applicable.</w:t>
      </w:r>
    </w:p>
    <w:p>
      <w:pPr>
        <w:spacing w:after="0" w:line="186" w:lineRule="exact"/>
        <w:rPr>
          <w:sz w:val="20"/>
          <w:szCs w:val="20"/>
          <w:color w:val="auto"/>
        </w:rPr>
      </w:pPr>
    </w:p>
    <w:p>
      <w:pPr>
        <w:ind w:right="12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Disruption Event</w:t>
      </w:r>
      <w:r>
        <w:rPr>
          <w:rFonts w:ascii="Arial" w:cs="Arial" w:eastAsia="Arial" w:hAnsi="Arial"/>
          <w:sz w:val="22"/>
          <w:szCs w:val="22"/>
          <w:color w:val="auto"/>
        </w:rPr>
        <w:t>” means, on any day when the Common Stock is listed or admitted to trading or quoted on a securities exchange or quotation facility (whether U.S. national or regional or non-U.S.), any of the following events that occurs or continues to exist on such day:</w:t>
      </w:r>
    </w:p>
    <w:p>
      <w:pPr>
        <w:spacing w:after="0" w:line="186" w:lineRule="exact"/>
        <w:rPr>
          <w:sz w:val="20"/>
          <w:szCs w:val="20"/>
          <w:color w:val="auto"/>
        </w:rPr>
      </w:pPr>
    </w:p>
    <w:p>
      <w:pPr>
        <w:ind w:right="240" w:firstLine="316"/>
        <w:spacing w:after="0" w:line="235" w:lineRule="auto"/>
        <w:tabs>
          <w:tab w:leader="none" w:pos="58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suspension of, or limitation imposed on, trading by the Relevant Stock Exchange during the one-hour period prior to the close of trading for the regular trading session (or for purposes of determining the VWAP per Common Stock, any period or periods aggregating one half-hour or longer during the regular trading session) on the Relevant Stock Exchange on such day, and whether by reason of movements in price exceeding limits permitted by the Relevant Stock Exchange, or otherwise, relating to the Common Stock (specifically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8" w:right="999" w:bottom="1440" w:gutter="0" w:footer="0" w:header="0"/>
        </w:sectPr>
      </w:pPr>
    </w:p>
    <w:bookmarkStart w:id="66" w:name="page67"/>
    <w:bookmarkEnd w:id="66"/>
    <w:p>
      <w:pPr>
        <w:ind w:right="100"/>
        <w:spacing w:after="0" w:line="251" w:lineRule="auto"/>
        <w:rPr>
          <w:sz w:val="20"/>
          <w:szCs w:val="20"/>
          <w:color w:val="auto"/>
        </w:rPr>
      </w:pPr>
      <w:r>
        <w:rPr>
          <w:rFonts w:ascii="Arial" w:cs="Arial" w:eastAsia="Arial" w:hAnsi="Arial"/>
          <w:sz w:val="22"/>
          <w:szCs w:val="22"/>
          <w:color w:val="auto"/>
        </w:rPr>
        <w:t>among other shares generally) or to futures or options contracts relating to the Common Stock (specifically or among other shares generally) on the Relevant Stock Exchange;</w:t>
      </w:r>
    </w:p>
    <w:p>
      <w:pPr>
        <w:spacing w:after="0" w:line="173" w:lineRule="exact"/>
        <w:rPr>
          <w:sz w:val="20"/>
          <w:szCs w:val="20"/>
          <w:color w:val="auto"/>
        </w:rPr>
      </w:pPr>
    </w:p>
    <w:p>
      <w:pPr>
        <w:ind w:firstLine="316"/>
        <w:spacing w:after="0" w:line="246" w:lineRule="auto"/>
        <w:tabs>
          <w:tab w:leader="none" w:pos="642" w:val="left"/>
        </w:tabs>
        <w:numPr>
          <w:ilvl w:val="0"/>
          <w:numId w:val="22"/>
        </w:numPr>
        <w:rPr>
          <w:rFonts w:ascii="Arial" w:cs="Arial" w:eastAsia="Arial" w:hAnsi="Arial"/>
          <w:sz w:val="21"/>
          <w:szCs w:val="21"/>
          <w:color w:val="auto"/>
        </w:rPr>
      </w:pPr>
      <w:r>
        <w:rPr>
          <w:rFonts w:ascii="Arial" w:cs="Arial" w:eastAsia="Arial" w:hAnsi="Arial"/>
          <w:sz w:val="21"/>
          <w:szCs w:val="21"/>
          <w:color w:val="auto"/>
        </w:rPr>
        <w:t>any event that disrupts or impairs (as determined by the Corporation in its reasonable discretion) the ability of market participants, during the one-hour period prior to the close of trading for the regular trading session (or for purposes of determining the VWAP per Common Stock, any period or periods aggregating one half-hour or longer during the regular trading session) on the Relevant Stock Exchange on such day, to effect transactions in, or obtain market values for, the Common Stock (specifically or among other shares generally) on the Relevant Stock Exchange on such day or to effect transactions in, or obtain market values for, futures or options contracts relating to the Common Stock (specifically or among other shares generally) on the Relevant Stock Exchange on such day; or</w:t>
      </w:r>
    </w:p>
    <w:p>
      <w:pPr>
        <w:spacing w:after="0" w:line="179" w:lineRule="exact"/>
        <w:rPr>
          <w:rFonts w:ascii="Arial" w:cs="Arial" w:eastAsia="Arial" w:hAnsi="Arial"/>
          <w:sz w:val="21"/>
          <w:szCs w:val="21"/>
          <w:color w:val="auto"/>
        </w:rPr>
      </w:pPr>
    </w:p>
    <w:p>
      <w:pPr>
        <w:ind w:right="20" w:firstLine="316"/>
        <w:spacing w:after="0" w:line="277" w:lineRule="auto"/>
        <w:tabs>
          <w:tab w:leader="none" w:pos="702"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principal exchange or quotation facility (whether or not the Relevant Stock Exchange) on which futures or options contracts relating to the Common Stock are listed or admitted to trading or quoted fails to open, or closes prior to its respective scheduled closing time, for the regular trading session on such day (without regard to after hours or any other trading outside of the regular trading session hours), unless such earlier closing time is announced by such exchange or facility at least one hour prior to the earlier of (A) the actual closing time for the regular trading session on such day and (B) the submission deadline for orders to be entered into such exchange or facility for execution at the actual closing time on such day.</w:t>
      </w:r>
    </w:p>
    <w:p>
      <w:pPr>
        <w:spacing w:after="0" w:line="152" w:lineRule="exact"/>
        <w:rPr>
          <w:sz w:val="20"/>
          <w:szCs w:val="20"/>
          <w:color w:val="auto"/>
        </w:rPr>
      </w:pPr>
    </w:p>
    <w:p>
      <w:pPr>
        <w:jc w:val="both"/>
        <w:ind w:right="24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Price</w:t>
      </w:r>
      <w:r>
        <w:rPr>
          <w:rFonts w:ascii="Arial" w:cs="Arial" w:eastAsia="Arial" w:hAnsi="Arial"/>
          <w:sz w:val="22"/>
          <w:szCs w:val="22"/>
          <w:color w:val="auto"/>
        </w:rPr>
        <w:t>” means $18.50 per share of Series A Preferred Stock, adjusted to take into account any stock split, reverse stock split, stock dividend, combination or similar recapitalization affecting the Series A Preferred Stock following the date hereof.</w:t>
      </w:r>
    </w:p>
    <w:p>
      <w:pPr>
        <w:spacing w:after="0" w:line="186" w:lineRule="exact"/>
        <w:rPr>
          <w:sz w:val="20"/>
          <w:szCs w:val="20"/>
          <w:color w:val="auto"/>
        </w:rPr>
      </w:pPr>
    </w:p>
    <w:p>
      <w:pPr>
        <w:ind w:right="12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securities trading exchange operating under that name operated by NASDAQ OMX Group, Inc., including its Global Select Market, its Global Market and its Capital Market, as applicable to any specific securities.</w:t>
      </w:r>
    </w:p>
    <w:p>
      <w:pPr>
        <w:spacing w:after="0" w:line="186"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Parity Stock</w:t>
      </w:r>
      <w:r>
        <w:rPr>
          <w:rFonts w:ascii="Arial" w:cs="Arial" w:eastAsia="Arial" w:hAnsi="Arial"/>
          <w:sz w:val="22"/>
          <w:szCs w:val="22"/>
          <w:color w:val="auto"/>
        </w:rPr>
        <w:t>” means any class or series of capital stock of the Corporation established after the Initial Issue Date, the terms of which expressly provide that such class or series shall rank on parity with the Series A Preferred Stock as to dividend rights and distribution rights upon the Corporation’s liquidation, winding-up or dissolution.</w:t>
      </w:r>
    </w:p>
    <w:p>
      <w:pPr>
        <w:spacing w:after="0" w:line="185" w:lineRule="exact"/>
        <w:rPr>
          <w:sz w:val="20"/>
          <w:szCs w:val="20"/>
          <w:color w:val="auto"/>
        </w:rPr>
      </w:pPr>
    </w:p>
    <w:p>
      <w:pPr>
        <w:ind w:right="28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Discount</w:t>
      </w:r>
      <w:r>
        <w:rPr>
          <w:rFonts w:ascii="Arial" w:cs="Arial" w:eastAsia="Arial" w:hAnsi="Arial"/>
          <w:sz w:val="22"/>
          <w:szCs w:val="22"/>
          <w:color w:val="auto"/>
        </w:rPr>
        <w:t>” means, as of the determination date with respect to an issuance, the discount to market value customarily provided for an issuance or offering of comparable type and size as such offering, not to exceed fifteen percent (15%).</w:t>
      </w:r>
    </w:p>
    <w:p>
      <w:pPr>
        <w:spacing w:after="0" w:line="186" w:lineRule="exact"/>
        <w:rPr>
          <w:sz w:val="20"/>
          <w:szCs w:val="20"/>
          <w:color w:val="auto"/>
        </w:rPr>
      </w:pPr>
    </w:p>
    <w:p>
      <w:pPr>
        <w:ind w:right="380" w:firstLine="32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Issuance</w:t>
      </w:r>
      <w:r>
        <w:rPr>
          <w:rFonts w:ascii="Arial" w:cs="Arial" w:eastAsia="Arial" w:hAnsi="Arial"/>
          <w:sz w:val="22"/>
          <w:szCs w:val="22"/>
          <w:color w:val="auto"/>
        </w:rPr>
        <w:t xml:space="preserve">” means any issuances of Common Stock (i) following the Initial Issue Date in an aggregate amount of up to $200 million in gross proceeds and at a discount to the Applicable Price not in excess of the Permitted Discount, provided that, any issuance that would otherwise qualify as a Permitted Issuance under any of the </w:t>
      </w:r>
      <w:r>
        <w:rPr>
          <w:rFonts w:ascii="Arial" w:cs="Arial" w:eastAsia="Arial" w:hAnsi="Arial"/>
          <w:sz w:val="22"/>
          <w:szCs w:val="22"/>
          <w:u w:val="single" w:color="auto"/>
          <w:color w:val="auto"/>
        </w:rPr>
        <w:t>clauses (ii)-(v)</w:t>
      </w:r>
      <w:r>
        <w:rPr>
          <w:rFonts w:ascii="Arial" w:cs="Arial" w:eastAsia="Arial" w:hAnsi="Arial"/>
          <w:sz w:val="22"/>
          <w:szCs w:val="22"/>
          <w:color w:val="auto"/>
        </w:rPr>
        <w:t xml:space="preserve"> of this definition shall, even if it qualifies as Permitted Issuance under this clause (i), not be counted towards the $200 million threshold in this </w:t>
      </w:r>
      <w:r>
        <w:rPr>
          <w:rFonts w:ascii="Arial" w:cs="Arial" w:eastAsia="Arial" w:hAnsi="Arial"/>
          <w:sz w:val="22"/>
          <w:szCs w:val="22"/>
          <w:u w:val="single" w:color="auto"/>
          <w:color w:val="auto"/>
        </w:rPr>
        <w:t>clause (i)</w:t>
      </w:r>
      <w:r>
        <w:rPr>
          <w:rFonts w:ascii="Arial" w:cs="Arial" w:eastAsia="Arial" w:hAnsi="Arial"/>
          <w:sz w:val="22"/>
          <w:szCs w:val="22"/>
          <w:color w:val="auto"/>
        </w:rPr>
        <w:t>; (ii) in connection with any bona fide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8" w:right="999" w:bottom="1440" w:gutter="0" w:footer="0" w:header="0"/>
        </w:sectPr>
      </w:pPr>
    </w:p>
    <w:bookmarkStart w:id="67" w:name="page68"/>
    <w:bookmarkEnd w:id="67"/>
    <w:p>
      <w:pPr>
        <w:spacing w:after="0" w:line="270" w:lineRule="auto"/>
        <w:rPr>
          <w:sz w:val="20"/>
          <w:szCs w:val="20"/>
          <w:color w:val="auto"/>
        </w:rPr>
      </w:pPr>
      <w:r>
        <w:rPr>
          <w:rFonts w:ascii="Arial" w:cs="Arial" w:eastAsia="Arial" w:hAnsi="Arial"/>
          <w:sz w:val="19"/>
          <w:szCs w:val="19"/>
          <w:color w:val="auto"/>
        </w:rPr>
        <w:t xml:space="preserve">business combination transaction, (y) acquisitions of control or assets of another person, business unit or division reasonably related to the business of the Corporation, or (z) partnerships, joint ventures or similar strategic transactions with strategic counterparties, in each case with respect to which the Board of Directors has determined that the consideration being paid by the Corporation is fair to the Corporation; (iii) subject to the terms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as a dividend or distribution to the holders of Common Stock, or a subdivision or combination (including, without limitation, a stock split or a reverse stock split) of Common Stock or a reclassification of Common Stock into a greater or lesser number of shares of Common Stock; (iv) the granting or issuance of equity interests, including Common Stock, to directors, officers, employees, consultants, service providers or agents of the Corporation and its Affiliates (x) under benefit plans, programs or other compensatory arrangements of the Corporation or its Affiliates or (y) pursuant to the employment inducement exception to the NASDAQ rules regarding shareholder approval of equity compensation plans, including upon the exercise of stock options, the vesting and settlement of restricted stock unit awards, and the vesting and/or settlement of other awards granted under any such benefit plan, program or arrangement of the Corporation or its Affiliates; or (v) to satisfy the Corporation’s obligation to pay the aggregate Corporation Redemption Price or the aggregate Holder Redemption Price in full for any amount of Series A Preferred Stock not previously called or put (but not only part thereof), in the case of the immediately preceding (x) and (y), which have been approved by the Board of Directors.</w:t>
      </w:r>
    </w:p>
    <w:p>
      <w:pPr>
        <w:spacing w:after="0" w:line="169"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firm, corporation, limited liability company, business trust, joint stock company, trust, unincorporated association, joint venture, governmental authority or other entity of whatever nature.</w:t>
      </w:r>
    </w:p>
    <w:p>
      <w:pPr>
        <w:spacing w:after="0" w:line="186" w:lineRule="exact"/>
        <w:rPr>
          <w:sz w:val="20"/>
          <w:szCs w:val="20"/>
          <w:color w:val="auto"/>
        </w:rPr>
      </w:pPr>
    </w:p>
    <w:p>
      <w:pPr>
        <w:ind w:right="240" w:firstLine="32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Market</w:t>
      </w:r>
      <w:r>
        <w:rPr>
          <w:rFonts w:ascii="Arial" w:cs="Arial" w:eastAsia="Arial" w:hAnsi="Arial"/>
          <w:sz w:val="22"/>
          <w:szCs w:val="22"/>
          <w:color w:val="auto"/>
        </w:rPr>
        <w:t>” means, with respect to any day on which the Common Stock is listed or admitted to trading or quoted on any securities exchange or quotation facility (whether U.S. national or regional or non-U.S.), the principal such exchange or facility on which the Common Stock is so listed or admitted or so quoted.</w:t>
      </w:r>
    </w:p>
    <w:p>
      <w:pPr>
        <w:spacing w:after="0" w:line="185" w:lineRule="exact"/>
        <w:rPr>
          <w:sz w:val="20"/>
          <w:szCs w:val="20"/>
          <w:color w:val="auto"/>
        </w:rPr>
      </w:pPr>
    </w:p>
    <w:p>
      <w:pPr>
        <w:ind w:right="80" w:firstLine="32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 Date</w:t>
      </w:r>
      <w:r>
        <w:rPr>
          <w:rFonts w:ascii="Arial" w:cs="Arial" w:eastAsia="Arial" w:hAnsi="Arial"/>
          <w:sz w:val="19"/>
          <w:szCs w:val="19"/>
          <w:color w:val="auto"/>
        </w:rPr>
        <w:t>” means, with respect to any dividend, distribution or other transaction or event in which the holders of the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or a duly authorized committee thereof, statute, contract or otherwise).</w:t>
      </w:r>
    </w:p>
    <w:p>
      <w:pPr>
        <w:spacing w:after="0" w:line="150" w:lineRule="exact"/>
        <w:rPr>
          <w:sz w:val="20"/>
          <w:szCs w:val="20"/>
          <w:color w:val="auto"/>
        </w:rPr>
      </w:pPr>
    </w:p>
    <w:p>
      <w:pPr>
        <w:ind w:right="740"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Entities</w:t>
      </w:r>
      <w:r>
        <w:rPr>
          <w:rFonts w:ascii="Arial" w:cs="Arial" w:eastAsia="Arial" w:hAnsi="Arial"/>
          <w:sz w:val="22"/>
          <w:szCs w:val="22"/>
          <w:color w:val="auto"/>
        </w:rPr>
        <w:t>” means all governmental or self-regulatory authorities in the United States or elsewhere having jurisdiction over the Corporation or any of its Subsidiaries.</w:t>
      </w:r>
    </w:p>
    <w:p>
      <w:pPr>
        <w:spacing w:after="0" w:line="175"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Stock Exchange</w:t>
      </w:r>
      <w:r>
        <w:rPr>
          <w:rFonts w:ascii="Arial" w:cs="Arial" w:eastAsia="Arial" w:hAnsi="Arial"/>
          <w:sz w:val="22"/>
          <w:szCs w:val="22"/>
          <w:color w:val="auto"/>
        </w:rPr>
        <w:t>” means the NASDAQ or, if the Common Stock is not then listed on the NASDAQ, on the principal other U.S. national or regional securities exchange or quotation facility on which the Common Stock is then listed or admitted to trading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1320" w:top="118" w:right="1019" w:bottom="1440" w:gutter="0" w:footer="0" w:header="0"/>
        </w:sectPr>
      </w:pPr>
    </w:p>
    <w:bookmarkStart w:id="68" w:name="page69"/>
    <w:bookmarkEnd w:id="68"/>
    <w:p>
      <w:pPr>
        <w:ind w:right="360"/>
        <w:spacing w:after="0" w:line="329" w:lineRule="auto"/>
        <w:rPr>
          <w:sz w:val="20"/>
          <w:szCs w:val="20"/>
          <w:color w:val="auto"/>
        </w:rPr>
      </w:pPr>
      <w:r>
        <w:rPr>
          <w:rFonts w:ascii="Arial" w:cs="Arial" w:eastAsia="Arial" w:hAnsi="Arial"/>
          <w:sz w:val="19"/>
          <w:szCs w:val="19"/>
          <w:color w:val="auto"/>
        </w:rPr>
        <w:t>quoted or, if the Common Stock is not then listed on a U.S. national or regional securities exchange, on the principal other market on which the Common Stock is then listed or admitted for trading or so quoted.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Trading Day</w:t>
      </w:r>
      <w:r>
        <w:rPr>
          <w:rFonts w:ascii="Arial" w:cs="Arial" w:eastAsia="Arial" w:hAnsi="Arial"/>
          <w:sz w:val="22"/>
          <w:szCs w:val="22"/>
          <w:color w:val="auto"/>
        </w:rPr>
        <w:t>” means any day that is scheduled to be a Trading Day.</w:t>
      </w:r>
    </w:p>
    <w:p>
      <w:pPr>
        <w:spacing w:after="0" w:line="206"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Stock</w:t>
      </w:r>
      <w:r>
        <w:rPr>
          <w:rFonts w:ascii="Arial" w:cs="Arial" w:eastAsia="Arial" w:hAnsi="Arial"/>
          <w:sz w:val="22"/>
          <w:szCs w:val="22"/>
          <w:color w:val="auto"/>
        </w:rPr>
        <w:t>” means each class or series of capital stock of the Corporation established after the Initial Issue Date, the terms of which expressly provide that such class or series shall rank senior to the Series A Preferred Stock as to dividend rights or distribution rights upon the Corporation’s liquidation, winding-up or dissolution.</w:t>
      </w:r>
    </w:p>
    <w:p>
      <w:pPr>
        <w:spacing w:after="0" w:line="185" w:lineRule="exact"/>
        <w:rPr>
          <w:sz w:val="20"/>
          <w:szCs w:val="20"/>
          <w:color w:val="auto"/>
        </w:rPr>
      </w:pPr>
    </w:p>
    <w:p>
      <w:pPr>
        <w:ind w:right="20" w:firstLine="324"/>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association, partnership or other business entity of which more than 50% of the total voting power of shares of capital stock or other interests (including partnership or membership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7"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Trading Day</w:t>
      </w:r>
      <w:r>
        <w:rPr>
          <w:rFonts w:ascii="Arial" w:cs="Arial" w:eastAsia="Arial" w:hAnsi="Arial"/>
          <w:sz w:val="22"/>
          <w:szCs w:val="22"/>
          <w:color w:val="auto"/>
        </w:rPr>
        <w:t>” means a day on which (i) there is no Market Disruption Event and (ii) trading in Common Stock generally occurs on the Relevant Stock Exchange; provided that, if the Common Stock is not listed or admitted for trading and are not quoted on any securities exchange or quotation facility, “Trading Day” means any Business Day.</w:t>
      </w:r>
    </w:p>
    <w:p>
      <w:pPr>
        <w:spacing w:after="0" w:line="185" w:lineRule="exact"/>
        <w:rPr>
          <w:sz w:val="20"/>
          <w:szCs w:val="20"/>
          <w:color w:val="auto"/>
        </w:rPr>
      </w:pPr>
    </w:p>
    <w:p>
      <w:pPr>
        <w:jc w:val="both"/>
        <w:ind w:right="300" w:firstLine="32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means the Person acting as transfer agent, registrar and paying agent and conversion agent for the Series A Preferred Stock, and its successors and assigns. The Transfer Agent initially shall be Computershare Trust Company, N.A.</w:t>
      </w:r>
    </w:p>
    <w:p>
      <w:pPr>
        <w:spacing w:after="0" w:line="186"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Securities</w:t>
      </w:r>
      <w:r>
        <w:rPr>
          <w:rFonts w:ascii="Arial" w:cs="Arial" w:eastAsia="Arial" w:hAnsi="Arial"/>
          <w:sz w:val="22"/>
          <w:szCs w:val="22"/>
          <w:color w:val="auto"/>
        </w:rPr>
        <w:t>” means at any time shares of any class of capital stock or other securities of the Corporation that are then entitled to vote generally in the election of directors and not solely upon the occurrence and during the continuation of certain specified events, and any evidence of indebtedness, shares of capital stock (other than Common Stock) of the Corporation or other securities (including options, warrants and similar securities) that may be converted into, exercised for, or otherwise exchanged for such shares of capital stock of the Corporation.</w:t>
      </w:r>
    </w:p>
    <w:p>
      <w:pPr>
        <w:spacing w:after="0" w:line="188"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xml:space="preserve">” per share of Common Stock on any Trading Day means the per share volume-weighted average price on the Principal Market as displayed by Bloomberg (or its equivalent successor) in respect of the period from the scheduled open of trading until the scheduled close of trading of the primary trading session on the Principal Market on such Trading Day (or if such volume-weighted average price is not available, the market value per share of Common Stock on such Trading Day as determined, or there is no Principal Market for the Common Stock, using a volume-weighted average method, by a nationally recognized independent investment banking firm retained by the Corporation for this purpose at the Corporation’s sole expense). The VWAP during any period shall be appropriately adjusted to take into account the occurrence during such period of any event described in </w:t>
      </w:r>
      <w:r>
        <w:rPr>
          <w:rFonts w:ascii="Arial" w:cs="Arial" w:eastAsia="Arial" w:hAnsi="Arial"/>
          <w:sz w:val="19"/>
          <w:szCs w:val="19"/>
          <w:u w:val="single" w:color="auto"/>
          <w:color w:val="auto"/>
        </w:rPr>
        <w:t>Section 12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8" w:right="9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580" w:type="dxa"/>
            <w:vAlign w:val="bottom"/>
            <w:gridSpan w:val="3"/>
          </w:tcPr>
          <w:p>
            <w:pPr>
              <w:ind w:left="640"/>
              <w:spacing w:after="0"/>
              <w:rPr>
                <w:sz w:val="20"/>
                <w:szCs w:val="20"/>
                <w:color w:val="auto"/>
              </w:rPr>
            </w:pPr>
            <w:r>
              <w:rPr>
                <w:rFonts w:ascii="Arial" w:cs="Arial" w:eastAsia="Arial" w:hAnsi="Arial"/>
                <w:sz w:val="22"/>
                <w:szCs w:val="22"/>
                <w:color w:val="auto"/>
                <w:w w:val="90"/>
              </w:rPr>
              <w:t>Other Defined Terms:</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20"/>
        </w:trPr>
        <w:tc>
          <w:tcPr>
            <w:tcW w:w="660" w:type="dxa"/>
            <w:vAlign w:val="bottom"/>
            <w:gridSpan w:val="2"/>
          </w:tcPr>
          <w:p>
            <w:pPr>
              <w:spacing w:after="0"/>
              <w:rPr>
                <w:sz w:val="20"/>
                <w:szCs w:val="20"/>
                <w:color w:val="auto"/>
              </w:rPr>
            </w:pPr>
            <w:r>
              <w:rPr>
                <w:rFonts w:ascii="Arial" w:cs="Arial" w:eastAsia="Arial" w:hAnsi="Arial"/>
                <w:sz w:val="22"/>
                <w:szCs w:val="22"/>
                <w:b w:val="1"/>
                <w:bCs w:val="1"/>
                <w:color w:val="auto"/>
              </w:rPr>
              <w:t>Term</w:t>
            </w: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3"/>
          </w:tcPr>
          <w:p>
            <w:pPr>
              <w:ind w:left="660"/>
              <w:spacing w:after="0"/>
              <w:rPr>
                <w:sz w:val="20"/>
                <w:szCs w:val="20"/>
                <w:color w:val="auto"/>
              </w:rPr>
            </w:pPr>
            <w:r>
              <w:rPr>
                <w:rFonts w:ascii="Arial" w:cs="Arial" w:eastAsia="Arial" w:hAnsi="Arial"/>
                <w:sz w:val="22"/>
                <w:szCs w:val="22"/>
                <w:b w:val="1"/>
                <w:bCs w:val="1"/>
                <w:color w:val="auto"/>
              </w:rPr>
              <w:t>Section</w:t>
            </w:r>
          </w:p>
        </w:tc>
      </w:tr>
      <w:tr>
        <w:trPr>
          <w:trHeight w:val="215"/>
        </w:trPr>
        <w:tc>
          <w:tcPr>
            <w:tcW w:w="20" w:type="dxa"/>
            <w:vAlign w:val="bottom"/>
          </w:tcPr>
          <w:p>
            <w:pPr>
              <w:spacing w:after="0"/>
              <w:rPr>
                <w:sz w:val="18"/>
                <w:szCs w:val="18"/>
                <w:color w:val="auto"/>
              </w:rPr>
            </w:pPr>
          </w:p>
        </w:tc>
        <w:tc>
          <w:tcPr>
            <w:tcW w:w="2580" w:type="dxa"/>
            <w:vAlign w:val="bottom"/>
            <w:tcBorders>
              <w:top w:val="single" w:sz="8" w:color="auto"/>
            </w:tcBorders>
            <w:gridSpan w:val="3"/>
          </w:tcPr>
          <w:p>
            <w:pPr>
              <w:spacing w:after="0" w:line="216" w:lineRule="exact"/>
              <w:rPr>
                <w:sz w:val="20"/>
                <w:szCs w:val="20"/>
                <w:color w:val="auto"/>
              </w:rPr>
            </w:pPr>
            <w:r>
              <w:rPr>
                <w:rFonts w:ascii="Arial" w:cs="Arial" w:eastAsia="Arial" w:hAnsi="Arial"/>
                <w:sz w:val="22"/>
                <w:szCs w:val="22"/>
                <w:color w:val="auto"/>
                <w:w w:val="96"/>
              </w:rPr>
              <w:t>Blocked Redemption Event</w:t>
            </w:r>
          </w:p>
        </w:tc>
        <w:tc>
          <w:tcPr>
            <w:tcW w:w="92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Borders>
              <w:top w:val="single" w:sz="8" w:color="auto"/>
            </w:tcBorders>
            <w:gridSpan w:val="2"/>
          </w:tcPr>
          <w:p>
            <w:pPr>
              <w:jc w:val="right"/>
              <w:spacing w:after="0" w:line="216" w:lineRule="exact"/>
              <w:rPr>
                <w:sz w:val="20"/>
                <w:szCs w:val="20"/>
                <w:color w:val="auto"/>
              </w:rPr>
            </w:pPr>
            <w:r>
              <w:rPr>
                <w:rFonts w:ascii="Arial" w:cs="Arial" w:eastAsia="Arial" w:hAnsi="Arial"/>
                <w:sz w:val="22"/>
                <w:szCs w:val="22"/>
                <w:color w:val="auto"/>
              </w:rPr>
              <w:t>Section 6(c)</w:t>
            </w:r>
          </w:p>
        </w:tc>
        <w:tc>
          <w:tcPr>
            <w:tcW w:w="20" w:type="dxa"/>
            <w:vAlign w:val="bottom"/>
          </w:tcPr>
          <w:p>
            <w:pPr>
              <w:spacing w:after="0"/>
              <w:rPr>
                <w:sz w:val="18"/>
                <w:szCs w:val="18"/>
                <w:color w:val="auto"/>
              </w:rPr>
            </w:pPr>
          </w:p>
        </w:tc>
      </w:tr>
      <w:tr>
        <w:trPr>
          <w:trHeight w:val="224"/>
        </w:trPr>
        <w:tc>
          <w:tcPr>
            <w:tcW w:w="2600" w:type="dxa"/>
            <w:vAlign w:val="bottom"/>
            <w:gridSpan w:val="4"/>
          </w:tcPr>
          <w:p>
            <w:pPr>
              <w:spacing w:after="0" w:line="224" w:lineRule="exact"/>
              <w:rPr>
                <w:sz w:val="20"/>
                <w:szCs w:val="20"/>
                <w:color w:val="auto"/>
              </w:rPr>
            </w:pPr>
            <w:r>
              <w:rPr>
                <w:rFonts w:ascii="Arial" w:cs="Arial" w:eastAsia="Arial" w:hAnsi="Arial"/>
                <w:sz w:val="22"/>
                <w:szCs w:val="22"/>
                <w:color w:val="auto"/>
              </w:rPr>
              <w:t>Board of Directors</w:t>
            </w:r>
          </w:p>
        </w:tc>
        <w:tc>
          <w:tcPr>
            <w:tcW w:w="9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20"/>
              <w:spacing w:after="0" w:line="224" w:lineRule="exact"/>
              <w:rPr>
                <w:sz w:val="20"/>
                <w:szCs w:val="20"/>
                <w:color w:val="auto"/>
              </w:rPr>
            </w:pPr>
            <w:r>
              <w:rPr>
                <w:rFonts w:ascii="Arial" w:cs="Arial" w:eastAsia="Arial" w:hAnsi="Arial"/>
                <w:sz w:val="22"/>
                <w:szCs w:val="22"/>
                <w:color w:val="auto"/>
                <w:w w:val="87"/>
              </w:rPr>
              <w:t>Section 1</w:t>
            </w:r>
          </w:p>
        </w:tc>
      </w:tr>
      <w:tr>
        <w:trPr>
          <w:trHeight w:val="242"/>
        </w:trPr>
        <w:tc>
          <w:tcPr>
            <w:tcW w:w="2600" w:type="dxa"/>
            <w:vAlign w:val="bottom"/>
            <w:gridSpan w:val="4"/>
          </w:tcPr>
          <w:p>
            <w:pPr>
              <w:spacing w:after="0" w:line="242" w:lineRule="exact"/>
              <w:rPr>
                <w:sz w:val="20"/>
                <w:szCs w:val="20"/>
                <w:color w:val="auto"/>
              </w:rPr>
            </w:pPr>
            <w:r>
              <w:rPr>
                <w:rFonts w:ascii="Arial" w:cs="Arial" w:eastAsia="Arial" w:hAnsi="Arial"/>
                <w:sz w:val="22"/>
                <w:szCs w:val="22"/>
                <w:color w:val="auto"/>
              </w:rPr>
              <w:t>Charter</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2" w:lineRule="exact"/>
              <w:rPr>
                <w:sz w:val="20"/>
                <w:szCs w:val="20"/>
                <w:color w:val="auto"/>
              </w:rPr>
            </w:pPr>
            <w:r>
              <w:rPr>
                <w:rFonts w:ascii="Arial" w:cs="Arial" w:eastAsia="Arial" w:hAnsi="Arial"/>
                <w:sz w:val="22"/>
                <w:szCs w:val="22"/>
                <w:color w:val="auto"/>
              </w:rPr>
              <w:t>Preamble</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Conversion Date</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10(d)</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Corporation</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7920" w:type="dxa"/>
            <w:vAlign w:val="bottom"/>
            <w:gridSpan w:val="7"/>
          </w:tcPr>
          <w:p>
            <w:pPr>
              <w:spacing w:after="0" w:line="243" w:lineRule="exact"/>
              <w:rPr>
                <w:sz w:val="20"/>
                <w:szCs w:val="20"/>
                <w:color w:val="auto"/>
              </w:rPr>
            </w:pPr>
            <w:r>
              <w:rPr>
                <w:rFonts w:ascii="Arial" w:cs="Arial" w:eastAsia="Arial" w:hAnsi="Arial"/>
                <w:sz w:val="22"/>
                <w:szCs w:val="22"/>
                <w:color w:val="auto"/>
              </w:rPr>
              <w:t>Corporation Redemption Notice</w:t>
            </w: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6(b)</w:t>
            </w:r>
          </w:p>
        </w:tc>
      </w:tr>
      <w:tr>
        <w:trPr>
          <w:trHeight w:val="243"/>
        </w:trPr>
        <w:tc>
          <w:tcPr>
            <w:tcW w:w="7920" w:type="dxa"/>
            <w:vAlign w:val="bottom"/>
            <w:gridSpan w:val="7"/>
          </w:tcPr>
          <w:p>
            <w:pPr>
              <w:spacing w:after="0" w:line="243" w:lineRule="exact"/>
              <w:rPr>
                <w:sz w:val="20"/>
                <w:szCs w:val="20"/>
                <w:color w:val="auto"/>
              </w:rPr>
            </w:pPr>
            <w:r>
              <w:rPr>
                <w:rFonts w:ascii="Arial" w:cs="Arial" w:eastAsia="Arial" w:hAnsi="Arial"/>
                <w:sz w:val="22"/>
                <w:szCs w:val="22"/>
                <w:color w:val="auto"/>
              </w:rPr>
              <w:t>Corporation Redemption Notice Date</w:t>
            </w: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6(b)</w:t>
            </w:r>
          </w:p>
        </w:tc>
      </w:tr>
      <w:tr>
        <w:trPr>
          <w:trHeight w:val="243"/>
        </w:trPr>
        <w:tc>
          <w:tcPr>
            <w:tcW w:w="7920" w:type="dxa"/>
            <w:vAlign w:val="bottom"/>
            <w:gridSpan w:val="7"/>
          </w:tcPr>
          <w:p>
            <w:pPr>
              <w:spacing w:after="0" w:line="243" w:lineRule="exact"/>
              <w:rPr>
                <w:sz w:val="20"/>
                <w:szCs w:val="20"/>
                <w:color w:val="auto"/>
              </w:rPr>
            </w:pPr>
            <w:r>
              <w:rPr>
                <w:rFonts w:ascii="Arial" w:cs="Arial" w:eastAsia="Arial" w:hAnsi="Arial"/>
                <w:sz w:val="22"/>
                <w:szCs w:val="22"/>
                <w:color w:val="auto"/>
              </w:rPr>
              <w:t>Corporation Redemption Price</w:t>
            </w: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6(b)</w:t>
            </w:r>
          </w:p>
        </w:tc>
      </w:tr>
      <w:tr>
        <w:trPr>
          <w:trHeight w:val="243"/>
        </w:trPr>
        <w:tc>
          <w:tcPr>
            <w:tcW w:w="7920" w:type="dxa"/>
            <w:vAlign w:val="bottom"/>
            <w:gridSpan w:val="7"/>
          </w:tcPr>
          <w:p>
            <w:pPr>
              <w:spacing w:after="0" w:line="243" w:lineRule="exact"/>
              <w:rPr>
                <w:sz w:val="20"/>
                <w:szCs w:val="20"/>
                <w:color w:val="auto"/>
              </w:rPr>
            </w:pPr>
            <w:r>
              <w:rPr>
                <w:rFonts w:ascii="Arial" w:cs="Arial" w:eastAsia="Arial" w:hAnsi="Arial"/>
                <w:sz w:val="22"/>
                <w:szCs w:val="22"/>
                <w:color w:val="auto"/>
              </w:rPr>
              <w:t>Corporation Redemption Right</w:t>
            </w: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6(b)</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Corporation Reply Notice</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6(c)</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Covered Repurchase</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12(a)(ii)</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Dividends</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4(b)</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Exchange Property</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13</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Exhibit</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w w:val="92"/>
              </w:rPr>
              <w:t>Fundamental Change Notice</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8(b)</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w w:val="99"/>
              </w:rPr>
              <w:t>Holder Redemption Notice</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6(c)</w:t>
            </w:r>
          </w:p>
        </w:tc>
      </w:tr>
      <w:tr>
        <w:trPr>
          <w:trHeight w:val="243"/>
        </w:trPr>
        <w:tc>
          <w:tcPr>
            <w:tcW w:w="7920" w:type="dxa"/>
            <w:vAlign w:val="bottom"/>
            <w:gridSpan w:val="7"/>
          </w:tcPr>
          <w:p>
            <w:pPr>
              <w:spacing w:after="0" w:line="243" w:lineRule="exact"/>
              <w:rPr>
                <w:sz w:val="20"/>
                <w:szCs w:val="20"/>
                <w:color w:val="auto"/>
              </w:rPr>
            </w:pPr>
            <w:r>
              <w:rPr>
                <w:rFonts w:ascii="Arial" w:cs="Arial" w:eastAsia="Arial" w:hAnsi="Arial"/>
                <w:sz w:val="22"/>
                <w:szCs w:val="22"/>
                <w:color w:val="auto"/>
              </w:rPr>
              <w:t>Holder Redemption Notice Date</w:t>
            </w: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6(c)</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Holder Redemption Price</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6(c)</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Holder Redemption Right</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6(c)</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w w:val="98"/>
              </w:rPr>
              <w:t>Liquidation Event Payment</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5(a)</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Participating Dividends</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4(b)</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PIK Rate</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6(c)</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Preferred Dividends</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4(a)</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Preferred Stock</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Qualifying Stock</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8(a)</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Reorganization Event</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13</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SEC</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Section 16</w:t>
            </w:r>
          </w:p>
        </w:tc>
      </w:tr>
      <w:tr>
        <w:trPr>
          <w:trHeight w:val="243"/>
        </w:trPr>
        <w:tc>
          <w:tcPr>
            <w:tcW w:w="2600" w:type="dxa"/>
            <w:vAlign w:val="bottom"/>
            <w:gridSpan w:val="4"/>
          </w:tcPr>
          <w:p>
            <w:pPr>
              <w:spacing w:after="0" w:line="243" w:lineRule="exact"/>
              <w:rPr>
                <w:sz w:val="20"/>
                <w:szCs w:val="20"/>
                <w:color w:val="auto"/>
              </w:rPr>
            </w:pPr>
            <w:r>
              <w:rPr>
                <w:rFonts w:ascii="Arial" w:cs="Arial" w:eastAsia="Arial" w:hAnsi="Arial"/>
                <w:sz w:val="22"/>
                <w:szCs w:val="22"/>
                <w:color w:val="auto"/>
              </w:rPr>
              <w:t>Series A Preferred Stock</w:t>
            </w:r>
          </w:p>
        </w:tc>
        <w:tc>
          <w:tcPr>
            <w:tcW w:w="9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gridSpan w:val="3"/>
          </w:tcPr>
          <w:p>
            <w:pPr>
              <w:jc w:val="right"/>
              <w:ind w:right="20"/>
              <w:spacing w:after="0" w:line="243" w:lineRule="exact"/>
              <w:rPr>
                <w:sz w:val="20"/>
                <w:szCs w:val="20"/>
                <w:color w:val="auto"/>
              </w:rPr>
            </w:pPr>
            <w:r>
              <w:rPr>
                <w:rFonts w:ascii="Arial" w:cs="Arial" w:eastAsia="Arial" w:hAnsi="Arial"/>
                <w:sz w:val="22"/>
                <w:szCs w:val="22"/>
                <w:color w:val="auto"/>
              </w:rPr>
              <w:t>Preamble</w:t>
            </w:r>
          </w:p>
        </w:tc>
      </w:tr>
      <w:tr>
        <w:trPr>
          <w:trHeight w:val="274"/>
        </w:trPr>
        <w:tc>
          <w:tcPr>
            <w:tcW w:w="2600" w:type="dxa"/>
            <w:vAlign w:val="bottom"/>
            <w:gridSpan w:val="4"/>
          </w:tcPr>
          <w:p>
            <w:pPr>
              <w:spacing w:after="0"/>
              <w:rPr>
                <w:sz w:val="20"/>
                <w:szCs w:val="20"/>
                <w:color w:val="auto"/>
              </w:rPr>
            </w:pPr>
            <w:r>
              <w:rPr>
                <w:rFonts w:ascii="Arial" w:cs="Arial" w:eastAsia="Arial" w:hAnsi="Arial"/>
                <w:sz w:val="22"/>
                <w:szCs w:val="22"/>
                <w:color w:val="auto"/>
              </w:rPr>
              <w:t>Unit of Exchange Property</w:t>
            </w:r>
          </w:p>
        </w:tc>
        <w:tc>
          <w:tcPr>
            <w:tcW w:w="9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20" w:type="dxa"/>
            <w:vAlign w:val="bottom"/>
            <w:gridSpan w:val="3"/>
          </w:tcPr>
          <w:p>
            <w:pPr>
              <w:jc w:val="right"/>
              <w:ind w:right="20"/>
              <w:spacing w:after="0"/>
              <w:rPr>
                <w:sz w:val="20"/>
                <w:szCs w:val="20"/>
                <w:color w:val="auto"/>
              </w:rPr>
            </w:pPr>
            <w:r>
              <w:rPr>
                <w:rFonts w:ascii="Arial" w:cs="Arial" w:eastAsia="Arial" w:hAnsi="Arial"/>
                <w:sz w:val="22"/>
                <w:szCs w:val="22"/>
                <w:color w:val="auto"/>
              </w:rPr>
              <w:t>Section 13</w:t>
            </w:r>
          </w:p>
        </w:tc>
      </w:tr>
      <w:tr>
        <w:trPr>
          <w:trHeight w:val="40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2"/>
          </w:tcPr>
          <w:p>
            <w:pPr>
              <w:ind w:left="640"/>
              <w:spacing w:after="0"/>
              <w:rPr>
                <w:sz w:val="20"/>
                <w:szCs w:val="20"/>
                <w:color w:val="auto"/>
              </w:rPr>
            </w:pPr>
            <w:r>
              <w:rPr>
                <w:rFonts w:ascii="Arial" w:cs="Arial" w:eastAsia="Arial" w:hAnsi="Arial"/>
                <w:sz w:val="22"/>
                <w:szCs w:val="22"/>
                <w:b w:val="1"/>
                <w:bCs w:val="1"/>
                <w:color w:val="auto"/>
              </w:rPr>
              <w:t>Section 4</w:t>
            </w:r>
          </w:p>
        </w:tc>
        <w:tc>
          <w:tcPr>
            <w:tcW w:w="5320" w:type="dxa"/>
            <w:vAlign w:val="bottom"/>
            <w:gridSpan w:val="3"/>
          </w:tcPr>
          <w:p>
            <w:pPr>
              <w:spacing w:after="0"/>
              <w:rPr>
                <w:sz w:val="20"/>
                <w:szCs w:val="20"/>
                <w:color w:val="auto"/>
              </w:rPr>
            </w:pPr>
            <w:r>
              <w:rPr>
                <w:rFonts w:ascii="Arial" w:cs="Arial" w:eastAsia="Arial" w:hAnsi="Arial"/>
                <w:sz w:val="22"/>
                <w:szCs w:val="22"/>
                <w:b w:val="1"/>
                <w:bCs w:val="1"/>
                <w:color w:val="auto"/>
              </w:rPr>
              <w:t>Dividends.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1304"/>
        <w:spacing w:after="0" w:line="245" w:lineRule="auto"/>
        <w:tabs>
          <w:tab w:leader="none" w:pos="1944"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Preferred Dividends</w:t>
      </w:r>
      <w:r>
        <w:rPr>
          <w:rFonts w:ascii="Arial" w:cs="Arial" w:eastAsia="Arial" w:hAnsi="Arial"/>
          <w:sz w:val="21"/>
          <w:szCs w:val="21"/>
          <w:color w:val="auto"/>
        </w:rPr>
        <w:t>. With respect to any Dividend Payment Date, the Corporation may pay, out of Legally Available Funds, in its sole discretion, dividends on each share of Series A Preferred Stock in cash (a “</w:t>
      </w:r>
      <w:r>
        <w:rPr>
          <w:rFonts w:ascii="Arial" w:cs="Arial" w:eastAsia="Arial" w:hAnsi="Arial"/>
          <w:sz w:val="21"/>
          <w:szCs w:val="21"/>
          <w:u w:val="single" w:color="auto"/>
          <w:color w:val="auto"/>
        </w:rPr>
        <w:t>Preferred Dividend</w:t>
      </w:r>
      <w:r>
        <w:rPr>
          <w:rFonts w:ascii="Arial" w:cs="Arial" w:eastAsia="Arial" w:hAnsi="Arial"/>
          <w:sz w:val="21"/>
          <w:szCs w:val="21"/>
          <w:color w:val="auto"/>
        </w:rPr>
        <w:t>”), if, as, when and in such amount as authorized by the Board of Directors, or any duly authorized committee thereof; provided that Preferred Dividend payments shall be aggregated per Holder and shall be made to the nearest cent (with $.005 being rounded upward). The record date for payment of Preferred Dividends will be the close of business on the fifteenth (15th) day of the calendar month which contains the relevant Dividend Payment Date or such other record date fixed by the Board of Directors (or a duly authorized committee of the Board of Directors) that is not more than sixty (60) nor less than ten (10) days prior to such Dividend Payment Date (each, a “</w:t>
      </w:r>
      <w:r>
        <w:rPr>
          <w:rFonts w:ascii="Arial" w:cs="Arial" w:eastAsia="Arial" w:hAnsi="Arial"/>
          <w:sz w:val="21"/>
          <w:szCs w:val="21"/>
          <w:u w:val="single" w:color="auto"/>
          <w:color w:val="auto"/>
        </w:rPr>
        <w:t>Dividend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 w:right="999" w:bottom="1440" w:gutter="0" w:footer="0" w:header="0"/>
        </w:sectPr>
      </w:pPr>
    </w:p>
    <w:bookmarkStart w:id="70" w:name="page71"/>
    <w:bookmarkEnd w:id="70"/>
    <w:p>
      <w:pPr>
        <w:ind w:right="20"/>
        <w:spacing w:after="0" w:line="251" w:lineRule="auto"/>
        <w:rPr>
          <w:sz w:val="20"/>
          <w:szCs w:val="20"/>
          <w:color w:val="auto"/>
        </w:rPr>
      </w:pPr>
      <w:r>
        <w:rPr>
          <w:rFonts w:ascii="Arial" w:cs="Arial" w:eastAsia="Arial" w:hAnsi="Arial"/>
          <w:sz w:val="22"/>
          <w:szCs w:val="22"/>
          <w:u w:val="single" w:color="auto"/>
          <w:color w:val="auto"/>
        </w:rPr>
        <w:t>Date</w:t>
      </w:r>
      <w:r>
        <w:rPr>
          <w:rFonts w:ascii="Arial" w:cs="Arial" w:eastAsia="Arial" w:hAnsi="Arial"/>
          <w:sz w:val="22"/>
          <w:szCs w:val="22"/>
          <w:color w:val="auto"/>
        </w:rPr>
        <w:t>”). Any such day that is a Dividend Record Date shall be a Dividend Record Date whether or not such day is a Business Day.</w:t>
      </w:r>
    </w:p>
    <w:p>
      <w:pPr>
        <w:spacing w:after="0" w:line="173" w:lineRule="exact"/>
        <w:rPr>
          <w:sz w:val="20"/>
          <w:szCs w:val="20"/>
          <w:color w:val="auto"/>
        </w:rPr>
      </w:pPr>
    </w:p>
    <w:p>
      <w:pPr>
        <w:ind w:right="20" w:firstLine="1304"/>
        <w:spacing w:after="0" w:line="273" w:lineRule="auto"/>
        <w:tabs>
          <w:tab w:leader="none" w:pos="19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Participating Dividends</w:t>
      </w:r>
      <w:r>
        <w:rPr>
          <w:rFonts w:ascii="Arial" w:cs="Arial" w:eastAsia="Arial" w:hAnsi="Arial"/>
          <w:sz w:val="19"/>
          <w:szCs w:val="19"/>
          <w:color w:val="auto"/>
        </w:rPr>
        <w:t>. Subject to the rights of holders of any class or series of Senior Stock, the Board of Directors shall declare and the Holders of the Series A Preferred Stock shall receive any cash dividends (the “</w:t>
      </w:r>
      <w:r>
        <w:rPr>
          <w:rFonts w:ascii="Arial" w:cs="Arial" w:eastAsia="Arial" w:hAnsi="Arial"/>
          <w:sz w:val="19"/>
          <w:szCs w:val="19"/>
          <w:u w:val="single" w:color="auto"/>
          <w:color w:val="auto"/>
        </w:rPr>
        <w:t>Participating Dividends</w:t>
      </w:r>
      <w:r>
        <w:rPr>
          <w:rFonts w:ascii="Arial" w:cs="Arial" w:eastAsia="Arial" w:hAnsi="Arial"/>
          <w:sz w:val="19"/>
          <w:szCs w:val="19"/>
          <w:color w:val="auto"/>
        </w:rPr>
        <w:t>”, and together with Preferred Dividends, “</w:t>
      </w:r>
      <w:r>
        <w:rPr>
          <w:rFonts w:ascii="Arial" w:cs="Arial" w:eastAsia="Arial" w:hAnsi="Arial"/>
          <w:sz w:val="19"/>
          <w:szCs w:val="19"/>
          <w:u w:val="single" w:color="auto"/>
          <w:color w:val="auto"/>
        </w:rPr>
        <w:t>Dividends</w:t>
      </w:r>
      <w:r>
        <w:rPr>
          <w:rFonts w:ascii="Arial" w:cs="Arial" w:eastAsia="Arial" w:hAnsi="Arial"/>
          <w:sz w:val="19"/>
          <w:szCs w:val="19"/>
          <w:color w:val="auto"/>
        </w:rPr>
        <w:t>”) that are paid to the holders of the Common Stock to the same extent as if such Holders had converted their Series A Preferred Stock into Common Stock immediately prior to the applicable Record Date and had held such shares of as-converted Common Stock on the applicable Record Date, which such Participating Dividends shall be payable to the Holders as and when paid to the holders of shares of Common Stock. Each Participating Dividend shall be payable to the holders of record of shares of Series A Preferred Stock as they appear on the stock records of the Corporation at the close of business on the Record Date. The Corporation shall not declare or pay any cash dividends on any Junior Shares unless the holders of the Series A Preferred Stock then outstanding shall simultaneously receive Participating Dividends.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firstLine="1304"/>
        <w:spacing w:after="0" w:line="275" w:lineRule="auto"/>
        <w:tabs>
          <w:tab w:leader="none" w:pos="19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Priority of Dividends</w:t>
      </w:r>
      <w:r>
        <w:rPr>
          <w:rFonts w:ascii="Arial" w:cs="Arial" w:eastAsia="Arial" w:hAnsi="Arial"/>
          <w:sz w:val="19"/>
          <w:szCs w:val="19"/>
          <w:color w:val="auto"/>
        </w:rPr>
        <w:t xml:space="preserve">. So long as any shares of Series A Preferred Stock remain outstanding, unless (x) full Dividends on all outstanding shares of Series A Preferred Stock that have been declared from and including the Initial Issue Date have been paid in full, including, in arrearage, or a sum sufficient for the payment of those Dividends has been or is set aside by the Corporation, (y) no Escalation Event (as defined in the Investor Rights Agreement) is ongoing and (z) if any Fundamental Change has occurred, the requirements of </w:t>
      </w:r>
      <w:r>
        <w:rPr>
          <w:rFonts w:ascii="Arial" w:cs="Arial" w:eastAsia="Arial" w:hAnsi="Arial"/>
          <w:sz w:val="19"/>
          <w:szCs w:val="19"/>
          <w:u w:val="single" w:color="auto"/>
          <w:color w:val="auto"/>
        </w:rPr>
        <w:t>Section 7(b)(iv), if applicable,</w:t>
      </w:r>
      <w:r>
        <w:rPr>
          <w:rFonts w:ascii="Arial" w:cs="Arial" w:eastAsia="Arial" w:hAnsi="Arial"/>
          <w:sz w:val="19"/>
          <w:szCs w:val="19"/>
          <w:color w:val="auto"/>
        </w:rPr>
        <w:t xml:space="preserve"> were satisfied with respect to such Fundamental Change; may not declare any dividend on, or make any distributions relating to, Junior Stock, or redeem, purchase, acquire or make a liquidation payment relating to, any Junior Stock. The foregoing limitation shall not apply to:</w:t>
      </w:r>
    </w:p>
    <w:p>
      <w:pPr>
        <w:spacing w:after="0" w:line="157" w:lineRule="exact"/>
        <w:rPr>
          <w:sz w:val="20"/>
          <w:szCs w:val="20"/>
          <w:color w:val="auto"/>
        </w:rPr>
      </w:pPr>
    </w:p>
    <w:p>
      <w:pPr>
        <w:ind w:left="660" w:right="440" w:firstLine="644"/>
        <w:spacing w:after="0" w:line="250" w:lineRule="auto"/>
        <w:tabs>
          <w:tab w:leader="none" w:pos="1956"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dividend or distribution payable solely in shares of Common Stock or other Junior Stock, together with cash in lieu of any fractional share;</w:t>
      </w:r>
    </w:p>
    <w:p>
      <w:pPr>
        <w:spacing w:after="0" w:line="174" w:lineRule="exact"/>
        <w:rPr>
          <w:rFonts w:ascii="Arial" w:cs="Arial" w:eastAsia="Arial" w:hAnsi="Arial"/>
          <w:sz w:val="22"/>
          <w:szCs w:val="22"/>
          <w:color w:val="auto"/>
        </w:rPr>
      </w:pPr>
    </w:p>
    <w:p>
      <w:pPr>
        <w:ind w:left="660" w:right="80" w:firstLine="644"/>
        <w:spacing w:after="0" w:line="234" w:lineRule="auto"/>
        <w:tabs>
          <w:tab w:leader="none" w:pos="1956" w:val="left"/>
        </w:tabs>
        <w:numPr>
          <w:ilvl w:val="0"/>
          <w:numId w:val="25"/>
        </w:numPr>
        <w:rPr>
          <w:rFonts w:ascii="Arial" w:cs="Arial" w:eastAsia="Arial" w:hAnsi="Arial"/>
          <w:sz w:val="22"/>
          <w:szCs w:val="22"/>
          <w:color w:val="auto"/>
        </w:rPr>
      </w:pPr>
      <w:r>
        <w:rPr>
          <w:rFonts w:ascii="Arial" w:cs="Arial" w:eastAsia="Arial" w:hAnsi="Arial"/>
          <w:sz w:val="22"/>
          <w:szCs w:val="22"/>
          <w:color w:val="auto"/>
        </w:rPr>
        <w:t>purchases, redemptions or other acquisitions of Common Stock or other Junior Stock in connection with the administration of any benefit or other incentive plan, including any employment contract, in the ordinary course of business, including, without limitation, (x) the forfeiture of unvested shares of restricted stock or share withholding or other acquisitions or surrender of shares to which the holder may otherwise be entitled upon exercise, delivery or vesting of equity awards (whether in payment of applicable taxes, the exercise price or otherwise) and (y) the payment of cash in lieu of fractional shares;</w:t>
      </w:r>
    </w:p>
    <w:p>
      <w:pPr>
        <w:spacing w:after="0" w:line="190" w:lineRule="exact"/>
        <w:rPr>
          <w:rFonts w:ascii="Arial" w:cs="Arial" w:eastAsia="Arial" w:hAnsi="Arial"/>
          <w:sz w:val="22"/>
          <w:szCs w:val="22"/>
          <w:color w:val="auto"/>
        </w:rPr>
      </w:pPr>
    </w:p>
    <w:p>
      <w:pPr>
        <w:ind w:left="660" w:right="100" w:firstLine="644"/>
        <w:spacing w:after="0" w:line="238" w:lineRule="auto"/>
        <w:tabs>
          <w:tab w:leader="none" w:pos="1956" w:val="left"/>
        </w:tabs>
        <w:numPr>
          <w:ilvl w:val="0"/>
          <w:numId w:val="25"/>
        </w:numPr>
        <w:rPr>
          <w:rFonts w:ascii="Arial" w:cs="Arial" w:eastAsia="Arial" w:hAnsi="Arial"/>
          <w:sz w:val="22"/>
          <w:szCs w:val="22"/>
          <w:color w:val="auto"/>
        </w:rPr>
      </w:pPr>
      <w:r>
        <w:rPr>
          <w:rFonts w:ascii="Arial" w:cs="Arial" w:eastAsia="Arial" w:hAnsi="Arial"/>
          <w:sz w:val="22"/>
          <w:szCs w:val="22"/>
          <w:color w:val="auto"/>
        </w:rPr>
        <w:t>purchases or deemed purchases or acquisitions of fractional interests in shares of Common Stock or other Junior Stock pursuant to the conversion or exchange provisions of such shares of Junior Stock or any securities exchangeable for or convertible into shares of Common Stock or other Junior Stock;</w:t>
      </w:r>
    </w:p>
    <w:p>
      <w:pPr>
        <w:spacing w:after="0" w:line="184" w:lineRule="exact"/>
        <w:rPr>
          <w:rFonts w:ascii="Arial" w:cs="Arial" w:eastAsia="Arial" w:hAnsi="Arial"/>
          <w:sz w:val="22"/>
          <w:szCs w:val="22"/>
          <w:color w:val="auto"/>
        </w:rPr>
      </w:pPr>
    </w:p>
    <w:p>
      <w:pPr>
        <w:ind w:left="660" w:right="840" w:firstLine="644"/>
        <w:spacing w:after="0" w:line="250" w:lineRule="auto"/>
        <w:tabs>
          <w:tab w:leader="none" w:pos="1956"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dividends or distributions of rights or Common Stock or other Junior Stock in connection with a stockholders’ rights plan on customary terms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71" w:name="page72"/>
    <w:bookmarkEnd w:id="71"/>
    <w:p>
      <w:pPr>
        <w:ind w:left="660" w:right="460"/>
        <w:spacing w:after="0" w:line="329" w:lineRule="auto"/>
        <w:rPr>
          <w:sz w:val="20"/>
          <w:szCs w:val="20"/>
          <w:color w:val="auto"/>
        </w:rPr>
      </w:pPr>
      <w:r>
        <w:rPr>
          <w:rFonts w:ascii="Arial" w:cs="Arial" w:eastAsia="Arial" w:hAnsi="Arial"/>
          <w:sz w:val="19"/>
          <w:szCs w:val="19"/>
          <w:color w:val="auto"/>
        </w:rPr>
        <w:t>protect the Corporation against unsolicited offers to acquire capital stock of the Corporation or threats thereof or any redemption or repurchase of rights pursuant to any stockholders’ rights plan; and</w:t>
      </w:r>
    </w:p>
    <w:p>
      <w:pPr>
        <w:spacing w:after="0" w:line="104" w:lineRule="exact"/>
        <w:rPr>
          <w:sz w:val="20"/>
          <w:szCs w:val="20"/>
          <w:color w:val="auto"/>
        </w:rPr>
      </w:pPr>
    </w:p>
    <w:p>
      <w:pPr>
        <w:ind w:left="660" w:right="80" w:firstLine="644"/>
        <w:spacing w:after="0"/>
        <w:tabs>
          <w:tab w:leader="none" w:pos="195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exchange or conversion of Junior Stock for or into other Junior Stock or of Parity Stock for or into other Parity Stock (with the same or lesser aggregate liquidation preference) or Junior Stock and, in each case, the payment of cash in lieu of fractional shares.</w:t>
      </w:r>
    </w:p>
    <w:p>
      <w:pPr>
        <w:spacing w:after="0" w:line="186"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 xml:space="preserve">Subject to the foregoing, and not otherwise, such dividends as may be determined by the Board of Directors, or an authorized committee thereof, may be declared and paid (payable in cash, securities or other property) on any securities, including Common Stock and other Junior Stock, from time to time out of any funds legally available for such payment, and Holders shall not be entitled to participate in any such dividends other than as provided in </w:t>
      </w:r>
      <w:r>
        <w:rPr>
          <w:rFonts w:ascii="Arial" w:cs="Arial" w:eastAsia="Arial" w:hAnsi="Arial"/>
          <w:sz w:val="22"/>
          <w:szCs w:val="22"/>
          <w:u w:val="single" w:color="auto"/>
          <w:color w:val="auto"/>
        </w:rPr>
        <w:t>Section 4(b)</w:t>
      </w:r>
      <w:r>
        <w:rPr>
          <w:rFonts w:ascii="Arial" w:cs="Arial" w:eastAsia="Arial" w:hAnsi="Arial"/>
          <w:sz w:val="22"/>
          <w:szCs w:val="22"/>
          <w:color w:val="auto"/>
        </w:rPr>
        <w:t>.</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For so long as any shares of Series A Preferred Stock remain outstanding, if declared Dividends are not paid in full upon the shares of Series A Preferred Stock and any Parity Stock, all dividends declared upon shares of Series A Preferred Stock and any Parity Stock will be declared on a proportional basis so that the amount of dividends declared per share will bear to each other the same ratio that all unpaid Dividends as of the end of the most recent Dividend Payment Period per share of Series A Preferred Stock and accrued and unpaid dividends as of the end of the most recent dividend period per share of any Parity Stock bear to each other.</w:t>
      </w:r>
    </w:p>
    <w:p>
      <w:pPr>
        <w:spacing w:after="0" w:line="3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Liquidation, Dissolution or Winding Up</w:t>
      </w:r>
      <w:r>
        <w:rPr>
          <w:rFonts w:ascii="Arial" w:cs="Arial" w:eastAsia="Arial" w:hAnsi="Arial"/>
          <w:sz w:val="19"/>
          <w:szCs w:val="19"/>
          <w:b w:val="1"/>
          <w:bCs w:val="1"/>
          <w:color w:val="auto"/>
        </w:rPr>
        <w:t>.</w:t>
      </w:r>
    </w:p>
    <w:p>
      <w:pPr>
        <w:spacing w:after="0" w:line="212" w:lineRule="exact"/>
        <w:rPr>
          <w:sz w:val="20"/>
          <w:szCs w:val="20"/>
          <w:color w:val="auto"/>
        </w:rPr>
      </w:pPr>
    </w:p>
    <w:p>
      <w:pPr>
        <w:ind w:firstLine="1304"/>
        <w:spacing w:after="0" w:line="273" w:lineRule="auto"/>
        <w:tabs>
          <w:tab w:leader="none" w:pos="194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In the event of any voluntary or involuntary liquidation, winding-up or dissolution of the Corporation, each Holder shall be entitled to receive, per share of Series A Preferred Stock, the greater of (x) the Liquidation Preference and (y) the amount such Holder would be entitled to receive on an as-converted to Common Stock basis if such Holder elected to convert its Series A Preferred Stock immediately prior to such liquidation, winding-up or dissolution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 the deemed Conversion Date for such purpose being the time immediately prior to such liquidation, winding-up or dissolution) (the greater of clauses (x) and (y), the “</w:t>
      </w:r>
      <w:r>
        <w:rPr>
          <w:rFonts w:ascii="Arial" w:cs="Arial" w:eastAsia="Arial" w:hAnsi="Arial"/>
          <w:sz w:val="19"/>
          <w:szCs w:val="19"/>
          <w:u w:val="single" w:color="auto"/>
          <w:color w:val="auto"/>
        </w:rPr>
        <w:t>Liquidation Event Payment</w:t>
      </w:r>
      <w:r>
        <w:rPr>
          <w:rFonts w:ascii="Arial" w:cs="Arial" w:eastAsia="Arial" w:hAnsi="Arial"/>
          <w:sz w:val="19"/>
          <w:szCs w:val="19"/>
          <w:color w:val="auto"/>
        </w:rPr>
        <w:t>”), to be paid out of the assets of the Corporation legally available for distribution to its stockholders, after satisfaction of debt and other liabilities owed to the Corporation’s creditors and holders of shares of any Senior Stock and before any payment or distribution is made to holders of any Junior Stock, including, without limitation, Common Stock.</w:t>
      </w:r>
    </w:p>
    <w:p>
      <w:pPr>
        <w:spacing w:after="0" w:line="160" w:lineRule="exact"/>
        <w:rPr>
          <w:rFonts w:ascii="Arial" w:cs="Arial" w:eastAsia="Arial" w:hAnsi="Arial"/>
          <w:sz w:val="19"/>
          <w:szCs w:val="19"/>
          <w:color w:val="auto"/>
        </w:rPr>
      </w:pPr>
    </w:p>
    <w:p>
      <w:pPr>
        <w:ind w:right="140" w:firstLine="1304"/>
        <w:spacing w:after="0" w:line="234" w:lineRule="auto"/>
        <w:tabs>
          <w:tab w:leader="none" w:pos="1944"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upon the voluntary or involuntary liquidation, winding-up or dissolution of the Corporation, the assets of the Corporation available for distribution to the Holders and holders of Parity Stock shall be insufficient to permit payment in full to such holders of the sums which such holders are entitled to receive in such case, then all of the assets available for distribution to the Holders and holders of the Parity Stock shall be distributed among and paid to the Holders and holders of the Parity Stock, ratably in proportion to the respective amounts that would be payable to the Holders and such holders of Parity Stock if such assets were sufficient to permit payment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2" w:name="page73"/>
    <w:bookmarkEnd w:id="72"/>
    <w:p>
      <w:pPr>
        <w:ind w:left="-40" w:right="40" w:firstLine="1304"/>
        <w:spacing w:after="0" w:line="251" w:lineRule="auto"/>
        <w:tabs>
          <w:tab w:leader="none" w:pos="190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After the payment to any Holder of the full amount of the Liquidation Event Payment, such Holder shall have no right or claim to any of the remaining assets of the Corporation.</w:t>
      </w:r>
    </w:p>
    <w:p>
      <w:pPr>
        <w:spacing w:after="0" w:line="173" w:lineRule="exact"/>
        <w:rPr>
          <w:rFonts w:ascii="Arial" w:cs="Arial" w:eastAsia="Arial" w:hAnsi="Arial"/>
          <w:sz w:val="22"/>
          <w:szCs w:val="22"/>
          <w:color w:val="auto"/>
        </w:rPr>
      </w:pPr>
    </w:p>
    <w:p>
      <w:pPr>
        <w:ind w:left="-40" w:right="200" w:firstLine="1304"/>
        <w:spacing w:after="0" w:line="246" w:lineRule="auto"/>
        <w:tabs>
          <w:tab w:leader="none" w:pos="1904"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sale, conveyance, exchange or transfer (for cash, shares of stock, securities or other consideration) of all or substantially all of the property and assets of the Corporation or any Subsidiary of the Corporation, or any merger, consolidation, statutory exchange or any other business combination transaction of the Corporation or any Subsidiary of the Corporation into or with any other Person or the merger, consolidation, statutory exchange or any other business combination transaction of any other Person (whether or not the Corporation is the surviving or resulting entity) shall not be deemed to be the voluntary or involuntary liquidation, winding-up or dissolution of the Corporation.</w:t>
      </w:r>
    </w:p>
    <w:p>
      <w:pPr>
        <w:spacing w:after="0" w:line="178"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u w:val="single" w:color="auto"/>
          <w:color w:val="auto"/>
        </w:rPr>
        <w:t>Redemption</w:t>
      </w:r>
      <w:r>
        <w:rPr>
          <w:rFonts w:ascii="Arial" w:cs="Arial" w:eastAsia="Arial" w:hAnsi="Arial"/>
          <w:sz w:val="19"/>
          <w:szCs w:val="19"/>
          <w:b w:val="1"/>
          <w:bCs w:val="1"/>
          <w:color w:val="auto"/>
        </w:rPr>
        <w:t>.</w:t>
      </w:r>
    </w:p>
    <w:p>
      <w:pPr>
        <w:spacing w:after="0" w:line="212" w:lineRule="exact"/>
        <w:rPr>
          <w:sz w:val="20"/>
          <w:szCs w:val="20"/>
          <w:color w:val="auto"/>
        </w:rPr>
      </w:pPr>
    </w:p>
    <w:p>
      <w:pPr>
        <w:ind w:left="-40" w:right="20" w:firstLine="1304"/>
        <w:spacing w:after="0" w:line="297" w:lineRule="auto"/>
        <w:tabs>
          <w:tab w:leader="none" w:pos="190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Series A Preferred Stock is perpetual and has no maturity date. Other than as specifically permitted by this Exhibit or the Investor Rights Agreement, the Corporation may not redeem without the written consent of any Holder, or be required to redeem, any of the outstanding Series A Preferred Stock.</w:t>
      </w:r>
    </w:p>
    <w:p>
      <w:pPr>
        <w:spacing w:after="0" w:line="133" w:lineRule="exact"/>
        <w:rPr>
          <w:rFonts w:ascii="Arial" w:cs="Arial" w:eastAsia="Arial" w:hAnsi="Arial"/>
          <w:sz w:val="19"/>
          <w:szCs w:val="19"/>
          <w:color w:val="auto"/>
        </w:rPr>
      </w:pPr>
    </w:p>
    <w:p>
      <w:pPr>
        <w:ind w:left="-40" w:firstLine="1304"/>
        <w:spacing w:after="0" w:line="269" w:lineRule="auto"/>
        <w:tabs>
          <w:tab w:leader="none" w:pos="190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Redemption at the Option of the Corporation</w:t>
      </w:r>
      <w:r>
        <w:rPr>
          <w:rFonts w:ascii="Arial" w:cs="Arial" w:eastAsia="Arial" w:hAnsi="Arial"/>
          <w:sz w:val="19"/>
          <w:szCs w:val="19"/>
          <w:color w:val="auto"/>
        </w:rPr>
        <w:t>. At any time after the date that is five and a half years after the Initial Issue Date, the Corporation shall have the right (the “</w:t>
      </w:r>
      <w:r>
        <w:rPr>
          <w:rFonts w:ascii="Arial" w:cs="Arial" w:eastAsia="Arial" w:hAnsi="Arial"/>
          <w:sz w:val="19"/>
          <w:szCs w:val="19"/>
          <w:u w:val="single" w:color="auto"/>
          <w:color w:val="auto"/>
        </w:rPr>
        <w:t>Corporation Redemption Right</w:t>
      </w:r>
      <w:r>
        <w:rPr>
          <w:rFonts w:ascii="Arial" w:cs="Arial" w:eastAsia="Arial" w:hAnsi="Arial"/>
          <w:sz w:val="19"/>
          <w:szCs w:val="19"/>
          <w:color w:val="auto"/>
        </w:rPr>
        <w:t>”) to redeem, ratably, in whole or, from time to time in part, the shares of Series A Preferred Stock of any Holder then outstanding at a redemption price per share of Series A Preferred Stock (the “</w:t>
      </w:r>
      <w:r>
        <w:rPr>
          <w:rFonts w:ascii="Arial" w:cs="Arial" w:eastAsia="Arial" w:hAnsi="Arial"/>
          <w:sz w:val="19"/>
          <w:szCs w:val="19"/>
          <w:u w:val="single" w:color="auto"/>
          <w:color w:val="auto"/>
        </w:rPr>
        <w:t>Corporation Redemption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Price</w:t>
      </w:r>
      <w:r>
        <w:rPr>
          <w:rFonts w:ascii="Arial" w:cs="Arial" w:eastAsia="Arial" w:hAnsi="Arial"/>
          <w:sz w:val="19"/>
          <w:szCs w:val="19"/>
          <w:color w:val="auto"/>
        </w:rPr>
        <w:t xml:space="preserve">”) equal to the greater of (x) the Liquidation Preference and (y) the product of (i) the number of shares of Common Stock that would have been obtained from converting one share of Series A Preferred Stock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 the deemed Conversion Date for such purpose being the Corporation Redemption Notice Date and including fractional shares for this purpose) and (ii) the Average VWAP per share of the Common Stock over the ten (10) Trading Day period ending on and including the Trading Day immediately preceding the Corporation Redemption Notice Date. Holders may continue to exercise their right to convert shares of Series A Preferred Stock after the Corporation Redemption Notice Date prior to the date of redemption. The Corporation Redemption Price shall be payable in cash only. Notwithstanding the foregoing, the Corporation will not exercise the Corporation Redemption Right or otherwise send a Corporation Redemption Notice, in respect of the redemption of any Series A Preferred Stock pursuant to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unless the Corporation has sufficient Legally Available Funds to fully pay the Corporation Redemption Price in respect of all shares of Series A Preferred Stock called for redemption. If fewer than all of the shares of Series A Preferred Stock then outstanding are to be redeemed pursuant to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then such redemption shall occur on a pro rata basis with respect to all Holders based on the total number of shares of Series A Preferred Stock then held by such Holder relative to the total number of shares of Series A Preferred Stock then outstanding. The Corporation may exercise its right to redeem the Series A Preferred Stock under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by delivering a written notice (the “</w:t>
      </w:r>
      <w:r>
        <w:rPr>
          <w:rFonts w:ascii="Arial" w:cs="Arial" w:eastAsia="Arial" w:hAnsi="Arial"/>
          <w:sz w:val="19"/>
          <w:szCs w:val="19"/>
          <w:u w:val="single" w:color="auto"/>
          <w:color w:val="auto"/>
        </w:rPr>
        <w:t>Corporation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Redemption Notice</w:t>
      </w:r>
      <w:r>
        <w:rPr>
          <w:rFonts w:ascii="Arial" w:cs="Arial" w:eastAsia="Arial" w:hAnsi="Arial"/>
          <w:sz w:val="19"/>
          <w:szCs w:val="19"/>
          <w:color w:val="auto"/>
        </w:rPr>
        <w:t>”) thereof to all of the Holders at each such Holder’s address as it appears in the records of the Corporation or such other address as such Holder shall specify to the Corporation in writing from time to time, and the date the Holders are given such notice is referred to as a “</w:t>
      </w:r>
      <w:r>
        <w:rPr>
          <w:rFonts w:ascii="Arial" w:cs="Arial" w:eastAsia="Arial" w:hAnsi="Arial"/>
          <w:sz w:val="19"/>
          <w:szCs w:val="19"/>
          <w:u w:val="single" w:color="auto"/>
          <w:color w:val="auto"/>
        </w:rPr>
        <w:t>Corporation Redemption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20" w:top="118" w:right="1019" w:bottom="1440" w:gutter="0" w:footer="0" w:header="0"/>
        </w:sectPr>
      </w:pPr>
    </w:p>
    <w:bookmarkStart w:id="73" w:name="page74"/>
    <w:bookmarkEnd w:id="73"/>
    <w:p>
      <w:pPr>
        <w:ind w:right="60"/>
        <w:spacing w:after="0" w:line="272" w:lineRule="auto"/>
        <w:rPr>
          <w:sz w:val="20"/>
          <w:szCs w:val="20"/>
          <w:color w:val="auto"/>
        </w:rPr>
      </w:pPr>
      <w:r>
        <w:rPr>
          <w:rFonts w:ascii="Arial" w:cs="Arial" w:eastAsia="Arial" w:hAnsi="Arial"/>
          <w:sz w:val="19"/>
          <w:szCs w:val="19"/>
          <w:u w:val="single" w:color="auto"/>
          <w:color w:val="auto"/>
        </w:rPr>
        <w:t>Date</w:t>
      </w:r>
      <w:r>
        <w:rPr>
          <w:rFonts w:ascii="Arial" w:cs="Arial" w:eastAsia="Arial" w:hAnsi="Arial"/>
          <w:sz w:val="19"/>
          <w:szCs w:val="19"/>
          <w:color w:val="auto"/>
        </w:rPr>
        <w:t>.” Such Corporation Redemption Notice shall state (A) the date on which the redemption shall occur, which date shall be no earlier than thirty (30) days and no later than sixty (60) days from the Corporation Redemption Notice Date, (B) the number of shares of Series A Preferred Stock to be redeemed and, if fewer than all the shares of a Holder are to be redeemed, the number of such shares of Series A Preferred Stock to be redeemed, and</w:t>
      </w:r>
    </w:p>
    <w:p>
      <w:pPr>
        <w:ind w:right="40" w:firstLine="8"/>
        <w:spacing w:after="0" w:line="270" w:lineRule="auto"/>
        <w:tabs>
          <w:tab w:leader="none" w:pos="342"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Corporation Redemption Price to be paid on the redemption date. The Corporation Redemption Notice shall contain instructions whereby Holders will surrender to the Corporation or the Transfer Agent, as specified in the Corporation Redemption Notice, certificates (if any) representing all shares of Series A Preferred Stock specified in the Corporation Redemption Notice to be redeemed by the Corporation. On or before the applicable redemption date, each Holder of outstanding shares of Series A Preferred Stock shall, to the extent such shares are certificated, surrender the applicable certificate or certificates representing such shares called for redemption by the Corporation (or, if such certificate or certificates have been lost, stolen, or destroyed, a lost certificate affidavit and indemnity in form and substance reasonably acceptable to the Corporation) to the Corporation at the place or places specified in the Corporation Redemption Notice, and upon receipt thereof by the Corporation (if such shares are certificated) or if not so certificated, without any action, shall deliver or cause to be delivered to each such Holder, on the redemption date, cash in immediately available funds by wire transfer in an amount equal to the Corporation Redemption Price of the shares of Series A Preferred Stock in respect of which such Holder has complied with such instructions in accordance herewith.</w:t>
      </w:r>
    </w:p>
    <w:p>
      <w:pPr>
        <w:spacing w:after="0" w:line="161" w:lineRule="exact"/>
        <w:rPr>
          <w:rFonts w:ascii="Arial" w:cs="Arial" w:eastAsia="Arial" w:hAnsi="Arial"/>
          <w:sz w:val="19"/>
          <w:szCs w:val="19"/>
          <w:color w:val="auto"/>
        </w:rPr>
      </w:pPr>
    </w:p>
    <w:p>
      <w:pPr>
        <w:ind w:firstLine="1304"/>
        <w:spacing w:after="0" w:line="269" w:lineRule="auto"/>
        <w:tabs>
          <w:tab w:leader="none" w:pos="1944"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Redemption at the Option of the Holders</w:t>
      </w:r>
      <w:r>
        <w:rPr>
          <w:rFonts w:ascii="Arial" w:cs="Arial" w:eastAsia="Arial" w:hAnsi="Arial"/>
          <w:sz w:val="19"/>
          <w:szCs w:val="19"/>
          <w:color w:val="auto"/>
        </w:rPr>
        <w:t>. At any time after the date that is five and a half years after the Initial Issue Date, each Holder shall have the right, at such Holder’s option (the “</w:t>
      </w:r>
      <w:r>
        <w:rPr>
          <w:rFonts w:ascii="Arial" w:cs="Arial" w:eastAsia="Arial" w:hAnsi="Arial"/>
          <w:sz w:val="19"/>
          <w:szCs w:val="19"/>
          <w:u w:val="single" w:color="auto"/>
          <w:color w:val="auto"/>
        </w:rPr>
        <w:t>Holder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Redemption Right</w:t>
      </w:r>
      <w:r>
        <w:rPr>
          <w:rFonts w:ascii="Arial" w:cs="Arial" w:eastAsia="Arial" w:hAnsi="Arial"/>
          <w:sz w:val="19"/>
          <w:szCs w:val="19"/>
          <w:color w:val="auto"/>
        </w:rPr>
        <w:t>”), to require the Corporation, to the extent it shall have Legally Available Funds therefor, to redeem all or any whole number of such Holder’s Preferred Stock in cash only at a redemption price (the “</w:t>
      </w:r>
      <w:r>
        <w:rPr>
          <w:rFonts w:ascii="Arial" w:cs="Arial" w:eastAsia="Arial" w:hAnsi="Arial"/>
          <w:sz w:val="19"/>
          <w:szCs w:val="19"/>
          <w:u w:val="single" w:color="auto"/>
          <w:color w:val="auto"/>
        </w:rPr>
        <w:t>Holder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Redemption Price</w:t>
      </w:r>
      <w:r>
        <w:rPr>
          <w:rFonts w:ascii="Arial" w:cs="Arial" w:eastAsia="Arial" w:hAnsi="Arial"/>
          <w:sz w:val="19"/>
          <w:szCs w:val="19"/>
          <w:color w:val="auto"/>
        </w:rPr>
        <w:t xml:space="preserve">”) per share equal to the greater of (x) the Liquidation Preference and (y) the product of (i) the number of shares of Common Stock that would have been obtained from converting one share of Series A Preferred Stock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 the deemed Conversion Date for such purpose being the Holder Redemption Notice Date and including fractional shares for this purpose) and (ii) the Average VWAP per share of the Common Stock over the ten (10) Trading Day period ending on and including the Trading Day immediately preceding Holder Redemption Notice Date. On and after the Holder Redemption Notice Date, the Corporation may no longer exercise its right to redeem shares of Series A Preferred Stock pursuant to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with respect to such Holder, prior to the date of redemption of shares subject to the corresponding Holder Redemption Notice. A Holder may exercise its right to redeem the Series A Preferred Stock under this </w:t>
      </w:r>
      <w:r>
        <w:rPr>
          <w:rFonts w:ascii="Arial" w:cs="Arial" w:eastAsia="Arial" w:hAnsi="Arial"/>
          <w:sz w:val="19"/>
          <w:szCs w:val="19"/>
          <w:u w:val="single" w:color="auto"/>
          <w:color w:val="auto"/>
        </w:rPr>
        <w:t>Section 6(c)</w:t>
      </w:r>
      <w:r>
        <w:rPr>
          <w:rFonts w:ascii="Arial" w:cs="Arial" w:eastAsia="Arial" w:hAnsi="Arial"/>
          <w:sz w:val="19"/>
          <w:szCs w:val="19"/>
          <w:color w:val="auto"/>
        </w:rPr>
        <w:t xml:space="preserve"> by delivering a written notice (the “</w:t>
      </w:r>
      <w:r>
        <w:rPr>
          <w:rFonts w:ascii="Arial" w:cs="Arial" w:eastAsia="Arial" w:hAnsi="Arial"/>
          <w:sz w:val="19"/>
          <w:szCs w:val="19"/>
          <w:u w:val="single" w:color="auto"/>
          <w:color w:val="auto"/>
        </w:rPr>
        <w:t>Holder Redemption Notice</w:t>
      </w:r>
      <w:r>
        <w:rPr>
          <w:rFonts w:ascii="Arial" w:cs="Arial" w:eastAsia="Arial" w:hAnsi="Arial"/>
          <w:sz w:val="19"/>
          <w:szCs w:val="19"/>
          <w:color w:val="auto"/>
        </w:rPr>
        <w:t>”) thereof to the Corporation, such date on which a Holder has given such notice being referred to as a “</w:t>
      </w:r>
      <w:r>
        <w:rPr>
          <w:rFonts w:ascii="Arial" w:cs="Arial" w:eastAsia="Arial" w:hAnsi="Arial"/>
          <w:sz w:val="19"/>
          <w:szCs w:val="19"/>
          <w:u w:val="single" w:color="auto"/>
          <w:color w:val="auto"/>
        </w:rPr>
        <w:t>Holder Redemption Notice Date</w:t>
      </w:r>
      <w:r>
        <w:rPr>
          <w:rFonts w:ascii="Arial" w:cs="Arial" w:eastAsia="Arial" w:hAnsi="Arial"/>
          <w:sz w:val="19"/>
          <w:szCs w:val="19"/>
          <w:color w:val="auto"/>
        </w:rPr>
        <w:t>.” The Holder Redemption Notice shall certify (x) such Holder’s address, (y) the number of shares of Series A Preferred Stock held by such Holder and the number of shares of Series A Preferred Stock that such Holder has elected to have redeemed and (z) the Holder’s desired date of redemption, which shall be a Business Day that is no earlier than thirty (30) days and no later than sixty (60) days from the date such notice is sent if such notice is sent prior to the five and a half years anniversary of the Initial Issue Date and no earlier than sixty (60) days and no later than ninety (90) days otherwise, or such later date as may be required to comply with the requirements of applicable law. Within fifteen (15) days following the receipt of any Holder Redemption Notice, the Corporation shall deliver a notice to such Holder (the “</w:t>
      </w:r>
      <w:r>
        <w:rPr>
          <w:rFonts w:ascii="Arial" w:cs="Arial" w:eastAsia="Arial" w:hAnsi="Arial"/>
          <w:sz w:val="19"/>
          <w:szCs w:val="19"/>
          <w:u w:val="single" w:color="auto"/>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4" w:name="page75"/>
    <w:bookmarkEnd w:id="74"/>
    <w:p>
      <w:pPr>
        <w:ind w:right="40"/>
        <w:spacing w:after="0" w:line="269" w:lineRule="auto"/>
        <w:rPr>
          <w:sz w:val="20"/>
          <w:szCs w:val="20"/>
          <w:color w:val="auto"/>
        </w:rPr>
      </w:pPr>
      <w:r>
        <w:rPr>
          <w:rFonts w:ascii="Arial" w:cs="Arial" w:eastAsia="Arial" w:hAnsi="Arial"/>
          <w:sz w:val="19"/>
          <w:szCs w:val="19"/>
          <w:u w:val="single" w:color="auto"/>
          <w:color w:val="auto"/>
        </w:rPr>
        <w:t>Reply Notice</w:t>
      </w:r>
      <w:r>
        <w:rPr>
          <w:rFonts w:ascii="Arial" w:cs="Arial" w:eastAsia="Arial" w:hAnsi="Arial"/>
          <w:sz w:val="19"/>
          <w:szCs w:val="19"/>
          <w:color w:val="auto"/>
        </w:rPr>
        <w:t>”), at such Holder’s address specified in the Holder Redemption Notice, stating (A) the Holder Redemption Price and (B) the place or places where certificates for such shares of Series A Preferred Stock are to be surrendered for payment of the Holder Redemption Price. On the closing date set forth in any Holder Redemption Notice, the Corporation shall, to the extent of Legally Available Funds, redeem from such Holder (but only upon surrender by such Holder at the Corporation’s office or the Transfer Agent’s office, as specified in the Corporation Reply Notice, of the certificates representing such shares or, if such certificate or certificates have been lost, stolen, or destroyed, a lost certificate affidavit and indemnity in form and substance reasonably acceptable to the Corporation), such Holder’s shares of Series A Preferred Stock that such Holder has elected for redemption at a price per share equal to the Holder Redemption Price (to be paid in cash by wire transfer of immediately available funds). If on any applicable closing date for a redemption specified in any Corporation Reply Notice, the Corporation does not have sufficient Legally Available Funds to redeem all shares of Series A Preferred Stock that the Holders have elected to be redeemed, then the Corporation shall ratably redeem the maximum number of shares that may be redeemed with such Legally Available Funds. If the Corporation does not have sufficient Legally Available Funds, or is not otherwise able to satisfy the Holder Redemption Price, on any applicable closing date specified in any Holder Redemption Notice to redeem all shares of Series A Preferred Stock that Holders have elected to be redeemed (the first such occurrence, “</w:t>
      </w:r>
      <w:r>
        <w:rPr>
          <w:rFonts w:ascii="Arial" w:cs="Arial" w:eastAsia="Arial" w:hAnsi="Arial"/>
          <w:sz w:val="19"/>
          <w:szCs w:val="19"/>
          <w:u w:val="single" w:color="auto"/>
          <w:color w:val="auto"/>
        </w:rPr>
        <w:t>Blocked Redemption Event</w:t>
      </w:r>
      <w:r>
        <w:rPr>
          <w:rFonts w:ascii="Arial" w:cs="Arial" w:eastAsia="Arial" w:hAnsi="Arial"/>
          <w:sz w:val="19"/>
          <w:szCs w:val="19"/>
          <w:color w:val="auto"/>
        </w:rPr>
        <w:t>”), the Liquidation Preference on each share of Series A Preferred Stock outstanding following the Blocked Redemption Event shall start accreting daily, based on a 365-day calendar year, at a rate of ten percent (10%) per annum (the “</w:t>
      </w:r>
      <w:r>
        <w:rPr>
          <w:rFonts w:ascii="Arial" w:cs="Arial" w:eastAsia="Arial" w:hAnsi="Arial"/>
          <w:sz w:val="19"/>
          <w:szCs w:val="19"/>
          <w:u w:val="single" w:color="auto"/>
          <w:color w:val="auto"/>
        </w:rPr>
        <w:t>PIK Rate</w:t>
      </w:r>
      <w:r>
        <w:rPr>
          <w:rFonts w:ascii="Arial" w:cs="Arial" w:eastAsia="Arial" w:hAnsi="Arial"/>
          <w:sz w:val="19"/>
          <w:szCs w:val="19"/>
          <w:color w:val="auto"/>
        </w:rPr>
        <w:t>”) from and after such date. Following a Blocked Redemption Event, Holders shall have the right, at such Holder’s option, to require the Corporation, to the extent it shall have Legally Available Funds therefor, to redeem any of such Holder’s outstanding Series A Preferred Stock in cash only on each anniversary of the Initial Issue Date at the Holder Redemption Price by delivering the Holder Redemption Notice at least twenty (20) Business Days prior to such anniversary, which such notice shall specify that the desired redemption date shall be the anniversary date of the Initial Issue Date (or the next Business Day if such day is not a Business Day). Except as set forth in the preceding sentence, the other procedures with respect to a Holder requested redemption shall be the same as those that applied prior to the Blocked Redemption Event. On each subsequent anniversary date of a Blocked Redemption Event, if the Corporation is unable to again redeem all shares of Series A Preferred Stock then requested for redemption because of a Debt Blocker, the PIK Rate shall accrete daily, based on a 365-day calendar year, at an additional two percent (2%) per annum.</w:t>
      </w:r>
    </w:p>
    <w:p>
      <w:pPr>
        <w:spacing w:after="0" w:line="200" w:lineRule="exact"/>
        <w:rPr>
          <w:sz w:val="20"/>
          <w:szCs w:val="20"/>
          <w:color w:val="auto"/>
        </w:rPr>
      </w:pPr>
    </w:p>
    <w:p>
      <w:pPr>
        <w:spacing w:after="0" w:line="207" w:lineRule="exact"/>
        <w:rPr>
          <w:sz w:val="20"/>
          <w:szCs w:val="20"/>
          <w:color w:val="auto"/>
        </w:rPr>
      </w:pPr>
    </w:p>
    <w:p>
      <w:pPr>
        <w:ind w:firstLine="1304"/>
        <w:spacing w:after="0" w:line="297" w:lineRule="auto"/>
        <w:tabs>
          <w:tab w:leader="none" w:pos="194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Effect of Redemption</w:t>
      </w:r>
      <w:r>
        <w:rPr>
          <w:rFonts w:ascii="Arial" w:cs="Arial" w:eastAsia="Arial" w:hAnsi="Arial"/>
          <w:sz w:val="19"/>
          <w:szCs w:val="19"/>
          <w:color w:val="auto"/>
        </w:rPr>
        <w:t xml:space="preserve">. Effective immediately on the close of business on the date any Series A Preferred Stock is redeemed pursuant to this </w:t>
      </w:r>
      <w:r>
        <w:rPr>
          <w:rFonts w:ascii="Arial" w:cs="Arial" w:eastAsia="Arial" w:hAnsi="Arial"/>
          <w:sz w:val="19"/>
          <w:szCs w:val="19"/>
          <w:u w:val="single" w:color="auto"/>
          <w:color w:val="auto"/>
        </w:rPr>
        <w:t>Section 6</w:t>
      </w:r>
      <w:r>
        <w:rPr>
          <w:rFonts w:ascii="Arial" w:cs="Arial" w:eastAsia="Arial" w:hAnsi="Arial"/>
          <w:sz w:val="19"/>
          <w:szCs w:val="19"/>
          <w:color w:val="auto"/>
        </w:rPr>
        <w:t>, such redeemed shares of Series A Preferred Stock shall cease to be outstanding and all rights with respect to such redeemed shares shall cease and terminate.</w:t>
      </w:r>
    </w:p>
    <w:p>
      <w:pPr>
        <w:spacing w:after="0" w:line="133" w:lineRule="exact"/>
        <w:rPr>
          <w:rFonts w:ascii="Arial" w:cs="Arial" w:eastAsia="Arial" w:hAnsi="Arial"/>
          <w:sz w:val="19"/>
          <w:szCs w:val="19"/>
          <w:color w:val="auto"/>
        </w:rPr>
      </w:pPr>
    </w:p>
    <w:p>
      <w:pPr>
        <w:jc w:val="both"/>
        <w:ind w:right="220" w:firstLine="1304"/>
        <w:spacing w:after="0" w:line="238" w:lineRule="auto"/>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Status of Redeemed Shares</w:t>
      </w:r>
      <w:r>
        <w:rPr>
          <w:rFonts w:ascii="Arial" w:cs="Arial" w:eastAsia="Arial" w:hAnsi="Arial"/>
          <w:sz w:val="22"/>
          <w:szCs w:val="22"/>
          <w:color w:val="auto"/>
        </w:rPr>
        <w:t xml:space="preserve">. Shares of Series A Preferred Stock redeemed in accordance with this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shall return to the status of and constitute authorized but unissued shares of Preferred Stock, without classification as to series until such shares are once more classified as to a particular series by the Board of Directors pursuant to provisions of the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5" w:name="page76"/>
    <w:bookmarkEnd w:id="75"/>
    <w:p>
      <w:pPr>
        <w:ind w:left="-20" w:right="40" w:firstLine="1304"/>
        <w:spacing w:after="0" w:line="245" w:lineRule="auto"/>
        <w:tabs>
          <w:tab w:leader="none" w:pos="1924"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Partial Redemption</w:t>
      </w:r>
      <w:r>
        <w:rPr>
          <w:rFonts w:ascii="Arial" w:cs="Arial" w:eastAsia="Arial" w:hAnsi="Arial"/>
          <w:sz w:val="21"/>
          <w:szCs w:val="21"/>
          <w:color w:val="auto"/>
        </w:rPr>
        <w:t xml:space="preserve">. In the event that shares of Series A Preferred Stock representing less than all the shares of Series A Preferred Stock held by a Holder are redeemed pursuant to the Corporation Redemption Right or the Holder Redemption Right, upon such redemption and following such Holder’s surrender to the Corporation or the Transfer Agent of certificates (if any) representing such shares of Series A Preferred Stock specified to be redeemed pursuant to this </w:t>
      </w:r>
      <w:r>
        <w:rPr>
          <w:rFonts w:ascii="Arial" w:cs="Arial" w:eastAsia="Arial" w:hAnsi="Arial"/>
          <w:sz w:val="21"/>
          <w:szCs w:val="21"/>
          <w:u w:val="single" w:color="auto"/>
          <w:color w:val="auto"/>
        </w:rPr>
        <w:t>Section 6</w:t>
      </w:r>
      <w:r>
        <w:rPr>
          <w:rFonts w:ascii="Arial" w:cs="Arial" w:eastAsia="Arial" w:hAnsi="Arial"/>
          <w:sz w:val="21"/>
          <w:szCs w:val="21"/>
          <w:color w:val="auto"/>
        </w:rPr>
        <w:t>, the Corporation shall execute and the Transfer Agent shall, at the option of the Holder, countersign and deliver to such Holder, at the expense of the Corporation, a certificate representing the shares of Series A Preferred Stock held by the Holder as to which the Corporation Redemption Right or the Holder Redemption Right, as applicable, were not exercised (or book-entry interests representing such shares).</w:t>
      </w:r>
    </w:p>
    <w:p>
      <w:pPr>
        <w:spacing w:after="0" w:line="179"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Voting Powers</w:t>
      </w:r>
      <w:r>
        <w:rPr>
          <w:rFonts w:ascii="Arial" w:cs="Arial" w:eastAsia="Arial" w:hAnsi="Arial"/>
          <w:sz w:val="19"/>
          <w:szCs w:val="19"/>
          <w:b w:val="1"/>
          <w:bCs w:val="1"/>
          <w:color w:val="auto"/>
        </w:rPr>
        <w:t>.</w:t>
      </w:r>
    </w:p>
    <w:p>
      <w:pPr>
        <w:spacing w:after="0" w:line="212" w:lineRule="exact"/>
        <w:rPr>
          <w:sz w:val="20"/>
          <w:szCs w:val="20"/>
          <w:color w:val="auto"/>
        </w:rPr>
      </w:pPr>
    </w:p>
    <w:p>
      <w:pPr>
        <w:ind w:left="-20" w:right="20" w:firstLine="1304"/>
        <w:spacing w:after="0" w:line="272" w:lineRule="auto"/>
        <w:tabs>
          <w:tab w:leader="none" w:pos="192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Voting</w:t>
      </w:r>
      <w:r>
        <w:rPr>
          <w:rFonts w:ascii="Arial" w:cs="Arial" w:eastAsia="Arial" w:hAnsi="Arial"/>
          <w:sz w:val="19"/>
          <w:szCs w:val="19"/>
          <w:color w:val="auto"/>
        </w:rPr>
        <w:t xml:space="preserve">. Each Holder shall be entitled to the whole number of votes equal to the number of whole shares of Common Stock into which such Holder’s shares of Series A Preferred Stock would be convertible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 the deemed Conversion Date for such purpose being the record date for the vote or consent of stockholders or, if no record date is established, the date such vote or consent is taken) and shall otherwise have voting rights and consent rights equal to the voting rights and consent rights of the Common Stock to the fullest extent permitted by law. Each Holder shall be entitled to receive the same prior notice of any stockholders’ meeting as is provided to the holders of Common Stock in accordance with the By-Laws, as well as prior notice of all stockholder actions to be taken by legally available means in lieu of a meeting, and shall vote as a class with the holders of Common Stock and the holders of any other class or series of capital stock of the Corporation then entitled to vote with the Common Stock as if they were a single class of securities upon any matter submitted to a vote of the holders of Common Stock, except those matters required by law or by the terms hereof to be submitted to a class vote of the Holders, in which case the Holders only shall vote as a separate class.</w:t>
      </w:r>
    </w:p>
    <w:p>
      <w:pPr>
        <w:spacing w:after="0" w:line="160" w:lineRule="exact"/>
        <w:rPr>
          <w:rFonts w:ascii="Arial" w:cs="Arial" w:eastAsia="Arial" w:hAnsi="Arial"/>
          <w:sz w:val="19"/>
          <w:szCs w:val="19"/>
          <w:color w:val="auto"/>
        </w:rPr>
      </w:pPr>
    </w:p>
    <w:p>
      <w:pPr>
        <w:ind w:left="-20" w:firstLine="1304"/>
        <w:spacing w:after="0" w:line="249" w:lineRule="auto"/>
        <w:tabs>
          <w:tab w:leader="none" w:pos="192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Other Consent Rights</w:t>
      </w:r>
      <w:r>
        <w:rPr>
          <w:rFonts w:ascii="Arial" w:cs="Arial" w:eastAsia="Arial" w:hAnsi="Arial"/>
          <w:sz w:val="21"/>
          <w:szCs w:val="21"/>
          <w:color w:val="auto"/>
        </w:rPr>
        <w:t xml:space="preserve">. So long as any shares of the Series A Preferred Stock are outstanding, the Corporation shall not, without the affirmative vote or consent of the holders of record of at least a majority in voting power of the outstanding shares of the Series A Preferred Stock (subject to the last paragraph of this </w:t>
      </w:r>
      <w:r>
        <w:rPr>
          <w:rFonts w:ascii="Arial" w:cs="Arial" w:eastAsia="Arial" w:hAnsi="Arial"/>
          <w:sz w:val="21"/>
          <w:szCs w:val="21"/>
          <w:u w:val="single" w:color="auto"/>
          <w:color w:val="auto"/>
        </w:rPr>
        <w:t>Section 7(b)</w:t>
      </w:r>
      <w:r>
        <w:rPr>
          <w:rFonts w:ascii="Arial" w:cs="Arial" w:eastAsia="Arial" w:hAnsi="Arial"/>
          <w:sz w:val="21"/>
          <w:szCs w:val="21"/>
          <w:color w:val="auto"/>
        </w:rPr>
        <w:t>), voting together as a single, separate class, given in person or by proxy, either in writing without a meeting or by vote at an annual or special meeting of such stockholders:</w:t>
      </w:r>
    </w:p>
    <w:p>
      <w:pPr>
        <w:spacing w:after="0" w:line="178" w:lineRule="exact"/>
        <w:rPr>
          <w:sz w:val="20"/>
          <w:szCs w:val="20"/>
          <w:color w:val="auto"/>
        </w:rPr>
      </w:pPr>
    </w:p>
    <w:p>
      <w:pPr>
        <w:ind w:left="640" w:right="80" w:firstLine="644"/>
        <w:spacing w:after="0"/>
        <w:tabs>
          <w:tab w:leader="none" w:pos="1936" w:val="left"/>
        </w:tabs>
        <w:numPr>
          <w:ilvl w:val="0"/>
          <w:numId w:val="34"/>
        </w:numPr>
        <w:rPr>
          <w:rFonts w:ascii="Arial" w:cs="Arial" w:eastAsia="Arial" w:hAnsi="Arial"/>
          <w:sz w:val="22"/>
          <w:szCs w:val="22"/>
          <w:color w:val="auto"/>
        </w:rPr>
      </w:pPr>
      <w:r>
        <w:rPr>
          <w:rFonts w:ascii="Arial" w:cs="Arial" w:eastAsia="Arial" w:hAnsi="Arial"/>
          <w:sz w:val="22"/>
          <w:szCs w:val="22"/>
          <w:color w:val="auto"/>
        </w:rPr>
        <w:t>amend, alter or repeal any provision of the Charter, the By-Laws or any other such organizational document of the Corporation that would adversely affect the rights, preferences, privileges, voting power or special rights of the Series A Preferred Stock;</w:t>
      </w:r>
    </w:p>
    <w:p>
      <w:pPr>
        <w:spacing w:after="0" w:line="186" w:lineRule="exact"/>
        <w:rPr>
          <w:rFonts w:ascii="Arial" w:cs="Arial" w:eastAsia="Arial" w:hAnsi="Arial"/>
          <w:sz w:val="22"/>
          <w:szCs w:val="22"/>
          <w:color w:val="auto"/>
        </w:rPr>
      </w:pPr>
    </w:p>
    <w:p>
      <w:pPr>
        <w:ind w:left="640" w:right="280" w:firstLine="644"/>
        <w:spacing w:after="0" w:line="282" w:lineRule="auto"/>
        <w:tabs>
          <w:tab w:leader="none" w:pos="1936" w:val="left"/>
        </w:tabs>
        <w:numPr>
          <w:ilvl w:val="0"/>
          <w:numId w:val="34"/>
        </w:numPr>
        <w:rPr>
          <w:rFonts w:ascii="Arial" w:cs="Arial" w:eastAsia="Arial" w:hAnsi="Arial"/>
          <w:sz w:val="19"/>
          <w:szCs w:val="19"/>
          <w:color w:val="auto"/>
        </w:rPr>
      </w:pPr>
      <w:r>
        <w:rPr>
          <w:rFonts w:ascii="Arial" w:cs="Arial" w:eastAsia="Arial" w:hAnsi="Arial"/>
          <w:sz w:val="19"/>
          <w:szCs w:val="19"/>
          <w:color w:val="auto"/>
        </w:rPr>
        <w:t>amend, alter, or supplement the Charter, the By-Laws or any other such organizational document of the Corporation or any provision thereof, or take any other action to authorize or create, or increase the number of authorized or issued shares of, or any securities convertible into shares of, or reclassify any security into, or issue, any class or series of Senior Stock or Parity Stock, including with respect to dividend rights or rights upon the Corporation’s liquidation, winding-up or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18" w:right="1019" w:bottom="1440" w:gutter="0" w:footer="0" w:header="0"/>
        </w:sectPr>
      </w:pPr>
    </w:p>
    <w:bookmarkStart w:id="76" w:name="page77"/>
    <w:bookmarkEnd w:id="76"/>
    <w:p>
      <w:pPr>
        <w:ind w:left="660" w:right="260" w:firstLine="644"/>
        <w:spacing w:after="0" w:line="329" w:lineRule="auto"/>
        <w:tabs>
          <w:tab w:leader="none" w:pos="1956"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increase or decrease the authorized number of shares of Series A Preferred Stock or issue shares of Series A Preferred Stock, Parity Stock or Senior Stock after the Initial Issue Date; or</w:t>
      </w:r>
    </w:p>
    <w:p>
      <w:pPr>
        <w:spacing w:after="0" w:line="103" w:lineRule="exact"/>
        <w:rPr>
          <w:rFonts w:ascii="Arial" w:cs="Arial" w:eastAsia="Arial" w:hAnsi="Arial"/>
          <w:sz w:val="19"/>
          <w:szCs w:val="19"/>
          <w:color w:val="auto"/>
        </w:rPr>
      </w:pPr>
    </w:p>
    <w:p>
      <w:pPr>
        <w:ind w:left="660" w:right="240" w:firstLine="644"/>
        <w:spacing w:after="0" w:line="238" w:lineRule="auto"/>
        <w:tabs>
          <w:tab w:leader="none" w:pos="1956"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 so long as the BBH Investor and its controlled Affiliates own at least sixty percent (60%) of the Series A Preferred Stock that the BBH Investor owned as of the Initial Issue Date, consummate any Fundamental Change in which the Holders would receive less than the Minimum Price (on the terms provided therein).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for:</w:t>
      </w:r>
    </w:p>
    <w:p>
      <w:pPr>
        <w:spacing w:after="0" w:line="139" w:lineRule="exact"/>
        <w:rPr>
          <w:sz w:val="20"/>
          <w:szCs w:val="20"/>
          <w:color w:val="auto"/>
        </w:rPr>
      </w:pPr>
    </w:p>
    <w:p>
      <w:pPr>
        <w:ind w:left="660" w:firstLine="644"/>
        <w:spacing w:after="0" w:line="282" w:lineRule="auto"/>
        <w:tabs>
          <w:tab w:leader="none" w:pos="1956"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with respect to the occurrence of any of the events set forth in clause (i) above, where in any such event (A) the Series A Preferred Stock remains outstanding with the terms thereof unchanged (except for the modifications permitted by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or (B) the Holders of the Series A Preferred Stock receive equity securities with rights, preferences, privileges and voting power identical to those of the Series A Preferred Stock (except for the modifications permitted by </w:t>
      </w:r>
      <w:r>
        <w:rPr>
          <w:rFonts w:ascii="Arial" w:cs="Arial" w:eastAsia="Arial" w:hAnsi="Arial"/>
          <w:sz w:val="19"/>
          <w:szCs w:val="19"/>
          <w:u w:val="single" w:color="auto"/>
          <w:color w:val="auto"/>
        </w:rPr>
        <w:t>Section 7(c)</w:t>
      </w:r>
      <w:r>
        <w:rPr>
          <w:rFonts w:ascii="Arial" w:cs="Arial" w:eastAsia="Arial" w:hAnsi="Arial"/>
          <w:sz w:val="19"/>
          <w:szCs w:val="19"/>
          <w:color w:val="auto"/>
        </w:rPr>
        <w:t>), or</w:t>
      </w:r>
    </w:p>
    <w:p>
      <w:pPr>
        <w:spacing w:after="0" w:line="147" w:lineRule="exact"/>
        <w:rPr>
          <w:rFonts w:ascii="Arial" w:cs="Arial" w:eastAsia="Arial" w:hAnsi="Arial"/>
          <w:sz w:val="19"/>
          <w:szCs w:val="19"/>
          <w:color w:val="auto"/>
        </w:rPr>
      </w:pPr>
    </w:p>
    <w:p>
      <w:pPr>
        <w:ind w:left="660" w:right="160" w:firstLine="644"/>
        <w:spacing w:after="0" w:line="250" w:lineRule="auto"/>
        <w:tabs>
          <w:tab w:leader="none" w:pos="1956"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all purposes of this </w:t>
      </w:r>
      <w:r>
        <w:rPr>
          <w:rFonts w:ascii="Arial" w:cs="Arial" w:eastAsia="Arial" w:hAnsi="Arial"/>
          <w:sz w:val="22"/>
          <w:szCs w:val="22"/>
          <w:u w:val="single" w:color="auto"/>
          <w:color w:val="auto"/>
        </w:rPr>
        <w:t>Section 7(b)</w:t>
      </w:r>
      <w:r>
        <w:rPr>
          <w:rFonts w:ascii="Arial" w:cs="Arial" w:eastAsia="Arial" w:hAnsi="Arial"/>
          <w:sz w:val="22"/>
          <w:szCs w:val="22"/>
          <w:color w:val="auto"/>
        </w:rPr>
        <w:t>, the creation and issuance, or increase in the authorized or issued number, of any class or series of Junior Stock,</w:t>
      </w:r>
    </w:p>
    <w:p>
      <w:pPr>
        <w:spacing w:after="0" w:line="17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shall be deemed not to adversely affect (or to otherwise cause to be materially less favorable) the rights, preferences, privileges, voting powers of the Series A Preferred Stock and shall not require the affirmative vote or consent of Holders.</w:t>
      </w:r>
    </w:p>
    <w:p>
      <w:pPr>
        <w:spacing w:after="0" w:line="78" w:lineRule="exact"/>
        <w:rPr>
          <w:sz w:val="20"/>
          <w:szCs w:val="20"/>
          <w:color w:val="auto"/>
        </w:rPr>
      </w:pPr>
    </w:p>
    <w:p>
      <w:pPr>
        <w:ind w:right="100" w:firstLine="1304"/>
        <w:spacing w:after="0" w:line="238" w:lineRule="auto"/>
        <w:tabs>
          <w:tab w:leader="none" w:pos="1944" w:val="left"/>
        </w:tabs>
        <w:numPr>
          <w:ilvl w:val="0"/>
          <w:numId w:val="37"/>
        </w:numPr>
        <w:rPr>
          <w:rFonts w:ascii="Arial" w:cs="Arial" w:eastAsia="Arial" w:hAnsi="Arial"/>
          <w:sz w:val="22"/>
          <w:szCs w:val="22"/>
          <w:color w:val="auto"/>
        </w:rPr>
      </w:pPr>
      <w:r>
        <w:rPr>
          <w:rFonts w:ascii="Arial" w:cs="Arial" w:eastAsia="Arial" w:hAnsi="Arial"/>
          <w:sz w:val="22"/>
          <w:szCs w:val="22"/>
          <w:color w:val="auto"/>
        </w:rPr>
        <w:t>Without the consent of the Holders, so long as such action does not adversely affect the rights, preferences, privileges or voting powers of the Series A Preferred Stock, and limitations and restrictions thereof, the Corporation may amend, alter, supplement or repeal any terms of the Series A Preferred Stock for the following purposes:</w:t>
      </w:r>
    </w:p>
    <w:p>
      <w:pPr>
        <w:spacing w:after="0" w:line="185" w:lineRule="exact"/>
        <w:rPr>
          <w:sz w:val="20"/>
          <w:szCs w:val="20"/>
          <w:color w:val="auto"/>
        </w:rPr>
      </w:pPr>
    </w:p>
    <w:p>
      <w:pPr>
        <w:jc w:val="both"/>
        <w:ind w:left="660" w:right="560" w:firstLine="644"/>
        <w:spacing w:after="0"/>
        <w:tabs>
          <w:tab w:leader="none" w:pos="19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to cure any ambiguity, omission or mistake, or to correct or supplement any provision contained in the Charter (including this Exhibit) that may be defective or inconsistent with any other provision contained in the Charter (including this Exhibit);</w:t>
      </w:r>
    </w:p>
    <w:p>
      <w:pPr>
        <w:spacing w:after="0" w:line="186" w:lineRule="exact"/>
        <w:rPr>
          <w:rFonts w:ascii="Arial" w:cs="Arial" w:eastAsia="Arial" w:hAnsi="Arial"/>
          <w:sz w:val="22"/>
          <w:szCs w:val="22"/>
          <w:color w:val="auto"/>
        </w:rPr>
      </w:pPr>
    </w:p>
    <w:p>
      <w:pPr>
        <w:ind w:left="660" w:right="20" w:firstLine="644"/>
        <w:spacing w:after="0" w:line="274" w:lineRule="auto"/>
        <w:tabs>
          <w:tab w:leader="none" w:pos="1956" w:val="left"/>
        </w:tabs>
        <w:numPr>
          <w:ilvl w:val="0"/>
          <w:numId w:val="38"/>
        </w:numPr>
        <w:rPr>
          <w:rFonts w:ascii="Arial" w:cs="Arial" w:eastAsia="Arial" w:hAnsi="Arial"/>
          <w:sz w:val="21"/>
          <w:szCs w:val="21"/>
          <w:color w:val="auto"/>
        </w:rPr>
      </w:pPr>
      <w:r>
        <w:rPr>
          <w:rFonts w:ascii="Arial" w:cs="Arial" w:eastAsia="Arial" w:hAnsi="Arial"/>
          <w:sz w:val="21"/>
          <w:szCs w:val="21"/>
          <w:color w:val="auto"/>
        </w:rPr>
        <w:t>to make any provision with respect to matters or questions relating to the Series A Preferred Stock that is not inconsistent with the provisions of the Charter (including this Exhibit); or</w:t>
      </w:r>
    </w:p>
    <w:p>
      <w:pPr>
        <w:spacing w:after="0" w:line="150" w:lineRule="exact"/>
        <w:rPr>
          <w:rFonts w:ascii="Arial" w:cs="Arial" w:eastAsia="Arial" w:hAnsi="Arial"/>
          <w:sz w:val="21"/>
          <w:szCs w:val="21"/>
          <w:color w:val="auto"/>
        </w:rPr>
      </w:pPr>
    </w:p>
    <w:p>
      <w:pPr>
        <w:ind w:left="660" w:right="60" w:firstLine="644"/>
        <w:spacing w:after="0" w:line="250" w:lineRule="auto"/>
        <w:tabs>
          <w:tab w:leader="none" w:pos="195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to make any other change that does not adversely affect the rights of any Holder (other than any Holder that consents to such change).</w:t>
      </w:r>
    </w:p>
    <w:p>
      <w:pPr>
        <w:spacing w:after="0" w:line="175" w:lineRule="exact"/>
        <w:rPr>
          <w:sz w:val="20"/>
          <w:szCs w:val="20"/>
          <w:color w:val="auto"/>
        </w:rPr>
      </w:pPr>
    </w:p>
    <w:p>
      <w:pPr>
        <w:ind w:left="340" w:right="120" w:firstLine="324"/>
        <w:spacing w:after="0" w:line="257" w:lineRule="auto"/>
        <w:rPr>
          <w:sz w:val="20"/>
          <w:szCs w:val="20"/>
          <w:color w:val="auto"/>
        </w:rPr>
      </w:pPr>
      <w:r>
        <w:rPr>
          <w:rFonts w:ascii="Arial" w:cs="Arial" w:eastAsia="Arial" w:hAnsi="Arial"/>
          <w:sz w:val="21"/>
          <w:szCs w:val="21"/>
          <w:color w:val="auto"/>
        </w:rPr>
        <w:t>In addition, without the consent of the Holders, the Corporation may amend, alter, supplement or repeal any terms of the Series A Preferred Stock in order to file a certificate of correction with respect to the Charter to the extent permitted by Section 103(f) of the Delaware General Corporation Law.</w:t>
      </w:r>
    </w:p>
    <w:p>
      <w:pPr>
        <w:spacing w:after="0" w:line="88" w:lineRule="exact"/>
        <w:rPr>
          <w:sz w:val="20"/>
          <w:szCs w:val="20"/>
          <w:color w:val="auto"/>
        </w:rPr>
      </w:pPr>
    </w:p>
    <w:p>
      <w:pPr>
        <w:ind w:right="380" w:firstLine="1304"/>
        <w:spacing w:after="0" w:line="250"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Prior to the close of business on the applicable Conversion Date, the shares of Common Stock issuable upon conversion of any shares of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7" w:name="page78"/>
    <w:bookmarkEnd w:id="77"/>
    <w:p>
      <w:pPr>
        <w:ind w:right="120"/>
        <w:spacing w:after="0" w:line="282" w:lineRule="auto"/>
        <w:rPr>
          <w:sz w:val="20"/>
          <w:szCs w:val="20"/>
          <w:color w:val="auto"/>
        </w:rPr>
      </w:pPr>
      <w:r>
        <w:rPr>
          <w:rFonts w:ascii="Arial" w:cs="Arial" w:eastAsia="Arial" w:hAnsi="Arial"/>
          <w:sz w:val="19"/>
          <w:szCs w:val="19"/>
          <w:color w:val="auto"/>
        </w:rPr>
        <w:t>shall not be deemed to be outstanding for any purpose and Holders shall have no rights, powers or preferences with respect to such shares of Common Stock, including voting powers (including the power to vote on any amendment to the Charter that would adversely affect the rights, powers or preferences of the Common Stock), rights to respond to tender offers for the Common Stock and rights to receive any dividends or other distributions on the Common Stock, by virtue of holding the Series A Preferred Stock other than as set forth in this Exhibit.</w:t>
      </w:r>
    </w:p>
    <w:p>
      <w:pPr>
        <w:spacing w:after="0" w:line="148" w:lineRule="exact"/>
        <w:rPr>
          <w:sz w:val="20"/>
          <w:szCs w:val="20"/>
          <w:color w:val="auto"/>
        </w:rPr>
      </w:pPr>
    </w:p>
    <w:p>
      <w:pPr>
        <w:ind w:firstLine="1304"/>
        <w:spacing w:after="0" w:line="234" w:lineRule="auto"/>
        <w:tabs>
          <w:tab w:leader="none" w:pos="19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rules and procedures for calling and conducting any meeting of the Holders (including, without limitation, the fixing of a record date in connection therewith), the solicitation and use of proxies at such a meeting, the obtaining of written consents and any other procedural aspect or matter with regard to such a meeting or such consents shall be governed by any rules the Board of Directors, in its discretion, may adopt from time to time, which rules and procedures shall conform to the requirements of the Charter, the By-Laws, applicable law and the rules of any national securities exchange or other trading facility on which the Common Stock are listed or traded at the time.</w:t>
      </w:r>
    </w:p>
    <w:p>
      <w:pPr>
        <w:spacing w:after="0" w:line="190" w:lineRule="exact"/>
        <w:rPr>
          <w:rFonts w:ascii="Arial" w:cs="Arial" w:eastAsia="Arial" w:hAnsi="Arial"/>
          <w:sz w:val="22"/>
          <w:szCs w:val="22"/>
          <w:color w:val="auto"/>
        </w:rPr>
      </w:pPr>
    </w:p>
    <w:p>
      <w:pPr>
        <w:ind w:right="340" w:firstLine="1304"/>
        <w:spacing w:after="0"/>
        <w:tabs>
          <w:tab w:leader="none" w:pos="19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Each Holder of Series A Preferred Stock will have one vote per share on any matter on which Holders of Series A Preferred Stock are entitled to vote separately as a class, whether at a meeting or by written consent.</w:t>
      </w:r>
    </w:p>
    <w:p>
      <w:pPr>
        <w:spacing w:after="0" w:line="186" w:lineRule="exact"/>
        <w:rPr>
          <w:rFonts w:ascii="Arial" w:cs="Arial" w:eastAsia="Arial" w:hAnsi="Arial"/>
          <w:sz w:val="22"/>
          <w:szCs w:val="22"/>
          <w:color w:val="auto"/>
        </w:rPr>
      </w:pPr>
    </w:p>
    <w:p>
      <w:pPr>
        <w:ind w:right="40" w:firstLine="1304"/>
        <w:spacing w:after="0" w:line="282" w:lineRule="auto"/>
        <w:tabs>
          <w:tab w:leader="none" w:pos="194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affirmative vote or consent of the Holders of a majority of the shares of Series A Preferred Stock outstanding at such time, voting together as a single class, given in person or by proxy, either in writing without a meeting or by vote at any meeting called for the purpose, will be sufficient to waive or amend the provisions of the Charter with respect to the Series A Preferred Stock, and any amendment or waiver of any of the provisions of the Charter approved by such percentage of the Holders shall be binding on all of the Holders.</w:t>
      </w:r>
    </w:p>
    <w:p>
      <w:pPr>
        <w:spacing w:after="0" w:line="147" w:lineRule="exact"/>
        <w:rPr>
          <w:rFonts w:ascii="Arial" w:cs="Arial" w:eastAsia="Arial" w:hAnsi="Arial"/>
          <w:sz w:val="19"/>
          <w:szCs w:val="19"/>
          <w:color w:val="auto"/>
        </w:rPr>
      </w:pPr>
    </w:p>
    <w:p>
      <w:pPr>
        <w:jc w:val="both"/>
        <w:ind w:right="160" w:firstLine="1304"/>
        <w:spacing w:after="0" w:line="238" w:lineRule="auto"/>
        <w:tabs>
          <w:tab w:leader="none" w:pos="19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Holders may take action or consent to any action with respect to such rights without a meeting by delivering a consent in writing or by electronic transmission of the Holders of the Series A Preferred Stock entitled to cast not less than the minimum number of votes that would be necessary to authorize, take or consent to such action at a meeting of stockholders.</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u w:val="single" w:color="auto"/>
          <w:color w:val="auto"/>
        </w:rPr>
        <w:t>Fundamental Change</w:t>
      </w:r>
      <w:r>
        <w:rPr>
          <w:rFonts w:ascii="Arial" w:cs="Arial" w:eastAsia="Arial" w:hAnsi="Arial"/>
          <w:sz w:val="19"/>
          <w:szCs w:val="19"/>
          <w:b w:val="1"/>
          <w:bCs w:val="1"/>
          <w:color w:val="auto"/>
        </w:rPr>
        <w:t>.</w:t>
      </w:r>
    </w:p>
    <w:p>
      <w:pPr>
        <w:spacing w:after="0" w:line="212" w:lineRule="exact"/>
        <w:rPr>
          <w:sz w:val="20"/>
          <w:szCs w:val="20"/>
          <w:color w:val="auto"/>
        </w:rPr>
      </w:pPr>
    </w:p>
    <w:p>
      <w:pPr>
        <w:ind w:right="20" w:firstLine="1304"/>
        <w:spacing w:after="0" w:line="244" w:lineRule="auto"/>
        <w:tabs>
          <w:tab w:leader="none" w:pos="1944" w:val="left"/>
        </w:tabs>
        <w:numPr>
          <w:ilvl w:val="0"/>
          <w:numId w:val="41"/>
        </w:numPr>
        <w:rPr>
          <w:rFonts w:ascii="Arial" w:cs="Arial" w:eastAsia="Arial" w:hAnsi="Arial"/>
          <w:sz w:val="21"/>
          <w:szCs w:val="21"/>
          <w:color w:val="auto"/>
        </w:rPr>
      </w:pPr>
      <w:r>
        <w:rPr>
          <w:rFonts w:ascii="Arial" w:cs="Arial" w:eastAsia="Arial" w:hAnsi="Arial"/>
          <w:sz w:val="21"/>
          <w:szCs w:val="21"/>
          <w:color w:val="auto"/>
        </w:rPr>
        <w:t>Upon the occurrence of a Fundamental Change, the Corporation shall on the Fundamental Change Effective Date redeem all of the outstanding shares of Series A Preferred Stock for the Fundamental Change Redemption Price. The Corporation shall pay the Fundamental Change Redemption Price in cash, provided that, if all or any portion of the consideration delivered to holders of Common Stock in such Fundamental Change consists of securities, the Corporation (or its successor) may pay a portion of equal proportion, but only of equal portion, of the Fundamental Change Redemption Price in Qualifying Stock, with the fair market value of such Qualifying Stock being determined by the Board of Directors in good faith using reasonable methodologies. “</w:t>
      </w:r>
      <w:r>
        <w:rPr>
          <w:rFonts w:ascii="Arial" w:cs="Arial" w:eastAsia="Arial" w:hAnsi="Arial"/>
          <w:sz w:val="21"/>
          <w:szCs w:val="21"/>
          <w:u w:val="single" w:color="auto"/>
          <w:color w:val="auto"/>
        </w:rPr>
        <w:t>Qualifying Stock</w:t>
      </w:r>
      <w:r>
        <w:rPr>
          <w:rFonts w:ascii="Arial" w:cs="Arial" w:eastAsia="Arial" w:hAnsi="Arial"/>
          <w:sz w:val="21"/>
          <w:szCs w:val="21"/>
          <w:color w:val="auto"/>
        </w:rPr>
        <w:t>” means securities of the Corporation or the acquiring, surviving or resulting entity in such Fundamental Change or the entity controlling any such entity that has voting powers, preferences, privileges and special rights identical to the rights of the Series A Preferred Stock provided herein except for such differences that if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8" w:name="page79"/>
    <w:bookmarkEnd w:id="78"/>
    <w:p>
      <w:pPr>
        <w:ind w:right="80"/>
        <w:spacing w:after="0" w:line="251" w:lineRule="auto"/>
        <w:rPr>
          <w:sz w:val="20"/>
          <w:szCs w:val="20"/>
          <w:color w:val="auto"/>
        </w:rPr>
      </w:pPr>
      <w:r>
        <w:rPr>
          <w:rFonts w:ascii="Arial" w:cs="Arial" w:eastAsia="Arial" w:hAnsi="Arial"/>
          <w:sz w:val="22"/>
          <w:szCs w:val="22"/>
          <w:color w:val="auto"/>
        </w:rPr>
        <w:t xml:space="preserve">the Series A Preferred Stock would not require the consent of Holders under </w:t>
      </w:r>
      <w:r>
        <w:rPr>
          <w:rFonts w:ascii="Arial" w:cs="Arial" w:eastAsia="Arial" w:hAnsi="Arial"/>
          <w:sz w:val="22"/>
          <w:szCs w:val="22"/>
          <w:u w:val="single" w:color="auto"/>
          <w:color w:val="auto"/>
        </w:rPr>
        <w:t>Section 7(b)(i)</w:t>
      </w:r>
      <w:r>
        <w:rPr>
          <w:rFonts w:ascii="Arial" w:cs="Arial" w:eastAsia="Arial" w:hAnsi="Arial"/>
          <w:sz w:val="22"/>
          <w:szCs w:val="22"/>
          <w:color w:val="auto"/>
        </w:rPr>
        <w:t xml:space="preserve"> and that is listed on a nationally-recognized stock exchange.</w:t>
      </w:r>
    </w:p>
    <w:p>
      <w:pPr>
        <w:spacing w:after="0" w:line="173" w:lineRule="exact"/>
        <w:rPr>
          <w:sz w:val="20"/>
          <w:szCs w:val="20"/>
          <w:color w:val="auto"/>
        </w:rPr>
      </w:pPr>
    </w:p>
    <w:p>
      <w:pPr>
        <w:ind w:right="180" w:firstLine="1304"/>
        <w:spacing w:after="0" w:line="252" w:lineRule="auto"/>
        <w:tabs>
          <w:tab w:leader="none" w:pos="1944"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 connection with any Fundamental Change, the Corporation shall provide written notice (the “</w:t>
      </w:r>
      <w:r>
        <w:rPr>
          <w:rFonts w:ascii="Arial" w:cs="Arial" w:eastAsia="Arial" w:hAnsi="Arial"/>
          <w:sz w:val="21"/>
          <w:szCs w:val="21"/>
          <w:u w:val="single" w:color="auto"/>
          <w:color w:val="auto"/>
        </w:rPr>
        <w:t>Fundamental Change Notice</w:t>
      </w:r>
      <w:r>
        <w:rPr>
          <w:rFonts w:ascii="Arial" w:cs="Arial" w:eastAsia="Arial" w:hAnsi="Arial"/>
          <w:sz w:val="21"/>
          <w:szCs w:val="21"/>
          <w:color w:val="auto"/>
        </w:rPr>
        <w:t>”) to Holders of the Fundamental Change no later than the twentieth (20th) Business Day prior to the Fundamental Change Effective Date or such shorter period of time as is practicable under the circumstances. The Fundamental Change Notice shall state:</w:t>
      </w:r>
    </w:p>
    <w:p>
      <w:pPr>
        <w:spacing w:after="0" w:line="174" w:lineRule="exact"/>
        <w:rPr>
          <w:sz w:val="20"/>
          <w:szCs w:val="20"/>
          <w:color w:val="auto"/>
        </w:rPr>
      </w:pPr>
    </w:p>
    <w:p>
      <w:pPr>
        <w:ind w:left="660" w:right="100" w:firstLine="644"/>
        <w:spacing w:after="0" w:line="250" w:lineRule="auto"/>
        <w:tabs>
          <w:tab w:leader="none" w:pos="19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event causing the Fundamental Change together with a description of the material facts related to such Fundamental Change;</w:t>
      </w:r>
    </w:p>
    <w:p>
      <w:pPr>
        <w:spacing w:after="0" w:line="174" w:lineRule="exact"/>
        <w:rPr>
          <w:rFonts w:ascii="Arial" w:cs="Arial" w:eastAsia="Arial" w:hAnsi="Arial"/>
          <w:sz w:val="22"/>
          <w:szCs w:val="22"/>
          <w:color w:val="auto"/>
        </w:rPr>
      </w:pPr>
    </w:p>
    <w:p>
      <w:pPr>
        <w:ind w:left="660" w:right="780" w:firstLine="644"/>
        <w:spacing w:after="0" w:line="250" w:lineRule="auto"/>
        <w:tabs>
          <w:tab w:leader="none" w:pos="19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anticipated Fundamental Change Effective Date or actual Fundamental Change Effective Date, as the case may be;</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expected Fundamental Change Redemption Price and the form in which it will be paid;</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left="660" w:right="500" w:firstLine="644"/>
        <w:spacing w:after="0"/>
        <w:tabs>
          <w:tab w:leader="none" w:pos="195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instructions for the Holders to surrender to the Corporation or the Transfer Agent, as specified in such Fundamental Change Notice, certificates (if any) representing all shares of Series A Preferred Stock held by such Holder.</w:t>
      </w:r>
    </w:p>
    <w:p>
      <w:pPr>
        <w:spacing w:after="0" w:line="186" w:lineRule="exact"/>
        <w:rPr>
          <w:sz w:val="20"/>
          <w:szCs w:val="20"/>
          <w:color w:val="auto"/>
        </w:rPr>
      </w:pPr>
    </w:p>
    <w:p>
      <w:pPr>
        <w:ind w:right="180" w:firstLine="1304"/>
        <w:spacing w:after="0" w:line="275"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To receive the Fundamental Change Redemption Price, a Holder must surrender to the Transfer Agent or the Corporation (or its successor), in accordance with the instructions delivered pursuant to </w:t>
      </w:r>
      <w:r>
        <w:rPr>
          <w:rFonts w:ascii="Arial" w:cs="Arial" w:eastAsia="Arial" w:hAnsi="Arial"/>
          <w:sz w:val="19"/>
          <w:szCs w:val="19"/>
          <w:u w:val="single" w:color="auto"/>
          <w:color w:val="auto"/>
        </w:rPr>
        <w:t>Section 8(b)(iv)</w:t>
      </w:r>
      <w:r>
        <w:rPr>
          <w:rFonts w:ascii="Arial" w:cs="Arial" w:eastAsia="Arial" w:hAnsi="Arial"/>
          <w:sz w:val="19"/>
          <w:szCs w:val="19"/>
          <w:color w:val="auto"/>
        </w:rPr>
        <w:t xml:space="preserve">, the certificates representing the shares of Series A Preferred Stock to be redeemed by the Corporation or lost stock affidavits therefor, to the extent applicable. Upon a Fundamental Change, the Corporation (or its successor) shall deliver or cause to be delivered to the Holder, subject to compliance with the instructions delivered pursuant to </w:t>
      </w:r>
      <w:r>
        <w:rPr>
          <w:rFonts w:ascii="Arial" w:cs="Arial" w:eastAsia="Arial" w:hAnsi="Arial"/>
          <w:sz w:val="19"/>
          <w:szCs w:val="19"/>
          <w:u w:val="single" w:color="auto"/>
          <w:color w:val="auto"/>
        </w:rPr>
        <w:t>Section 8(b)</w:t>
      </w:r>
      <w:r>
        <w:rPr>
          <w:rFonts w:ascii="Arial" w:cs="Arial" w:eastAsia="Arial" w:hAnsi="Arial"/>
          <w:sz w:val="19"/>
          <w:szCs w:val="19"/>
          <w:color w:val="auto"/>
        </w:rPr>
        <w:t>, the Fundamental Change Redemption Price for such Holder’s shares of Series A Preferred Stock by wire transfer of immediately available funds or book-entry records or certificates for Qualifying Stock or some combination thereof, as applicable.</w:t>
      </w:r>
    </w:p>
    <w:p>
      <w:pPr>
        <w:spacing w:after="0" w:line="157" w:lineRule="exact"/>
        <w:rPr>
          <w:rFonts w:ascii="Arial" w:cs="Arial" w:eastAsia="Arial" w:hAnsi="Arial"/>
          <w:sz w:val="19"/>
          <w:szCs w:val="19"/>
          <w:color w:val="auto"/>
        </w:rPr>
      </w:pPr>
    </w:p>
    <w:p>
      <w:pPr>
        <w:ind w:right="160" w:firstLine="1304"/>
        <w:spacing w:after="0" w:line="275"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With respect to any share of Series A Preferred Stock to be redeemed by the Corporation pursuant to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and which has been redeemed in accordance with the provisions of this </w:t>
      </w:r>
      <w:r>
        <w:rPr>
          <w:rFonts w:ascii="Arial" w:cs="Arial" w:eastAsia="Arial" w:hAnsi="Arial"/>
          <w:sz w:val="19"/>
          <w:szCs w:val="19"/>
          <w:u w:val="single" w:color="auto"/>
          <w:color w:val="auto"/>
        </w:rPr>
        <w:t>Section 8</w:t>
      </w:r>
      <w:r>
        <w:rPr>
          <w:rFonts w:ascii="Arial" w:cs="Arial" w:eastAsia="Arial" w:hAnsi="Arial"/>
          <w:sz w:val="19"/>
          <w:szCs w:val="19"/>
          <w:color w:val="auto"/>
        </w:rPr>
        <w:t>, or for which the Corporation (or its successor), has irrevocably deposited an amount of cash or Qualifying Stock or some combination thereof equal to the Fundamental Change Redemption Price in respect of such share of Series A Preferred Stock with the Transfer Agent, exchange agent for such transaction or other qualified fiduciary, (i) such share of Series A Preferred Stock shall no longer be deemed outstanding and (ii) all rights with respect to such share of Series A Preferred Stock shall cease and terminate other than the rights of the Holder thereof to receive the Fundamental Change Redemption Price.</w:t>
      </w:r>
    </w:p>
    <w:p>
      <w:pPr>
        <w:spacing w:after="0" w:line="157" w:lineRule="exact"/>
        <w:rPr>
          <w:rFonts w:ascii="Arial" w:cs="Arial" w:eastAsia="Arial" w:hAnsi="Arial"/>
          <w:sz w:val="19"/>
          <w:szCs w:val="19"/>
          <w:color w:val="auto"/>
        </w:rPr>
      </w:pPr>
    </w:p>
    <w:p>
      <w:pPr>
        <w:ind w:firstLine="1304"/>
        <w:spacing w:after="0" w:line="282" w:lineRule="auto"/>
        <w:tabs>
          <w:tab w:leader="none" w:pos="19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in the event of a Fundamental Change, the Corporation shall only pay the Fundamental Change Redemption Price in cash required pursuant to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to the extent such payment can be made out of Legally Available Funds and after paying in full in cash all obligations of the Corporation and its Subsidiaries under any credit agreement, indenture or similar agreement evidencing indebtedness for borrowed money (including the termination of all commitments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79" w:name="page80"/>
    <w:bookmarkEnd w:id="79"/>
    <w:p>
      <w:pPr>
        <w:ind w:right="200"/>
        <w:spacing w:after="0" w:line="241" w:lineRule="auto"/>
        <w:rPr>
          <w:sz w:val="20"/>
          <w:szCs w:val="20"/>
          <w:color w:val="auto"/>
        </w:rPr>
      </w:pPr>
      <w:r>
        <w:rPr>
          <w:rFonts w:ascii="Arial" w:cs="Arial" w:eastAsia="Arial" w:hAnsi="Arial"/>
          <w:sz w:val="22"/>
          <w:szCs w:val="22"/>
          <w:color w:val="auto"/>
        </w:rPr>
        <w:t>lend, to the extent required by such credit agreement, indenture or similar agreement), which requires prior payment of the obligations thereunder (and termination of commitments thereunder, if applicable) as a condition to the payment of such Fundamental Change Redemption Price in cash.</w:t>
      </w:r>
    </w:p>
    <w:p>
      <w:pPr>
        <w:spacing w:after="0" w:line="178"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b w:val="1"/>
          <w:bCs w:val="1"/>
          <w:u w:val="single" w:color="auto"/>
          <w:color w:val="auto"/>
        </w:rPr>
        <w:t>Optional Conversion</w:t>
      </w:r>
      <w:r>
        <w:rPr>
          <w:rFonts w:ascii="Arial" w:cs="Arial" w:eastAsia="Arial" w:hAnsi="Arial"/>
          <w:sz w:val="19"/>
          <w:szCs w:val="19"/>
          <w:color w:val="auto"/>
        </w:rPr>
        <w:t>. Subject to satisfaction of the conversion procedures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and applicable law (including stock exchange rules), each Holder shall have the option (including after a Corporation Redemption Notice has been given pursuant to Section 6(b), but prior to the date of actual redemption), to convert each share of such Holder’s Series A Preferred Stock at any time (but in no event less than one share of the Series A Preferred Stock) into (i) the number of shares of Common Stock equal to the quotient of</w:t>
      </w:r>
    </w:p>
    <w:p>
      <w:pPr>
        <w:spacing w:after="0" w:line="1" w:lineRule="exact"/>
        <w:rPr>
          <w:sz w:val="20"/>
          <w:szCs w:val="20"/>
          <w:color w:val="auto"/>
        </w:rPr>
      </w:pPr>
    </w:p>
    <w:p>
      <w:pPr>
        <w:ind w:right="820" w:firstLine="8"/>
        <w:spacing w:after="0" w:line="308" w:lineRule="auto"/>
        <w:tabs>
          <w:tab w:leader="none" w:pos="354"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the Liquidation Preference with respect to such share of Series A Preferred Stock as of the applicable Conversion Date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(B) the Conversion Price as of the applicable Conversion Date.</w:t>
      </w:r>
    </w:p>
    <w:p>
      <w:pPr>
        <w:spacing w:after="0" w:line="1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u w:val="single" w:color="auto"/>
          <w:color w:val="auto"/>
        </w:rPr>
        <w:t>Manner of Conversion</w:t>
      </w:r>
      <w:r>
        <w:rPr>
          <w:rFonts w:ascii="Arial" w:cs="Arial" w:eastAsia="Arial" w:hAnsi="Arial"/>
          <w:sz w:val="19"/>
          <w:szCs w:val="19"/>
          <w:b w:val="1"/>
          <w:bCs w:val="1"/>
          <w:color w:val="auto"/>
        </w:rPr>
        <w:t>.</w:t>
      </w:r>
    </w:p>
    <w:p>
      <w:pPr>
        <w:spacing w:after="0" w:line="212" w:lineRule="exact"/>
        <w:rPr>
          <w:sz w:val="20"/>
          <w:szCs w:val="20"/>
          <w:color w:val="auto"/>
        </w:rPr>
      </w:pPr>
    </w:p>
    <w:p>
      <w:pPr>
        <w:ind w:right="120" w:firstLine="1304"/>
        <w:spacing w:after="0" w:line="279" w:lineRule="auto"/>
        <w:tabs>
          <w:tab w:leader="none" w:pos="1944"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In order to convert a share of Series A Preferred Stock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the Holder of such share to be converted shall surrender to the Corporation the certificate, if any, representing such share, duly endorsed or assigned to the Corporation or in blank (or, if such certificate or certificates have been lost, stolen, or destroyed, a lost certificate affidavit and indemnity in form and substance reasonably acceptable to the Corporation), accompanied by written notice to the Corporation in substantially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that the Holder thereof elects to convert such Series A Preferred Stock.</w:t>
      </w:r>
    </w:p>
    <w:p>
      <w:pPr>
        <w:spacing w:after="0" w:line="150" w:lineRule="exact"/>
        <w:rPr>
          <w:rFonts w:ascii="Arial" w:cs="Arial" w:eastAsia="Arial" w:hAnsi="Arial"/>
          <w:sz w:val="19"/>
          <w:szCs w:val="19"/>
          <w:color w:val="auto"/>
        </w:rPr>
      </w:pPr>
    </w:p>
    <w:p>
      <w:pPr>
        <w:ind w:right="240" w:firstLine="1304"/>
        <w:spacing w:after="0" w:line="235"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Unless the shares of Common Stock issuable on conversion are to be issued in the same name as the name in which such Series A Preferred Stock are registered, each share of Series A Preferred Stock surrendered for conversion shall be accompanied by instruments of transfer, in form satisfactory to the Corporation, duly executed by the Holder or such Holder’s duly authorized attorney and an amount sufficient to pay any transfer or similar tax (or evidence reasonably satisfactory to the Corporation demonstrating that such taxes have been paid).</w:t>
      </w:r>
    </w:p>
    <w:p>
      <w:pPr>
        <w:spacing w:after="0" w:line="187" w:lineRule="exact"/>
        <w:rPr>
          <w:rFonts w:ascii="Arial" w:cs="Arial" w:eastAsia="Arial" w:hAnsi="Arial"/>
          <w:sz w:val="22"/>
          <w:szCs w:val="22"/>
          <w:color w:val="auto"/>
        </w:rPr>
      </w:pPr>
    </w:p>
    <w:p>
      <w:pPr>
        <w:ind w:right="40" w:firstLine="1304"/>
        <w:spacing w:after="0" w:line="235"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As promptly as practicable after the surrender of certificates of Series A Preferred Stock in accordance with Section 10(a), the Corporation shall issue and shall deliver at such office to such Holder, or on such Holder’s written order, a certificate or certificates or book-entry records for the number of full shares of Common Stock issuable upon the conversion of such Series A Preferred Stock in accordance with the provisions of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and any fractional interest in respect of a share of Common Stock arising upon such conversion shall be settled as provided in </w:t>
      </w:r>
      <w:r>
        <w:rPr>
          <w:rFonts w:ascii="Arial" w:cs="Arial" w:eastAsia="Arial" w:hAnsi="Arial"/>
          <w:sz w:val="22"/>
          <w:szCs w:val="22"/>
          <w:u w:val="single" w:color="auto"/>
          <w:color w:val="auto"/>
        </w:rPr>
        <w:t>Section 10(e)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100" w:firstLine="1304"/>
        <w:spacing w:after="0" w:line="235" w:lineRule="auto"/>
        <w:tabs>
          <w:tab w:leader="none" w:pos="19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Each conversion pursuant to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shall be deemed to have been effected immediately prior to the close of business on the date on which certificates for the Series A Preferred Stock (or, if such certificate or certificates have been lost, stolen, or destroyed, a lost certificate affidavit and indemnity in form and substance reasonably acceptable to the Corporation) have been surrendered and such notice received by the Corporation in the manner required hereby (the “</w:t>
      </w:r>
      <w:r>
        <w:rPr>
          <w:rFonts w:ascii="Arial" w:cs="Arial" w:eastAsia="Arial" w:hAnsi="Arial"/>
          <w:sz w:val="22"/>
          <w:szCs w:val="22"/>
          <w:u w:val="single" w:color="auto"/>
          <w:color w:val="auto"/>
        </w:rPr>
        <w:t>Conversion Date</w:t>
      </w:r>
      <w:r>
        <w:rPr>
          <w:rFonts w:ascii="Arial" w:cs="Arial" w:eastAsia="Arial" w:hAnsi="Arial"/>
          <w:sz w:val="22"/>
          <w:szCs w:val="22"/>
          <w:color w:val="auto"/>
        </w:rPr>
        <w:t>”). The person or persons in whose name or names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0" w:name="page81"/>
    <w:bookmarkEnd w:id="80"/>
    <w:p>
      <w:pPr>
        <w:spacing w:after="0" w:line="245" w:lineRule="auto"/>
        <w:rPr>
          <w:sz w:val="20"/>
          <w:szCs w:val="20"/>
          <w:color w:val="auto"/>
        </w:rPr>
      </w:pPr>
      <w:r>
        <w:rPr>
          <w:rFonts w:ascii="Arial" w:cs="Arial" w:eastAsia="Arial" w:hAnsi="Arial"/>
          <w:sz w:val="21"/>
          <w:szCs w:val="21"/>
          <w:color w:val="auto"/>
        </w:rPr>
        <w:t>certificate or certificates or book-entry record for shares of Common Stock shall be issuable upon any such conversion shall be deemed to have become the holder or holders of record of the shares represented thereby at the time on the date such conversion is deemed to have been effected and such conversion shall be at the Conversion Price in effect at such time on such date unless the stock transfer books of the Corporation shall be closed on that date, in which event such conversion shall be deemed to have been effected and such person or persons shall be deemed to have become the holder or holders of record at the close of business on the next succeeding day on which such stock transfer books are open, but such conversion shall be at the Conversion Price in effect on the date on which such conversion would have been effective if the stock transfer books of the Corporation had not been closed.</w:t>
      </w:r>
    </w:p>
    <w:p>
      <w:pPr>
        <w:spacing w:after="0" w:line="185" w:lineRule="exact"/>
        <w:rPr>
          <w:sz w:val="20"/>
          <w:szCs w:val="20"/>
          <w:color w:val="auto"/>
        </w:rPr>
      </w:pPr>
    </w:p>
    <w:p>
      <w:pPr>
        <w:ind w:right="20" w:firstLine="1304"/>
        <w:spacing w:after="0" w:line="275"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 fractional shares of Common Stock shall be issued to Holders as a result of any conversion of shares of Series A Preferred Stock. Instead of any fractional interest in a share of Common Stock that would otherwise be deliverable upon the conversion of Series A Preferred Stock, the Corporation shall pay to the Holder of such share an amount in cash equal to the trailing five (5) day average closing price of a share of Common Stock on the NASDAQ, measured as of the date immediately preceding the Conversion Date. If more than one share of Series A Preferred Stock shall be surrendered for conversion at one time by the Holder, the number of full shares of Common Stock issuable upon conversion thereof shall be computed on the basis of the aggregate number of Series A Preferred Stock so surrendered.</w:t>
      </w:r>
    </w:p>
    <w:p>
      <w:pPr>
        <w:spacing w:after="0" w:line="157" w:lineRule="exact"/>
        <w:rPr>
          <w:rFonts w:ascii="Arial" w:cs="Arial" w:eastAsia="Arial" w:hAnsi="Arial"/>
          <w:sz w:val="19"/>
          <w:szCs w:val="19"/>
          <w:color w:val="auto"/>
        </w:rPr>
      </w:pPr>
    </w:p>
    <w:p>
      <w:pPr>
        <w:ind w:right="60" w:firstLine="1304"/>
        <w:spacing w:after="0" w:line="287"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 the event that a conversion is effected with respect to shares of Series A Preferred Stock representing less than all the shares of the Series A Preferred Stock held by a Holder, upon such conversion the Corporation shall execute and deliver to the Holder thereof, at the expense of the Corporation, a certificate or book-entry position evidencing the shares of Series A Preferred Stock as to which conversion was not effected.</w:t>
      </w:r>
    </w:p>
    <w:p>
      <w:pPr>
        <w:spacing w:after="0" w:line="142" w:lineRule="exact"/>
        <w:rPr>
          <w:rFonts w:ascii="Arial" w:cs="Arial" w:eastAsia="Arial" w:hAnsi="Arial"/>
          <w:sz w:val="19"/>
          <w:szCs w:val="19"/>
          <w:color w:val="auto"/>
        </w:rPr>
      </w:pPr>
    </w:p>
    <w:p>
      <w:pPr>
        <w:jc w:val="both"/>
        <w:ind w:right="360" w:firstLine="1304"/>
        <w:spacing w:after="0" w:line="297"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Shares of Series A Preferred Stock that a Holder elects to convert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cease to be outstanding on the Conversion Date, subject to the right of Holders of such shares to receive shares of Common Stock issuable upon conversion of such shares of Series A Preferred Stock.</w:t>
      </w:r>
    </w:p>
    <w:p>
      <w:pPr>
        <w:spacing w:after="0" w:line="133" w:lineRule="exact"/>
        <w:rPr>
          <w:rFonts w:ascii="Arial" w:cs="Arial" w:eastAsia="Arial" w:hAnsi="Arial"/>
          <w:sz w:val="19"/>
          <w:szCs w:val="19"/>
          <w:color w:val="auto"/>
        </w:rPr>
      </w:pPr>
    </w:p>
    <w:p>
      <w:pPr>
        <w:ind w:right="20" w:firstLine="1304"/>
        <w:spacing w:after="0" w:line="297" w:lineRule="auto"/>
        <w:tabs>
          <w:tab w:leader="none" w:pos="19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the avoidance of doubt, the shares of Common Stock resulting from the conversion of the Series A Preferred Stock shall be entitled to receive any dividends declared on the Common Stock prior to the Conversion Date but not paid to holders of Common Stock as of such Conversion Date.</w:t>
      </w:r>
    </w:p>
    <w:p>
      <w:pPr>
        <w:spacing w:after="0" w:line="128"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Reservation of Common Stock</w:t>
      </w:r>
      <w:r>
        <w:rPr>
          <w:rFonts w:ascii="Arial" w:cs="Arial" w:eastAsia="Arial" w:hAnsi="Arial"/>
          <w:sz w:val="19"/>
          <w:szCs w:val="19"/>
          <w:b w:val="1"/>
          <w:bCs w:val="1"/>
          <w:color w:val="auto"/>
        </w:rPr>
        <w:t>.</w:t>
      </w:r>
    </w:p>
    <w:p>
      <w:pPr>
        <w:spacing w:after="0" w:line="212" w:lineRule="exact"/>
        <w:rPr>
          <w:sz w:val="20"/>
          <w:szCs w:val="20"/>
          <w:color w:val="auto"/>
        </w:rPr>
      </w:pPr>
    </w:p>
    <w:p>
      <w:pPr>
        <w:ind w:right="20" w:firstLine="1304"/>
        <w:spacing w:after="0" w:line="277"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Corporation shall at all times reserve and keep available out of its authorized and unissued Common Stock, solely for issuance upon the conversion of shares of Series A Preferred Stock, and free from any preemptive or other similar rights, a number of shares of Common Stock equal to the maximum number of shares of Common Stock deliverable upon conversion of all shares of Series A Preferred Stock. For purposes of this </w:t>
      </w:r>
      <w:r>
        <w:rPr>
          <w:rFonts w:ascii="Arial" w:cs="Arial" w:eastAsia="Arial" w:hAnsi="Arial"/>
          <w:sz w:val="19"/>
          <w:szCs w:val="19"/>
          <w:u w:val="single" w:color="auto"/>
          <w:color w:val="auto"/>
        </w:rPr>
        <w:t>Section 11(a)</w:t>
      </w:r>
      <w:r>
        <w:rPr>
          <w:rFonts w:ascii="Arial" w:cs="Arial" w:eastAsia="Arial" w:hAnsi="Arial"/>
          <w:sz w:val="19"/>
          <w:szCs w:val="19"/>
          <w:color w:val="auto"/>
        </w:rPr>
        <w:t>, the number of shares of Common Stock that shall be deliverable upon the conversion of all outstanding shares of Series A Preferred Stock shall be computed as if at the time of computation all such outstanding shares were held by a single Holder. Notwithstanding the foregoing,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8" w:right="1059" w:bottom="1440" w:gutter="0" w:footer="0" w:header="0"/>
        </w:sectPr>
      </w:pPr>
    </w:p>
    <w:bookmarkStart w:id="81" w:name="page82"/>
    <w:bookmarkEnd w:id="81"/>
    <w:p>
      <w:pPr>
        <w:ind w:right="40"/>
        <w:spacing w:after="0" w:line="241" w:lineRule="auto"/>
        <w:rPr>
          <w:sz w:val="20"/>
          <w:szCs w:val="20"/>
          <w:color w:val="auto"/>
        </w:rPr>
      </w:pPr>
      <w:r>
        <w:rPr>
          <w:rFonts w:ascii="Arial" w:cs="Arial" w:eastAsia="Arial" w:hAnsi="Arial"/>
          <w:sz w:val="22"/>
          <w:szCs w:val="22"/>
          <w:color w:val="auto"/>
        </w:rPr>
        <w:t>Corporation shall be entitled to deliver upon conversion of shares of Series A Preferred Stock, as herein provided, shares of Common Stock reacquired and held in the treasury of the Corporation (in lieu of the issuance of authorized and unissued shares of Common Stock).</w:t>
      </w:r>
    </w:p>
    <w:p>
      <w:pPr>
        <w:spacing w:after="0" w:line="183" w:lineRule="exact"/>
        <w:rPr>
          <w:sz w:val="20"/>
          <w:szCs w:val="20"/>
          <w:color w:val="auto"/>
        </w:rPr>
      </w:pPr>
    </w:p>
    <w:p>
      <w:pPr>
        <w:ind w:right="20" w:firstLine="1304"/>
        <w:spacing w:after="0" w:line="287"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Common Stock delivered upon conversion of the Series A Preferred Stock shall be duly authorized, validly issued, fully paid and non-assessable, free and clear of all liens, claims, security interests and other encumbrances (other than liens, charges, security interests and other encumbrances created by the Holders, including pursuant to contractual arrangements entered into by the Holder thereof).</w:t>
      </w:r>
    </w:p>
    <w:p>
      <w:pPr>
        <w:spacing w:after="0" w:line="142" w:lineRule="exact"/>
        <w:rPr>
          <w:rFonts w:ascii="Arial" w:cs="Arial" w:eastAsia="Arial" w:hAnsi="Arial"/>
          <w:sz w:val="19"/>
          <w:szCs w:val="19"/>
          <w:color w:val="auto"/>
        </w:rPr>
      </w:pPr>
    </w:p>
    <w:p>
      <w:pPr>
        <w:ind w:right="20" w:firstLine="1304"/>
        <w:spacing w:after="0" w:line="287"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Prior to the delivery of any securities that the Corporation shall be obligated to deliver upon conversion of the Series A Preferred Stock, the Corporation and the applicable Holder converting its Series A Preferred Stock shall use their reasonable best efforts and reasonably cooperate with one another to comply with all laws and regulations thereunder requiring the approval of such delivery by any Regulatory Entities.</w:t>
      </w:r>
    </w:p>
    <w:p>
      <w:pPr>
        <w:spacing w:after="0" w:line="142" w:lineRule="exact"/>
        <w:rPr>
          <w:rFonts w:ascii="Arial" w:cs="Arial" w:eastAsia="Arial" w:hAnsi="Arial"/>
          <w:sz w:val="19"/>
          <w:szCs w:val="19"/>
          <w:color w:val="auto"/>
        </w:rPr>
      </w:pPr>
    </w:p>
    <w:p>
      <w:pPr>
        <w:ind w:right="20" w:firstLine="1304"/>
        <w:spacing w:after="0" w:line="236" w:lineRule="auto"/>
        <w:tabs>
          <w:tab w:leader="none" w:pos="19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Corporation hereby covenants and agrees that, if at any time the Common Stock shall be listed on the NASDAQ or any other securities exchange or quotation system, the Corporation will, if permitted by the rules of such exchange or quotation system, list and keep listed, so long as the Common Stock shall be so listed on such exchange or quotation system, all the Common Stock then issuable upon conversion of the Series A Preferred Stock.</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Anti-Dilution Adjustments to the Conversion Price</w:t>
      </w:r>
      <w:r>
        <w:rPr>
          <w:rFonts w:ascii="Arial" w:cs="Arial" w:eastAsia="Arial" w:hAnsi="Arial"/>
          <w:sz w:val="19"/>
          <w:szCs w:val="19"/>
          <w:b w:val="1"/>
          <w:bCs w:val="1"/>
          <w:color w:val="auto"/>
        </w:rPr>
        <w:t>.</w:t>
      </w:r>
    </w:p>
    <w:p>
      <w:pPr>
        <w:spacing w:after="0" w:line="212" w:lineRule="exact"/>
        <w:rPr>
          <w:sz w:val="20"/>
          <w:szCs w:val="20"/>
          <w:color w:val="auto"/>
        </w:rPr>
      </w:pPr>
    </w:p>
    <w:p>
      <w:pPr>
        <w:ind w:right="40" w:firstLine="1304"/>
        <w:spacing w:after="0" w:line="282" w:lineRule="auto"/>
        <w:tabs>
          <w:tab w:leader="none" w:pos="199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xml:space="preserve">. The Conversion Price will be subject to adjustment, without duplication, upon the occurrence of the following events, except that the Corporation shall not make any adjustment to the Conversion Price if Holders of the Series A Preferred Stock participate, at the same time and upon the same terms as holders of Common Stock and solely as a result of holding shares of Series A Preferred Stock, in any transaction described in this </w:t>
      </w:r>
      <w:r>
        <w:rPr>
          <w:rFonts w:ascii="Arial" w:cs="Arial" w:eastAsia="Arial" w:hAnsi="Arial"/>
          <w:sz w:val="19"/>
          <w:szCs w:val="19"/>
          <w:u w:val="single" w:color="auto"/>
          <w:color w:val="auto"/>
        </w:rPr>
        <w:t>Section 12(a)</w:t>
      </w:r>
      <w:r>
        <w:rPr>
          <w:rFonts w:ascii="Arial" w:cs="Arial" w:eastAsia="Arial" w:hAnsi="Arial"/>
          <w:sz w:val="19"/>
          <w:szCs w:val="19"/>
          <w:color w:val="auto"/>
        </w:rPr>
        <w:t>, without having to convert their Series A Preferred Stock.</w:t>
      </w:r>
    </w:p>
    <w:p>
      <w:pPr>
        <w:spacing w:after="0" w:line="147" w:lineRule="exact"/>
        <w:rPr>
          <w:sz w:val="20"/>
          <w:szCs w:val="20"/>
          <w:color w:val="auto"/>
        </w:rPr>
      </w:pPr>
    </w:p>
    <w:p>
      <w:pPr>
        <w:ind w:left="660" w:firstLine="644"/>
        <w:spacing w:after="0" w:line="249" w:lineRule="auto"/>
        <w:tabs>
          <w:tab w:leader="none" w:pos="1956"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Common Stock Dividend, Distribution or Combination</w:t>
      </w:r>
      <w:r>
        <w:rPr>
          <w:rFonts w:ascii="Arial" w:cs="Arial" w:eastAsia="Arial" w:hAnsi="Arial"/>
          <w:sz w:val="21"/>
          <w:szCs w:val="21"/>
          <w:color w:val="auto"/>
        </w:rPr>
        <w:t>. The issuance of Common Stock as</w:t>
      </w:r>
      <w:r>
        <w:rPr>
          <w:rFonts w:ascii="Arial" w:cs="Arial" w:eastAsia="Arial" w:hAnsi="Arial"/>
          <w:sz w:val="21"/>
          <w:szCs w:val="21"/>
          <w:i w:val="1"/>
          <w:iCs w:val="1"/>
          <w:color w:val="auto"/>
        </w:rPr>
        <w:t xml:space="preserve"> </w:t>
      </w:r>
      <w:r>
        <w:rPr>
          <w:rFonts w:ascii="Arial" w:cs="Arial" w:eastAsia="Arial" w:hAnsi="Arial"/>
          <w:sz w:val="21"/>
          <w:szCs w:val="21"/>
          <w:color w:val="auto"/>
        </w:rPr>
        <w:t>a dividend or distribution to the holders of Common Stock, or a subdivision or combination (including, without limitation, a stock split or a reverse stock split) of Common Stock or a reclassification of Common Stock into a greater or lesser number of shares of Common Stock, in which event the Conversion Price shall be adjusted based on the following formula:</w:t>
      </w:r>
    </w:p>
    <w:p>
      <w:pPr>
        <w:spacing w:after="0" w:line="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1</w:t>
      </w:r>
      <w:r>
        <w:rPr>
          <w:rFonts w:ascii="Arial" w:cs="Arial" w:eastAsia="Arial" w:hAnsi="Arial"/>
          <w:sz w:val="22"/>
          <w:szCs w:val="22"/>
          <w:color w:val="auto"/>
        </w:rPr>
        <w:t xml:space="preserve"> = CP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(OS</w:t>
      </w:r>
      <w:r>
        <w:rPr>
          <w:rFonts w:ascii="Arial" w:cs="Arial" w:eastAsia="Arial" w:hAnsi="Arial"/>
          <w:sz w:val="32"/>
          <w:szCs w:val="32"/>
          <w:color w:val="auto"/>
          <w:vertAlign w:val="subscript"/>
        </w:rPr>
        <w:t>0</w:t>
      </w:r>
      <w:r>
        <w:rPr>
          <w:rFonts w:ascii="Arial" w:cs="Arial" w:eastAsia="Arial" w:hAnsi="Arial"/>
          <w:sz w:val="22"/>
          <w:szCs w:val="22"/>
          <w:color w:val="auto"/>
        </w:rPr>
        <w:t xml:space="preserve"> / OS</w:t>
      </w:r>
      <w:r>
        <w:rPr>
          <w:rFonts w:ascii="Arial" w:cs="Arial" w:eastAsia="Arial" w:hAnsi="Arial"/>
          <w:sz w:val="32"/>
          <w:szCs w:val="32"/>
          <w:color w:val="auto"/>
          <w:vertAlign w:val="subscript"/>
        </w:rPr>
        <w:t>1</w:t>
      </w:r>
      <w:r>
        <w:rPr>
          <w:rFonts w:ascii="Arial" w:cs="Arial" w:eastAsia="Arial" w:hAnsi="Arial"/>
          <w:sz w:val="22"/>
          <w:szCs w:val="22"/>
          <w:color w:val="auto"/>
        </w:rPr>
        <w:t>)</w:t>
      </w:r>
    </w:p>
    <w:p>
      <w:pPr>
        <w:spacing w:after="0" w:line="25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where:</w:t>
      </w:r>
    </w:p>
    <w:p>
      <w:pPr>
        <w:spacing w:after="0" w:line="21" w:lineRule="exact"/>
        <w:rPr>
          <w:sz w:val="20"/>
          <w:szCs w:val="20"/>
          <w:color w:val="auto"/>
        </w:rPr>
      </w:pPr>
    </w:p>
    <w:p>
      <w:pPr>
        <w:ind w:left="1440" w:right="20"/>
        <w:spacing w:after="0"/>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the Conversion Price in effect immediately prior to the close of business on (A) the Record Date for such dividend or distribution or (B) the effective date of such subdivision, combination or reclassification;</w:t>
      </w:r>
    </w:p>
    <w:p>
      <w:pPr>
        <w:spacing w:after="0" w:line="4" w:lineRule="exact"/>
        <w:rPr>
          <w:sz w:val="20"/>
          <w:szCs w:val="20"/>
          <w:color w:val="auto"/>
        </w:rPr>
      </w:pPr>
    </w:p>
    <w:p>
      <w:pPr>
        <w:ind w:left="1440" w:right="540"/>
        <w:spacing w:after="0" w:line="241" w:lineRule="auto"/>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1</w:t>
      </w:r>
      <w:r>
        <w:rPr>
          <w:rFonts w:ascii="Arial" w:cs="Arial" w:eastAsia="Arial" w:hAnsi="Arial"/>
          <w:sz w:val="22"/>
          <w:szCs w:val="22"/>
          <w:color w:val="auto"/>
        </w:rPr>
        <w:t xml:space="preserve"> = the new Conversion Price in effect immediately after the close of business on (A) the Record Date for such dividend or distribution or (B) the effective date of such subdivision, combination or reclassification;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82" w:name="page83"/>
    <w:bookmarkEnd w:id="82"/>
    <w:p>
      <w:pPr>
        <w:ind w:left="1440"/>
        <w:spacing w:after="0"/>
        <w:rPr>
          <w:sz w:val="20"/>
          <w:szCs w:val="20"/>
          <w:color w:val="auto"/>
        </w:rPr>
      </w:pPr>
      <w:r>
        <w:rPr>
          <w:rFonts w:ascii="Arial" w:cs="Arial" w:eastAsia="Arial" w:hAnsi="Arial"/>
          <w:sz w:val="20"/>
          <w:szCs w:val="20"/>
          <w:color w:val="auto"/>
        </w:rPr>
        <w:t>OS</w:t>
      </w:r>
      <w:r>
        <w:rPr>
          <w:rFonts w:ascii="Arial" w:cs="Arial" w:eastAsia="Arial" w:hAnsi="Arial"/>
          <w:sz w:val="30"/>
          <w:szCs w:val="30"/>
          <w:color w:val="auto"/>
          <w:vertAlign w:val="subscript"/>
        </w:rPr>
        <w:t>0</w:t>
      </w:r>
      <w:r>
        <w:rPr>
          <w:rFonts w:ascii="Arial" w:cs="Arial" w:eastAsia="Arial" w:hAnsi="Arial"/>
          <w:sz w:val="20"/>
          <w:szCs w:val="20"/>
          <w:color w:val="auto"/>
        </w:rPr>
        <w:t xml:space="preserve"> = the number of shares of Common Stock outstanding immediately prior to the close of</w:t>
      </w:r>
    </w:p>
    <w:p>
      <w:pPr>
        <w:spacing w:after="0" w:line="73" w:lineRule="exact"/>
        <w:rPr>
          <w:sz w:val="20"/>
          <w:szCs w:val="20"/>
          <w:color w:val="auto"/>
        </w:rPr>
      </w:pPr>
    </w:p>
    <w:p>
      <w:pPr>
        <w:ind w:left="1440" w:right="20"/>
        <w:spacing w:after="0" w:line="238" w:lineRule="auto"/>
        <w:rPr>
          <w:sz w:val="20"/>
          <w:szCs w:val="20"/>
          <w:color w:val="auto"/>
        </w:rPr>
      </w:pPr>
      <w:r>
        <w:rPr>
          <w:rFonts w:ascii="Arial" w:cs="Arial" w:eastAsia="Arial" w:hAnsi="Arial"/>
          <w:sz w:val="22"/>
          <w:szCs w:val="22"/>
          <w:color w:val="auto"/>
        </w:rPr>
        <w:t>business on (A) the Record Date for such dividend or distribution or (B) the effective date of such subdivision, combination or reclassification; and</w:t>
      </w:r>
    </w:p>
    <w:p>
      <w:pPr>
        <w:ind w:left="1440" w:right="160"/>
        <w:spacing w:after="0" w:line="241" w:lineRule="auto"/>
        <w:rPr>
          <w:sz w:val="20"/>
          <w:szCs w:val="20"/>
          <w:color w:val="auto"/>
        </w:rPr>
      </w:pPr>
      <w:r>
        <w:rPr>
          <w:rFonts w:ascii="Arial" w:cs="Arial" w:eastAsia="Arial" w:hAnsi="Arial"/>
          <w:sz w:val="22"/>
          <w:szCs w:val="22"/>
          <w:color w:val="auto"/>
        </w:rPr>
        <w:t>OS</w:t>
      </w:r>
      <w:r>
        <w:rPr>
          <w:rFonts w:ascii="Arial" w:cs="Arial" w:eastAsia="Arial" w:hAnsi="Arial"/>
          <w:sz w:val="32"/>
          <w:szCs w:val="32"/>
          <w:color w:val="auto"/>
          <w:vertAlign w:val="subscript"/>
        </w:rPr>
        <w:t>1</w:t>
      </w:r>
      <w:r>
        <w:rPr>
          <w:rFonts w:ascii="Arial" w:cs="Arial" w:eastAsia="Arial" w:hAnsi="Arial"/>
          <w:sz w:val="22"/>
          <w:szCs w:val="22"/>
          <w:color w:val="auto"/>
        </w:rPr>
        <w:t xml:space="preserve"> = the number of shares of Common Stock that would be outstanding immediately after, and solely as a result of, the completion of such dividend, distribution, subdivision, combination or reclassification.</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Any adjustment made pursuant to this </w:t>
      </w:r>
      <w:r>
        <w:rPr>
          <w:rFonts w:ascii="Arial" w:cs="Arial" w:eastAsia="Arial" w:hAnsi="Arial"/>
          <w:sz w:val="19"/>
          <w:szCs w:val="19"/>
          <w:u w:val="single" w:color="auto"/>
          <w:color w:val="auto"/>
        </w:rPr>
        <w:t>Section 12(a)(i)</w:t>
      </w:r>
      <w:r>
        <w:rPr>
          <w:rFonts w:ascii="Arial" w:cs="Arial" w:eastAsia="Arial" w:hAnsi="Arial"/>
          <w:sz w:val="19"/>
          <w:szCs w:val="19"/>
          <w:color w:val="auto"/>
        </w:rPr>
        <w:t xml:space="preserve"> shall be effective immediately after the close of business on</w:t>
      </w:r>
    </w:p>
    <w:p>
      <w:pPr>
        <w:spacing w:after="0" w:line="43" w:lineRule="exact"/>
        <w:rPr>
          <w:sz w:val="20"/>
          <w:szCs w:val="20"/>
          <w:color w:val="auto"/>
        </w:rPr>
      </w:pPr>
    </w:p>
    <w:p>
      <w:pPr>
        <w:ind w:right="40" w:firstLine="8"/>
        <w:spacing w:after="0" w:line="244" w:lineRule="auto"/>
        <w:tabs>
          <w:tab w:leader="none" w:pos="354"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Record Date for such dividend or distribution or (B) the effective date of such subdivision, combination or reclassification. If any such dividend, distribution, subdivision, combination or reclassification is announced or declared but does not occur, the Conversion Price shall be readjusted, effective as of the date the Board of Directors announces that such dividend, distribution, subdivision, combination or reclassification shall not occur to the Conversion Price that would then be in effect if such dividend, distribution, subdivision, combination or reclassification had not been declared.</w:t>
      </w:r>
    </w:p>
    <w:p>
      <w:pPr>
        <w:spacing w:after="0" w:line="263" w:lineRule="exact"/>
        <w:rPr>
          <w:rFonts w:ascii="Arial" w:cs="Arial" w:eastAsia="Arial" w:hAnsi="Arial"/>
          <w:sz w:val="21"/>
          <w:szCs w:val="21"/>
          <w:color w:val="auto"/>
        </w:rPr>
      </w:pPr>
    </w:p>
    <w:p>
      <w:pPr>
        <w:ind w:left="660" w:right="40" w:firstLine="644"/>
        <w:spacing w:after="0" w:line="272" w:lineRule="auto"/>
        <w:tabs>
          <w:tab w:leader="none" w:pos="1956" w:val="left"/>
        </w:tabs>
        <w:numPr>
          <w:ilvl w:val="1"/>
          <w:numId w:val="52"/>
        </w:numPr>
        <w:rPr>
          <w:rFonts w:ascii="Arial" w:cs="Arial" w:eastAsia="Arial" w:hAnsi="Arial"/>
          <w:sz w:val="19"/>
          <w:szCs w:val="19"/>
          <w:color w:val="auto"/>
        </w:rPr>
      </w:pPr>
      <w:r>
        <w:rPr>
          <w:rFonts w:ascii="Arial" w:cs="Arial" w:eastAsia="Arial" w:hAnsi="Arial"/>
          <w:sz w:val="19"/>
          <w:szCs w:val="19"/>
          <w:i w:val="1"/>
          <w:iCs w:val="1"/>
          <w:color w:val="auto"/>
        </w:rPr>
        <w:t>Tender or Exchange Offer</w:t>
      </w:r>
      <w:r>
        <w:rPr>
          <w:rFonts w:ascii="Arial" w:cs="Arial" w:eastAsia="Arial" w:hAnsi="Arial"/>
          <w:sz w:val="19"/>
          <w:szCs w:val="19"/>
          <w:color w:val="auto"/>
        </w:rPr>
        <w:t>. The Corporation or one or more of its Subsidiaries purchases</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pursuant to a tender offer or exchange offer by the Corporation or a Subsidiary of the Corporation for all or any portion of the Common Stock, or otherwise acquires Common Stock (except in an open market purchase in compliance with Rule 10b-18 promulgated under the Exchange Act, through an “accelerated share repurchase” on customary terms or in connection with tax withholding upon vesting or settlement of options, restricted stock units, performance share units or other similar equity awards or upon forfeiture or cashless exercise of options or other equity awards) (a “</w:t>
      </w:r>
      <w:r>
        <w:rPr>
          <w:rFonts w:ascii="Arial" w:cs="Arial" w:eastAsia="Arial" w:hAnsi="Arial"/>
          <w:sz w:val="19"/>
          <w:szCs w:val="19"/>
          <w:u w:val="single" w:color="auto"/>
          <w:color w:val="auto"/>
        </w:rPr>
        <w:t>Covered Repurchase</w:t>
      </w:r>
      <w:r>
        <w:rPr>
          <w:rFonts w:ascii="Arial" w:cs="Arial" w:eastAsia="Arial" w:hAnsi="Arial"/>
          <w:sz w:val="19"/>
          <w:szCs w:val="19"/>
          <w:color w:val="auto"/>
        </w:rPr>
        <w:t>”), if the cash and value of any other consideration included in the payment per share of Common Stock validly tendered, exchanged or otherwise acquired through a Covered Repurchase exceeds the VWAP per share of Common Stock for the ten (10) consecutive full Trading Days commencing on, and including the Trading Day next succeeding the expiration date of such tender offer or exchange offer in which event the Conversion Price shall be adjusted based on the following formula:</w:t>
      </w:r>
    </w:p>
    <w:p>
      <w:pPr>
        <w:spacing w:after="0" w:line="37" w:lineRule="exact"/>
        <w:rPr>
          <w:sz w:val="20"/>
          <w:szCs w:val="20"/>
          <w:color w:val="auto"/>
        </w:rPr>
      </w:pPr>
    </w:p>
    <w:p>
      <w:pPr>
        <w:ind w:left="1440" w:right="3440" w:firstLine="551"/>
        <w:spacing w:after="0" w:line="257" w:lineRule="auto"/>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1</w:t>
      </w:r>
      <w:r>
        <w:rPr>
          <w:rFonts w:ascii="Arial" w:cs="Arial" w:eastAsia="Arial" w:hAnsi="Arial"/>
          <w:sz w:val="22"/>
          <w:szCs w:val="22"/>
          <w:color w:val="auto"/>
        </w:rPr>
        <w:t xml:space="preserve"> = CP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[(MP</w:t>
      </w:r>
      <w:r>
        <w:rPr>
          <w:rFonts w:ascii="Arial" w:cs="Arial" w:eastAsia="Arial" w:hAnsi="Arial"/>
          <w:sz w:val="32"/>
          <w:szCs w:val="32"/>
          <w:color w:val="auto"/>
          <w:vertAlign w:val="subscript"/>
        </w:rPr>
        <w:t>0</w:t>
      </w:r>
      <w:r>
        <w:rPr>
          <w:rFonts w:ascii="Arial" w:cs="Arial" w:eastAsia="Arial" w:hAnsi="Arial"/>
          <w:sz w:val="22"/>
          <w:szCs w:val="22"/>
          <w:color w:val="auto"/>
        </w:rPr>
        <w:t xml:space="preserve"> x OS</w:t>
      </w:r>
      <w:r>
        <w:rPr>
          <w:rFonts w:ascii="Arial" w:cs="Arial" w:eastAsia="Arial" w:hAnsi="Arial"/>
          <w:sz w:val="32"/>
          <w:szCs w:val="32"/>
          <w:color w:val="auto"/>
          <w:vertAlign w:val="subscript"/>
        </w:rPr>
        <w:t>0</w:t>
      </w:r>
      <w:r>
        <w:rPr>
          <w:rFonts w:ascii="Arial" w:cs="Arial" w:eastAsia="Arial" w:hAnsi="Arial"/>
          <w:sz w:val="22"/>
          <w:szCs w:val="22"/>
          <w:color w:val="auto"/>
        </w:rPr>
        <w:t>) / [FMV + (MP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OS</w:t>
      </w:r>
      <w:r>
        <w:rPr>
          <w:rFonts w:ascii="Arial" w:cs="Arial" w:eastAsia="Arial" w:hAnsi="Arial"/>
          <w:sz w:val="32"/>
          <w:szCs w:val="32"/>
          <w:color w:val="auto"/>
          <w:vertAlign w:val="subscript"/>
        </w:rPr>
        <w:t>1</w:t>
      </w:r>
      <w:r>
        <w:rPr>
          <w:rFonts w:ascii="Arial" w:cs="Arial" w:eastAsia="Arial" w:hAnsi="Arial"/>
          <w:sz w:val="22"/>
          <w:szCs w:val="22"/>
          <w:color w:val="auto"/>
        </w:rPr>
        <w:t>)]] where:</w:t>
      </w:r>
    </w:p>
    <w:p>
      <w:pPr>
        <w:spacing w:after="0" w:line="2" w:lineRule="exact"/>
        <w:rPr>
          <w:sz w:val="20"/>
          <w:szCs w:val="20"/>
          <w:color w:val="auto"/>
        </w:rPr>
      </w:pPr>
    </w:p>
    <w:p>
      <w:pPr>
        <w:ind w:left="1440" w:right="140"/>
        <w:spacing w:after="0" w:line="245" w:lineRule="auto"/>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the Conversion Price in effect immediately prior to the close of business on the expiration date of such tender offer or exchange offer;</w:t>
      </w:r>
    </w:p>
    <w:p>
      <w:pPr>
        <w:spacing w:after="0" w:line="1" w:lineRule="exact"/>
        <w:rPr>
          <w:sz w:val="20"/>
          <w:szCs w:val="20"/>
          <w:color w:val="auto"/>
        </w:rPr>
      </w:pPr>
    </w:p>
    <w:p>
      <w:pPr>
        <w:ind w:left="1440" w:right="900"/>
        <w:spacing w:after="0" w:line="252" w:lineRule="auto"/>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1</w:t>
      </w:r>
      <w:r>
        <w:rPr>
          <w:rFonts w:ascii="Arial" w:cs="Arial" w:eastAsia="Arial" w:hAnsi="Arial"/>
          <w:sz w:val="22"/>
          <w:szCs w:val="22"/>
          <w:color w:val="auto"/>
        </w:rPr>
        <w:t xml:space="preserve"> = the new Conversion Price in effect immediately after the close of business on the expiration date of such tender offer or exchange offer;</w:t>
      </w:r>
    </w:p>
    <w:p>
      <w:pPr>
        <w:spacing w:after="0" w:line="59" w:lineRule="exact"/>
        <w:rPr>
          <w:sz w:val="20"/>
          <w:szCs w:val="20"/>
          <w:color w:val="auto"/>
        </w:rPr>
      </w:pPr>
    </w:p>
    <w:p>
      <w:pPr>
        <w:jc w:val="both"/>
        <w:ind w:left="1440" w:right="40"/>
        <w:spacing w:after="0"/>
        <w:rPr>
          <w:sz w:val="20"/>
          <w:szCs w:val="20"/>
          <w:color w:val="auto"/>
        </w:rPr>
      </w:pPr>
      <w:r>
        <w:rPr>
          <w:rFonts w:ascii="Arial" w:cs="Arial" w:eastAsia="Arial" w:hAnsi="Arial"/>
          <w:sz w:val="22"/>
          <w:szCs w:val="22"/>
          <w:color w:val="auto"/>
        </w:rPr>
        <w:t>FMV = the Fair Market Value, on the expiration date of such tender offer or exchange offer, of all cash and any other consideration paid or payable for all shares validly tendered or exchanged and not withdrawn, or otherwise acquired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0" w:right="999" w:bottom="1440" w:gutter="0" w:footer="0" w:header="0"/>
        </w:sectPr>
      </w:pPr>
    </w:p>
    <w:bookmarkStart w:id="83" w:name="page84"/>
    <w:bookmarkEnd w:id="83"/>
    <w:p>
      <w:pPr>
        <w:ind w:left="1440" w:right="240"/>
        <w:spacing w:after="0" w:line="288" w:lineRule="auto"/>
        <w:rPr>
          <w:sz w:val="20"/>
          <w:szCs w:val="20"/>
          <w:color w:val="auto"/>
        </w:rPr>
      </w:pPr>
      <w:r>
        <w:rPr>
          <w:rFonts w:ascii="Arial" w:cs="Arial" w:eastAsia="Arial" w:hAnsi="Arial"/>
          <w:sz w:val="19"/>
          <w:szCs w:val="19"/>
          <w:color w:val="auto"/>
        </w:rPr>
        <w:t>through a Covered Repurchase, as of the expiration date of such tender offer or exchange offer; OS</w:t>
      </w:r>
      <w:r>
        <w:rPr>
          <w:rFonts w:ascii="Arial" w:cs="Arial" w:eastAsia="Arial" w:hAnsi="Arial"/>
          <w:sz w:val="28"/>
          <w:szCs w:val="28"/>
          <w:color w:val="auto"/>
          <w:vertAlign w:val="subscript"/>
        </w:rPr>
        <w:t>0</w:t>
      </w:r>
      <w:r>
        <w:rPr>
          <w:rFonts w:ascii="Arial" w:cs="Arial" w:eastAsia="Arial" w:hAnsi="Arial"/>
          <w:sz w:val="19"/>
          <w:szCs w:val="19"/>
          <w:color w:val="auto"/>
        </w:rPr>
        <w:t xml:space="preserve"> = the number of shares of Common Stock outstanding immediately prior to the last time</w:t>
      </w:r>
    </w:p>
    <w:p>
      <w:pPr>
        <w:spacing w:after="0" w:line="2" w:lineRule="exact"/>
        <w:rPr>
          <w:sz w:val="20"/>
          <w:szCs w:val="20"/>
          <w:color w:val="auto"/>
        </w:rPr>
      </w:pPr>
    </w:p>
    <w:p>
      <w:pPr>
        <w:ind w:left="1440" w:right="60"/>
        <w:spacing w:after="0" w:line="235" w:lineRule="auto"/>
        <w:rPr>
          <w:sz w:val="20"/>
          <w:szCs w:val="20"/>
          <w:color w:val="auto"/>
        </w:rPr>
      </w:pPr>
      <w:r>
        <w:rPr>
          <w:rFonts w:ascii="Arial" w:cs="Arial" w:eastAsia="Arial" w:hAnsi="Arial"/>
          <w:sz w:val="22"/>
          <w:szCs w:val="22"/>
          <w:color w:val="auto"/>
        </w:rPr>
        <w:t>tenders or exchanges may be made pursuant to such tender or exchange offer (including the shares to be purchased in such tender or exchange offer) or shares are otherwise acquired through a Covered Repurchase;</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OS</w:t>
      </w:r>
      <w:r>
        <w:rPr>
          <w:rFonts w:ascii="Arial" w:cs="Arial" w:eastAsia="Arial" w:hAnsi="Arial"/>
          <w:sz w:val="28"/>
          <w:szCs w:val="28"/>
          <w:color w:val="auto"/>
          <w:vertAlign w:val="subscript"/>
        </w:rPr>
        <w:t>1</w:t>
      </w:r>
      <w:r>
        <w:rPr>
          <w:rFonts w:ascii="Arial" w:cs="Arial" w:eastAsia="Arial" w:hAnsi="Arial"/>
          <w:sz w:val="19"/>
          <w:szCs w:val="19"/>
          <w:color w:val="auto"/>
        </w:rPr>
        <w:t xml:space="preserve"> = the number of shares of Common Stock outstanding immediately after the last time tenders</w:t>
      </w:r>
    </w:p>
    <w:p>
      <w:pPr>
        <w:spacing w:after="0" w:line="54" w:lineRule="exact"/>
        <w:rPr>
          <w:sz w:val="20"/>
          <w:szCs w:val="20"/>
          <w:color w:val="auto"/>
        </w:rPr>
      </w:pPr>
    </w:p>
    <w:p>
      <w:pPr>
        <w:jc w:val="both"/>
        <w:ind w:left="1440" w:right="260"/>
        <w:spacing w:after="0" w:line="235" w:lineRule="auto"/>
        <w:rPr>
          <w:sz w:val="20"/>
          <w:szCs w:val="20"/>
          <w:color w:val="auto"/>
        </w:rPr>
      </w:pPr>
      <w:r>
        <w:rPr>
          <w:rFonts w:ascii="Arial" w:cs="Arial" w:eastAsia="Arial" w:hAnsi="Arial"/>
          <w:sz w:val="22"/>
          <w:szCs w:val="22"/>
          <w:color w:val="auto"/>
        </w:rPr>
        <w:t>or exchanges may be made pursuant to such tender or exchange offer (after giving effect to the purchase of shares in such tender or exchange offer) or shares are otherwise acquired through a Covered Repurchase; and</w:t>
      </w:r>
    </w:p>
    <w:p>
      <w:pPr>
        <w:spacing w:after="0" w:line="2" w:lineRule="exact"/>
        <w:rPr>
          <w:sz w:val="20"/>
          <w:szCs w:val="20"/>
          <w:color w:val="auto"/>
        </w:rPr>
      </w:pPr>
    </w:p>
    <w:p>
      <w:pPr>
        <w:jc w:val="both"/>
        <w:ind w:left="1440" w:right="440"/>
        <w:spacing w:after="0" w:line="241" w:lineRule="auto"/>
        <w:rPr>
          <w:sz w:val="20"/>
          <w:szCs w:val="20"/>
          <w:color w:val="auto"/>
        </w:rPr>
      </w:pPr>
      <w:r>
        <w:rPr>
          <w:rFonts w:ascii="Arial" w:cs="Arial" w:eastAsia="Arial" w:hAnsi="Arial"/>
          <w:sz w:val="22"/>
          <w:szCs w:val="22"/>
          <w:color w:val="auto"/>
        </w:rPr>
        <w:t>MP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the VWAP per share of Common Stock for the ten (10) consecutive full Trading Days commencing on, and including, the Trading Day next succeeding the expiration date of such tender offer or exchange offer.</w:t>
      </w:r>
    </w:p>
    <w:p>
      <w:pPr>
        <w:spacing w:after="0" w:line="18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 xml:space="preserve">Such adjustment shall become effective immediately after the close of business on the expiration date of such tender offer or exchange offer. If an adjustment to the Conversion Price is required under this </w:t>
      </w:r>
      <w:r>
        <w:rPr>
          <w:rFonts w:ascii="Arial" w:cs="Arial" w:eastAsia="Arial" w:hAnsi="Arial"/>
          <w:sz w:val="21"/>
          <w:szCs w:val="21"/>
          <w:u w:val="single" w:color="auto"/>
          <w:color w:val="auto"/>
        </w:rPr>
        <w:t>Section 12(a)(ii)</w:t>
      </w:r>
      <w:r>
        <w:rPr>
          <w:rFonts w:ascii="Arial" w:cs="Arial" w:eastAsia="Arial" w:hAnsi="Arial"/>
          <w:sz w:val="21"/>
          <w:szCs w:val="21"/>
          <w:color w:val="auto"/>
        </w:rPr>
        <w:t xml:space="preserve">, delivery of any additional shares of Common Stock that may be deliverable upon conversion as a result of an adjustment required under this </w:t>
      </w:r>
      <w:r>
        <w:rPr>
          <w:rFonts w:ascii="Arial" w:cs="Arial" w:eastAsia="Arial" w:hAnsi="Arial"/>
          <w:sz w:val="21"/>
          <w:szCs w:val="21"/>
          <w:u w:val="single" w:color="auto"/>
          <w:color w:val="auto"/>
        </w:rPr>
        <w:t>Section 12(a)(ii)</w:t>
      </w:r>
      <w:r>
        <w:rPr>
          <w:rFonts w:ascii="Arial" w:cs="Arial" w:eastAsia="Arial" w:hAnsi="Arial"/>
          <w:sz w:val="21"/>
          <w:szCs w:val="21"/>
          <w:color w:val="auto"/>
        </w:rPr>
        <w:t xml:space="preserve"> shall be delayed to the extent necessary in order to complete the calculations provided for in this </w:t>
      </w:r>
      <w:r>
        <w:rPr>
          <w:rFonts w:ascii="Arial" w:cs="Arial" w:eastAsia="Arial" w:hAnsi="Arial"/>
          <w:sz w:val="21"/>
          <w:szCs w:val="21"/>
          <w:u w:val="single" w:color="auto"/>
          <w:color w:val="auto"/>
        </w:rPr>
        <w:t>Section 12(a)(ii)</w:t>
      </w:r>
      <w:r>
        <w:rPr>
          <w:rFonts w:ascii="Arial" w:cs="Arial" w:eastAsia="Arial" w:hAnsi="Arial"/>
          <w:sz w:val="21"/>
          <w:szCs w:val="21"/>
          <w:color w:val="auto"/>
        </w:rPr>
        <w:t>.</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In the event that the Corporation or any of its Subsidiaries is obligated to purchase Common Stock pursuant to any such tender offer, exchange offer or other commitment to acquire shares of Common Stock through a Covered Repurchase but is permanently prevented by applicable law from effecting any such purchases, or all such purchases are rescinded, then the Conversion Price shall be readjusted to be the Conversion Price that would have been then in effect if such tender offer, exchange offer or Covered Repurchase had not been made.</w:t>
      </w:r>
    </w:p>
    <w:p>
      <w:pPr>
        <w:spacing w:after="0" w:line="147" w:lineRule="exact"/>
        <w:rPr>
          <w:sz w:val="20"/>
          <w:szCs w:val="20"/>
          <w:color w:val="auto"/>
        </w:rPr>
      </w:pPr>
    </w:p>
    <w:p>
      <w:pPr>
        <w:ind w:left="660" w:right="20" w:firstLine="644"/>
        <w:spacing w:after="0" w:line="297" w:lineRule="auto"/>
        <w:tabs>
          <w:tab w:leader="none" w:pos="1956"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Issuance of Common Stock Below Applicable Price</w:t>
      </w:r>
      <w:r>
        <w:rPr>
          <w:rFonts w:ascii="Arial" w:cs="Arial" w:eastAsia="Arial" w:hAnsi="Arial"/>
          <w:sz w:val="19"/>
          <w:szCs w:val="19"/>
          <w:color w:val="auto"/>
        </w:rPr>
        <w:t>. If the Corporation issues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following the Initial Issue Date for a gross price that is less than the Applicable Price other than in a Permitted Issuance, the Conversion Price will be adjusted based on the following formula:</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1</w:t>
      </w:r>
      <w:r>
        <w:rPr>
          <w:rFonts w:ascii="Arial" w:cs="Arial" w:eastAsia="Arial" w:hAnsi="Arial"/>
          <w:sz w:val="22"/>
          <w:szCs w:val="22"/>
          <w:color w:val="auto"/>
        </w:rPr>
        <w:t xml:space="preserve"> = CP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(A + B) / (A + C)</w:t>
      </w:r>
    </w:p>
    <w:p>
      <w:pPr>
        <w:spacing w:after="0" w:line="147"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where:</w:t>
      </w:r>
    </w:p>
    <w:p>
      <w:pPr>
        <w:spacing w:after="0" w:line="21" w:lineRule="exact"/>
        <w:rPr>
          <w:sz w:val="20"/>
          <w:szCs w:val="20"/>
          <w:color w:val="auto"/>
        </w:rPr>
      </w:pPr>
    </w:p>
    <w:p>
      <w:pPr>
        <w:ind w:left="1440" w:right="420"/>
        <w:spacing w:after="0" w:line="245" w:lineRule="auto"/>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0</w:t>
      </w:r>
      <w:r>
        <w:rPr>
          <w:rFonts w:ascii="Arial" w:cs="Arial" w:eastAsia="Arial" w:hAnsi="Arial"/>
          <w:sz w:val="22"/>
          <w:szCs w:val="22"/>
          <w:color w:val="auto"/>
        </w:rPr>
        <w:t xml:space="preserve"> = the Conversion Price in effect immediately prior to the close of business on the date of such issuance;</w:t>
      </w:r>
    </w:p>
    <w:p>
      <w:pPr>
        <w:spacing w:after="0" w:line="1" w:lineRule="exact"/>
        <w:rPr>
          <w:sz w:val="20"/>
          <w:szCs w:val="20"/>
          <w:color w:val="auto"/>
        </w:rPr>
      </w:pPr>
    </w:p>
    <w:p>
      <w:pPr>
        <w:ind w:left="1440" w:right="260"/>
        <w:spacing w:after="0" w:line="252" w:lineRule="auto"/>
        <w:rPr>
          <w:sz w:val="20"/>
          <w:szCs w:val="20"/>
          <w:color w:val="auto"/>
        </w:rPr>
      </w:pPr>
      <w:r>
        <w:rPr>
          <w:rFonts w:ascii="Arial" w:cs="Arial" w:eastAsia="Arial" w:hAnsi="Arial"/>
          <w:sz w:val="22"/>
          <w:szCs w:val="22"/>
          <w:color w:val="auto"/>
        </w:rPr>
        <w:t>CP</w:t>
      </w:r>
      <w:r>
        <w:rPr>
          <w:rFonts w:ascii="Arial" w:cs="Arial" w:eastAsia="Arial" w:hAnsi="Arial"/>
          <w:sz w:val="32"/>
          <w:szCs w:val="32"/>
          <w:color w:val="auto"/>
          <w:vertAlign w:val="subscript"/>
        </w:rPr>
        <w:t>1</w:t>
      </w:r>
      <w:r>
        <w:rPr>
          <w:rFonts w:ascii="Arial" w:cs="Arial" w:eastAsia="Arial" w:hAnsi="Arial"/>
          <w:sz w:val="22"/>
          <w:szCs w:val="22"/>
          <w:color w:val="auto"/>
        </w:rPr>
        <w:t xml:space="preserve"> = the new Conversion Price in effect immediately after the close of business on the date of such issuance;</w:t>
      </w:r>
    </w:p>
    <w:p>
      <w:pPr>
        <w:spacing w:after="0" w:line="59" w:lineRule="exact"/>
        <w:rPr>
          <w:sz w:val="20"/>
          <w:szCs w:val="20"/>
          <w:color w:val="auto"/>
        </w:rPr>
      </w:pPr>
    </w:p>
    <w:p>
      <w:pPr>
        <w:jc w:val="both"/>
        <w:ind w:left="1440" w:right="220"/>
        <w:spacing w:after="0" w:line="238" w:lineRule="auto"/>
        <w:rPr>
          <w:sz w:val="20"/>
          <w:szCs w:val="20"/>
          <w:color w:val="auto"/>
        </w:rPr>
      </w:pPr>
      <w:r>
        <w:rPr>
          <w:rFonts w:ascii="Arial" w:cs="Arial" w:eastAsia="Arial" w:hAnsi="Arial"/>
          <w:sz w:val="22"/>
          <w:szCs w:val="22"/>
          <w:color w:val="auto"/>
        </w:rPr>
        <w:t>A = the number of shares of Common Stock outstanding immediately prior to such issuance or sale of shares of Common Stock (treating for this purpose as outstanding all shares of Common Stock issuable upon exercise of options outstanding immediately prior to such issuance or upon conversion or exchange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4" w:name="page85"/>
    <w:bookmarkEnd w:id="84"/>
    <w:p>
      <w:pPr>
        <w:ind w:left="980" w:right="180"/>
        <w:spacing w:after="0" w:line="251" w:lineRule="auto"/>
        <w:rPr>
          <w:sz w:val="20"/>
          <w:szCs w:val="20"/>
          <w:color w:val="auto"/>
        </w:rPr>
      </w:pPr>
      <w:r>
        <w:rPr>
          <w:rFonts w:ascii="Arial" w:cs="Arial" w:eastAsia="Arial" w:hAnsi="Arial"/>
          <w:sz w:val="22"/>
          <w:szCs w:val="22"/>
          <w:color w:val="auto"/>
        </w:rPr>
        <w:t>of convertible securities (including the Series A Preferred Stock) outstanding immediately prior to such issue);</w:t>
      </w:r>
    </w:p>
    <w:p>
      <w:pPr>
        <w:spacing w:after="0" w:line="65" w:lineRule="exact"/>
        <w:rPr>
          <w:sz w:val="20"/>
          <w:szCs w:val="20"/>
          <w:color w:val="auto"/>
        </w:rPr>
      </w:pPr>
    </w:p>
    <w:p>
      <w:pPr>
        <w:ind w:left="980" w:right="40"/>
        <w:spacing w:after="0" w:line="274" w:lineRule="auto"/>
        <w:rPr>
          <w:sz w:val="20"/>
          <w:szCs w:val="20"/>
          <w:color w:val="auto"/>
        </w:rPr>
      </w:pPr>
      <w:r>
        <w:rPr>
          <w:rFonts w:ascii="Arial" w:cs="Arial" w:eastAsia="Arial" w:hAnsi="Arial"/>
          <w:sz w:val="19"/>
          <w:szCs w:val="19"/>
          <w:color w:val="auto"/>
        </w:rPr>
        <w:t>B = the number of shares of Common Stock that would have been issued if such issuance of shares of Common Stock had been issued at a gross price per share equal to Applicable Price, provided that for an issuance that would otherwise be a Permitted Issuance under clause (i) of the definition thereof but for the discount to market value being in excess of the Permitted Discount, quantity B shall be equal to the number of shares of Common Stock that would have been issued if such issuance of shares of Common Stock had been issued at a gross price per share equal to the Applicable Price less the Permitted Discount for such issuance and the amount of such issuance (based on gross proceeds) shall be counted towards the cap on issuances under clause (i) of the definition of Permitted Issuance; and</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 = the number of shares of Common Stock issued in such transaction.</w:t>
      </w:r>
    </w:p>
    <w:p>
      <w:pPr>
        <w:spacing w:after="0" w:line="233" w:lineRule="exact"/>
        <w:rPr>
          <w:sz w:val="20"/>
          <w:szCs w:val="20"/>
          <w:color w:val="auto"/>
        </w:rPr>
      </w:pPr>
    </w:p>
    <w:p>
      <w:pPr>
        <w:ind w:left="1500" w:hanging="656"/>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Corporation shall not adjust the Conversion Price:</w:t>
      </w:r>
    </w:p>
    <w:p>
      <w:pPr>
        <w:spacing w:after="0" w:line="206" w:lineRule="exact"/>
        <w:rPr>
          <w:rFonts w:ascii="Arial" w:cs="Arial" w:eastAsia="Arial" w:hAnsi="Arial"/>
          <w:sz w:val="22"/>
          <w:szCs w:val="22"/>
          <w:color w:val="auto"/>
        </w:rPr>
      </w:pPr>
    </w:p>
    <w:p>
      <w:pPr>
        <w:ind w:left="840" w:right="260" w:firstLine="652"/>
        <w:spacing w:after="0"/>
        <w:tabs>
          <w:tab w:leader="none" w:pos="2136" w:val="left"/>
        </w:tabs>
        <w:numPr>
          <w:ilvl w:val="1"/>
          <w:numId w:val="54"/>
        </w:numPr>
        <w:rPr>
          <w:rFonts w:ascii="Arial" w:cs="Arial" w:eastAsia="Arial" w:hAnsi="Arial"/>
          <w:sz w:val="22"/>
          <w:szCs w:val="22"/>
          <w:color w:val="auto"/>
        </w:rPr>
      </w:pPr>
      <w:r>
        <w:rPr>
          <w:rFonts w:ascii="Arial" w:cs="Arial" w:eastAsia="Arial" w:hAnsi="Arial"/>
          <w:sz w:val="22"/>
          <w:szCs w:val="22"/>
          <w:color w:val="auto"/>
        </w:rPr>
        <w:t>as a result of the issuance of, the distribution of separate certificates representing, the exercise or redemption of, or the termination or invalidation of, rights pursuant to any stockholder rights plans;</w:t>
      </w:r>
    </w:p>
    <w:p>
      <w:pPr>
        <w:spacing w:after="0" w:line="186" w:lineRule="exact"/>
        <w:rPr>
          <w:rFonts w:ascii="Arial" w:cs="Arial" w:eastAsia="Arial" w:hAnsi="Arial"/>
          <w:sz w:val="22"/>
          <w:szCs w:val="22"/>
          <w:color w:val="auto"/>
        </w:rPr>
      </w:pPr>
    </w:p>
    <w:p>
      <w:pPr>
        <w:jc w:val="both"/>
        <w:ind w:left="840" w:firstLine="652"/>
        <w:spacing w:after="0" w:line="297" w:lineRule="auto"/>
        <w:tabs>
          <w:tab w:leader="none" w:pos="2136" w:val="left"/>
        </w:tabs>
        <w:numPr>
          <w:ilvl w:val="1"/>
          <w:numId w:val="54"/>
        </w:numPr>
        <w:rPr>
          <w:rFonts w:ascii="Arial" w:cs="Arial" w:eastAsia="Arial" w:hAnsi="Arial"/>
          <w:sz w:val="19"/>
          <w:szCs w:val="19"/>
          <w:color w:val="auto"/>
        </w:rPr>
      </w:pPr>
      <w:r>
        <w:rPr>
          <w:rFonts w:ascii="Arial" w:cs="Arial" w:eastAsia="Arial" w:hAnsi="Arial"/>
          <w:sz w:val="19"/>
          <w:szCs w:val="19"/>
          <w:color w:val="auto"/>
        </w:rPr>
        <w:t>upon the issuance of shares of Common Stock pursuant to any present or future plan providing for the reinvestment of dividends or interest payable on securities of the Corporation and the investment of additional optional amounts in Common Stock under any plan;</w:t>
      </w:r>
    </w:p>
    <w:p>
      <w:pPr>
        <w:spacing w:after="0" w:line="133" w:lineRule="exact"/>
        <w:rPr>
          <w:rFonts w:ascii="Arial" w:cs="Arial" w:eastAsia="Arial" w:hAnsi="Arial"/>
          <w:sz w:val="19"/>
          <w:szCs w:val="19"/>
          <w:color w:val="auto"/>
        </w:rPr>
      </w:pPr>
    </w:p>
    <w:p>
      <w:pPr>
        <w:ind w:left="840" w:firstLine="652"/>
        <w:spacing w:after="0" w:line="248" w:lineRule="auto"/>
        <w:tabs>
          <w:tab w:leader="none" w:pos="2136" w:val="left"/>
        </w:tabs>
        <w:numPr>
          <w:ilvl w:val="1"/>
          <w:numId w:val="54"/>
        </w:numPr>
        <w:rPr>
          <w:rFonts w:ascii="Arial" w:cs="Arial" w:eastAsia="Arial" w:hAnsi="Arial"/>
          <w:sz w:val="21"/>
          <w:szCs w:val="21"/>
          <w:color w:val="auto"/>
        </w:rPr>
      </w:pPr>
      <w:r>
        <w:rPr>
          <w:rFonts w:ascii="Arial" w:cs="Arial" w:eastAsia="Arial" w:hAnsi="Arial"/>
          <w:sz w:val="21"/>
          <w:szCs w:val="21"/>
          <w:color w:val="auto"/>
        </w:rPr>
        <w:t>upon the issuance of any shares of Common Stock or options or rights to purchase such shares or other form of equity-based or equity-related awards (including restricted stock units) to employees (or prospective employees who have accepted an offer of employment), directors or consultants, pursuant to any present or future employee, director or consultant benefit plan or program of or assumed by the Corporation or any of its Subsidiaries or of any employee agreements or arrangements or programs;</w:t>
      </w:r>
    </w:p>
    <w:p>
      <w:pPr>
        <w:spacing w:after="0" w:line="176" w:lineRule="exact"/>
        <w:rPr>
          <w:rFonts w:ascii="Arial" w:cs="Arial" w:eastAsia="Arial" w:hAnsi="Arial"/>
          <w:sz w:val="21"/>
          <w:szCs w:val="21"/>
          <w:color w:val="auto"/>
        </w:rPr>
      </w:pPr>
    </w:p>
    <w:p>
      <w:pPr>
        <w:jc w:val="both"/>
        <w:ind w:left="840" w:right="120" w:firstLine="652"/>
        <w:spacing w:after="0" w:line="328" w:lineRule="auto"/>
        <w:tabs>
          <w:tab w:leader="none" w:pos="2136" w:val="left"/>
        </w:tabs>
        <w:numPr>
          <w:ilvl w:val="1"/>
          <w:numId w:val="54"/>
        </w:numPr>
        <w:rPr>
          <w:rFonts w:ascii="Arial" w:cs="Arial" w:eastAsia="Arial" w:hAnsi="Arial"/>
          <w:sz w:val="19"/>
          <w:szCs w:val="19"/>
          <w:color w:val="auto"/>
        </w:rPr>
      </w:pPr>
      <w:r>
        <w:rPr>
          <w:rFonts w:ascii="Arial" w:cs="Arial" w:eastAsia="Arial" w:hAnsi="Arial"/>
          <w:sz w:val="19"/>
          <w:szCs w:val="19"/>
          <w:color w:val="auto"/>
        </w:rPr>
        <w:t>upon the issuance of any shares of Common Stock pursuant to any option, warrant, right, or exercisable, exchangeable or convertible security, including the Series A Preferred Stock;</w:t>
      </w:r>
    </w:p>
    <w:p>
      <w:pPr>
        <w:spacing w:after="0" w:line="104" w:lineRule="exact"/>
        <w:rPr>
          <w:rFonts w:ascii="Arial" w:cs="Arial" w:eastAsia="Arial" w:hAnsi="Arial"/>
          <w:sz w:val="19"/>
          <w:szCs w:val="19"/>
          <w:color w:val="auto"/>
        </w:rPr>
      </w:pPr>
    </w:p>
    <w:p>
      <w:pPr>
        <w:ind w:left="2140" w:hanging="648"/>
        <w:spacing w:after="0"/>
        <w:tabs>
          <w:tab w:leader="none" w:pos="21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for a change in par value of the Common Stock;</w:t>
      </w:r>
    </w:p>
    <w:p>
      <w:pPr>
        <w:spacing w:after="0" w:line="206" w:lineRule="exact"/>
        <w:rPr>
          <w:rFonts w:ascii="Arial" w:cs="Arial" w:eastAsia="Arial" w:hAnsi="Arial"/>
          <w:sz w:val="22"/>
          <w:szCs w:val="22"/>
          <w:color w:val="auto"/>
        </w:rPr>
      </w:pPr>
    </w:p>
    <w:p>
      <w:pPr>
        <w:ind w:left="840" w:right="80" w:firstLine="652"/>
        <w:spacing w:after="0"/>
        <w:tabs>
          <w:tab w:leader="none" w:pos="2136"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for stock repurchases that are not tender offers referred to in </w:t>
      </w:r>
      <w:r>
        <w:rPr>
          <w:rFonts w:ascii="Arial" w:cs="Arial" w:eastAsia="Arial" w:hAnsi="Arial"/>
          <w:sz w:val="22"/>
          <w:szCs w:val="22"/>
          <w:u w:val="single" w:color="auto"/>
          <w:color w:val="auto"/>
        </w:rPr>
        <w:t>Section 12(a)(ii)</w:t>
      </w:r>
      <w:r>
        <w:rPr>
          <w:rFonts w:ascii="Arial" w:cs="Arial" w:eastAsia="Arial" w:hAnsi="Arial"/>
          <w:sz w:val="22"/>
          <w:szCs w:val="22"/>
          <w:color w:val="auto"/>
        </w:rPr>
        <w:t>, including structured or derivative transactions or pursuant to a stock repurchase program approved by the Board of Directors;</w:t>
      </w:r>
    </w:p>
    <w:p>
      <w:pPr>
        <w:spacing w:after="0" w:line="186" w:lineRule="exact"/>
        <w:rPr>
          <w:rFonts w:ascii="Arial" w:cs="Arial" w:eastAsia="Arial" w:hAnsi="Arial"/>
          <w:sz w:val="22"/>
          <w:szCs w:val="22"/>
          <w:color w:val="auto"/>
        </w:rPr>
      </w:pPr>
    </w:p>
    <w:p>
      <w:pPr>
        <w:ind w:left="2140" w:hanging="648"/>
        <w:spacing w:after="0"/>
        <w:tabs>
          <w:tab w:leader="none" w:pos="21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for any cash dividends paid on the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18" w:right="1019" w:bottom="1440" w:gutter="0" w:footer="0" w:header="0"/>
        </w:sectPr>
      </w:pPr>
    </w:p>
    <w:bookmarkStart w:id="85" w:name="page86"/>
    <w:bookmarkEnd w:id="85"/>
    <w:p>
      <w:pPr>
        <w:ind w:left="1260" w:right="20" w:firstLine="652"/>
        <w:spacing w:after="0" w:line="238" w:lineRule="auto"/>
        <w:tabs>
          <w:tab w:leader="none" w:pos="2556" w:val="left"/>
        </w:tabs>
        <w:numPr>
          <w:ilvl w:val="1"/>
          <w:numId w:val="55"/>
        </w:numPr>
        <w:rPr>
          <w:rFonts w:ascii="Arial" w:cs="Arial" w:eastAsia="Arial" w:hAnsi="Arial"/>
          <w:sz w:val="22"/>
          <w:szCs w:val="22"/>
          <w:color w:val="auto"/>
        </w:rPr>
      </w:pPr>
      <w:r>
        <w:rPr>
          <w:rFonts w:ascii="Arial" w:cs="Arial" w:eastAsia="Arial" w:hAnsi="Arial"/>
          <w:sz w:val="22"/>
          <w:szCs w:val="22"/>
          <w:color w:val="auto"/>
        </w:rPr>
        <w:t xml:space="preserve">for any other issuance of shares of Common Stock or any securities convertible into or exchangeable for shares of Common Stock or the right to purchase shares of Common Stock or such convertible or exchangeable securities, except as otherwise provided in </w:t>
      </w:r>
      <w:r>
        <w:rPr>
          <w:rFonts w:ascii="Arial" w:cs="Arial" w:eastAsia="Arial" w:hAnsi="Arial"/>
          <w:sz w:val="22"/>
          <w:szCs w:val="22"/>
          <w:u w:val="single" w:color="auto"/>
          <w:color w:val="auto"/>
        </w:rPr>
        <w:t>Section 12(a)(i)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12(a)(ii)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12(a)(iii)</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260" w:firstLine="652"/>
        <w:spacing w:after="0" w:line="238" w:lineRule="auto"/>
        <w:tabs>
          <w:tab w:leader="none" w:pos="2610" w:val="left"/>
        </w:tabs>
        <w:numPr>
          <w:ilvl w:val="1"/>
          <w:numId w:val="55"/>
        </w:numPr>
        <w:rPr>
          <w:rFonts w:ascii="Arial" w:cs="Arial" w:eastAsia="Arial" w:hAnsi="Arial"/>
          <w:sz w:val="22"/>
          <w:szCs w:val="22"/>
          <w:color w:val="auto"/>
        </w:rPr>
      </w:pPr>
      <w:r>
        <w:rPr>
          <w:rFonts w:ascii="Arial" w:cs="Arial" w:eastAsia="Arial" w:hAnsi="Arial"/>
          <w:sz w:val="22"/>
          <w:szCs w:val="22"/>
          <w:color w:val="auto"/>
        </w:rPr>
        <w:t>No adjustment to the Conversion Price will be required, unless such adjustment would require an increase or decrease of at least $0.01 of the Conversion Price; provided, however, that any such adjustment that is not required to be made will be carried forward and taken into account in any subsequent adjustment.</w:t>
      </w:r>
    </w:p>
    <w:p>
      <w:pPr>
        <w:spacing w:after="0" w:line="184" w:lineRule="exact"/>
        <w:rPr>
          <w:rFonts w:ascii="Arial" w:cs="Arial" w:eastAsia="Arial" w:hAnsi="Arial"/>
          <w:sz w:val="22"/>
          <w:szCs w:val="22"/>
          <w:color w:val="auto"/>
        </w:rPr>
      </w:pPr>
    </w:p>
    <w:p>
      <w:pPr>
        <w:ind w:left="1920" w:hanging="656"/>
        <w:spacing w:after="0"/>
        <w:tabs>
          <w:tab w:leader="none" w:pos="19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Whenever the Conversion Price is to be adjusted, the Corporation shall:</w:t>
      </w:r>
    </w:p>
    <w:p>
      <w:pPr>
        <w:spacing w:after="0" w:line="206" w:lineRule="exact"/>
        <w:rPr>
          <w:sz w:val="20"/>
          <w:szCs w:val="20"/>
          <w:color w:val="auto"/>
        </w:rPr>
      </w:pPr>
    </w:p>
    <w:p>
      <w:pPr>
        <w:ind w:left="1920" w:hanging="656"/>
        <w:spacing w:after="0"/>
        <w:tabs>
          <w:tab w:leader="none" w:pos="19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compute such adjusted Conversion Price;</w:t>
      </w:r>
    </w:p>
    <w:p>
      <w:pPr>
        <w:spacing w:after="0" w:line="206" w:lineRule="exact"/>
        <w:rPr>
          <w:rFonts w:ascii="Arial" w:cs="Arial" w:eastAsia="Arial" w:hAnsi="Arial"/>
          <w:sz w:val="22"/>
          <w:szCs w:val="22"/>
          <w:color w:val="auto"/>
        </w:rPr>
      </w:pPr>
    </w:p>
    <w:p>
      <w:pPr>
        <w:ind w:left="620" w:right="20" w:firstLine="644"/>
        <w:spacing w:after="0" w:line="274" w:lineRule="auto"/>
        <w:tabs>
          <w:tab w:leader="none" w:pos="1916" w:val="left"/>
        </w:tabs>
        <w:numPr>
          <w:ilvl w:val="0"/>
          <w:numId w:val="57"/>
        </w:numPr>
        <w:rPr>
          <w:rFonts w:ascii="Arial" w:cs="Arial" w:eastAsia="Arial" w:hAnsi="Arial"/>
          <w:sz w:val="21"/>
          <w:szCs w:val="21"/>
          <w:color w:val="auto"/>
        </w:rPr>
      </w:pPr>
      <w:r>
        <w:rPr>
          <w:rFonts w:ascii="Arial" w:cs="Arial" w:eastAsia="Arial" w:hAnsi="Arial"/>
          <w:sz w:val="21"/>
          <w:szCs w:val="21"/>
          <w:color w:val="auto"/>
        </w:rPr>
        <w:t>within ten (10) Business Days after the Conversion Price is to be adjusted, provide or cause to be provided a written notice to the Holders of the occurrence of such event; and</w:t>
      </w:r>
    </w:p>
    <w:p>
      <w:pPr>
        <w:spacing w:after="0" w:line="150" w:lineRule="exact"/>
        <w:rPr>
          <w:rFonts w:ascii="Arial" w:cs="Arial" w:eastAsia="Arial" w:hAnsi="Arial"/>
          <w:sz w:val="21"/>
          <w:szCs w:val="21"/>
          <w:color w:val="auto"/>
        </w:rPr>
      </w:pPr>
    </w:p>
    <w:p>
      <w:pPr>
        <w:ind w:left="620" w:right="20" w:firstLine="644"/>
        <w:spacing w:after="0" w:line="297" w:lineRule="auto"/>
        <w:tabs>
          <w:tab w:leader="none" w:pos="19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within ten (10) Business Days after the Conversion Price is to be adjusted, provide or cause to be provided to the Holders, a statement setting forth in reasonable detail the method by which the adjustments to the Conversion Price were determined and setting forth such adjusted Conversion Price.</w:t>
      </w:r>
    </w:p>
    <w:p>
      <w:pPr>
        <w:spacing w:after="0" w:line="134" w:lineRule="exact"/>
        <w:rPr>
          <w:sz w:val="20"/>
          <w:szCs w:val="20"/>
          <w:color w:val="auto"/>
        </w:rPr>
      </w:pPr>
    </w:p>
    <w:p>
      <w:pPr>
        <w:ind w:left="-40" w:right="280" w:firstLine="1304"/>
        <w:spacing w:after="0"/>
        <w:tabs>
          <w:tab w:leader="none" w:pos="190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After an adjustment to the Conversion Price under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any subsequent event requiring an adjustment under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shall cause an adjustment to each such Conversion Price as so adjusted.</w:t>
      </w:r>
    </w:p>
    <w:p>
      <w:pPr>
        <w:spacing w:after="0" w:line="186" w:lineRule="exact"/>
        <w:rPr>
          <w:rFonts w:ascii="Arial" w:cs="Arial" w:eastAsia="Arial" w:hAnsi="Arial"/>
          <w:sz w:val="22"/>
          <w:szCs w:val="22"/>
          <w:color w:val="auto"/>
        </w:rPr>
      </w:pPr>
    </w:p>
    <w:p>
      <w:pPr>
        <w:ind w:left="-40" w:right="40" w:firstLine="1304"/>
        <w:spacing w:after="0" w:line="236" w:lineRule="auto"/>
        <w:tabs>
          <w:tab w:leader="none" w:pos="190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For the avoidance of doubt, if an event occurs that would trigger an adjustment to the Conversion Price pursuant to this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under more than one subsection hereof, such event, to the extent fully taken into account in a single adjustment, shall not result in multiple adjustments 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more than one subsection of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12</w:t>
      </w:r>
      <w:r>
        <w:rPr>
          <w:rFonts w:ascii="Arial" w:cs="Arial" w:eastAsia="Arial" w:hAnsi="Arial"/>
          <w:sz w:val="22"/>
          <w:szCs w:val="22"/>
          <w:i w:val="1"/>
          <w:iCs w:val="1"/>
          <w:color w:val="auto"/>
        </w:rPr>
        <w:t xml:space="preserve"> </w:t>
      </w:r>
      <w:r>
        <w:rPr>
          <w:rFonts w:ascii="Arial" w:cs="Arial" w:eastAsia="Arial" w:hAnsi="Arial"/>
          <w:sz w:val="22"/>
          <w:szCs w:val="22"/>
          <w:color w:val="auto"/>
        </w:rPr>
        <w:t>is applicable to a single event, the subsection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applied that produces the largest adjustment.</w:t>
      </w:r>
    </w:p>
    <w:p>
      <w:pPr>
        <w:spacing w:after="0" w:line="181"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u w:val="single" w:color="auto"/>
          <w:color w:val="auto"/>
        </w:rPr>
        <w:t>Recapitalizations, Reclassifications and Changes of Common Stock</w:t>
      </w:r>
      <w:r>
        <w:rPr>
          <w:rFonts w:ascii="Arial" w:cs="Arial" w:eastAsia="Arial" w:hAnsi="Arial"/>
          <w:sz w:val="19"/>
          <w:szCs w:val="19"/>
          <w:b w:val="1"/>
          <w:bCs w:val="1"/>
          <w:color w:val="auto"/>
        </w:rPr>
        <w:t>.</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In the event of:</w:t>
      </w:r>
    </w:p>
    <w:p>
      <w:pPr>
        <w:spacing w:after="0" w:line="206" w:lineRule="exact"/>
        <w:rPr>
          <w:sz w:val="20"/>
          <w:szCs w:val="20"/>
          <w:color w:val="auto"/>
        </w:rPr>
      </w:pPr>
    </w:p>
    <w:p>
      <w:pPr>
        <w:ind w:left="620" w:firstLine="644"/>
        <w:spacing w:after="0" w:line="238" w:lineRule="auto"/>
        <w:tabs>
          <w:tab w:leader="none" w:pos="1916"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consolidation or merger of the Corporation with or into another Person (other than a merger or consolidation in which the Corporation is the surviving corporation and in which the Common Stock outstanding immediately prior to the merger or consolidation is not exchanged for cash, securities or other property of the Corporation or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20" w:top="118" w:right="1039" w:bottom="1440" w:gutter="0" w:footer="0" w:header="0"/>
        </w:sectPr>
      </w:pPr>
    </w:p>
    <w:bookmarkStart w:id="86" w:name="page87"/>
    <w:bookmarkEnd w:id="86"/>
    <w:p>
      <w:pPr>
        <w:ind w:left="660" w:right="380" w:firstLine="644"/>
        <w:spacing w:after="0" w:line="251" w:lineRule="auto"/>
        <w:tabs>
          <w:tab w:leader="none" w:pos="195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sale, transfer, lease or conveyance to another Person of all or substantially all of the property and assets of the Corporation;</w:t>
      </w:r>
    </w:p>
    <w:p>
      <w:pPr>
        <w:spacing w:after="0" w:line="173" w:lineRule="exact"/>
        <w:rPr>
          <w:rFonts w:ascii="Arial" w:cs="Arial" w:eastAsia="Arial" w:hAnsi="Arial"/>
          <w:sz w:val="22"/>
          <w:szCs w:val="22"/>
          <w:color w:val="auto"/>
        </w:rPr>
      </w:pPr>
    </w:p>
    <w:p>
      <w:pPr>
        <w:ind w:left="1960" w:hanging="656"/>
        <w:spacing w:after="0"/>
        <w:tabs>
          <w:tab w:leader="none" w:pos="1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reclassification of Common Stock into another class of Common Stock or any other</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securities; or</w:t>
      </w:r>
    </w:p>
    <w:p>
      <w:pPr>
        <w:spacing w:after="0" w:line="188" w:lineRule="exact"/>
        <w:rPr>
          <w:rFonts w:ascii="Arial" w:cs="Arial" w:eastAsia="Arial" w:hAnsi="Arial"/>
          <w:sz w:val="19"/>
          <w:szCs w:val="19"/>
          <w:color w:val="auto"/>
        </w:rPr>
      </w:pPr>
    </w:p>
    <w:p>
      <w:pPr>
        <w:ind w:left="660" w:right="220" w:firstLine="644"/>
        <w:spacing w:after="0" w:line="250" w:lineRule="auto"/>
        <w:tabs>
          <w:tab w:leader="none" w:pos="195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statutory exchange of securities of the Corporation with another Person (other than in connection with a merger or acquisition),</w:t>
      </w:r>
    </w:p>
    <w:p>
      <w:pPr>
        <w:spacing w:after="0" w:line="175" w:lineRule="exact"/>
        <w:rPr>
          <w:sz w:val="20"/>
          <w:szCs w:val="20"/>
          <w:color w:val="auto"/>
        </w:rPr>
      </w:pPr>
    </w:p>
    <w:p>
      <w:pPr>
        <w:ind w:right="140"/>
        <w:spacing w:after="0" w:line="274" w:lineRule="auto"/>
        <w:rPr>
          <w:sz w:val="20"/>
          <w:szCs w:val="20"/>
          <w:color w:val="auto"/>
        </w:rPr>
      </w:pPr>
      <w:r>
        <w:rPr>
          <w:rFonts w:ascii="Arial" w:cs="Arial" w:eastAsia="Arial" w:hAnsi="Arial"/>
          <w:sz w:val="19"/>
          <w:szCs w:val="19"/>
          <w:color w:val="auto"/>
        </w:rPr>
        <w:t>in each case, as a result of which the Common Stock would be converted into, or exchanged for, stock, other securities or other property or assets (including cash or any combination thereof) (each, a “</w:t>
      </w:r>
      <w:r>
        <w:rPr>
          <w:rFonts w:ascii="Arial" w:cs="Arial" w:eastAsia="Arial" w:hAnsi="Arial"/>
          <w:sz w:val="19"/>
          <w:szCs w:val="19"/>
          <w:u w:val="single" w:color="auto"/>
          <w:color w:val="auto"/>
        </w:rPr>
        <w:t>Reorganization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Event</w:t>
      </w:r>
      <w:r>
        <w:rPr>
          <w:rFonts w:ascii="Arial" w:cs="Arial" w:eastAsia="Arial" w:hAnsi="Arial"/>
          <w:sz w:val="19"/>
          <w:szCs w:val="19"/>
          <w:color w:val="auto"/>
        </w:rPr>
        <w:t>”), each share of the Series A Preferred Stock outstanding immediately prior to such Reorganization Event shall, without the consent of the Holders, become convertible into the kind of stock, other securities or other property or assets (including cash or any combination thereof) that such Holder would have been entitled to receive if such Holder had converted its Series A Preferred Stock into Common Stock immediately prior to such Reorganization Event (such stock, other securities or other property or assets (including cash or any combination thereof), the “</w:t>
      </w:r>
      <w:r>
        <w:rPr>
          <w:rFonts w:ascii="Arial" w:cs="Arial" w:eastAsia="Arial" w:hAnsi="Arial"/>
          <w:sz w:val="19"/>
          <w:szCs w:val="19"/>
          <w:u w:val="single" w:color="auto"/>
          <w:color w:val="auto"/>
        </w:rPr>
        <w:t>Exchange Property</w:t>
      </w:r>
      <w:r>
        <w:rPr>
          <w:rFonts w:ascii="Arial" w:cs="Arial" w:eastAsia="Arial" w:hAnsi="Arial"/>
          <w:sz w:val="19"/>
          <w:szCs w:val="19"/>
          <w:color w:val="auto"/>
        </w:rPr>
        <w:t>,” with each “</w:t>
      </w:r>
      <w:r>
        <w:rPr>
          <w:rFonts w:ascii="Arial" w:cs="Arial" w:eastAsia="Arial" w:hAnsi="Arial"/>
          <w:sz w:val="19"/>
          <w:szCs w:val="19"/>
          <w:u w:val="single" w:color="auto"/>
          <w:color w:val="auto"/>
        </w:rPr>
        <w:t>Unit of Exchange Property</w:t>
      </w:r>
      <w:r>
        <w:rPr>
          <w:rFonts w:ascii="Arial" w:cs="Arial" w:eastAsia="Arial" w:hAnsi="Arial"/>
          <w:sz w:val="19"/>
          <w:szCs w:val="19"/>
          <w:color w:val="auto"/>
        </w:rPr>
        <w:t>” meaning the kind and amount of such Exchange Property that a holder of one share of Common Stock is entitled to receive).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auto"/>
        </w:rPr>
        <w:t>If the transaction causes the Common Stock to be converted into, or exchanged for, the right to receive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more than a single type of consideration (determined based in part upon any form of stockholder election), the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Exchange Property into which the Series A Preferred Stock shall be convertible shall be deemed to be:</w:t>
      </w:r>
    </w:p>
    <w:p>
      <w:pPr>
        <w:spacing w:after="0" w:line="200" w:lineRule="exact"/>
        <w:rPr>
          <w:sz w:val="20"/>
          <w:szCs w:val="20"/>
          <w:color w:val="auto"/>
        </w:rPr>
      </w:pPr>
    </w:p>
    <w:p>
      <w:pPr>
        <w:ind w:left="660" w:right="160" w:firstLine="644"/>
        <w:spacing w:after="0" w:line="250" w:lineRule="auto"/>
        <w:tabs>
          <w:tab w:leader="none" w:pos="195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weighted average of the types and amounts of consideration received by the holders of Common Stock that affirmatively make such an election; and</w:t>
      </w:r>
    </w:p>
    <w:p>
      <w:pPr>
        <w:spacing w:after="0" w:line="174" w:lineRule="exact"/>
        <w:rPr>
          <w:rFonts w:ascii="Arial" w:cs="Arial" w:eastAsia="Arial" w:hAnsi="Arial"/>
          <w:sz w:val="22"/>
          <w:szCs w:val="22"/>
          <w:color w:val="auto"/>
        </w:rPr>
      </w:pPr>
    </w:p>
    <w:p>
      <w:pPr>
        <w:ind w:left="660" w:right="60" w:firstLine="644"/>
        <w:spacing w:after="0" w:line="250" w:lineRule="auto"/>
        <w:tabs>
          <w:tab w:leader="none" w:pos="1956"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no holders of Common Stock affirmatively make such an election, the types and amounts of consideration actually received by the holders of the Common Stock.</w:t>
      </w:r>
    </w:p>
    <w:p>
      <w:pPr>
        <w:spacing w:after="0" w:line="175" w:lineRule="exact"/>
        <w:rPr>
          <w:sz w:val="20"/>
          <w:szCs w:val="20"/>
          <w:color w:val="auto"/>
        </w:rPr>
      </w:pPr>
    </w:p>
    <w:p>
      <w:pPr>
        <w:ind w:left="340" w:right="460" w:firstLine="324"/>
        <w:spacing w:after="0" w:line="250" w:lineRule="auto"/>
        <w:rPr>
          <w:sz w:val="20"/>
          <w:szCs w:val="20"/>
          <w:color w:val="auto"/>
        </w:rPr>
      </w:pPr>
      <w:r>
        <w:rPr>
          <w:rFonts w:ascii="Arial" w:cs="Arial" w:eastAsia="Arial" w:hAnsi="Arial"/>
          <w:sz w:val="22"/>
          <w:szCs w:val="22"/>
          <w:color w:val="auto"/>
        </w:rPr>
        <w:t>The Corporation shall notify Holders of the weighted average referred to in clause (i) in the preceding sentence as soon as practicable after such determination is made.</w:t>
      </w:r>
    </w:p>
    <w:p>
      <w:pPr>
        <w:spacing w:after="0" w:line="175" w:lineRule="exact"/>
        <w:rPr>
          <w:sz w:val="20"/>
          <w:szCs w:val="20"/>
          <w:color w:val="auto"/>
        </w:rPr>
      </w:pPr>
    </w:p>
    <w:p>
      <w:pPr>
        <w:ind w:left="340" w:right="40" w:firstLine="324"/>
        <w:spacing w:after="0" w:line="282" w:lineRule="auto"/>
        <w:rPr>
          <w:sz w:val="20"/>
          <w:szCs w:val="20"/>
          <w:color w:val="auto"/>
        </w:rPr>
      </w:pPr>
      <w:r>
        <w:rPr>
          <w:rFonts w:ascii="Arial" w:cs="Arial" w:eastAsia="Arial" w:hAnsi="Arial"/>
          <w:sz w:val="19"/>
          <w:szCs w:val="19"/>
          <w:color w:val="auto"/>
        </w:rPr>
        <w:t xml:space="preserve">The number of Units of Exchange Property the Corporation shall deliver for each share of Series A Preferred Stock converted following the effective date of such Reorganization Event shall be determined as if references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to shares of Common Stock were to Units of Exchange Property (without interest thereon and without any right to dividends or distributions thereon which have a Record Date that is prior to the date such shares of Series A Preferred stock are actually converted).</w:t>
      </w:r>
    </w:p>
    <w:p>
      <w:pPr>
        <w:spacing w:after="0" w:line="14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21"/>
          <w:szCs w:val="21"/>
          <w:color w:val="auto"/>
        </w:rPr>
        <w:t xml:space="preserve">The above provisions of this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shall similarly apply to successive Reorganization Events, and the provisions of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shall apply to any shares of capital stock of the Corporation (or any successor thereto) received by the holders of Common Stock in any such Reorganization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7" w:name="page88"/>
    <w:bookmarkEnd w:id="87"/>
    <w:p>
      <w:pPr>
        <w:ind w:left="340" w:right="100" w:firstLine="324"/>
        <w:spacing w:after="0" w:line="287" w:lineRule="auto"/>
        <w:rPr>
          <w:sz w:val="20"/>
          <w:szCs w:val="20"/>
          <w:color w:val="auto"/>
        </w:rPr>
      </w:pPr>
      <w:r>
        <w:rPr>
          <w:rFonts w:ascii="Arial" w:cs="Arial" w:eastAsia="Arial" w:hAnsi="Arial"/>
          <w:sz w:val="19"/>
          <w:szCs w:val="19"/>
          <w:color w:val="auto"/>
        </w:rPr>
        <w:t xml:space="preserve">The Corporation (or any successor thereto) shall, as soon as reasonably practicable (but in any event within 20 calendar days) after the occurrence of any Reorganization Event, provide written notice to the Holders of such occurrence and of the kind and amount of cash, securities or other property that constitute the Exchange Property. Failure to deliver such notice shall not affect the operation of this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143" w:lineRule="exact"/>
        <w:rPr>
          <w:sz w:val="20"/>
          <w:szCs w:val="20"/>
          <w:color w:val="auto"/>
        </w:rPr>
      </w:pPr>
    </w:p>
    <w:p>
      <w:pPr>
        <w:ind w:left="340" w:right="140" w:firstLine="324"/>
        <w:spacing w:after="0" w:line="257" w:lineRule="auto"/>
        <w:rPr>
          <w:sz w:val="20"/>
          <w:szCs w:val="20"/>
          <w:color w:val="auto"/>
        </w:rPr>
      </w:pPr>
      <w:r>
        <w:rPr>
          <w:rFonts w:ascii="Arial" w:cs="Arial" w:eastAsia="Arial" w:hAnsi="Arial"/>
          <w:sz w:val="21"/>
          <w:szCs w:val="21"/>
          <w:color w:val="auto"/>
        </w:rPr>
        <w:t xml:space="preserve">Notwithstanding anything to the contrary, in the case that a Reorganization Event also constitutes a Fundamental Change, to the extent of any conflict between the terms of </w:t>
      </w:r>
      <w:r>
        <w:rPr>
          <w:rFonts w:ascii="Arial" w:cs="Arial" w:eastAsia="Arial" w:hAnsi="Arial"/>
          <w:sz w:val="21"/>
          <w:szCs w:val="21"/>
          <w:u w:val="single" w:color="auto"/>
          <w:color w:val="auto"/>
        </w:rPr>
        <w:t>Section 7(b)(iv)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the provisions of </w:t>
      </w:r>
      <w:r>
        <w:rPr>
          <w:rFonts w:ascii="Arial" w:cs="Arial" w:eastAsia="Arial" w:hAnsi="Arial"/>
          <w:sz w:val="21"/>
          <w:szCs w:val="21"/>
          <w:u w:val="single" w:color="auto"/>
          <w:color w:val="auto"/>
        </w:rPr>
        <w:t>Section 7(b)(iv)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w:t>
      </w:r>
      <w:r>
        <w:rPr>
          <w:rFonts w:ascii="Arial" w:cs="Arial" w:eastAsia="Arial" w:hAnsi="Arial"/>
          <w:sz w:val="21"/>
          <w:szCs w:val="21"/>
          <w:color w:val="auto"/>
        </w:rPr>
        <w:t>, as applicable, shall prevail.</w:t>
      </w:r>
    </w:p>
    <w:p>
      <w:pPr>
        <w:spacing w:after="0" w:line="163" w:lineRule="exact"/>
        <w:rPr>
          <w:sz w:val="20"/>
          <w:szCs w:val="20"/>
          <w:color w:val="auto"/>
        </w:rPr>
      </w:pPr>
    </w:p>
    <w:p>
      <w:pPr>
        <w:jc w:val="both"/>
        <w:ind w:right="140" w:firstLine="1296"/>
        <w:spacing w:after="0" w:line="243"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u w:val="single" w:color="auto"/>
          <w:color w:val="auto"/>
        </w:rPr>
        <w:t>Record Holders</w:t>
      </w:r>
      <w:r>
        <w:rPr>
          <w:rFonts w:ascii="Arial" w:cs="Arial" w:eastAsia="Arial" w:hAnsi="Arial"/>
          <w:sz w:val="22"/>
          <w:szCs w:val="22"/>
          <w:color w:val="auto"/>
        </w:rPr>
        <w:t>. To the fullest extent permitted by applicable law,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may deem and treat the Holder of any shares of Series A Preferred Stock as the true and lawful owner thereof for all purposes.</w:t>
      </w:r>
    </w:p>
    <w:p>
      <w:pPr>
        <w:spacing w:after="0" w:line="177" w:lineRule="exact"/>
        <w:rPr>
          <w:sz w:val="20"/>
          <w:szCs w:val="20"/>
          <w:color w:val="auto"/>
        </w:rPr>
      </w:pPr>
    </w:p>
    <w:p>
      <w:pPr>
        <w:jc w:val="both"/>
        <w:ind w:right="60" w:firstLine="1296"/>
        <w:spacing w:after="0" w:line="300" w:lineRule="auto"/>
        <w:rPr>
          <w:sz w:val="20"/>
          <w:szCs w:val="20"/>
          <w:color w:val="auto"/>
        </w:rPr>
      </w:pPr>
      <w:r>
        <w:rPr>
          <w:rFonts w:ascii="Arial" w:cs="Arial" w:eastAsia="Arial" w:hAnsi="Arial"/>
          <w:sz w:val="19"/>
          <w:szCs w:val="19"/>
          <w:b w:val="1"/>
          <w:bCs w:val="1"/>
          <w:color w:val="auto"/>
        </w:rPr>
        <w:t xml:space="preserve">Section 15 </w:t>
      </w: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or communications in respect of Series A Preferred Stock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sufficiently given if given in writing and delivered by first class mail, postage prepaid, or if given in such other manner as may be permitted in this Exhibit, in the Charter or the By-Laws and by applicable law.</w:t>
      </w:r>
    </w:p>
    <w:p>
      <w:pPr>
        <w:spacing w:after="0" w:line="126" w:lineRule="exact"/>
        <w:rPr>
          <w:sz w:val="20"/>
          <w:szCs w:val="20"/>
          <w:color w:val="auto"/>
        </w:rPr>
      </w:pPr>
    </w:p>
    <w:p>
      <w:pPr>
        <w:ind w:right="180" w:firstLine="1296"/>
        <w:spacing w:after="0" w:line="243" w:lineRule="auto"/>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b w:val="1"/>
          <w:bCs w:val="1"/>
          <w:u w:val="single" w:color="auto"/>
          <w:color w:val="auto"/>
        </w:rPr>
        <w:t>No Preemptive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provided in the Investor Rights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Holders shall have no preemptive or preferential rights to purchase or subscribe for any stock, obligations, warrants or other securities of the Corporation of any class.</w:t>
      </w:r>
    </w:p>
    <w:p>
      <w:pPr>
        <w:spacing w:after="0" w:line="177" w:lineRule="exact"/>
        <w:rPr>
          <w:sz w:val="20"/>
          <w:szCs w:val="20"/>
          <w:color w:val="auto"/>
        </w:rPr>
      </w:pPr>
    </w:p>
    <w:p>
      <w:pPr>
        <w:ind w:right="80" w:firstLine="1296"/>
        <w:spacing w:after="0" w:line="246" w:lineRule="auto"/>
        <w:rPr>
          <w:sz w:val="20"/>
          <w:szCs w:val="20"/>
          <w:color w:val="auto"/>
        </w:rPr>
      </w:pPr>
      <w:r>
        <w:rPr>
          <w:rFonts w:ascii="Arial" w:cs="Arial" w:eastAsia="Arial" w:hAnsi="Arial"/>
          <w:sz w:val="21"/>
          <w:szCs w:val="21"/>
          <w:b w:val="1"/>
          <w:bCs w:val="1"/>
          <w:color w:val="auto"/>
        </w:rPr>
        <w:t xml:space="preserve">Section 17 </w:t>
      </w:r>
      <w:r>
        <w:rPr>
          <w:rFonts w:ascii="Arial" w:cs="Arial" w:eastAsia="Arial" w:hAnsi="Arial"/>
          <w:sz w:val="21"/>
          <w:szCs w:val="21"/>
          <w:b w:val="1"/>
          <w:bCs w:val="1"/>
          <w:u w:val="single" w:color="auto"/>
          <w:color w:val="auto"/>
        </w:rPr>
        <w:t>Information Rights</w:t>
      </w:r>
      <w:r>
        <w:rPr>
          <w:rFonts w:ascii="Arial" w:cs="Arial" w:eastAsia="Arial" w:hAnsi="Arial"/>
          <w:sz w:val="21"/>
          <w:szCs w:val="21"/>
          <w:color w:val="auto"/>
        </w:rPr>
        <w:t>. If at any time the Corporation is not required to file reports</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United States Securities and Exchange Commission (“</w:t>
      </w:r>
      <w:r>
        <w:rPr>
          <w:rFonts w:ascii="Arial" w:cs="Arial" w:eastAsia="Arial" w:hAnsi="Arial"/>
          <w:sz w:val="21"/>
          <w:szCs w:val="21"/>
          <w:u w:val="single" w:color="auto"/>
          <w:color w:val="auto"/>
        </w:rPr>
        <w:t>SEC</w:t>
      </w:r>
      <w:r>
        <w:rPr>
          <w:rFonts w:ascii="Arial" w:cs="Arial" w:eastAsia="Arial" w:hAnsi="Arial"/>
          <w:sz w:val="21"/>
          <w:szCs w:val="21"/>
          <w:color w:val="auto"/>
        </w:rPr>
        <w:t>”), if any Series A Preferred Stock is then outstanding, the Corporation shall provide the Holders of at least five percent (5%) of the Series A Preferred Stock issued on the Initial Issue Date with reports containing financial information substantially similar to the financial information that would have been contained in the reports the Corporation would have been required to file with the SEC by Section 13(a) or 15(d) under the Exchange Act if it were subject thereto, in each case at such times as such reports or other information would be required to be filed thereunder, provided that such financial information shall be deemed delivered to such Holders if the Corporation voluntary files such financial information with the SEC within such time frame.</w:t>
      </w:r>
    </w:p>
    <w:p>
      <w:pPr>
        <w:spacing w:after="0" w:line="175" w:lineRule="exact"/>
        <w:rPr>
          <w:sz w:val="20"/>
          <w:szCs w:val="20"/>
          <w:color w:val="auto"/>
        </w:rPr>
      </w:pPr>
    </w:p>
    <w:p>
      <w:pPr>
        <w:jc w:val="both"/>
        <w:ind w:firstLine="1296"/>
        <w:spacing w:after="0" w:line="334" w:lineRule="auto"/>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Except as expressly provided in this Exhibit, the shares of Series A Preferred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shall not be redeemable or otherwise mature and the term of the Series A Preferred Stock shall be perpetual.</w:t>
      </w:r>
    </w:p>
    <w:p>
      <w:pPr>
        <w:spacing w:after="0" w:line="94" w:lineRule="exact"/>
        <w:rPr>
          <w:sz w:val="20"/>
          <w:szCs w:val="20"/>
          <w:color w:val="auto"/>
        </w:rPr>
      </w:pPr>
    </w:p>
    <w:p>
      <w:pPr>
        <w:ind w:right="20" w:firstLine="1296"/>
        <w:spacing w:after="0" w:line="256"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b w:val="1"/>
          <w:bCs w:val="1"/>
          <w:u w:val="single" w:color="auto"/>
          <w:color w:val="auto"/>
        </w:rPr>
        <w:t>Sinking Fund</w:t>
      </w:r>
      <w:r>
        <w:rPr>
          <w:rFonts w:ascii="Arial" w:cs="Arial" w:eastAsia="Arial" w:hAnsi="Arial"/>
          <w:sz w:val="22"/>
          <w:szCs w:val="22"/>
          <w:color w:val="auto"/>
        </w:rPr>
        <w:t>. Shares of Series A Preferred Stock shall not be subject to or entitled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operation of a retirement or sinking fund.</w:t>
      </w:r>
    </w:p>
    <w:p>
      <w:pPr>
        <w:spacing w:after="0" w:line="162" w:lineRule="exact"/>
        <w:rPr>
          <w:sz w:val="20"/>
          <w:szCs w:val="20"/>
          <w:color w:val="auto"/>
        </w:rPr>
      </w:pPr>
    </w:p>
    <w:p>
      <w:pPr>
        <w:ind w:right="80" w:firstLine="1296"/>
        <w:spacing w:after="0" w:line="237" w:lineRule="auto"/>
        <w:rPr>
          <w:sz w:val="20"/>
          <w:szCs w:val="20"/>
          <w:color w:val="auto"/>
        </w:rPr>
      </w:pPr>
      <w:r>
        <w:rPr>
          <w:rFonts w:ascii="Arial" w:cs="Arial" w:eastAsia="Arial" w:hAnsi="Arial"/>
          <w:sz w:val="22"/>
          <w:szCs w:val="22"/>
          <w:b w:val="1"/>
          <w:bCs w:val="1"/>
          <w:color w:val="auto"/>
        </w:rPr>
        <w:t xml:space="preserve">Section 20 </w:t>
      </w:r>
      <w:r>
        <w:rPr>
          <w:rFonts w:ascii="Arial" w:cs="Arial" w:eastAsia="Arial" w:hAnsi="Arial"/>
          <w:sz w:val="22"/>
          <w:szCs w:val="22"/>
          <w:b w:val="1"/>
          <w:bCs w:val="1"/>
          <w:u w:val="single" w:color="auto"/>
          <w:color w:val="auto"/>
        </w:rPr>
        <w:t>Transfer Agent</w:t>
      </w:r>
      <w:r>
        <w:rPr>
          <w:rFonts w:ascii="Arial" w:cs="Arial" w:eastAsia="Arial" w:hAnsi="Arial"/>
          <w:sz w:val="22"/>
          <w:szCs w:val="22"/>
          <w:color w:val="auto"/>
        </w:rPr>
        <w:t>. The duly appointed Transfer Agent, conversion agent, registrar</w:t>
      </w:r>
      <w:r>
        <w:rPr>
          <w:rFonts w:ascii="Arial" w:cs="Arial" w:eastAsia="Arial" w:hAnsi="Arial"/>
          <w:sz w:val="22"/>
          <w:szCs w:val="22"/>
          <w:b w:val="1"/>
          <w:bCs w:val="1"/>
          <w:color w:val="auto"/>
        </w:rPr>
        <w:t xml:space="preserve"> </w:t>
      </w:r>
      <w:r>
        <w:rPr>
          <w:rFonts w:ascii="Arial" w:cs="Arial" w:eastAsia="Arial" w:hAnsi="Arial"/>
          <w:sz w:val="22"/>
          <w:szCs w:val="22"/>
          <w:color w:val="auto"/>
        </w:rPr>
        <w:t>and paying agent for the Series A Preferred Stock shall be Computershare Trust Company, N.A. The Corporation may, in its sole discretion, appoint any other Person to serve as Transfer Agent, conversion agent, registrar or paying agent for the Series A Preferred Stock and thereafter may remove or replace Computershare Trust Company, N.A. or such other Person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any time. Upon any such appointment or removal, the Corporation shall send notice thereof to the Holders.</w:t>
      </w:r>
    </w:p>
    <w:p>
      <w:pPr>
        <w:spacing w:after="0" w:line="235"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b w:val="1"/>
          <w:bCs w:val="1"/>
          <w:color w:val="auto"/>
        </w:rPr>
        <w:t xml:space="preserve">Section 21 </w:t>
      </w:r>
      <w:r>
        <w:rPr>
          <w:rFonts w:ascii="Arial" w:cs="Arial" w:eastAsia="Arial" w:hAnsi="Arial"/>
          <w:sz w:val="19"/>
          <w:szCs w:val="19"/>
          <w:b w:val="1"/>
          <w:bCs w:val="1"/>
          <w:u w:val="single" w:color="auto"/>
          <w:color w:val="auto"/>
        </w:rPr>
        <w:t>Replacement Certificates; Certificate Following Conversion</w:t>
      </w:r>
      <w:r>
        <w:rPr>
          <w:rFonts w:ascii="Arial" w:cs="Arial" w:eastAsia="Arial" w:hAnsi="Arial"/>
          <w:sz w:val="19"/>
          <w:szCs w:val="19"/>
          <w:color w:val="auto"/>
        </w:rPr>
        <w:t>.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Series A Preferred Stock shall initially be uncertificated, provided that the Board of Directors may provide that such shares may be subsequently certificated, with any such certificates to comply with the applicable requirements of the Delaware General Corporation Law, the Charter and By-Laws. If physical certificates evidencing the Series A Preferred Stock are issued, the Corporation shall replace any mutilated certificate at the Holder’s expense upon surrender of that certificate to the Transfer Agent. The Corporation shall replace certificates that become destroyed, stolen or lost at the Holder’s expense upon delivery to the Corporation and the Transfer Agent of satisfactory evidence that the certificate has been destroyed, stolen or lost, together with any indemnity that may be required by the Transfer Agent and the Corporation. If physical certificates representing the Series A Preferred Stock are issued, the Corporation shall not be required to issue replacement certificates representing shares of Series A Preferred Stock on or after the Conversion Date applicable to such shares (except if any certificate for shares of Series A Preferred Stock shall be surrendered for partial conversion, the Corporation shall, at its expense, execute and deliver to or upon the written order of the Holder of the certificate so surrendered a new certificate for the shares of Series A Preferred Stock not converted). In place of the delivery of a replacement certificate following the applicable Conversion Date, the Transfer Agent, upon receipt of the satisfactory evidence and indemnity described above, shall deliver certificates or book-entry records, as applicable, representing the shares of Common Stock issuable upon conversion of such shares of Series A Preferred Stock formerly evidenced by the physical certificate.</w:t>
      </w:r>
    </w:p>
    <w:p>
      <w:pPr>
        <w:spacing w:after="0" w:line="396" w:lineRule="exact"/>
        <w:rPr>
          <w:sz w:val="20"/>
          <w:szCs w:val="20"/>
          <w:color w:val="auto"/>
        </w:rPr>
      </w:pPr>
    </w:p>
    <w:p>
      <w:pPr>
        <w:ind w:right="20" w:firstLine="1296"/>
        <w:spacing w:after="0" w:line="274" w:lineRule="auto"/>
        <w:rPr>
          <w:sz w:val="20"/>
          <w:szCs w:val="20"/>
          <w:color w:val="auto"/>
        </w:rPr>
      </w:pPr>
      <w:r>
        <w:rPr>
          <w:rFonts w:ascii="Arial" w:cs="Arial" w:eastAsia="Arial" w:hAnsi="Arial"/>
          <w:sz w:val="19"/>
          <w:szCs w:val="19"/>
          <w:b w:val="1"/>
          <w:bCs w:val="1"/>
          <w:color w:val="auto"/>
        </w:rPr>
        <w:t xml:space="preserve">Section 22 </w:t>
      </w:r>
      <w:r>
        <w:rPr>
          <w:rFonts w:ascii="Arial" w:cs="Arial" w:eastAsia="Arial" w:hAnsi="Arial"/>
          <w:sz w:val="19"/>
          <w:szCs w:val="19"/>
          <w:b w:val="1"/>
          <w:bCs w:val="1"/>
          <w:u w:val="single" w:color="auto"/>
          <w:color w:val="auto"/>
        </w:rPr>
        <w:t>Transfer and Similar Taxes</w:t>
      </w:r>
      <w:r>
        <w:rPr>
          <w:rFonts w:ascii="Arial" w:cs="Arial" w:eastAsia="Arial" w:hAnsi="Arial"/>
          <w:sz w:val="19"/>
          <w:szCs w:val="19"/>
          <w:color w:val="auto"/>
        </w:rPr>
        <w:t>. The Corporation shall pay any and all share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documentary, stamp and similar taxes that may be payable in respect of any issuance or delivery of Series A Preferred Stock or Common Stock or other securities issued on account of Series A Preferred Stock pursuant hereto or certificates representing such shares or securities. The Corporation shall not, however, be required to pay any such tax that may be payable in respect of any transfer involved in the issuance or delivery of Series A Preferred Stock, Common Stock or other securities in a name other than that in which the Series A Preferred Stock with respect to which such shares or other securities are issued or delivered were registered and shall not be required to make any such issuance or delivery unless and until the Person otherwise entitled to such issuance or delivery has paid to the Corporation the amount of any such tax or has established, to the satisfaction of the Corporation, that such tax has been paid or is not payable.</w:t>
      </w:r>
    </w:p>
    <w:p>
      <w:pPr>
        <w:spacing w:after="0" w:line="152" w:lineRule="exact"/>
        <w:rPr>
          <w:sz w:val="20"/>
          <w:szCs w:val="20"/>
          <w:color w:val="auto"/>
        </w:rPr>
      </w:pPr>
    </w:p>
    <w:p>
      <w:pPr>
        <w:ind w:right="180" w:firstLine="1296"/>
        <w:spacing w:after="0" w:line="239" w:lineRule="auto"/>
        <w:rPr>
          <w:sz w:val="20"/>
          <w:szCs w:val="20"/>
          <w:color w:val="auto"/>
        </w:rPr>
      </w:pPr>
      <w:r>
        <w:rPr>
          <w:rFonts w:ascii="Arial" w:cs="Arial" w:eastAsia="Arial" w:hAnsi="Arial"/>
          <w:sz w:val="22"/>
          <w:szCs w:val="22"/>
          <w:b w:val="1"/>
          <w:bCs w:val="1"/>
          <w:color w:val="auto"/>
        </w:rPr>
        <w:t xml:space="preserve">Section 23 </w:t>
      </w:r>
      <w:r>
        <w:rPr>
          <w:rFonts w:ascii="Arial" w:cs="Arial" w:eastAsia="Arial" w:hAnsi="Arial"/>
          <w:sz w:val="22"/>
          <w:szCs w:val="22"/>
          <w:b w:val="1"/>
          <w:bCs w:val="1"/>
          <w:u w:val="single" w:color="auto"/>
          <w:color w:val="auto"/>
        </w:rPr>
        <w:t>Tax Treatment</w:t>
      </w:r>
      <w:r>
        <w:rPr>
          <w:rFonts w:ascii="Arial" w:cs="Arial" w:eastAsia="Arial" w:hAnsi="Arial"/>
          <w:sz w:val="22"/>
          <w:szCs w:val="22"/>
          <w:color w:val="auto"/>
        </w:rPr>
        <w:t>. Except to the extent otherwise required pursuant to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within the meaning of Section 1313(a) of the Code, or due to a change in applicable law, the Series A Preferred Stock shall be treated as stock that is not “preferred stock” for purposes of Section 305 of the Code.</w:t>
      </w:r>
    </w:p>
    <w:p>
      <w:pPr>
        <w:spacing w:after="0" w:line="180" w:lineRule="exact"/>
        <w:rPr>
          <w:sz w:val="20"/>
          <w:szCs w:val="20"/>
          <w:color w:val="auto"/>
        </w:rPr>
      </w:pPr>
    </w:p>
    <w:p>
      <w:pPr>
        <w:ind w:right="40" w:firstLine="1296"/>
        <w:spacing w:after="0" w:line="239" w:lineRule="auto"/>
        <w:rPr>
          <w:sz w:val="20"/>
          <w:szCs w:val="20"/>
          <w:color w:val="auto"/>
        </w:rPr>
      </w:pPr>
      <w:r>
        <w:rPr>
          <w:rFonts w:ascii="Arial" w:cs="Arial" w:eastAsia="Arial" w:hAnsi="Arial"/>
          <w:sz w:val="22"/>
          <w:szCs w:val="22"/>
          <w:b w:val="1"/>
          <w:bCs w:val="1"/>
          <w:color w:val="auto"/>
        </w:rPr>
        <w:t xml:space="preserve">Section 24 </w:t>
      </w: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Notwithstanding any provision in the Charter or this Exhibit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any right of the Holders of Series A Preferred Stock granted thereunder or hereunder may be waived as to all shares of Series A Preferred Stock (and the Holders thereof) upon the vote or written consent of the Holders of a majority of the shares of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89" w:name="page90"/>
    <w:bookmarkEnd w:id="89"/>
    <w:p>
      <w:pPr>
        <w:ind w:right="60"/>
        <w:spacing w:after="0" w:line="241" w:lineRule="auto"/>
        <w:rPr>
          <w:sz w:val="20"/>
          <w:szCs w:val="20"/>
          <w:color w:val="auto"/>
        </w:rPr>
      </w:pPr>
      <w:r>
        <w:rPr>
          <w:rFonts w:ascii="Arial" w:cs="Arial" w:eastAsia="Arial" w:hAnsi="Arial"/>
          <w:sz w:val="22"/>
          <w:szCs w:val="22"/>
          <w:color w:val="auto"/>
        </w:rPr>
        <w:t>Preferred Stock then outstanding; provided that for the avoidance of doubt, such waiver will not apply to any rights under the Investor Rights Agreement or any other agreement between any Holder and the Company or any other person.</w:t>
      </w:r>
    </w:p>
    <w:p>
      <w:pPr>
        <w:spacing w:after="0" w:line="177" w:lineRule="exact"/>
        <w:rPr>
          <w:sz w:val="20"/>
          <w:szCs w:val="20"/>
          <w:color w:val="auto"/>
        </w:rPr>
      </w:pPr>
    </w:p>
    <w:p>
      <w:pPr>
        <w:ind w:firstLine="1296"/>
        <w:spacing w:after="0" w:line="237" w:lineRule="auto"/>
        <w:rPr>
          <w:sz w:val="20"/>
          <w:szCs w:val="20"/>
          <w:color w:val="auto"/>
        </w:rPr>
      </w:pPr>
      <w:r>
        <w:rPr>
          <w:rFonts w:ascii="Arial" w:cs="Arial" w:eastAsia="Arial" w:hAnsi="Arial"/>
          <w:sz w:val="22"/>
          <w:szCs w:val="22"/>
          <w:b w:val="1"/>
          <w:bCs w:val="1"/>
          <w:color w:val="auto"/>
        </w:rPr>
        <w:t xml:space="preserve">Section 25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term of the Series A Preferred Stock set forth herein is invalid,</w:t>
      </w:r>
      <w:r>
        <w:rPr>
          <w:rFonts w:ascii="Arial" w:cs="Arial" w:eastAsia="Arial" w:hAnsi="Arial"/>
          <w:sz w:val="22"/>
          <w:szCs w:val="22"/>
          <w:b w:val="1"/>
          <w:bCs w:val="1"/>
          <w:color w:val="auto"/>
        </w:rPr>
        <w:t xml:space="preserve"> </w:t>
      </w:r>
      <w:r>
        <w:rPr>
          <w:rFonts w:ascii="Arial" w:cs="Arial" w:eastAsia="Arial" w:hAnsi="Arial"/>
          <w:sz w:val="22"/>
          <w:szCs w:val="22"/>
          <w:color w:val="auto"/>
        </w:rPr>
        <w:t>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2" w:lineRule="exact"/>
        <w:rPr>
          <w:sz w:val="20"/>
          <w:szCs w:val="20"/>
          <w:color w:val="auto"/>
        </w:rPr>
      </w:pPr>
    </w:p>
    <w:p>
      <w:pPr>
        <w:ind w:right="300" w:firstLine="1296"/>
        <w:spacing w:after="0" w:line="289" w:lineRule="auto"/>
        <w:rPr>
          <w:sz w:val="20"/>
          <w:szCs w:val="20"/>
          <w:color w:val="auto"/>
        </w:rPr>
      </w:pPr>
      <w:r>
        <w:rPr>
          <w:rFonts w:ascii="Arial" w:cs="Arial" w:eastAsia="Arial" w:hAnsi="Arial"/>
          <w:sz w:val="19"/>
          <w:szCs w:val="19"/>
          <w:b w:val="1"/>
          <w:bCs w:val="1"/>
          <w:color w:val="auto"/>
        </w:rPr>
        <w:t xml:space="preserve">Section 26 </w:t>
      </w:r>
      <w:r>
        <w:rPr>
          <w:rFonts w:ascii="Arial" w:cs="Arial" w:eastAsia="Arial" w:hAnsi="Arial"/>
          <w:sz w:val="19"/>
          <w:szCs w:val="19"/>
          <w:b w:val="1"/>
          <w:bCs w:val="1"/>
          <w:u w:val="single" w:color="auto"/>
          <w:color w:val="auto"/>
        </w:rPr>
        <w:t>Other Rights</w:t>
      </w:r>
      <w:r>
        <w:rPr>
          <w:rFonts w:ascii="Arial" w:cs="Arial" w:eastAsia="Arial" w:hAnsi="Arial"/>
          <w:sz w:val="19"/>
          <w:szCs w:val="19"/>
          <w:color w:val="auto"/>
        </w:rPr>
        <w:t>. The shares of Series A Preferred Stock shall not have any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preferences, privileges or voting powers or relative, participating, optional or other special rights, or qualifications, limitations or restrictions thereof, other than as set forth herein or in the Charter, the Investor Rights Agreement, the Registration Rights Agreement or as provided by applicable law.</w:t>
      </w:r>
    </w:p>
    <w:p>
      <w:pPr>
        <w:spacing w:after="0" w:line="136" w:lineRule="exact"/>
        <w:rPr>
          <w:sz w:val="20"/>
          <w:szCs w:val="20"/>
          <w:color w:val="auto"/>
        </w:rPr>
      </w:pPr>
    </w:p>
    <w:p>
      <w:pPr>
        <w:ind w:right="260" w:firstLine="1296"/>
        <w:spacing w:after="0" w:line="256" w:lineRule="auto"/>
        <w:rPr>
          <w:sz w:val="20"/>
          <w:szCs w:val="20"/>
          <w:color w:val="auto"/>
        </w:rPr>
      </w:pPr>
      <w:r>
        <w:rPr>
          <w:rFonts w:ascii="Arial" w:cs="Arial" w:eastAsia="Arial" w:hAnsi="Arial"/>
          <w:sz w:val="22"/>
          <w:szCs w:val="22"/>
          <w:b w:val="1"/>
          <w:bCs w:val="1"/>
          <w:color w:val="auto"/>
        </w:rPr>
        <w:t xml:space="preserve">Section 27 </w:t>
      </w:r>
      <w:r>
        <w:rPr>
          <w:rFonts w:ascii="Arial" w:cs="Arial" w:eastAsia="Arial" w:hAnsi="Arial"/>
          <w:sz w:val="22"/>
          <w:szCs w:val="22"/>
          <w:b w:val="1"/>
          <w:bCs w:val="1"/>
          <w:u w:val="single" w:color="auto"/>
          <w:color w:val="auto"/>
        </w:rPr>
        <w:t>Conflict</w:t>
      </w:r>
      <w:r>
        <w:rPr>
          <w:rFonts w:ascii="Arial" w:cs="Arial" w:eastAsia="Arial" w:hAnsi="Arial"/>
          <w:sz w:val="22"/>
          <w:szCs w:val="22"/>
          <w:color w:val="auto"/>
        </w:rPr>
        <w:t>. To the extent the terms provided in this Exhibit conflict with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in the Charter, it is intended that the terms provided in this Exhibit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18" w:right="107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A</w:t>
      </w:r>
    </w:p>
    <w:p>
      <w:pPr>
        <w:spacing w:after="0" w:line="213" w:lineRule="exact"/>
        <w:rPr>
          <w:sz w:val="20"/>
          <w:szCs w:val="20"/>
          <w:color w:val="auto"/>
        </w:rPr>
      </w:pPr>
    </w:p>
    <w:p>
      <w:pPr>
        <w:ind w:left="3180"/>
        <w:spacing w:after="0"/>
        <w:rPr>
          <w:sz w:val="20"/>
          <w:szCs w:val="20"/>
          <w:color w:val="auto"/>
        </w:rPr>
      </w:pPr>
      <w:r>
        <w:rPr>
          <w:rFonts w:ascii="Arial" w:cs="Arial" w:eastAsia="Arial" w:hAnsi="Arial"/>
          <w:sz w:val="22"/>
          <w:szCs w:val="22"/>
          <w:u w:val="single" w:color="auto"/>
          <w:color w:val="auto"/>
        </w:rPr>
        <w:t>FORM OF NOTICE OF CONVERSION</w:t>
      </w:r>
    </w:p>
    <w:p>
      <w:pPr>
        <w:spacing w:after="0" w:line="206"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(To be Executed by the Holder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Order to Convert Series A Convertible Preferred Stock)</w:t>
      </w:r>
    </w:p>
    <w:p>
      <w:pPr>
        <w:spacing w:after="0" w:line="188" w:lineRule="exact"/>
        <w:rPr>
          <w:sz w:val="20"/>
          <w:szCs w:val="20"/>
          <w:color w:val="auto"/>
        </w:rPr>
      </w:pPr>
    </w:p>
    <w:p>
      <w:pPr>
        <w:ind w:left="340" w:right="240" w:firstLine="324"/>
        <w:spacing w:after="0" w:line="287" w:lineRule="auto"/>
        <w:rPr>
          <w:sz w:val="20"/>
          <w:szCs w:val="20"/>
          <w:color w:val="auto"/>
        </w:rPr>
      </w:pPr>
      <w:r>
        <w:rPr>
          <w:rFonts w:ascii="Arial" w:cs="Arial" w:eastAsia="Arial" w:hAnsi="Arial"/>
          <w:sz w:val="19"/>
          <w:szCs w:val="19"/>
          <w:color w:val="auto"/>
        </w:rPr>
        <w:t>The undersigned hereby irrevocably elects to convert (the “</w:t>
      </w:r>
      <w:r>
        <w:rPr>
          <w:rFonts w:ascii="Arial" w:cs="Arial" w:eastAsia="Arial" w:hAnsi="Arial"/>
          <w:sz w:val="19"/>
          <w:szCs w:val="19"/>
          <w:u w:val="single" w:color="auto"/>
          <w:color w:val="auto"/>
        </w:rPr>
        <w:t>Conversion</w:t>
      </w:r>
      <w:r>
        <w:rPr>
          <w:rFonts w:ascii="Arial" w:cs="Arial" w:eastAsia="Arial" w:hAnsi="Arial"/>
          <w:sz w:val="19"/>
          <w:szCs w:val="19"/>
          <w:color w:val="auto"/>
        </w:rPr>
        <w:t>”) Series A Convertible Preferred Stock (the “</w:t>
      </w:r>
      <w:r>
        <w:rPr>
          <w:rFonts w:ascii="Arial" w:cs="Arial" w:eastAsia="Arial" w:hAnsi="Arial"/>
          <w:sz w:val="19"/>
          <w:szCs w:val="19"/>
          <w:u w:val="single" w:color="auto"/>
          <w:color w:val="auto"/>
        </w:rPr>
        <w:t>Series A Preferred Stock</w:t>
      </w:r>
      <w:r>
        <w:rPr>
          <w:rFonts w:ascii="Arial" w:cs="Arial" w:eastAsia="Arial" w:hAnsi="Arial"/>
          <w:sz w:val="19"/>
          <w:szCs w:val="19"/>
          <w:color w:val="auto"/>
        </w:rPr>
        <w:t>”), of Westrock Coffee Company (hereinafter called the “</w:t>
      </w:r>
      <w:r>
        <w:rPr>
          <w:rFonts w:ascii="Arial" w:cs="Arial" w:eastAsia="Arial" w:hAnsi="Arial"/>
          <w:sz w:val="19"/>
          <w:szCs w:val="19"/>
          <w:u w:val="single" w:color="auto"/>
          <w:color w:val="auto"/>
        </w:rPr>
        <w:t>Corporation</w:t>
      </w:r>
      <w:r>
        <w:rPr>
          <w:rFonts w:ascii="Arial" w:cs="Arial" w:eastAsia="Arial" w:hAnsi="Arial"/>
          <w:sz w:val="19"/>
          <w:szCs w:val="19"/>
          <w:color w:val="auto"/>
        </w:rPr>
        <w:t>”) into common stock, par value $0.01 per share, of the Corporation (the “</w:t>
      </w:r>
      <w:r>
        <w:rPr>
          <w:rFonts w:ascii="Arial" w:cs="Arial" w:eastAsia="Arial" w:hAnsi="Arial"/>
          <w:sz w:val="19"/>
          <w:szCs w:val="19"/>
          <w:u w:val="single" w:color="auto"/>
          <w:color w:val="auto"/>
        </w:rPr>
        <w:t>Common Stock</w:t>
      </w:r>
      <w:r>
        <w:rPr>
          <w:rFonts w:ascii="Arial" w:cs="Arial" w:eastAsia="Arial" w:hAnsi="Arial"/>
          <w:sz w:val="19"/>
          <w:szCs w:val="19"/>
          <w:color w:val="auto"/>
        </w:rPr>
        <w:t>”) according to the conditions of certificate of incorporation of the Corporation (the “</w:t>
      </w:r>
      <w:r>
        <w:rPr>
          <w:rFonts w:ascii="Arial" w:cs="Arial" w:eastAsia="Arial" w:hAnsi="Arial"/>
          <w:sz w:val="19"/>
          <w:szCs w:val="19"/>
          <w:u w:val="single" w:color="auto"/>
          <w:color w:val="auto"/>
        </w:rPr>
        <w:t>Charter</w:t>
      </w:r>
      <w:r>
        <w:rPr>
          <w:rFonts w:ascii="Arial" w:cs="Arial" w:eastAsia="Arial" w:hAnsi="Arial"/>
          <w:sz w:val="19"/>
          <w:szCs w:val="19"/>
          <w:color w:val="auto"/>
        </w:rPr>
        <w:t>”), as of the date written below.</w:t>
      </w:r>
    </w:p>
    <w:p>
      <w:pPr>
        <w:spacing w:after="0" w:line="75" w:lineRule="exact"/>
        <w:rPr>
          <w:sz w:val="20"/>
          <w:szCs w:val="20"/>
          <w:color w:val="auto"/>
        </w:rPr>
      </w:pPr>
    </w:p>
    <w:p>
      <w:pPr>
        <w:jc w:val="both"/>
        <w:ind w:left="340" w:right="200" w:firstLine="324"/>
        <w:spacing w:after="0" w:line="257" w:lineRule="auto"/>
        <w:rPr>
          <w:sz w:val="20"/>
          <w:szCs w:val="20"/>
          <w:color w:val="auto"/>
        </w:rPr>
      </w:pPr>
      <w:r>
        <w:rPr>
          <w:rFonts w:ascii="Arial" w:cs="Arial" w:eastAsia="Arial" w:hAnsi="Arial"/>
          <w:sz w:val="21"/>
          <w:szCs w:val="21"/>
          <w:color w:val="auto"/>
        </w:rPr>
        <w:t>If the Common Stock is to be issued in the name of a Person other than the undersigned, the undersigned shall pay all transfer taxes payable with respect thereto, if any. Each Series A Preferred Stock Certificate (or evidence of loss, theft or destruction thereof), if any, is attached hereto.</w:t>
      </w:r>
    </w:p>
    <w:p>
      <w:pPr>
        <w:spacing w:after="0" w:line="88" w:lineRule="exact"/>
        <w:rPr>
          <w:sz w:val="20"/>
          <w:szCs w:val="20"/>
          <w:color w:val="auto"/>
        </w:rPr>
      </w:pPr>
    </w:p>
    <w:p>
      <w:pPr>
        <w:ind w:left="340" w:right="320" w:firstLine="324"/>
        <w:spacing w:after="0" w:line="250" w:lineRule="auto"/>
        <w:rPr>
          <w:sz w:val="20"/>
          <w:szCs w:val="20"/>
          <w:color w:val="auto"/>
        </w:rPr>
      </w:pPr>
      <w:r>
        <w:rPr>
          <w:rFonts w:ascii="Arial" w:cs="Arial" w:eastAsia="Arial" w:hAnsi="Arial"/>
          <w:sz w:val="22"/>
          <w:szCs w:val="22"/>
          <w:color w:val="auto"/>
        </w:rPr>
        <w:t>Capitalized terms used but not defined herein shall have the meanings ascribed thereto in or pursuant to the Charter.</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4088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4088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Shares of Series A Preferred Stock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-3810</wp:posOffset>
            </wp:positionV>
            <wp:extent cx="4088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4088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40887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4088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40887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6985</wp:posOffset>
            </wp:positionV>
            <wp:extent cx="4088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408876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238760</wp:posOffset>
            </wp:positionV>
            <wp:extent cx="15684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Address where the Common Stock and any other payments or certificates shall be sent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757555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22"/>
          <w:szCs w:val="22"/>
          <w:u w:val="single" w:color="auto"/>
          <w:color w:val="auto"/>
        </w:rPr>
        <w:t>ASSIGNMENT</w:t>
      </w:r>
    </w:p>
    <w:p>
      <w:pPr>
        <w:spacing w:after="0" w:line="207" w:lineRule="exact"/>
        <w:rPr>
          <w:sz w:val="20"/>
          <w:szCs w:val="20"/>
          <w:color w:val="auto"/>
        </w:rPr>
      </w:pPr>
    </w:p>
    <w:p>
      <w:pPr>
        <w:ind w:left="340" w:right="580" w:firstLine="324"/>
        <w:spacing w:after="0" w:line="250" w:lineRule="auto"/>
        <w:rPr>
          <w:sz w:val="20"/>
          <w:szCs w:val="20"/>
          <w:color w:val="auto"/>
        </w:rPr>
      </w:pPr>
      <w:r>
        <w:rPr>
          <w:rFonts w:ascii="Arial" w:cs="Arial" w:eastAsia="Arial" w:hAnsi="Arial"/>
          <w:sz w:val="22"/>
          <w:szCs w:val="22"/>
          <w:color w:val="auto"/>
        </w:rPr>
        <w:t>FOR VALUE RECEIVED, the undersigned assigns and transfers the shares of Series A Convertible Preferred Stock evidenced hereby to:</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(Insert assignee’s social security or taxpayer identification number, if any)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(Insert address and zip code of assignee)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irrevocably appoints:</w:t>
      </w:r>
    </w:p>
    <w:p>
      <w:pPr>
        <w:spacing w:after="0" w:line="125" w:lineRule="exact"/>
        <w:rPr>
          <w:sz w:val="20"/>
          <w:szCs w:val="20"/>
          <w:color w:val="auto"/>
        </w:rPr>
      </w:pPr>
    </w:p>
    <w:p>
      <w:pPr>
        <w:ind w:left="340" w:right="220"/>
        <w:spacing w:after="0" w:line="250" w:lineRule="auto"/>
        <w:rPr>
          <w:sz w:val="20"/>
          <w:szCs w:val="20"/>
          <w:color w:val="auto"/>
        </w:rPr>
      </w:pPr>
      <w:r>
        <w:rPr>
          <w:rFonts w:ascii="Arial" w:cs="Arial" w:eastAsia="Arial" w:hAnsi="Arial"/>
          <w:sz w:val="22"/>
          <w:szCs w:val="22"/>
          <w:color w:val="auto"/>
        </w:rPr>
        <w:t>as agent to transfer the shares of Series A Convertible Preferred Stock evidenced hereby on the books of the Transfer Agent.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The agent may substitute another to act for him or her.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6985</wp:posOffset>
            </wp:positionV>
            <wp:extent cx="54089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(Sign exactly as your name in which your shares of Series A Convertible Preferred Stock are registered.)</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5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27" w:lineRule="exact"/>
        <w:rPr>
          <w:sz w:val="20"/>
          <w:szCs w:val="20"/>
          <w:color w:val="auto"/>
        </w:rPr>
      </w:pPr>
    </w:p>
    <w:p>
      <w:pPr>
        <w:ind w:left="340" w:firstLine="324"/>
        <w:spacing w:after="0" w:line="282" w:lineRule="auto"/>
        <w:rPr>
          <w:sz w:val="20"/>
          <w:szCs w:val="20"/>
          <w:color w:val="auto"/>
        </w:rPr>
      </w:pPr>
      <w:r>
        <w:rPr>
          <w:rFonts w:ascii="Arial" w:cs="Arial" w:eastAsia="Arial" w:hAnsi="Arial"/>
          <w:sz w:val="19"/>
          <w:szCs w:val="19"/>
          <w:color w:val="auto"/>
        </w:rPr>
        <w:t>(Signature must be guaranteed by an “eligible guarantor institution” that is a bank, stockbroker, savings and loan association or credit union meeting the requirements of the Transfer Agent, which requirements include membership or participation in the Securities Transfer Agents Medallion Program (“</w:t>
      </w:r>
      <w:r>
        <w:rPr>
          <w:rFonts w:ascii="Arial" w:cs="Arial" w:eastAsia="Arial" w:hAnsi="Arial"/>
          <w:sz w:val="19"/>
          <w:szCs w:val="19"/>
          <w:u w:val="single" w:color="auto"/>
          <w:color w:val="auto"/>
        </w:rPr>
        <w:t>STAMP</w:t>
      </w:r>
      <w:r>
        <w:rPr>
          <w:rFonts w:ascii="Arial" w:cs="Arial" w:eastAsia="Arial" w:hAnsi="Arial"/>
          <w:sz w:val="19"/>
          <w:szCs w:val="19"/>
          <w:color w:val="auto"/>
        </w:rPr>
        <w:t>”) or such other “signature guarantee program” as may be determined by the Transfer Agent in addition to, or in substitution for, STAMP, all in accordance with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544195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WESTROCK COFFEE COMPANY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Incorporated under the Laws of the State of Delaware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 AND RECORDS</w:t>
      </w:r>
    </w:p>
    <w:p>
      <w:pPr>
        <w:spacing w:after="0" w:line="188"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010000"/>
        </w:rPr>
        <w:t xml:space="preserve">SECTION 1.1 </w:t>
      </w:r>
      <w:r>
        <w:rPr>
          <w:rFonts w:ascii="Arial" w:cs="Arial" w:eastAsia="Arial" w:hAnsi="Arial"/>
          <w:sz w:val="22"/>
          <w:szCs w:val="22"/>
          <w:u w:val="single" w:color="auto"/>
          <w:color w:val="000000"/>
        </w:rPr>
        <w:t>Delaware Office</w:t>
      </w:r>
      <w:r>
        <w:rPr>
          <w:rFonts w:ascii="Arial" w:cs="Arial" w:eastAsia="Arial" w:hAnsi="Arial"/>
          <w:sz w:val="22"/>
          <w:szCs w:val="22"/>
          <w:color w:val="000000"/>
        </w:rPr>
        <w:t>. The name and address of the Corporation’s registered office in the State of</w:t>
      </w:r>
      <w:r>
        <w:rPr>
          <w:rFonts w:ascii="Arial" w:cs="Arial" w:eastAsia="Arial" w:hAnsi="Arial"/>
          <w:sz w:val="22"/>
          <w:szCs w:val="22"/>
          <w:color w:val="010000"/>
        </w:rPr>
        <w:t xml:space="preserve"> </w:t>
      </w:r>
      <w:r>
        <w:rPr>
          <w:rFonts w:ascii="Arial" w:cs="Arial" w:eastAsia="Arial" w:hAnsi="Arial"/>
          <w:sz w:val="22"/>
          <w:szCs w:val="22"/>
          <w:color w:val="000000"/>
        </w:rPr>
        <w:t>Delaware shall be Corporation Trust Company, 1209 Orange Street in the City of Wilmington, County of New Castle, State of Delaware 19801. The name of the Corporation’s registered agent at such address is Corporation Trust Company.</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u w:val="single" w:color="auto"/>
          <w:color w:val="000000"/>
        </w:rPr>
        <w:t>Other Offices</w:t>
      </w:r>
      <w:r>
        <w:rPr>
          <w:rFonts w:ascii="Arial" w:cs="Arial" w:eastAsia="Arial" w:hAnsi="Arial"/>
          <w:sz w:val="22"/>
          <w:szCs w:val="22"/>
          <w:color w:val="000000"/>
        </w:rPr>
        <w:t>. The Corporation may have such other offices, either within or without the State</w:t>
      </w:r>
      <w:r>
        <w:rPr>
          <w:rFonts w:ascii="Arial" w:cs="Arial" w:eastAsia="Arial" w:hAnsi="Arial"/>
          <w:sz w:val="22"/>
          <w:szCs w:val="22"/>
          <w:color w:val="010000"/>
        </w:rPr>
        <w:t xml:space="preserve"> </w:t>
      </w:r>
      <w:r>
        <w:rPr>
          <w:rFonts w:ascii="Arial" w:cs="Arial" w:eastAsia="Arial" w:hAnsi="Arial"/>
          <w:sz w:val="22"/>
          <w:szCs w:val="22"/>
          <w:color w:val="000000"/>
        </w:rPr>
        <w:t>of Delaware, as the Board of Directors (as defined herein) may from time to time designate or as the business of the Corporation may from time to time require.</w:t>
      </w:r>
    </w:p>
    <w:p>
      <w:pPr>
        <w:spacing w:after="0" w:line="186" w:lineRule="exact"/>
        <w:rPr>
          <w:sz w:val="20"/>
          <w:szCs w:val="20"/>
          <w:color w:val="auto"/>
        </w:rPr>
      </w:pPr>
    </w:p>
    <w:p>
      <w:pPr>
        <w:jc w:val="both"/>
        <w:ind w:right="240"/>
        <w:spacing w:after="0" w:line="328" w:lineRule="auto"/>
        <w:rPr>
          <w:sz w:val="20"/>
          <w:szCs w:val="20"/>
          <w:color w:val="auto"/>
        </w:rPr>
      </w:pPr>
      <w:r>
        <w:rPr>
          <w:rFonts w:ascii="Arial" w:cs="Arial" w:eastAsia="Arial" w:hAnsi="Arial"/>
          <w:sz w:val="19"/>
          <w:szCs w:val="19"/>
          <w:color w:val="010000"/>
        </w:rPr>
        <w:t xml:space="preserve">SECTION 1.3 </w:t>
      </w:r>
      <w:r>
        <w:rPr>
          <w:rFonts w:ascii="Arial" w:cs="Arial" w:eastAsia="Arial" w:hAnsi="Arial"/>
          <w:sz w:val="19"/>
          <w:szCs w:val="19"/>
          <w:u w:val="single" w:color="auto"/>
          <w:color w:val="000000"/>
        </w:rPr>
        <w:t>Books and Records</w:t>
      </w:r>
      <w:r>
        <w:rPr>
          <w:rFonts w:ascii="Arial" w:cs="Arial" w:eastAsia="Arial" w:hAnsi="Arial"/>
          <w:sz w:val="19"/>
          <w:szCs w:val="19"/>
          <w:color w:val="000000"/>
        </w:rPr>
        <w:t>. The books and records of the Corporation may be kept inside or outside</w:t>
      </w:r>
      <w:r>
        <w:rPr>
          <w:rFonts w:ascii="Arial" w:cs="Arial" w:eastAsia="Arial" w:hAnsi="Arial"/>
          <w:sz w:val="19"/>
          <w:szCs w:val="19"/>
          <w:color w:val="010000"/>
        </w:rPr>
        <w:t xml:space="preserve"> </w:t>
      </w:r>
      <w:r>
        <w:rPr>
          <w:rFonts w:ascii="Arial" w:cs="Arial" w:eastAsia="Arial" w:hAnsi="Arial"/>
          <w:sz w:val="19"/>
          <w:szCs w:val="19"/>
          <w:color w:val="000000"/>
        </w:rPr>
        <w:t>the State of Delaware at such place or places as may from time to time be designated by the Board of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w:t>
      </w:r>
    </w:p>
    <w:p>
      <w:pPr>
        <w:spacing w:after="0" w:line="18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010000"/>
        </w:rPr>
        <w:t xml:space="preserve">SECTION 2.1 </w:t>
      </w:r>
      <w:r>
        <w:rPr>
          <w:rFonts w:ascii="Arial" w:cs="Arial" w:eastAsia="Arial" w:hAnsi="Arial"/>
          <w:sz w:val="22"/>
          <w:szCs w:val="22"/>
          <w:u w:val="single" w:color="auto"/>
          <w:color w:val="000000"/>
        </w:rPr>
        <w:t>Annual Meeting</w:t>
      </w:r>
      <w:r>
        <w:rPr>
          <w:rFonts w:ascii="Arial" w:cs="Arial" w:eastAsia="Arial" w:hAnsi="Arial"/>
          <w:sz w:val="22"/>
          <w:szCs w:val="22"/>
          <w:color w:val="000000"/>
        </w:rPr>
        <w:t>. The annual meeting of the stockholders of the Corporation shall be held on</w:t>
      </w:r>
      <w:r>
        <w:rPr>
          <w:rFonts w:ascii="Arial" w:cs="Arial" w:eastAsia="Arial" w:hAnsi="Arial"/>
          <w:sz w:val="22"/>
          <w:szCs w:val="22"/>
          <w:color w:val="010000"/>
        </w:rPr>
        <w:t xml:space="preserve"> </w:t>
      </w:r>
      <w:r>
        <w:rPr>
          <w:rFonts w:ascii="Arial" w:cs="Arial" w:eastAsia="Arial" w:hAnsi="Arial"/>
          <w:sz w:val="22"/>
          <w:szCs w:val="22"/>
          <w:color w:val="000000"/>
        </w:rPr>
        <w:t>such date and at such place and time as may be fixed by resolution of the Board of Directors. The Board of Directors may, in its sole discretion, determine that the meeting shall not be held at any place, but may instead be held solely by means of remote communication.</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2"/>
          <w:szCs w:val="22"/>
          <w:color w:val="010000"/>
        </w:rPr>
        <w:t xml:space="preserve">SECTION 2.2 </w:t>
      </w:r>
      <w:r>
        <w:rPr>
          <w:rFonts w:ascii="Arial" w:cs="Arial" w:eastAsia="Arial" w:hAnsi="Arial"/>
          <w:sz w:val="22"/>
          <w:szCs w:val="22"/>
          <w:u w:val="single" w:color="auto"/>
          <w:color w:val="000000"/>
        </w:rPr>
        <w:t>Special Meeting</w:t>
      </w:r>
      <w:r>
        <w:rPr>
          <w:rFonts w:ascii="Arial" w:cs="Arial" w:eastAsia="Arial" w:hAnsi="Arial"/>
          <w:sz w:val="22"/>
          <w:szCs w:val="22"/>
          <w:color w:val="000000"/>
        </w:rPr>
        <w:t>. Except as otherwise required by law or the Corporation’s Certificate of</w:t>
      </w:r>
      <w:r>
        <w:rPr>
          <w:rFonts w:ascii="Arial" w:cs="Arial" w:eastAsia="Arial" w:hAnsi="Arial"/>
          <w:sz w:val="22"/>
          <w:szCs w:val="22"/>
          <w:color w:val="010000"/>
        </w:rPr>
        <w:t xml:space="preserve"> </w:t>
      </w:r>
      <w:r>
        <w:rPr>
          <w:rFonts w:ascii="Arial" w:cs="Arial" w:eastAsia="Arial" w:hAnsi="Arial"/>
          <w:sz w:val="22"/>
          <w:szCs w:val="22"/>
          <w:color w:val="000000"/>
        </w:rPr>
        <w:t>Incorporation (as it may be amended from time to time, the “</w:t>
      </w:r>
      <w:r>
        <w:rPr>
          <w:rFonts w:ascii="Arial" w:cs="Arial" w:eastAsia="Arial" w:hAnsi="Arial"/>
          <w:sz w:val="22"/>
          <w:szCs w:val="22"/>
          <w:u w:val="single" w:color="auto"/>
          <w:color w:val="000000"/>
        </w:rPr>
        <w:t>Certificate of Incorporation</w:t>
      </w:r>
      <w:r>
        <w:rPr>
          <w:rFonts w:ascii="Arial" w:cs="Arial" w:eastAsia="Arial" w:hAnsi="Arial"/>
          <w:sz w:val="22"/>
          <w:szCs w:val="22"/>
          <w:color w:val="000000"/>
        </w:rPr>
        <w:t>”), special meetings of the stockholders of the Corporation may be called only by the Chairperson of the Board of Directors, the Chief Executive Officer or an officer at the request of a majority of the members of the Board of Directors pursuant to a resolution approved by the Board of the Directors.</w:t>
      </w:r>
    </w:p>
    <w:p>
      <w:pPr>
        <w:spacing w:after="0" w:line="18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010000"/>
        </w:rPr>
        <w:t xml:space="preserve">SECTION 2.3 </w:t>
      </w:r>
      <w:r>
        <w:rPr>
          <w:rFonts w:ascii="Arial" w:cs="Arial" w:eastAsia="Arial" w:hAnsi="Arial"/>
          <w:sz w:val="22"/>
          <w:szCs w:val="22"/>
          <w:u w:val="single" w:color="auto"/>
          <w:color w:val="000000"/>
        </w:rPr>
        <w:t>Place of Meeting</w:t>
      </w:r>
      <w:r>
        <w:rPr>
          <w:rFonts w:ascii="Arial" w:cs="Arial" w:eastAsia="Arial" w:hAnsi="Arial"/>
          <w:sz w:val="22"/>
          <w:szCs w:val="22"/>
          <w:color w:val="000000"/>
        </w:rPr>
        <w:t>. The Board of Directors or the Chairperson of the Board, as the case may be,</w:t>
      </w:r>
      <w:r>
        <w:rPr>
          <w:rFonts w:ascii="Arial" w:cs="Arial" w:eastAsia="Arial" w:hAnsi="Arial"/>
          <w:sz w:val="22"/>
          <w:szCs w:val="22"/>
          <w:color w:val="010000"/>
        </w:rPr>
        <w:t xml:space="preserve"> </w:t>
      </w:r>
      <w:r>
        <w:rPr>
          <w:rFonts w:ascii="Arial" w:cs="Arial" w:eastAsia="Arial" w:hAnsi="Arial"/>
          <w:sz w:val="22"/>
          <w:szCs w:val="22"/>
          <w:color w:val="000000"/>
        </w:rPr>
        <w:t>may designate the place of meeting for any annual or special meeting of the stockholders or may designate that the meeting be held by means of remote communication. If no designation is so made, the place of meeting shall be the principal office of the Corporation.</w:t>
      </w:r>
    </w:p>
    <w:p>
      <w:pPr>
        <w:spacing w:after="0" w:line="185"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010000"/>
        </w:rPr>
        <w:t xml:space="preserve">SECTION 2.4 </w:t>
      </w:r>
      <w:r>
        <w:rPr>
          <w:rFonts w:ascii="Arial" w:cs="Arial" w:eastAsia="Arial" w:hAnsi="Arial"/>
          <w:sz w:val="22"/>
          <w:szCs w:val="22"/>
          <w:u w:val="single" w:color="auto"/>
          <w:color w:val="000000"/>
        </w:rPr>
        <w:t>Notice of Meeting</w:t>
      </w:r>
      <w:r>
        <w:rPr>
          <w:rFonts w:ascii="Arial" w:cs="Arial" w:eastAsia="Arial" w:hAnsi="Arial"/>
          <w:sz w:val="22"/>
          <w:szCs w:val="22"/>
          <w:color w:val="000000"/>
        </w:rPr>
        <w:t>. Written or printed notice, stating the place, if any, date and hour of the</w:t>
      </w:r>
      <w:r>
        <w:rPr>
          <w:rFonts w:ascii="Arial" w:cs="Arial" w:eastAsia="Arial" w:hAnsi="Arial"/>
          <w:sz w:val="22"/>
          <w:szCs w:val="22"/>
          <w:color w:val="010000"/>
        </w:rPr>
        <w:t xml:space="preserve"> </w:t>
      </w:r>
      <w:r>
        <w:rPr>
          <w:rFonts w:ascii="Arial" w:cs="Arial" w:eastAsia="Arial" w:hAnsi="Arial"/>
          <w:sz w:val="22"/>
          <w:szCs w:val="22"/>
          <w:color w:val="000000"/>
        </w:rPr>
        <w:t>meeting, the record date for determining the stockholders entitled to vote at the meeting (if such date is different from the record date for stockholders entitled to notice of the meeting), the means of remote communications, if any, by which stockholders and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93" w:name="page94"/>
    <w:bookmarkEnd w:id="93"/>
    <w:p>
      <w:pPr>
        <w:spacing w:after="0" w:line="271" w:lineRule="auto"/>
        <w:rPr>
          <w:sz w:val="20"/>
          <w:szCs w:val="20"/>
          <w:color w:val="auto"/>
        </w:rPr>
      </w:pPr>
      <w:r>
        <w:rPr>
          <w:rFonts w:ascii="Arial" w:cs="Arial" w:eastAsia="Arial" w:hAnsi="Arial"/>
          <w:sz w:val="19"/>
          <w:szCs w:val="19"/>
          <w:color w:val="auto"/>
        </w:rPr>
        <w:t>may be deemed to be present in person and vote at such meeting, and in the case of a special meeting, the purpose or purposes for which the meeting is called, shall be given by the Corporation not less than ten (10) days nor more than sixty (60) days before the date of the meeting, either personally, by electronic transmission in the manner provided in Section 232 of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xml:space="preserve">”) (except to the extent prohibited by Section 232(e) of the DGCL) or by mail, to each stockholder of record entitled to vote at such meeting. If mailed, such notice shall be deemed to be given when deposited in the U.S. mail with postage thereon prepaid, addressed to the stockholder at such stockholder’s address as it appears on the records of the Corporation. If notice is given by electronic transmission, such notice shall be deemed to be given at the times provided in the DGCL. Such further notice shall be given as may be required by law. Meetings may be held without notice if all stockholders entitled to vote are present, or if notice is waived by those not present in accordance with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of these By-Laws.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w:t>
      </w:r>
    </w:p>
    <w:p>
      <w:pPr>
        <w:spacing w:after="0" w:line="200" w:lineRule="exact"/>
        <w:rPr>
          <w:sz w:val="20"/>
          <w:szCs w:val="20"/>
          <w:color w:val="auto"/>
        </w:rPr>
      </w:pP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010000"/>
        </w:rPr>
        <w:t xml:space="preserve">SECTION 2.5 </w:t>
      </w:r>
      <w:r>
        <w:rPr>
          <w:rFonts w:ascii="Arial" w:cs="Arial" w:eastAsia="Arial" w:hAnsi="Arial"/>
          <w:sz w:val="19"/>
          <w:szCs w:val="19"/>
          <w:u w:val="single" w:color="auto"/>
          <w:color w:val="000000"/>
        </w:rPr>
        <w:t>Quorum and Adjournment</w:t>
      </w:r>
      <w:r>
        <w:rPr>
          <w:rFonts w:ascii="Arial" w:cs="Arial" w:eastAsia="Arial" w:hAnsi="Arial"/>
          <w:sz w:val="19"/>
          <w:szCs w:val="19"/>
          <w:color w:val="000000"/>
        </w:rPr>
        <w:t>. Except as otherwise provided by law or by the Certificate of</w:t>
      </w:r>
      <w:r>
        <w:rPr>
          <w:rFonts w:ascii="Arial" w:cs="Arial" w:eastAsia="Arial" w:hAnsi="Arial"/>
          <w:sz w:val="19"/>
          <w:szCs w:val="19"/>
          <w:color w:val="010000"/>
        </w:rPr>
        <w:t xml:space="preserve"> </w:t>
      </w:r>
      <w:r>
        <w:rPr>
          <w:rFonts w:ascii="Arial" w:cs="Arial" w:eastAsia="Arial" w:hAnsi="Arial"/>
          <w:sz w:val="19"/>
          <w:szCs w:val="19"/>
          <w:color w:val="000000"/>
        </w:rPr>
        <w:t>Incorporation, the holders of a majority of the total voting power of all outstanding shares of capital stock of the Corporation entitled to vote generally in the election of directors (the “</w:t>
      </w:r>
      <w:r>
        <w:rPr>
          <w:rFonts w:ascii="Arial" w:cs="Arial" w:eastAsia="Arial" w:hAnsi="Arial"/>
          <w:sz w:val="19"/>
          <w:szCs w:val="19"/>
          <w:u w:val="single" w:color="auto"/>
          <w:color w:val="000000"/>
        </w:rPr>
        <w:t>Voting Stock</w:t>
      </w:r>
      <w:r>
        <w:rPr>
          <w:rFonts w:ascii="Arial" w:cs="Arial" w:eastAsia="Arial" w:hAnsi="Arial"/>
          <w:sz w:val="19"/>
          <w:szCs w:val="19"/>
          <w:color w:val="000000"/>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The Chairperson of the Board of Directors or the Chief Executive Officer may adjourn the meeting from time to time, whether or not there is a quorum. No notice of the time and place, if any, of adjourned meetings need be given, except as required by law. The stockholders present at a duly called meeting at which a quorum is present may continue to transact business until adjournment, notwithstanding the withdrawal of enough stockholders to leave less than a quorum.</w:t>
      </w:r>
    </w:p>
    <w:p>
      <w:pPr>
        <w:spacing w:after="0" w:line="161" w:lineRule="exact"/>
        <w:rPr>
          <w:sz w:val="20"/>
          <w:szCs w:val="20"/>
          <w:color w:val="auto"/>
        </w:rPr>
      </w:pPr>
    </w:p>
    <w:p>
      <w:pPr>
        <w:jc w:val="both"/>
        <w:ind w:right="120"/>
        <w:spacing w:after="0" w:line="328" w:lineRule="auto"/>
        <w:rPr>
          <w:sz w:val="20"/>
          <w:szCs w:val="20"/>
          <w:color w:val="auto"/>
        </w:rPr>
      </w:pPr>
      <w:r>
        <w:rPr>
          <w:rFonts w:ascii="Arial" w:cs="Arial" w:eastAsia="Arial" w:hAnsi="Arial"/>
          <w:sz w:val="19"/>
          <w:szCs w:val="19"/>
          <w:color w:val="010000"/>
        </w:rPr>
        <w:t xml:space="preserve">SECTION 2.6 </w:t>
      </w:r>
      <w:r>
        <w:rPr>
          <w:rFonts w:ascii="Arial" w:cs="Arial" w:eastAsia="Arial" w:hAnsi="Arial"/>
          <w:sz w:val="19"/>
          <w:szCs w:val="19"/>
          <w:u w:val="single" w:color="auto"/>
          <w:color w:val="000000"/>
        </w:rPr>
        <w:t>Proxies</w:t>
      </w:r>
      <w:r>
        <w:rPr>
          <w:rFonts w:ascii="Arial" w:cs="Arial" w:eastAsia="Arial" w:hAnsi="Arial"/>
          <w:sz w:val="19"/>
          <w:szCs w:val="19"/>
          <w:color w:val="000000"/>
        </w:rPr>
        <w:t>. At all meetings of stockholders, a stockholder may vote by proxy executed in writing</w:t>
      </w:r>
      <w:r>
        <w:rPr>
          <w:rFonts w:ascii="Arial" w:cs="Arial" w:eastAsia="Arial" w:hAnsi="Arial"/>
          <w:sz w:val="19"/>
          <w:szCs w:val="19"/>
          <w:color w:val="010000"/>
        </w:rPr>
        <w:t xml:space="preserve"> </w:t>
      </w:r>
      <w:r>
        <w:rPr>
          <w:rFonts w:ascii="Arial" w:cs="Arial" w:eastAsia="Arial" w:hAnsi="Arial"/>
          <w:sz w:val="19"/>
          <w:szCs w:val="19"/>
          <w:color w:val="000000"/>
        </w:rPr>
        <w:t>(or in such manner prescribed by the DGCL) by the stockholder, or by his or her duly authorized attorney in fact.</w:t>
      </w:r>
    </w:p>
    <w:p>
      <w:pPr>
        <w:spacing w:after="0" w:line="10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010000"/>
        </w:rPr>
        <w:t>SECTION 2.7</w:t>
      </w:r>
      <w:r>
        <w:rPr>
          <w:sz w:val="20"/>
          <w:szCs w:val="20"/>
          <w:color w:val="auto"/>
        </w:rPr>
        <w:tab/>
      </w:r>
      <w:r>
        <w:rPr>
          <w:rFonts w:ascii="Arial" w:cs="Arial" w:eastAsia="Arial" w:hAnsi="Arial"/>
          <w:sz w:val="19"/>
          <w:szCs w:val="19"/>
          <w:u w:val="single" w:color="auto"/>
          <w:color w:val="auto"/>
        </w:rPr>
        <w:t>Order of Business</w:t>
      </w:r>
      <w:r>
        <w:rPr>
          <w:rFonts w:ascii="Arial" w:cs="Arial" w:eastAsia="Arial" w:hAnsi="Arial"/>
          <w:sz w:val="19"/>
          <w:szCs w:val="19"/>
          <w:color w:val="auto"/>
        </w:rPr>
        <w:t>.</w:t>
      </w:r>
    </w:p>
    <w:p>
      <w:pPr>
        <w:spacing w:after="0" w:line="206" w:lineRule="exact"/>
        <w:rPr>
          <w:sz w:val="20"/>
          <w:szCs w:val="20"/>
          <w:color w:val="auto"/>
        </w:rPr>
      </w:pPr>
    </w:p>
    <w:p>
      <w:pPr>
        <w:ind w:right="40" w:firstLine="656"/>
        <w:spacing w:after="0" w:line="274" w:lineRule="auto"/>
        <w:tabs>
          <w:tab w:leader="none" w:pos="1296" w:val="left"/>
        </w:tabs>
        <w:numPr>
          <w:ilvl w:val="0"/>
          <w:numId w:val="63"/>
        </w:numPr>
        <w:rPr>
          <w:rFonts w:ascii="Arial" w:cs="Arial" w:eastAsia="Arial" w:hAnsi="Arial"/>
          <w:sz w:val="19"/>
          <w:szCs w:val="19"/>
          <w:color w:val="010000"/>
        </w:rPr>
      </w:pPr>
      <w:r>
        <w:rPr>
          <w:rFonts w:ascii="Arial" w:cs="Arial" w:eastAsia="Arial" w:hAnsi="Arial"/>
          <w:sz w:val="19"/>
          <w:szCs w:val="19"/>
          <w:u w:val="single" w:color="auto"/>
          <w:color w:val="auto"/>
        </w:rPr>
        <w:t>Annual Meetings of Stockholders</w:t>
      </w:r>
      <w:r>
        <w:rPr>
          <w:rFonts w:ascii="Arial" w:cs="Arial" w:eastAsia="Arial" w:hAnsi="Arial"/>
          <w:sz w:val="19"/>
          <w:szCs w:val="19"/>
          <w:color w:val="auto"/>
        </w:rPr>
        <w:t>.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(a) specified in the Corporation’s notice of meeting (or any supplement thereto) given by or at the direction of the Board of Directors, (b) otherwise properly made at the annual meeting, by or at the direction of the Board of Directors or (c) otherwise properly requested to be brought before the annual meeting by a stockholder of the Corporation in accordance with these By-Laws. For nominations of individuals for election to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4" w:name="page95"/>
    <w:bookmarkEnd w:id="94"/>
    <w:p>
      <w:pPr>
        <w:ind w:right="200"/>
        <w:spacing w:after="0" w:line="246" w:lineRule="auto"/>
        <w:rPr>
          <w:sz w:val="20"/>
          <w:szCs w:val="20"/>
          <w:color w:val="auto"/>
        </w:rPr>
      </w:pPr>
      <w:r>
        <w:rPr>
          <w:rFonts w:ascii="Arial" w:cs="Arial" w:eastAsia="Arial" w:hAnsi="Arial"/>
          <w:sz w:val="21"/>
          <w:szCs w:val="21"/>
          <w:color w:val="auto"/>
        </w:rPr>
        <w:t>Directors or proposals of other business to be properly requested by a stockholder to be made at an annual meeting, a stockholder must (i) be a stockholder of record at the time of giving of notice of such annual meeting by or at the direction of the Board of Directors and at the time of the annual meeting, (ii) be entitled to vote at such annual meeting and (iii)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included in the Corporation’s notice of meeting) before an annual meeting of stockholders.</w:t>
      </w:r>
    </w:p>
    <w:p>
      <w:pPr>
        <w:spacing w:after="0" w:line="180" w:lineRule="exact"/>
        <w:rPr>
          <w:sz w:val="20"/>
          <w:szCs w:val="20"/>
          <w:color w:val="auto"/>
        </w:rPr>
      </w:pPr>
    </w:p>
    <w:p>
      <w:pPr>
        <w:ind w:right="140" w:firstLine="656"/>
        <w:spacing w:after="0" w:line="273" w:lineRule="auto"/>
        <w:tabs>
          <w:tab w:leader="none" w:pos="1296" w:val="left"/>
        </w:tabs>
        <w:numPr>
          <w:ilvl w:val="1"/>
          <w:numId w:val="64"/>
        </w:numPr>
        <w:rPr>
          <w:rFonts w:ascii="Arial" w:cs="Arial" w:eastAsia="Arial" w:hAnsi="Arial"/>
          <w:sz w:val="19"/>
          <w:szCs w:val="19"/>
          <w:color w:val="010000"/>
        </w:rPr>
      </w:pPr>
      <w:r>
        <w:rPr>
          <w:rFonts w:ascii="Arial" w:cs="Arial" w:eastAsia="Arial" w:hAnsi="Arial"/>
          <w:sz w:val="19"/>
          <w:szCs w:val="19"/>
          <w:u w:val="single" w:color="auto"/>
          <w:color w:val="auto"/>
        </w:rPr>
        <w:t>Special Meetings of Stockholders</w:t>
      </w:r>
      <w:r>
        <w:rPr>
          <w:rFonts w:ascii="Arial" w:cs="Arial" w:eastAsia="Arial" w:hAnsi="Arial"/>
          <w:sz w:val="19"/>
          <w:szCs w:val="19"/>
          <w:color w:val="auto"/>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w:t>
      </w:r>
    </w:p>
    <w:p>
      <w:pPr>
        <w:spacing w:after="0" w:line="1" w:lineRule="exact"/>
        <w:rPr>
          <w:rFonts w:ascii="Arial" w:cs="Arial" w:eastAsia="Arial" w:hAnsi="Arial"/>
          <w:sz w:val="19"/>
          <w:szCs w:val="19"/>
          <w:color w:val="010000"/>
        </w:rPr>
      </w:pPr>
    </w:p>
    <w:p>
      <w:pPr>
        <w:ind w:right="100" w:firstLine="8"/>
        <w:spacing w:after="0" w:line="233" w:lineRule="auto"/>
        <w:tabs>
          <w:tab w:leader="none" w:pos="294"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specified in the Corporation’s notice of meeting (or any supplement thereto) given by or at the direction of the Board of Directors or (b) otherwise properly brought before the special meeting, by or at the direction of the Board of Directors;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herein shall prohibit the Board of Directors from submitting additional matters to stockholders at any such special meeting.</w:t>
      </w:r>
    </w:p>
    <w:p>
      <w:pPr>
        <w:spacing w:after="0" w:line="18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9"/>
          <w:szCs w:val="19"/>
          <w:color w:val="auto"/>
        </w:rPr>
        <w:t>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 is a stockholder of record at the time of giving of notice of such special meeting and at the time of the special meeting, (ii) is entitled to vote at the meeting and (iii) complies with the procedures set forth in these By-Laws as to such nomination. This</w:t>
      </w:r>
    </w:p>
    <w:p>
      <w:pPr>
        <w:spacing w:after="0" w:line="1" w:lineRule="exact"/>
        <w:rPr>
          <w:sz w:val="20"/>
          <w:szCs w:val="20"/>
          <w:color w:val="auto"/>
        </w:rPr>
      </w:pPr>
    </w:p>
    <w:p>
      <w:pPr>
        <w:ind w:right="140" w:firstLine="54"/>
        <w:spacing w:after="0" w:line="234" w:lineRule="auto"/>
        <w:rPr>
          <w:sz w:val="20"/>
          <w:szCs w:val="20"/>
          <w:color w:val="auto"/>
        </w:rPr>
      </w:pP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shall be the exclusive means for a stockholder to make nominations or other business proposals (other than matters properly brought under Rule 14a-8 under the Exchange Act and included in the Corporation’s notice of meeting) before a special meeting of stockholders.</w:t>
      </w:r>
    </w:p>
    <w:p>
      <w:pPr>
        <w:spacing w:after="0" w:line="187" w:lineRule="exact"/>
        <w:rPr>
          <w:sz w:val="20"/>
          <w:szCs w:val="20"/>
          <w:color w:val="auto"/>
        </w:rPr>
      </w:pPr>
    </w:p>
    <w:p>
      <w:pPr>
        <w:ind w:right="40" w:firstLine="656"/>
        <w:spacing w:after="0" w:line="235" w:lineRule="auto"/>
        <w:tabs>
          <w:tab w:leader="none" w:pos="1296"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by law, the Certificate of Incorporation or these By-Laws, the Chairperson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8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010000"/>
        </w:rPr>
        <w:t>SECTION 2.8</w:t>
      </w:r>
      <w:r>
        <w:rPr>
          <w:sz w:val="20"/>
          <w:szCs w:val="20"/>
          <w:color w:val="auto"/>
        </w:rPr>
        <w:tab/>
      </w:r>
      <w:r>
        <w:rPr>
          <w:rFonts w:ascii="Arial" w:cs="Arial" w:eastAsia="Arial" w:hAnsi="Arial"/>
          <w:sz w:val="19"/>
          <w:szCs w:val="19"/>
          <w:u w:val="single" w:color="auto"/>
          <w:color w:val="auto"/>
        </w:rPr>
        <w:t>Advance Notice of Stockholder Business and Nominations</w:t>
      </w:r>
      <w:r>
        <w:rPr>
          <w:rFonts w:ascii="Arial" w:cs="Arial" w:eastAsia="Arial" w:hAnsi="Arial"/>
          <w:sz w:val="19"/>
          <w:szCs w:val="19"/>
          <w:color w:val="auto"/>
        </w:rPr>
        <w:t>.</w:t>
      </w:r>
    </w:p>
    <w:p>
      <w:pPr>
        <w:spacing w:after="0" w:line="206" w:lineRule="exact"/>
        <w:rPr>
          <w:sz w:val="20"/>
          <w:szCs w:val="20"/>
          <w:color w:val="auto"/>
        </w:rPr>
      </w:pPr>
    </w:p>
    <w:p>
      <w:pPr>
        <w:ind w:firstLine="656"/>
        <w:spacing w:after="0" w:line="236" w:lineRule="auto"/>
        <w:tabs>
          <w:tab w:leader="none" w:pos="1296"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Annual Meeting of Stockholders</w:t>
      </w:r>
      <w:r>
        <w:rPr>
          <w:rFonts w:ascii="Arial" w:cs="Arial" w:eastAsia="Arial" w:hAnsi="Arial"/>
          <w:sz w:val="22"/>
          <w:szCs w:val="22"/>
          <w:color w:val="auto"/>
        </w:rPr>
        <w:t xml:space="preserve">. Without qualification or limitation, subject to </w:t>
      </w:r>
      <w:r>
        <w:rPr>
          <w:rFonts w:ascii="Arial" w:cs="Arial" w:eastAsia="Arial" w:hAnsi="Arial"/>
          <w:sz w:val="22"/>
          <w:szCs w:val="22"/>
          <w:u w:val="single" w:color="auto"/>
          <w:color w:val="auto"/>
        </w:rPr>
        <w:t>Section 2.8(C)(4)</w:t>
      </w:r>
      <w:r>
        <w:rPr>
          <w:rFonts w:ascii="Arial" w:cs="Arial" w:eastAsia="Arial" w:hAnsi="Arial"/>
          <w:sz w:val="22"/>
          <w:szCs w:val="22"/>
          <w:color w:val="auto"/>
        </w:rPr>
        <w:t xml:space="preserve"> of these By-Laws, for any nominations or any other business to be properly brought before an annual meeting by a stockholder pursuant to </w:t>
      </w:r>
      <w:r>
        <w:rPr>
          <w:rFonts w:ascii="Arial" w:cs="Arial" w:eastAsia="Arial" w:hAnsi="Arial"/>
          <w:sz w:val="22"/>
          <w:szCs w:val="22"/>
          <w:u w:val="single" w:color="auto"/>
          <w:color w:val="auto"/>
        </w:rPr>
        <w:t>Section 2.7(A)</w:t>
      </w:r>
      <w:r>
        <w:rPr>
          <w:rFonts w:ascii="Arial" w:cs="Arial" w:eastAsia="Arial" w:hAnsi="Arial"/>
          <w:sz w:val="22"/>
          <w:szCs w:val="22"/>
          <w:color w:val="auto"/>
        </w:rPr>
        <w:t xml:space="preserve"> of these By-Laws, the stockholder must have given timely notice thereof (including, in the case of nominations, the completed and signed questionnaire, representation and agreement required by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5" w:name="page96"/>
    <w:bookmarkEnd w:id="95"/>
    <w:p>
      <w:pPr>
        <w:ind w:right="320"/>
        <w:spacing w:after="0" w:line="250" w:lineRule="auto"/>
        <w:rPr>
          <w:sz w:val="20"/>
          <w:szCs w:val="20"/>
          <w:color w:val="auto"/>
        </w:rPr>
      </w:pPr>
      <w:r>
        <w:rPr>
          <w:rFonts w:ascii="Arial" w:cs="Arial" w:eastAsia="Arial" w:hAnsi="Arial"/>
          <w:sz w:val="22"/>
          <w:szCs w:val="22"/>
          <w:color w:val="auto"/>
        </w:rPr>
        <w:t>these By-Laws) in proper form, in writing to the Secretary, and such other business must otherwise be a proper matter for stockholder action.</w:t>
      </w:r>
    </w:p>
    <w:p>
      <w:pPr>
        <w:spacing w:after="0" w:line="175"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 xml:space="preserve">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w:t>
      </w:r>
    </w:p>
    <w:p>
      <w:pPr>
        <w:spacing w:after="0" w:line="5"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100 days prior to the date of such annual meeting, the 10th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18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 xml:space="preserve">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100 days prior to the first anniversary of the preceding year’s annual meeting, a stockholder’s notice required by this </w:t>
      </w:r>
      <w:r>
        <w:rPr>
          <w:rFonts w:ascii="Arial" w:cs="Arial" w:eastAsia="Arial" w:hAnsi="Arial"/>
          <w:sz w:val="19"/>
          <w:szCs w:val="19"/>
          <w:u w:val="single" w:color="auto"/>
          <w:color w:val="auto"/>
        </w:rPr>
        <w:t>Section 2.8(A)</w:t>
      </w:r>
      <w:r>
        <w:rPr>
          <w:rFonts w:ascii="Arial" w:cs="Arial" w:eastAsia="Arial" w:hAnsi="Arial"/>
          <w:sz w:val="19"/>
          <w:szCs w:val="19"/>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57"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In addition, to be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w:t>
      </w:r>
    </w:p>
    <w:p>
      <w:pPr>
        <w:spacing w:after="0" w:line="184" w:lineRule="exact"/>
        <w:rPr>
          <w:sz w:val="20"/>
          <w:szCs w:val="20"/>
          <w:color w:val="auto"/>
        </w:rPr>
      </w:pPr>
    </w:p>
    <w:p>
      <w:pPr>
        <w:ind w:firstLine="656"/>
        <w:spacing w:after="0" w:line="279" w:lineRule="auto"/>
        <w:tabs>
          <w:tab w:leader="none" w:pos="1296"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Special Meetings of Stockholders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2.8(C)(4)</w:t>
      </w:r>
      <w:r>
        <w:rPr>
          <w:rFonts w:ascii="Arial" w:cs="Arial" w:eastAsia="Arial" w:hAnsi="Arial"/>
          <w:sz w:val="19"/>
          <w:szCs w:val="19"/>
          <w:color w:val="auto"/>
        </w:rPr>
        <w:t xml:space="preserve"> of these By-Laws, in the event that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stockholder gives timely notice thereof (including the completed and signed questionnaire, representation and agreement required by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of these By-Laws) in proper form, in writing, to the Secretary.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6" w:name="page97"/>
    <w:bookmarkEnd w:id="96"/>
    <w:p>
      <w:pPr>
        <w:ind w:right="60" w:firstLine="648"/>
        <w:spacing w:after="0" w:line="275" w:lineRule="auto"/>
        <w:rPr>
          <w:sz w:val="20"/>
          <w:szCs w:val="20"/>
          <w:color w:val="auto"/>
        </w:rPr>
      </w:pPr>
      <w:r>
        <w:rPr>
          <w:rFonts w:ascii="Arial" w:cs="Arial" w:eastAsia="Arial" w:hAnsi="Arial"/>
          <w:sz w:val="19"/>
          <w:szCs w:val="19"/>
          <w:color w:val="auto"/>
        </w:rPr>
        <w:t>To be timely, a stockholder’s notice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100 days prior to the date of such special meeting, the 10th day following the 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spacing w:after="0" w:line="157"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w:t>
      </w:r>
    </w:p>
    <w:p>
      <w:pPr>
        <w:spacing w:after="0" w:line="184"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Disclosure Requirements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960" w:hanging="656"/>
        <w:spacing w:after="0"/>
        <w:tabs>
          <w:tab w:leader="none" w:pos="1960" w:val="left"/>
        </w:tabs>
        <w:numPr>
          <w:ilvl w:val="1"/>
          <w:numId w:val="69"/>
        </w:numPr>
        <w:rPr>
          <w:rFonts w:ascii="Arial" w:cs="Arial" w:eastAsia="Arial" w:hAnsi="Arial"/>
          <w:sz w:val="19"/>
          <w:szCs w:val="19"/>
          <w:color w:val="010000"/>
        </w:rPr>
      </w:pPr>
      <w:r>
        <w:rPr>
          <w:rFonts w:ascii="Arial" w:cs="Arial" w:eastAsia="Arial" w:hAnsi="Arial"/>
          <w:sz w:val="19"/>
          <w:szCs w:val="19"/>
          <w:color w:val="auto"/>
        </w:rPr>
        <w:t>To be in proper form, a stockholder’s notice to the Secretary must include the following:</w:t>
      </w:r>
    </w:p>
    <w:p>
      <w:pPr>
        <w:spacing w:after="0" w:line="240" w:lineRule="exact"/>
        <w:rPr>
          <w:rFonts w:ascii="Arial" w:cs="Arial" w:eastAsia="Arial" w:hAnsi="Arial"/>
          <w:sz w:val="19"/>
          <w:szCs w:val="19"/>
          <w:color w:val="010000"/>
        </w:rPr>
      </w:pPr>
    </w:p>
    <w:p>
      <w:pPr>
        <w:ind w:firstLine="1952"/>
        <w:spacing w:after="0" w:line="270" w:lineRule="auto"/>
        <w:tabs>
          <w:tab w:leader="none" w:pos="2592" w:val="left"/>
        </w:tabs>
        <w:numPr>
          <w:ilvl w:val="2"/>
          <w:numId w:val="69"/>
        </w:numPr>
        <w:rPr>
          <w:rFonts w:ascii="Arial" w:cs="Arial" w:eastAsia="Arial" w:hAnsi="Arial"/>
          <w:sz w:val="19"/>
          <w:szCs w:val="19"/>
          <w:color w:val="010000"/>
        </w:rPr>
      </w:pPr>
      <w:r>
        <w:rPr>
          <w:rFonts w:ascii="Arial" w:cs="Arial" w:eastAsia="Arial" w:hAnsi="Arial"/>
          <w:sz w:val="19"/>
          <w:szCs w:val="19"/>
          <w:color w:val="auto"/>
        </w:rPr>
        <w:t>As to the stockholder giving the notice and the beneficial owner, if any, on whose behalf the nomination or proposal, as applicable, is made, a stockholder’s notice must set forth: (i) the name and address of such stockholder, as they appear on the Corporation’s books, of such beneficial owner, if any, and of their respective affiliates or associates or others acting in concert therewith, (ii) (A) the class or series and number of shares of the Corporation that are, directly or indirectly, owned beneficially and of record by such stockholder, such beneficial owner and their respective affiliates or associates or others acting in concert therewith,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97" w:name="page98"/>
    <w:bookmarkEnd w:id="97"/>
    <w:p>
      <w:pPr>
        <w:ind w:right="20"/>
        <w:spacing w:after="0" w:line="268" w:lineRule="auto"/>
        <w:rPr>
          <w:sz w:val="20"/>
          <w:szCs w:val="20"/>
          <w:color w:val="auto"/>
        </w:rPr>
      </w:pPr>
      <w:r>
        <w:rPr>
          <w:rFonts w:ascii="Arial" w:cs="Arial" w:eastAsia="Arial" w:hAnsi="Arial"/>
          <w:sz w:val="19"/>
          <w:szCs w:val="19"/>
          <w:color w:val="auto"/>
        </w:rPr>
        <w:t>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9"/>
          <w:szCs w:val="19"/>
          <w:u w:val="single" w:color="auto"/>
          <w:color w:val="auto"/>
        </w:rPr>
        <w:t>Derivative Instrument</w:t>
      </w:r>
      <w:r>
        <w:rPr>
          <w:rFonts w:ascii="Arial" w:cs="Arial" w:eastAsia="Arial" w:hAnsi="Arial"/>
          <w:sz w:val="19"/>
          <w:szCs w:val="19"/>
          <w:color w:val="auto"/>
        </w:rPr>
        <w:t>”) directly or indirectly owned beneficially by such stockholder, the beneficial owner, if any, or any affiliates or associates or others acting in concert therewith, (C) any proxy, contract, arrangement, understanding, or relationship pursuant to which such stockholder, such beneficial owner and their respective affiliates or associates or others acting in concert therewith have any right to vote any class or series of shares of the Corporation, (D) any agreement, arrangement, understanding, relationship or otherwise, including any repurchase or similar so-called “stock borrowing” agreement or arrangement, involving such stockholder, such beneficial owner and their respective affiliates or associates or others acting in concert therewith, directly or indirectly, the purpose or effect of which is to mitigate loss to, reduce the economic risk (of ownership or otherwise) of any class or series of the shares of the Corporation by, manage the risk of share price changes for, or increase or decrease the voting power of, such stockholder, such beneficial owner and their respective affiliates or associates or others acting in concert therewith with respect to any class or series of the shares of the Corporation, or that provides, directly or indirectly, the opportunity to profit or share in any profit derived from any decrease in the price or value of any class or series of the shares of the Corporation (any of the foregoing, a “</w:t>
      </w:r>
      <w:r>
        <w:rPr>
          <w:rFonts w:ascii="Arial" w:cs="Arial" w:eastAsia="Arial" w:hAnsi="Arial"/>
          <w:sz w:val="19"/>
          <w:szCs w:val="19"/>
          <w:u w:val="single" w:color="auto"/>
          <w:color w:val="auto"/>
        </w:rPr>
        <w:t>Short Interest</w:t>
      </w:r>
      <w:r>
        <w:rPr>
          <w:rFonts w:ascii="Arial" w:cs="Arial" w:eastAsia="Arial" w:hAnsi="Arial"/>
          <w:sz w:val="19"/>
          <w:szCs w:val="19"/>
          <w:color w:val="auto"/>
        </w:rPr>
        <w:t>”),</w:t>
      </w:r>
    </w:p>
    <w:p>
      <w:pPr>
        <w:spacing w:after="0" w:line="2" w:lineRule="exact"/>
        <w:rPr>
          <w:sz w:val="20"/>
          <w:szCs w:val="20"/>
          <w:color w:val="auto"/>
        </w:rPr>
      </w:pPr>
    </w:p>
    <w:p>
      <w:pPr>
        <w:ind w:firstLine="8"/>
        <w:spacing w:after="0" w:line="268" w:lineRule="auto"/>
        <w:tabs>
          <w:tab w:leader="none" w:pos="33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rights to dividends on the shares of the Corporation owned beneficially by such stockholder, such beneficial owner and their respective affiliates or associates or others acting in concert therewith that are separated or separable from the underlying shares of the Corporation, (F) any proportionate interest in shares of the Corporation or Derivative Instruments held, directly or indirectly, by a general or limited partnership in which such stockholder, such beneficial owner and their respective affiliates or associates or others acting in concert therewith is a general partner or, directly or indirectly, beneficially owns an interest in a general partner of such general or limited partnership, (G) any performance-related fees (other than an asset-based fee) that such stockholder, such beneficial owner and their respective affiliates or associates or others acting in concert therewith are entitled to, based on any increase or decrease in the value of shares of the Corporation or Derivative Instruments, if any, including, without limitation, any such interests held by members of the immediate family sharing the same household of such stockholder, such beneficial owner and their respective affiliates or associates or others acting in concert therewith, (H) any significant equity interests or any Derivative Instruments or Short Interests in any principal competitor of the Corporation held by such stockholder, such beneficial owner and their respective affiliates or associates or others acting in concert therewith and (I) any direct or indirect interest of such stockholder, such beneficial owner and their respective affiliates or associates or others acting in concert therewith in any contract with the Corporation, any affiliate of the Corporation or any principal competitor of the Corporation (including, in any such case, any employment agreement, collective bargaining agreement or consulting agreement), (iii)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and their respective affiliates or associates or others acting in concert therewith, if any, and (iv) any other information relating to such stockholder, such beneficial owner and their respective affiliates or associates or others acting in concert therewith, if any, that would be required to be disclosed in a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8" w:name="page99"/>
    <w:bookmarkEnd w:id="98"/>
    <w:p>
      <w:pPr>
        <w:ind w:right="300"/>
        <w:spacing w:after="0"/>
        <w:rPr>
          <w:sz w:val="20"/>
          <w:szCs w:val="20"/>
          <w:color w:val="auto"/>
        </w:rPr>
      </w:pPr>
      <w:r>
        <w:rPr>
          <w:rFonts w:ascii="Arial" w:cs="Arial" w:eastAsia="Arial" w:hAnsi="Arial"/>
          <w:sz w:val="22"/>
          <w:szCs w:val="22"/>
          <w:color w:val="auto"/>
        </w:rPr>
        <w:t>and form or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186" w:lineRule="exact"/>
        <w:rPr>
          <w:sz w:val="20"/>
          <w:szCs w:val="20"/>
          <w:color w:val="auto"/>
        </w:rPr>
      </w:pPr>
    </w:p>
    <w:p>
      <w:pPr>
        <w:ind w:firstLine="1952"/>
        <w:spacing w:after="0" w:line="273" w:lineRule="auto"/>
        <w:tabs>
          <w:tab w:leader="none" w:pos="2592"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If the notice relates to any business other than a nomination of a director or directors that the stockholder proposes to bring before the meeting, a stockholder’s notice must, in addition to the matters set forth in paragraph (a) above, also set forth: (i) a brief description of the business desired to be brought before the meeting, the reasons for conducting such business at the meeting and any material interest of such stockholder, such beneficial owner and their respective affiliates or associates or others acting in concert therewith, if any, in such business, (ii) the text of the proposal or business (including the text of any resolutions proposed for consideration and, in the event that such proposal or business includes a proposal to amend the By-Laws of the Corporation, the text of the proposed amendment), and (iii) a description of all agreements, arrangements and understandings between such stockholder, such beneficial owner and their respective affiliates or associates or others acting in concert therewith, if any, and any other person or persons (including their names) in connection with the proposal of such business by such stockholder;</w:t>
      </w:r>
    </w:p>
    <w:p>
      <w:pPr>
        <w:spacing w:after="0" w:line="155" w:lineRule="exact"/>
        <w:rPr>
          <w:rFonts w:ascii="Arial" w:cs="Arial" w:eastAsia="Arial" w:hAnsi="Arial"/>
          <w:sz w:val="19"/>
          <w:szCs w:val="19"/>
          <w:color w:val="010000"/>
        </w:rPr>
      </w:pPr>
    </w:p>
    <w:p>
      <w:pPr>
        <w:ind w:right="40" w:firstLine="1952"/>
        <w:spacing w:after="0" w:line="271" w:lineRule="auto"/>
        <w:tabs>
          <w:tab w:leader="none" w:pos="2592"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As to each individual, if any, whom the stockholder proposes to nominate for election or reelection to the Board of Directors, a stockholder’s notice must, in addition to the matters set forth in paragraph (a) above, also set forth: (i)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the proxy statement as a nominee and to serving as a director if elected) and (ii) 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right="40" w:firstLine="1952"/>
        <w:spacing w:after="0" w:line="275" w:lineRule="auto"/>
        <w:tabs>
          <w:tab w:leader="none" w:pos="2592"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 xml:space="preserve">With respect to each individual, if any, whom the stockholder proposes to nominate for election or reelection to the Board of Directors, a stockholder’s notice must, in addition to the matters set forth in paragraphs (a) and (c) above, also include a completed and signed questionnaire, representation and agreement required by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Notwithstanding anything to the contrary, only persons who are nominated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9" w:name="page100"/>
    <w:bookmarkEnd w:id="99"/>
    <w:p>
      <w:pPr>
        <w:spacing w:after="0" w:line="250" w:lineRule="auto"/>
        <w:rPr>
          <w:sz w:val="20"/>
          <w:szCs w:val="20"/>
          <w:color w:val="auto"/>
        </w:rPr>
      </w:pPr>
      <w:r>
        <w:rPr>
          <w:rFonts w:ascii="Arial" w:cs="Arial" w:eastAsia="Arial" w:hAnsi="Arial"/>
          <w:sz w:val="22"/>
          <w:szCs w:val="22"/>
          <w:color w:val="auto"/>
        </w:rPr>
        <w:t xml:space="preserve">accordance with the procedures set forth in these By-Laws, including, without limitation, </w:t>
      </w:r>
      <w:r>
        <w:rPr>
          <w:rFonts w:ascii="Arial" w:cs="Arial" w:eastAsia="Arial" w:hAnsi="Arial"/>
          <w:sz w:val="22"/>
          <w:szCs w:val="22"/>
          <w:u w:val="single" w:color="auto"/>
          <w:color w:val="auto"/>
        </w:rPr>
        <w:t>Sections 2.7</w:t>
      </w:r>
      <w:r>
        <w:rPr>
          <w:rFonts w:ascii="Arial" w:cs="Arial" w:eastAsia="Arial" w:hAnsi="Arial"/>
          <w:sz w:val="22"/>
          <w:szCs w:val="22"/>
          <w:color w:val="auto"/>
        </w:rPr>
        <w:t xml:space="preserve">, </w:t>
      </w:r>
      <w:r>
        <w:rPr>
          <w:rFonts w:ascii="Arial" w:cs="Arial" w:eastAsia="Arial" w:hAnsi="Arial"/>
          <w:sz w:val="22"/>
          <w:szCs w:val="22"/>
          <w:u w:val="single" w:color="auto"/>
          <w:color w:val="auto"/>
        </w:rPr>
        <w:t>2.8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2.9</w:t>
      </w:r>
      <w:r>
        <w:rPr>
          <w:rFonts w:ascii="Arial" w:cs="Arial" w:eastAsia="Arial" w:hAnsi="Arial"/>
          <w:sz w:val="22"/>
          <w:szCs w:val="22"/>
          <w:color w:val="auto"/>
        </w:rPr>
        <w:t xml:space="preserve"> hereof, shall be eligible for election as directors.</w:t>
      </w:r>
    </w:p>
    <w:p>
      <w:pPr>
        <w:spacing w:after="0" w:line="175" w:lineRule="exact"/>
        <w:rPr>
          <w:sz w:val="20"/>
          <w:szCs w:val="20"/>
          <w:color w:val="auto"/>
        </w:rPr>
      </w:pPr>
    </w:p>
    <w:p>
      <w:pPr>
        <w:ind w:right="80" w:firstLine="1304"/>
        <w:spacing w:after="0" w:line="238" w:lineRule="auto"/>
        <w:tabs>
          <w:tab w:leader="none" w:pos="1944"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84" w:lineRule="exact"/>
        <w:rPr>
          <w:rFonts w:ascii="Arial" w:cs="Arial" w:eastAsia="Arial" w:hAnsi="Arial"/>
          <w:sz w:val="22"/>
          <w:szCs w:val="22"/>
          <w:color w:val="010000"/>
        </w:rPr>
      </w:pPr>
    </w:p>
    <w:p>
      <w:pPr>
        <w:ind w:right="100" w:firstLine="1304"/>
        <w:spacing w:after="0" w:line="282" w:lineRule="auto"/>
        <w:tabs>
          <w:tab w:leader="none" w:pos="1944"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 xml:space="preserve">Notwithstanding the provisions of these By-Laws, a stockholder shall also comply with all applicable requirements of the Exchange Act and the rules and regulations thereunder with respect to the matters set forth in this By-Law;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w:t>
      </w:r>
    </w:p>
    <w:p>
      <w:pPr>
        <w:spacing w:after="0" w:line="147" w:lineRule="exact"/>
        <w:rPr>
          <w:rFonts w:ascii="Arial" w:cs="Arial" w:eastAsia="Arial" w:hAnsi="Arial"/>
          <w:sz w:val="19"/>
          <w:szCs w:val="19"/>
          <w:color w:val="010000"/>
        </w:rPr>
      </w:pPr>
    </w:p>
    <w:p>
      <w:pPr>
        <w:ind w:firstLine="1304"/>
        <w:spacing w:after="0" w:line="234" w:lineRule="auto"/>
        <w:tabs>
          <w:tab w:leader="none" w:pos="1944"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Nothing in these By-Laws shall be deemed to affect any rights (i) of stockholders to request inclusion of proposals in the Corporation’s proxy statement pursuant to Rule 14a-8 under the Exchange Act or (ii) of the holders of any series of preferred stock of the Corporation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91"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010000"/>
        </w:rPr>
        <w:t xml:space="preserve">SECTION 2.9 </w:t>
      </w:r>
      <w:r>
        <w:rPr>
          <w:rFonts w:ascii="Arial" w:cs="Arial" w:eastAsia="Arial" w:hAnsi="Arial"/>
          <w:sz w:val="19"/>
          <w:szCs w:val="19"/>
          <w:u w:val="single" w:color="auto"/>
          <w:color w:val="000000"/>
        </w:rPr>
        <w:t>Submission of Questionnaire, Representation and Agreement</w:t>
      </w:r>
      <w:r>
        <w:rPr>
          <w:rFonts w:ascii="Arial" w:cs="Arial" w:eastAsia="Arial" w:hAnsi="Arial"/>
          <w:sz w:val="19"/>
          <w:szCs w:val="19"/>
          <w:color w:val="000000"/>
        </w:rPr>
        <w:t>. To be eligible to be a nominee</w:t>
      </w:r>
      <w:r>
        <w:rPr>
          <w:rFonts w:ascii="Arial" w:cs="Arial" w:eastAsia="Arial" w:hAnsi="Arial"/>
          <w:sz w:val="19"/>
          <w:szCs w:val="19"/>
          <w:color w:val="010000"/>
        </w:rPr>
        <w:t xml:space="preserve"> </w:t>
      </w:r>
      <w:r>
        <w:rPr>
          <w:rFonts w:ascii="Arial" w:cs="Arial" w:eastAsia="Arial" w:hAnsi="Arial"/>
          <w:sz w:val="19"/>
          <w:szCs w:val="19"/>
          <w:color w:val="000000"/>
        </w:rPr>
        <w:t xml:space="preserve">of any stockholder for election or reelection as a director of the Corporation, a person must deliver (in accordance with the time periods prescribed for delivery of notice under </w:t>
      </w:r>
      <w:r>
        <w:rPr>
          <w:rFonts w:ascii="Arial" w:cs="Arial" w:eastAsia="Arial" w:hAnsi="Arial"/>
          <w:sz w:val="19"/>
          <w:szCs w:val="19"/>
          <w:u w:val="single" w:color="auto"/>
          <w:color w:val="000000"/>
        </w:rPr>
        <w:t>Section 2.8</w:t>
      </w:r>
      <w:r>
        <w:rPr>
          <w:rFonts w:ascii="Arial" w:cs="Arial" w:eastAsia="Arial" w:hAnsi="Arial"/>
          <w:sz w:val="19"/>
          <w:szCs w:val="19"/>
          <w:color w:val="000000"/>
        </w:rPr>
        <w:t xml:space="preserve"> of these By-Laws)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and a written representation and agreement (in the form provided by the Secretary upon written request) that such individual (A) is not and will not become a party to (1)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9"/>
          <w:szCs w:val="19"/>
          <w:u w:val="single" w:color="auto"/>
          <w:color w:val="000000"/>
        </w:rPr>
        <w:t>Voting Commitment</w:t>
      </w:r>
      <w:r>
        <w:rPr>
          <w:rFonts w:ascii="Arial" w:cs="Arial" w:eastAsia="Arial" w:hAnsi="Arial"/>
          <w:sz w:val="19"/>
          <w:szCs w:val="19"/>
          <w:color w:val="000000"/>
        </w:rPr>
        <w:t>”) that has not been disclosed therein or (2) any Voting Commitment that could limit or interfere with such individual’s ability to comply, if elected as a director of the Corporation, with such individual’s fiduciary duties under applicable law,</w:t>
      </w:r>
    </w:p>
    <w:p>
      <w:pPr>
        <w:spacing w:after="0" w:line="6" w:lineRule="exact"/>
        <w:rPr>
          <w:sz w:val="20"/>
          <w:szCs w:val="20"/>
          <w:color w:val="auto"/>
        </w:rPr>
      </w:pPr>
    </w:p>
    <w:p>
      <w:pPr>
        <w:ind w:right="60" w:firstLine="8"/>
        <w:spacing w:after="0" w:line="232" w:lineRule="auto"/>
        <w:tabs>
          <w:tab w:leader="none" w:pos="342" w:val="left"/>
        </w:tabs>
        <w:numPr>
          <w:ilvl w:val="0"/>
          <w:numId w:val="73"/>
        </w:numPr>
        <w:rPr>
          <w:rFonts w:ascii="Arial" w:cs="Arial" w:eastAsia="Arial" w:hAnsi="Arial"/>
          <w:sz w:val="22"/>
          <w:szCs w:val="22"/>
          <w:color w:val="auto"/>
        </w:rPr>
      </w:pPr>
      <w:r>
        <w:rPr>
          <w:rFonts w:ascii="Arial" w:cs="Arial" w:eastAsia="Arial" w:hAnsi="Arial"/>
          <w:sz w:val="22"/>
          <w:szCs w:val="22"/>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(C) 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 xml:space="preserve">publicly disclosed from time to time and (D) will abide by the requirements of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of these By-Laws.</w:t>
      </w:r>
    </w:p>
    <w:p>
      <w:pPr>
        <w:spacing w:after="0" w:line="241"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010000"/>
        </w:rPr>
        <w:t>SECTION 2.10</w:t>
      </w:r>
      <w:r>
        <w:rPr>
          <w:sz w:val="20"/>
          <w:szCs w:val="20"/>
          <w:color w:val="auto"/>
        </w:rPr>
        <w:tab/>
      </w:r>
      <w:r>
        <w:rPr>
          <w:rFonts w:ascii="Arial" w:cs="Arial" w:eastAsia="Arial" w:hAnsi="Arial"/>
          <w:sz w:val="19"/>
          <w:szCs w:val="19"/>
          <w:u w:val="single" w:color="auto"/>
          <w:color w:val="auto"/>
        </w:rPr>
        <w:t>Procedure for Election of Directors; Required Vote</w:t>
      </w:r>
      <w:r>
        <w:rPr>
          <w:rFonts w:ascii="Arial" w:cs="Arial" w:eastAsia="Arial" w:hAnsi="Arial"/>
          <w:sz w:val="19"/>
          <w:szCs w:val="19"/>
          <w:color w:val="auto"/>
        </w:rPr>
        <w:t>.</w:t>
      </w:r>
    </w:p>
    <w:p>
      <w:pPr>
        <w:spacing w:after="0" w:line="206" w:lineRule="exact"/>
        <w:rPr>
          <w:sz w:val="20"/>
          <w:szCs w:val="20"/>
          <w:color w:val="auto"/>
        </w:rPr>
      </w:pPr>
    </w:p>
    <w:p>
      <w:pPr>
        <w:ind w:firstLine="656"/>
        <w:spacing w:after="0" w:line="282" w:lineRule="auto"/>
        <w:tabs>
          <w:tab w:leader="none" w:pos="1296"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Each director to be elected by stockholders shall be elected as such by the vote of the majority of the total voting power of shares of capital stock of the Corporation present in person or represented by proxy at the meeting and entitled to vote on the matter, except that if the number of nominees exceeds the number of directors to be elected, the directors shall be elected by the vote of a plurality of the total voting power of shares of capital stock of the Corporation present in person or represented by proxy at any such meeting.</w:t>
      </w:r>
    </w:p>
    <w:p>
      <w:pPr>
        <w:spacing w:after="0" w:line="147" w:lineRule="exact"/>
        <w:rPr>
          <w:rFonts w:ascii="Arial" w:cs="Arial" w:eastAsia="Arial" w:hAnsi="Arial"/>
          <w:sz w:val="19"/>
          <w:szCs w:val="19"/>
          <w:color w:val="010000"/>
        </w:rPr>
      </w:pPr>
    </w:p>
    <w:p>
      <w:pPr>
        <w:ind w:firstLine="656"/>
        <w:spacing w:after="0" w:line="243" w:lineRule="auto"/>
        <w:tabs>
          <w:tab w:leader="none" w:pos="1350" w:val="left"/>
        </w:tabs>
        <w:numPr>
          <w:ilvl w:val="0"/>
          <w:numId w:val="74"/>
        </w:numPr>
        <w:rPr>
          <w:rFonts w:ascii="Arial" w:cs="Arial" w:eastAsia="Arial" w:hAnsi="Arial"/>
          <w:sz w:val="21"/>
          <w:szCs w:val="21"/>
          <w:color w:val="010000"/>
        </w:rPr>
      </w:pPr>
      <w:r>
        <w:rPr>
          <w:rFonts w:ascii="Arial" w:cs="Arial" w:eastAsia="Arial" w:hAnsi="Arial"/>
          <w:sz w:val="21"/>
          <w:szCs w:val="21"/>
          <w:color w:val="auto"/>
        </w:rPr>
        <w:t>If a nominee for director who is an incumbent director is not reelected and no successor has been elected at such meeting, the director must promptly tender his or her resignation to the Chairman of the Board of Directors or the Secretary following the certification of the stockholder vote. The Nominating and Governance Committee of the Board of Directors (the “</w:t>
      </w:r>
      <w:r>
        <w:rPr>
          <w:rFonts w:ascii="Arial" w:cs="Arial" w:eastAsia="Arial" w:hAnsi="Arial"/>
          <w:sz w:val="21"/>
          <w:szCs w:val="21"/>
          <w:u w:val="single" w:color="auto"/>
          <w:color w:val="auto"/>
        </w:rPr>
        <w:t>Nominating and Governance Committee</w:t>
      </w:r>
      <w:r>
        <w:rPr>
          <w:rFonts w:ascii="Arial" w:cs="Arial" w:eastAsia="Arial" w:hAnsi="Arial"/>
          <w:sz w:val="21"/>
          <w:szCs w:val="21"/>
          <w:color w:val="auto"/>
        </w:rPr>
        <w:t>”) shall consider the tendered resignation and recommend to the Board of Directors whether to accept or reject it. The Board of Directors shall act on the tendered resignation, taking into account the Nominating and Governance Committee’s recommendation, within 90 days following the certification of the stockholder vote. The Nominating and Governance Committee in making its recommendation, and the Board of Directors in making its decision, may consider any factors or other information that it considers appropriate and relevant. The director who failed to be elected as such by the vote of total voting power of shares of capital stock of the Corporation present in person or represented by proxy at the meeting and entitled to vote on the matter at a meeting for the election of directors at which a quorum is present shall not vote with respect to the recommendation of the Nominating and Governance Committee or the decision of the Board of Directors with respect to whether or not to accept his or her resignation. Except as otherwise provided by law, the Certificate of Incorporation, or these By-Laws, in all matters other than the election of directors in which the number of nominees exceeds the number of directors to be elected, the affirmative vote of a majority of the total voting power of shares of capital stock of the Corporation present in person or represented by proxy at the meeting and entitled to vote on the matter shall be the act of the stockholders.</w:t>
      </w:r>
    </w:p>
    <w:p>
      <w:pPr>
        <w:spacing w:after="0" w:line="188" w:lineRule="exact"/>
        <w:rPr>
          <w:rFonts w:ascii="Arial" w:cs="Arial" w:eastAsia="Arial" w:hAnsi="Arial"/>
          <w:sz w:val="21"/>
          <w:szCs w:val="21"/>
          <w:color w:val="010000"/>
        </w:rPr>
      </w:pPr>
    </w:p>
    <w:p>
      <w:pPr>
        <w:ind w:right="60" w:firstLine="656"/>
        <w:spacing w:after="0" w:line="275" w:lineRule="auto"/>
        <w:tabs>
          <w:tab w:leader="none" w:pos="1296"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Any individual who is nominated for election to the Board of Directors and included in the Corporation’s proxy materials for an annual meeting shall tender an irrevocable resignation, effective immediately, upon a determination by the Board of Directors or any committee thereof that (1) the information provided to the Corporation by such individual or, if applicable, by the stockholder who nominated such individual, was untrue in any material respect or omitted to state a material fact necessary in order to make the statements made, in light of the circumstances under which they were made, not misleading or (2) such individual or, if applicable, the stockholder or stockholders who nominated such individual, shall have breached any representations or obligations owed to the Corporation under these By-Laws.</w:t>
      </w:r>
    </w:p>
    <w:p>
      <w:pPr>
        <w:spacing w:after="0" w:line="157" w:lineRule="exact"/>
        <w:rPr>
          <w:sz w:val="20"/>
          <w:szCs w:val="20"/>
          <w:color w:val="auto"/>
        </w:rPr>
      </w:pPr>
    </w:p>
    <w:p>
      <w:pPr>
        <w:ind w:right="40"/>
        <w:spacing w:after="0"/>
        <w:rPr>
          <w:sz w:val="20"/>
          <w:szCs w:val="20"/>
          <w:color w:val="auto"/>
        </w:rPr>
      </w:pPr>
      <w:r>
        <w:rPr>
          <w:rFonts w:ascii="Arial" w:cs="Arial" w:eastAsia="Arial" w:hAnsi="Arial"/>
          <w:sz w:val="22"/>
          <w:szCs w:val="22"/>
          <w:color w:val="010000"/>
        </w:rPr>
        <w:t xml:space="preserve">SECTION 2.11 </w:t>
      </w:r>
      <w:r>
        <w:rPr>
          <w:rFonts w:ascii="Arial" w:cs="Arial" w:eastAsia="Arial" w:hAnsi="Arial"/>
          <w:sz w:val="22"/>
          <w:szCs w:val="22"/>
          <w:u w:val="single" w:color="auto"/>
          <w:color w:val="000000"/>
        </w:rPr>
        <w:t>Inspectors of Elections; Opening and Closing the Polls</w:t>
      </w:r>
      <w:r>
        <w:rPr>
          <w:rFonts w:ascii="Arial" w:cs="Arial" w:eastAsia="Arial" w:hAnsi="Arial"/>
          <w:sz w:val="22"/>
          <w:szCs w:val="22"/>
          <w:color w:val="000000"/>
        </w:rPr>
        <w:t>. The Board of Directors by resolution</w:t>
      </w:r>
      <w:r>
        <w:rPr>
          <w:rFonts w:ascii="Arial" w:cs="Arial" w:eastAsia="Arial" w:hAnsi="Arial"/>
          <w:sz w:val="22"/>
          <w:szCs w:val="22"/>
          <w:color w:val="010000"/>
        </w:rPr>
        <w:t xml:space="preserve"> </w:t>
      </w:r>
      <w:r>
        <w:rPr>
          <w:rFonts w:ascii="Arial" w:cs="Arial" w:eastAsia="Arial" w:hAnsi="Arial"/>
          <w:sz w:val="22"/>
          <w:szCs w:val="22"/>
          <w:color w:val="000000"/>
        </w:rPr>
        <w:t>shall appoint one or more inspectors to act at the meetings of stockholders and make a written report thereof. One or more persons may be designated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1" w:name="page102"/>
    <w:bookmarkEnd w:id="101"/>
    <w:p>
      <w:pPr>
        <w:spacing w:after="0" w:line="246" w:lineRule="auto"/>
        <w:rPr>
          <w:sz w:val="20"/>
          <w:szCs w:val="20"/>
          <w:color w:val="auto"/>
        </w:rPr>
      </w:pPr>
      <w:r>
        <w:rPr>
          <w:rFonts w:ascii="Arial" w:cs="Arial" w:eastAsia="Arial" w:hAnsi="Arial"/>
          <w:sz w:val="21"/>
          <w:szCs w:val="21"/>
          <w:color w:val="auto"/>
        </w:rPr>
        <w:t>alternate inspectors to replace any inspector who fails to act. If no inspector or alternate has been appointed to act or is able to act at a meeting of stockholders, the Chairperson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 The Chairperson of the meeting shall fix and announce at the meeting the date and time of the opening and the closing of the polls for each matter upon which the stockholders will vote at a meeting.</w:t>
      </w:r>
    </w:p>
    <w:p>
      <w:pPr>
        <w:spacing w:after="0" w:line="184" w:lineRule="exact"/>
        <w:rPr>
          <w:sz w:val="20"/>
          <w:szCs w:val="20"/>
          <w:color w:val="auto"/>
        </w:rPr>
      </w:pPr>
    </w:p>
    <w:p>
      <w:pPr>
        <w:jc w:val="both"/>
        <w:ind w:right="140"/>
        <w:spacing w:after="0" w:line="236" w:lineRule="auto"/>
        <w:rPr>
          <w:sz w:val="20"/>
          <w:szCs w:val="20"/>
          <w:color w:val="auto"/>
        </w:rPr>
      </w:pPr>
      <w:r>
        <w:rPr>
          <w:rFonts w:ascii="Arial" w:cs="Arial" w:eastAsia="Arial" w:hAnsi="Arial"/>
          <w:sz w:val="22"/>
          <w:szCs w:val="22"/>
          <w:color w:val="010000"/>
        </w:rPr>
        <w:t xml:space="preserve">SECTION 2.12 </w:t>
      </w:r>
      <w:r>
        <w:rPr>
          <w:rFonts w:ascii="Arial" w:cs="Arial" w:eastAsia="Arial" w:hAnsi="Arial"/>
          <w:sz w:val="22"/>
          <w:szCs w:val="22"/>
          <w:u w:val="single" w:color="auto"/>
          <w:color w:val="000000"/>
        </w:rPr>
        <w:t>Stockholder Action by Written Consent</w:t>
      </w:r>
      <w:r>
        <w:rPr>
          <w:rFonts w:ascii="Arial" w:cs="Arial" w:eastAsia="Arial" w:hAnsi="Arial"/>
          <w:sz w:val="22"/>
          <w:szCs w:val="22"/>
          <w:color w:val="000000"/>
        </w:rPr>
        <w:t>. Subject to the rights of the holders of any series of</w:t>
      </w:r>
      <w:r>
        <w:rPr>
          <w:rFonts w:ascii="Arial" w:cs="Arial" w:eastAsia="Arial" w:hAnsi="Arial"/>
          <w:sz w:val="22"/>
          <w:szCs w:val="22"/>
          <w:color w:val="010000"/>
        </w:rPr>
        <w:t xml:space="preserve"> </w:t>
      </w:r>
      <w:r>
        <w:rPr>
          <w:rFonts w:ascii="Arial" w:cs="Arial" w:eastAsia="Arial" w:hAnsi="Arial"/>
          <w:sz w:val="22"/>
          <w:szCs w:val="22"/>
          <w:color w:val="000000"/>
        </w:rPr>
        <w:t>preferred stock of the Corporation (“</w:t>
      </w:r>
      <w:r>
        <w:rPr>
          <w:rFonts w:ascii="Arial" w:cs="Arial" w:eastAsia="Arial" w:hAnsi="Arial"/>
          <w:sz w:val="22"/>
          <w:szCs w:val="22"/>
          <w:u w:val="single" w:color="auto"/>
          <w:color w:val="000000"/>
        </w:rPr>
        <w:t>Preferred Stock</w:t>
      </w:r>
      <w:r>
        <w:rPr>
          <w:rFonts w:ascii="Arial" w:cs="Arial" w:eastAsia="Arial" w:hAnsi="Arial"/>
          <w:sz w:val="22"/>
          <w:szCs w:val="22"/>
          <w:color w:val="000000"/>
        </w:rPr>
        <w:t>”)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ARTICLE III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BOARD OF DIRECTORS</w:t>
      </w:r>
    </w:p>
    <w:p>
      <w:pPr>
        <w:spacing w:after="0" w:line="188"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010000"/>
        </w:rPr>
        <w:t xml:space="preserve">SECTION 3.1 </w:t>
      </w:r>
      <w:r>
        <w:rPr>
          <w:rFonts w:ascii="Arial" w:cs="Arial" w:eastAsia="Arial" w:hAnsi="Arial"/>
          <w:sz w:val="21"/>
          <w:szCs w:val="21"/>
          <w:u w:val="single" w:color="auto"/>
          <w:color w:val="000000"/>
        </w:rPr>
        <w:t>General Powers</w:t>
      </w:r>
      <w:r>
        <w:rPr>
          <w:rFonts w:ascii="Arial" w:cs="Arial" w:eastAsia="Arial" w:hAnsi="Arial"/>
          <w:sz w:val="21"/>
          <w:szCs w:val="21"/>
          <w:color w:val="000000"/>
        </w:rPr>
        <w:t>. The business and affairs of the Corporation shall be managed by or under the</w:t>
      </w:r>
      <w:r>
        <w:rPr>
          <w:rFonts w:ascii="Arial" w:cs="Arial" w:eastAsia="Arial" w:hAnsi="Arial"/>
          <w:sz w:val="21"/>
          <w:szCs w:val="21"/>
          <w:color w:val="010000"/>
        </w:rPr>
        <w:t xml:space="preserve"> </w:t>
      </w:r>
      <w:r>
        <w:rPr>
          <w:rFonts w:ascii="Arial" w:cs="Arial" w:eastAsia="Arial" w:hAnsi="Arial"/>
          <w:sz w:val="21"/>
          <w:szCs w:val="21"/>
          <w:color w:val="000000"/>
        </w:rPr>
        <w:t>direction of the board of directors (the “</w:t>
      </w:r>
      <w:r>
        <w:rPr>
          <w:rFonts w:ascii="Arial" w:cs="Arial" w:eastAsia="Arial" w:hAnsi="Arial"/>
          <w:sz w:val="21"/>
          <w:szCs w:val="21"/>
          <w:u w:val="single" w:color="auto"/>
          <w:color w:val="000000"/>
        </w:rPr>
        <w:t>Board of Directors</w:t>
      </w:r>
      <w:r>
        <w:rPr>
          <w:rFonts w:ascii="Arial" w:cs="Arial" w:eastAsia="Arial" w:hAnsi="Arial"/>
          <w:sz w:val="21"/>
          <w:szCs w:val="21"/>
          <w:color w:val="000000"/>
        </w:rPr>
        <w:t>”).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7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010000"/>
        </w:rPr>
        <w:t>SECTION 3.2</w:t>
      </w:r>
      <w:r>
        <w:rPr>
          <w:sz w:val="20"/>
          <w:szCs w:val="20"/>
          <w:color w:val="auto"/>
        </w:rPr>
        <w:tab/>
      </w:r>
      <w:r>
        <w:rPr>
          <w:rFonts w:ascii="Arial" w:cs="Arial" w:eastAsia="Arial" w:hAnsi="Arial"/>
          <w:sz w:val="19"/>
          <w:szCs w:val="19"/>
          <w:u w:val="single" w:color="auto"/>
          <w:color w:val="auto"/>
        </w:rPr>
        <w:t>Number, Tenure and Qualifications</w:t>
      </w:r>
      <w:r>
        <w:rPr>
          <w:rFonts w:ascii="Arial" w:cs="Arial" w:eastAsia="Arial" w:hAnsi="Arial"/>
          <w:sz w:val="19"/>
          <w:szCs w:val="19"/>
          <w:color w:val="auto"/>
        </w:rPr>
        <w:t>. Subject to the terms of that certain Investor Rights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Agreement, dated April 4, 2022 (as amended or modified from time to time in accordance with its terms,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Investor Rights Agreement</w:t>
      </w:r>
      <w:r>
        <w:rPr>
          <w:rFonts w:ascii="Arial" w:cs="Arial" w:eastAsia="Arial" w:hAnsi="Arial"/>
          <w:sz w:val="19"/>
          <w:szCs w:val="19"/>
          <w:color w:val="auto"/>
        </w:rPr>
        <w:t>”), by and among the Corporation, Westrock Group, LLC, The Stephens Group, LLC,</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Sowell Westrock, L.P., BBH Capital Partners V, L.P., BBH Capital Partners V-A, L.P., BBH CPV WCC Co-</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Investment LLC, and Riverview Sponsor Partners, LLC, and the rights of the holders of any series of Preferred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Stock to elect directors under specified circumstances, the number of directors shall be fixed from time to time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exclusively pursuant to a resolution adopted by a majority of the total number of directors that the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would have if there were no vacancies (the “</w:t>
      </w:r>
      <w:r>
        <w:rPr>
          <w:rFonts w:ascii="Arial" w:cs="Arial" w:eastAsia="Arial" w:hAnsi="Arial"/>
          <w:sz w:val="19"/>
          <w:szCs w:val="19"/>
          <w:u w:val="single" w:color="auto"/>
          <w:color w:val="auto"/>
        </w:rPr>
        <w:t>Whole Board</w:t>
      </w:r>
      <w:r>
        <w:rPr>
          <w:rFonts w:ascii="Arial" w:cs="Arial" w:eastAsia="Arial" w:hAnsi="Arial"/>
          <w:sz w:val="19"/>
          <w:szCs w:val="19"/>
          <w:color w:val="auto"/>
        </w:rPr>
        <w:t>”). No decrease in the number of authorized directors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constituting the Whole Board shall shorten the term of any incumbent director. The directors shall be elected 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applicable annual meetings of stockholders, at which a quorum is present, as specified in the Certificate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Incorporation and in these By-Laws, and each director of the Corporation shall hold office until such director’s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successor is elected and qualified or until such director’s earlier death, resignation or removal. Subject to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foregoing, the Board of Directors shall initially consist of ten (10) directors.</w:t>
      </w:r>
    </w:p>
    <w:p>
      <w:pPr>
        <w:spacing w:after="0" w:line="188" w:lineRule="exact"/>
        <w:rPr>
          <w:sz w:val="20"/>
          <w:szCs w:val="20"/>
          <w:color w:val="auto"/>
        </w:rPr>
      </w:pPr>
    </w:p>
    <w:p>
      <w:pPr>
        <w:jc w:val="both"/>
        <w:ind w:right="320"/>
        <w:spacing w:after="0" w:line="238" w:lineRule="auto"/>
        <w:rPr>
          <w:sz w:val="20"/>
          <w:szCs w:val="20"/>
          <w:color w:val="auto"/>
        </w:rPr>
      </w:pPr>
      <w:r>
        <w:rPr>
          <w:rFonts w:ascii="Arial" w:cs="Arial" w:eastAsia="Arial" w:hAnsi="Arial"/>
          <w:sz w:val="22"/>
          <w:szCs w:val="22"/>
          <w:color w:val="010000"/>
        </w:rPr>
        <w:t xml:space="preserve">SECTION 3.3 </w:t>
      </w:r>
      <w:r>
        <w:rPr>
          <w:rFonts w:ascii="Arial" w:cs="Arial" w:eastAsia="Arial" w:hAnsi="Arial"/>
          <w:sz w:val="22"/>
          <w:szCs w:val="22"/>
          <w:u w:val="single" w:color="auto"/>
          <w:color w:val="000000"/>
        </w:rPr>
        <w:t>Regular Meetings</w:t>
      </w:r>
      <w:r>
        <w:rPr>
          <w:rFonts w:ascii="Arial" w:cs="Arial" w:eastAsia="Arial" w:hAnsi="Arial"/>
          <w:sz w:val="22"/>
          <w:szCs w:val="22"/>
          <w:color w:val="000000"/>
        </w:rPr>
        <w:t>. A regular meeting of the Board of Directors shall be held without other</w:t>
      </w:r>
      <w:r>
        <w:rPr>
          <w:rFonts w:ascii="Arial" w:cs="Arial" w:eastAsia="Arial" w:hAnsi="Arial"/>
          <w:sz w:val="22"/>
          <w:szCs w:val="22"/>
          <w:color w:val="010000"/>
        </w:rPr>
        <w:t xml:space="preserve"> </w:t>
      </w:r>
      <w:r>
        <w:rPr>
          <w:rFonts w:ascii="Arial" w:cs="Arial" w:eastAsia="Arial" w:hAnsi="Arial"/>
          <w:sz w:val="22"/>
          <w:szCs w:val="22"/>
          <w:color w:val="000000"/>
        </w:rPr>
        <w:t>notice than this By-law immediately after, and at the same place as, the Annual Meeting of Stockholders. The Board of Directors may, by resolution, provide the time and place, if any, for the holding of additional regular meetings without other notice than such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874" w:right="1059" w:bottom="1440" w:gutter="0" w:footer="0" w:header="0"/>
        </w:sectPr>
      </w:pPr>
    </w:p>
    <w:bookmarkStart w:id="102" w:name="page103"/>
    <w:bookmarkEnd w:id="102"/>
    <w:p>
      <w:pPr>
        <w:ind w:right="220"/>
        <w:spacing w:after="0" w:line="238" w:lineRule="auto"/>
        <w:rPr>
          <w:sz w:val="20"/>
          <w:szCs w:val="20"/>
          <w:color w:val="auto"/>
        </w:rPr>
      </w:pPr>
      <w:r>
        <w:rPr>
          <w:rFonts w:ascii="Arial" w:cs="Arial" w:eastAsia="Arial" w:hAnsi="Arial"/>
          <w:sz w:val="22"/>
          <w:szCs w:val="22"/>
          <w:color w:val="010000"/>
        </w:rPr>
        <w:t xml:space="preserve">SECTION 3.4 </w:t>
      </w:r>
      <w:r>
        <w:rPr>
          <w:rFonts w:ascii="Arial" w:cs="Arial" w:eastAsia="Arial" w:hAnsi="Arial"/>
          <w:sz w:val="22"/>
          <w:szCs w:val="22"/>
          <w:u w:val="single" w:color="auto"/>
          <w:color w:val="000000"/>
        </w:rPr>
        <w:t>Special Meetings</w:t>
      </w:r>
      <w:r>
        <w:rPr>
          <w:rFonts w:ascii="Arial" w:cs="Arial" w:eastAsia="Arial" w:hAnsi="Arial"/>
          <w:sz w:val="22"/>
          <w:szCs w:val="22"/>
          <w:color w:val="000000"/>
        </w:rPr>
        <w:t>. Special meetings of the Board of Directors shall be called at the request of</w:t>
      </w:r>
      <w:r>
        <w:rPr>
          <w:rFonts w:ascii="Arial" w:cs="Arial" w:eastAsia="Arial" w:hAnsi="Arial"/>
          <w:sz w:val="22"/>
          <w:szCs w:val="22"/>
          <w:color w:val="010000"/>
        </w:rPr>
        <w:t xml:space="preserve"> </w:t>
      </w:r>
      <w:r>
        <w:rPr>
          <w:rFonts w:ascii="Arial" w:cs="Arial" w:eastAsia="Arial" w:hAnsi="Arial"/>
          <w:sz w:val="22"/>
          <w:szCs w:val="22"/>
          <w:color w:val="000000"/>
        </w:rPr>
        <w:t>the Chairperson of the Board of Directors or a majority of the Board of Directors then in office. The person or persons authorized to call special meetings of the Board of Directors may fix the place, if any, and time of the meetings.</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010000"/>
        </w:rPr>
        <w:t xml:space="preserve">SECTION 3.5 </w:t>
      </w:r>
      <w:r>
        <w:rPr>
          <w:rFonts w:ascii="Arial" w:cs="Arial" w:eastAsia="Arial" w:hAnsi="Arial"/>
          <w:sz w:val="19"/>
          <w:szCs w:val="19"/>
          <w:u w:val="single" w:color="auto"/>
          <w:color w:val="000000"/>
        </w:rPr>
        <w:t>Notice</w:t>
      </w:r>
      <w:r>
        <w:rPr>
          <w:rFonts w:ascii="Arial" w:cs="Arial" w:eastAsia="Arial" w:hAnsi="Arial"/>
          <w:sz w:val="19"/>
          <w:szCs w:val="19"/>
          <w:color w:val="000000"/>
        </w:rPr>
        <w:t>. Notice of any special meeting of directors shall be given to each director at his or her</w:t>
      </w:r>
      <w:r>
        <w:rPr>
          <w:rFonts w:ascii="Arial" w:cs="Arial" w:eastAsia="Arial" w:hAnsi="Arial"/>
          <w:sz w:val="19"/>
          <w:szCs w:val="19"/>
          <w:color w:val="010000"/>
        </w:rPr>
        <w:t xml:space="preserve"> </w:t>
      </w:r>
      <w:r>
        <w:rPr>
          <w:rFonts w:ascii="Arial" w:cs="Arial" w:eastAsia="Arial" w:hAnsi="Arial"/>
          <w:sz w:val="19"/>
          <w:szCs w:val="19"/>
          <w:color w:val="000000"/>
        </w:rPr>
        <w:t xml:space="preserve">place of business or residence in writing by hand delivery, first-class or overnight mail or courier service, telegram, email or facsimile transmission, or orally by telephone. If mailed by first-class mail, such notice shall be deemed adequately delivered when deposited in the United States mail so addressed, with postage thereon prepaid, at least five (5) days before such meeting. If by telegram, overnight mail or courier service, such notice shall be deemed adequately delivered when the telegram is delivered to the telegraph company, or the notice is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w:t>
      </w:r>
      <w:r>
        <w:rPr>
          <w:rFonts w:ascii="Arial" w:cs="Arial" w:eastAsia="Arial" w:hAnsi="Arial"/>
          <w:sz w:val="19"/>
          <w:szCs w:val="19"/>
          <w:u w:val="single" w:color="auto"/>
          <w:color w:val="000000"/>
        </w:rPr>
        <w:t>Section 7.5</w:t>
      </w:r>
      <w:r>
        <w:rPr>
          <w:rFonts w:ascii="Arial" w:cs="Arial" w:eastAsia="Arial" w:hAnsi="Arial"/>
          <w:sz w:val="19"/>
          <w:szCs w:val="19"/>
          <w:color w:val="000000"/>
        </w:rPr>
        <w:t xml:space="preserve"> of these By-Laws.</w:t>
      </w:r>
    </w:p>
    <w:p>
      <w:pPr>
        <w:spacing w:after="0" w:line="161" w:lineRule="exact"/>
        <w:rPr>
          <w:sz w:val="20"/>
          <w:szCs w:val="20"/>
          <w:color w:val="auto"/>
        </w:rPr>
      </w:pPr>
    </w:p>
    <w:p>
      <w:pPr>
        <w:jc w:val="both"/>
        <w:ind w:right="40"/>
        <w:spacing w:after="0" w:line="279" w:lineRule="auto"/>
        <w:rPr>
          <w:sz w:val="20"/>
          <w:szCs w:val="20"/>
          <w:color w:val="auto"/>
        </w:rPr>
      </w:pPr>
      <w:r>
        <w:rPr>
          <w:rFonts w:ascii="Arial" w:cs="Arial" w:eastAsia="Arial" w:hAnsi="Arial"/>
          <w:sz w:val="19"/>
          <w:szCs w:val="19"/>
          <w:color w:val="010000"/>
        </w:rPr>
        <w:t xml:space="preserve">SECTION 3.6 </w:t>
      </w:r>
      <w:r>
        <w:rPr>
          <w:rFonts w:ascii="Arial" w:cs="Arial" w:eastAsia="Arial" w:hAnsi="Arial"/>
          <w:sz w:val="19"/>
          <w:szCs w:val="19"/>
          <w:u w:val="single" w:color="auto"/>
          <w:color w:val="000000"/>
        </w:rPr>
        <w:t>Action by Consent of Board of Directors</w:t>
      </w:r>
      <w:r>
        <w:rPr>
          <w:rFonts w:ascii="Arial" w:cs="Arial" w:eastAsia="Arial" w:hAnsi="Arial"/>
          <w:sz w:val="19"/>
          <w:szCs w:val="19"/>
          <w:color w:val="000000"/>
        </w:rPr>
        <w:t>. Any action required or permitted to be taken at any</w:t>
      </w:r>
      <w:r>
        <w:rPr>
          <w:rFonts w:ascii="Arial" w:cs="Arial" w:eastAsia="Arial" w:hAnsi="Arial"/>
          <w:sz w:val="19"/>
          <w:szCs w:val="19"/>
          <w:color w:val="010000"/>
        </w:rPr>
        <w:t xml:space="preserve"> </w:t>
      </w:r>
      <w:r>
        <w:rPr>
          <w:rFonts w:ascii="Arial" w:cs="Arial" w:eastAsia="Arial" w:hAnsi="Arial"/>
          <w:sz w:val="19"/>
          <w:szCs w:val="19"/>
          <w:color w:val="000000"/>
        </w:rPr>
        <w:t>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any committee thereof. Such filing shall be in paper form if the minutes are maintained in paper form and shall be in electronic form if the minutes are maintained in electronic form.</w:t>
      </w:r>
    </w:p>
    <w:p>
      <w:pPr>
        <w:spacing w:after="0" w:line="150" w:lineRule="exact"/>
        <w:rPr>
          <w:sz w:val="20"/>
          <w:szCs w:val="20"/>
          <w:color w:val="auto"/>
        </w:rPr>
      </w:pPr>
    </w:p>
    <w:p>
      <w:pPr>
        <w:spacing w:after="0" w:line="287" w:lineRule="auto"/>
        <w:rPr>
          <w:sz w:val="20"/>
          <w:szCs w:val="20"/>
          <w:color w:val="auto"/>
        </w:rPr>
      </w:pPr>
      <w:r>
        <w:rPr>
          <w:rFonts w:ascii="Arial" w:cs="Arial" w:eastAsia="Arial" w:hAnsi="Arial"/>
          <w:sz w:val="19"/>
          <w:szCs w:val="19"/>
          <w:color w:val="010000"/>
        </w:rPr>
        <w:t xml:space="preserve">SECTION 3.7 </w:t>
      </w:r>
      <w:r>
        <w:rPr>
          <w:rFonts w:ascii="Arial" w:cs="Arial" w:eastAsia="Arial" w:hAnsi="Arial"/>
          <w:sz w:val="19"/>
          <w:szCs w:val="19"/>
          <w:u w:val="single" w:color="auto"/>
          <w:color w:val="000000"/>
        </w:rPr>
        <w:t>Conference Telephone Meetings</w:t>
      </w:r>
      <w:r>
        <w:rPr>
          <w:rFonts w:ascii="Arial" w:cs="Arial" w:eastAsia="Arial" w:hAnsi="Arial"/>
          <w:sz w:val="19"/>
          <w:szCs w:val="19"/>
          <w:color w:val="000000"/>
        </w:rPr>
        <w:t>. Members of the Board of Directors, or any committee</w:t>
      </w:r>
      <w:r>
        <w:rPr>
          <w:rFonts w:ascii="Arial" w:cs="Arial" w:eastAsia="Arial" w:hAnsi="Arial"/>
          <w:sz w:val="19"/>
          <w:szCs w:val="19"/>
          <w:color w:val="010000"/>
        </w:rPr>
        <w:t xml:space="preserve"> </w:t>
      </w:r>
      <w:r>
        <w:rPr>
          <w:rFonts w:ascii="Arial" w:cs="Arial" w:eastAsia="Arial" w:hAnsi="Arial"/>
          <w:sz w:val="19"/>
          <w:szCs w:val="19"/>
          <w:color w:val="000000"/>
        </w:rPr>
        <w:t>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21"/>
          <w:szCs w:val="21"/>
          <w:color w:val="010000"/>
        </w:rPr>
        <w:t xml:space="preserve">SECTION 3.8 </w:t>
      </w:r>
      <w:r>
        <w:rPr>
          <w:rFonts w:ascii="Arial" w:cs="Arial" w:eastAsia="Arial" w:hAnsi="Arial"/>
          <w:sz w:val="21"/>
          <w:szCs w:val="21"/>
          <w:u w:val="single" w:color="auto"/>
          <w:color w:val="000000"/>
        </w:rPr>
        <w:t>Quorum</w:t>
      </w:r>
      <w:r>
        <w:rPr>
          <w:rFonts w:ascii="Arial" w:cs="Arial" w:eastAsia="Arial" w:hAnsi="Arial"/>
          <w:sz w:val="21"/>
          <w:szCs w:val="21"/>
          <w:color w:val="000000"/>
        </w:rPr>
        <w:t>. Subject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3.9</w:t>
      </w:r>
      <w:r>
        <w:rPr>
          <w:rFonts w:ascii="Arial" w:cs="Arial" w:eastAsia="Arial" w:hAnsi="Arial"/>
          <w:sz w:val="21"/>
          <w:szCs w:val="21"/>
          <w:color w:val="010000"/>
        </w:rPr>
        <w:t xml:space="preserve"> </w:t>
      </w:r>
      <w:r>
        <w:rPr>
          <w:rFonts w:ascii="Arial" w:cs="Arial" w:eastAsia="Arial" w:hAnsi="Arial"/>
          <w:sz w:val="21"/>
          <w:szCs w:val="21"/>
          <w:color w:val="000000"/>
        </w:rPr>
        <w:t>of these By-Laws, a whole number of directors equal to at</w:t>
      </w:r>
      <w:r>
        <w:rPr>
          <w:rFonts w:ascii="Arial" w:cs="Arial" w:eastAsia="Arial" w:hAnsi="Arial"/>
          <w:sz w:val="21"/>
          <w:szCs w:val="21"/>
          <w:color w:val="010000"/>
        </w:rPr>
        <w:t xml:space="preserve"> </w:t>
      </w:r>
      <w:r>
        <w:rPr>
          <w:rFonts w:ascii="Arial" w:cs="Arial" w:eastAsia="Arial" w:hAnsi="Arial"/>
          <w:sz w:val="21"/>
          <w:szCs w:val="21"/>
          <w:color w:val="000000"/>
        </w:rPr>
        <w:t>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spacing w:after="0" w:line="18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010000"/>
        </w:rPr>
        <w:t xml:space="preserve">SECTION 3.9 </w:t>
      </w:r>
      <w:r>
        <w:rPr>
          <w:rFonts w:ascii="Arial" w:cs="Arial" w:eastAsia="Arial" w:hAnsi="Arial"/>
          <w:sz w:val="22"/>
          <w:szCs w:val="22"/>
          <w:u w:val="single" w:color="auto"/>
          <w:color w:val="000000"/>
        </w:rPr>
        <w:t>Vacancies</w:t>
      </w:r>
      <w:r>
        <w:rPr>
          <w:rFonts w:ascii="Arial" w:cs="Arial" w:eastAsia="Arial" w:hAnsi="Arial"/>
          <w:sz w:val="22"/>
          <w:szCs w:val="22"/>
          <w:color w:val="000000"/>
        </w:rPr>
        <w:t>. Subject to the Investor Rights Agreement as well as applicable law and the rights of</w:t>
      </w:r>
      <w:r>
        <w:rPr>
          <w:rFonts w:ascii="Arial" w:cs="Arial" w:eastAsia="Arial" w:hAnsi="Arial"/>
          <w:sz w:val="22"/>
          <w:szCs w:val="22"/>
          <w:color w:val="010000"/>
        </w:rPr>
        <w:t xml:space="preserve"> </w:t>
      </w:r>
      <w:r>
        <w:rPr>
          <w:rFonts w:ascii="Arial" w:cs="Arial" w:eastAsia="Arial" w:hAnsi="Arial"/>
          <w:sz w:val="22"/>
          <w:szCs w:val="22"/>
          <w:color w:val="000000"/>
        </w:rPr>
        <w:t>the holders of any Series of Preferred Stock with respect to such series of Preferred Stock, and unless the Board of Directors otherwise determines, vacancies resulting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3" w:name="page104"/>
    <w:bookmarkEnd w:id="103"/>
    <w:p>
      <w:pPr>
        <w:ind w:right="80"/>
        <w:spacing w:after="0" w:line="248" w:lineRule="auto"/>
        <w:rPr>
          <w:sz w:val="20"/>
          <w:szCs w:val="20"/>
          <w:color w:val="auto"/>
        </w:rPr>
      </w:pPr>
      <w:r>
        <w:rPr>
          <w:rFonts w:ascii="Arial" w:cs="Arial" w:eastAsia="Arial" w:hAnsi="Arial"/>
          <w:sz w:val="21"/>
          <w:szCs w:val="21"/>
          <w:color w:val="auto"/>
        </w:rPr>
        <w:t>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by a sole remaining director, and directors so chosen shall hold office for a term expiring at the annual meeting of stockholders at which the term of office of the class to which they have been appointed expires and until such director’s successor shall have been duly elected and qualified.</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9"/>
          <w:szCs w:val="19"/>
          <w:color w:val="010000"/>
        </w:rPr>
        <w:t xml:space="preserve">SECTION 3.10 </w:t>
      </w:r>
      <w:r>
        <w:rPr>
          <w:rFonts w:ascii="Arial" w:cs="Arial" w:eastAsia="Arial" w:hAnsi="Arial"/>
          <w:sz w:val="19"/>
          <w:szCs w:val="19"/>
          <w:u w:val="single" w:color="auto"/>
          <w:color w:val="000000"/>
        </w:rPr>
        <w:t>Committees</w:t>
      </w:r>
      <w:r>
        <w:rPr>
          <w:rFonts w:ascii="Arial" w:cs="Arial" w:eastAsia="Arial" w:hAnsi="Arial"/>
          <w:sz w:val="19"/>
          <w:szCs w:val="19"/>
          <w:color w:val="000000"/>
        </w:rPr>
        <w:t>. Subject to the Investor Rights Agreement, the Board of Directors may designate</w:t>
      </w:r>
      <w:r>
        <w:rPr>
          <w:rFonts w:ascii="Arial" w:cs="Arial" w:eastAsia="Arial" w:hAnsi="Arial"/>
          <w:sz w:val="19"/>
          <w:szCs w:val="19"/>
          <w:color w:val="010000"/>
        </w:rPr>
        <w:t xml:space="preserve"> </w:t>
      </w:r>
      <w:r>
        <w:rPr>
          <w:rFonts w:ascii="Arial" w:cs="Arial" w:eastAsia="Arial" w:hAnsi="Arial"/>
          <w:sz w:val="19"/>
          <w:szCs w:val="19"/>
          <w:color w:val="000000"/>
        </w:rPr>
        <w:t>any committees as appropriate, which shall consist of one or more directors of the Corporation. The Board of Directors may designate one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 Each committee shall keep written minutes of its proceedings and shall report such proceedings to the Board of Directors when required.</w:t>
      </w:r>
    </w:p>
    <w:p>
      <w:pPr>
        <w:spacing w:after="0" w:line="161"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A majority of any committee may determine its action and fix the time and place of its meetings, unless the Board of Directors shall otherwise provide. Notice of such meetings shall be given to each member of the committee in the manner provided for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of these By-Laws. The Board of Directors shall have power at any time to fill vacancies in, to change the membership of, or to dissolve, any such committee. Nothing herein shall be deemed to prevent the Board of Directors from appointing one or more committees consisting in whole or in part of persons who are not directors of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committee shall have or may exercise any authority of the Board of Directors.</w:t>
      </w:r>
    </w:p>
    <w:p>
      <w:pPr>
        <w:spacing w:after="0" w:line="152" w:lineRule="exact"/>
        <w:rPr>
          <w:sz w:val="20"/>
          <w:szCs w:val="20"/>
          <w:color w:val="auto"/>
        </w:rPr>
      </w:pPr>
    </w:p>
    <w:p>
      <w:pPr>
        <w:ind w:right="860"/>
        <w:spacing w:after="0" w:line="328" w:lineRule="auto"/>
        <w:rPr>
          <w:sz w:val="20"/>
          <w:szCs w:val="20"/>
          <w:color w:val="auto"/>
        </w:rPr>
      </w:pPr>
      <w:r>
        <w:rPr>
          <w:rFonts w:ascii="Arial" w:cs="Arial" w:eastAsia="Arial" w:hAnsi="Arial"/>
          <w:sz w:val="19"/>
          <w:szCs w:val="19"/>
          <w:color w:val="010000"/>
        </w:rPr>
        <w:t xml:space="preserve">SECTION 3.11 </w:t>
      </w:r>
      <w:r>
        <w:rPr>
          <w:rFonts w:ascii="Arial" w:cs="Arial" w:eastAsia="Arial" w:hAnsi="Arial"/>
          <w:sz w:val="19"/>
          <w:szCs w:val="19"/>
          <w:u w:val="single" w:color="auto"/>
          <w:color w:val="000000"/>
        </w:rPr>
        <w:t>Removal</w:t>
      </w:r>
      <w:r>
        <w:rPr>
          <w:rFonts w:ascii="Arial" w:cs="Arial" w:eastAsia="Arial" w:hAnsi="Arial"/>
          <w:sz w:val="19"/>
          <w:szCs w:val="19"/>
          <w:color w:val="000000"/>
        </w:rPr>
        <w:t>. The right of the stockholders to remove any director, or the entire Board of</w:t>
      </w:r>
      <w:r>
        <w:rPr>
          <w:rFonts w:ascii="Arial" w:cs="Arial" w:eastAsia="Arial" w:hAnsi="Arial"/>
          <w:sz w:val="19"/>
          <w:szCs w:val="19"/>
          <w:color w:val="010000"/>
        </w:rPr>
        <w:t xml:space="preserve"> </w:t>
      </w:r>
      <w:r>
        <w:rPr>
          <w:rFonts w:ascii="Arial" w:cs="Arial" w:eastAsia="Arial" w:hAnsi="Arial"/>
          <w:sz w:val="19"/>
          <w:szCs w:val="19"/>
          <w:color w:val="000000"/>
        </w:rPr>
        <w:t>Directors, shall be as set forth in Section E of Article VI of the Certificate of Incorporation.</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22"/>
          <w:szCs w:val="22"/>
          <w:color w:val="010000"/>
        </w:rPr>
        <w:t xml:space="preserve">SECTION 3.12 </w:t>
      </w:r>
      <w:r>
        <w:rPr>
          <w:rFonts w:ascii="Arial" w:cs="Arial" w:eastAsia="Arial" w:hAnsi="Arial"/>
          <w:sz w:val="22"/>
          <w:szCs w:val="22"/>
          <w:u w:val="single" w:color="auto"/>
          <w:color w:val="000000"/>
        </w:rPr>
        <w:t>Records</w:t>
      </w:r>
      <w:r>
        <w:rPr>
          <w:rFonts w:ascii="Arial" w:cs="Arial" w:eastAsia="Arial" w:hAnsi="Arial"/>
          <w:sz w:val="22"/>
          <w:szCs w:val="22"/>
          <w:color w:val="000000"/>
        </w:rPr>
        <w:t>. The Board of Directors shall cause to be kept a record containing the minutes of the</w:t>
      </w:r>
      <w:r>
        <w:rPr>
          <w:rFonts w:ascii="Arial" w:cs="Arial" w:eastAsia="Arial" w:hAnsi="Arial"/>
          <w:sz w:val="22"/>
          <w:szCs w:val="22"/>
          <w:color w:val="010000"/>
        </w:rPr>
        <w:t xml:space="preserve"> </w:t>
      </w:r>
      <w:r>
        <w:rPr>
          <w:rFonts w:ascii="Arial" w:cs="Arial" w:eastAsia="Arial" w:hAnsi="Arial"/>
          <w:sz w:val="22"/>
          <w:szCs w:val="22"/>
          <w:color w:val="000000"/>
        </w:rPr>
        <w:t>proceedings of the meetings of the Board of Directors and of the stockholders, appropriate stock books and registers and such books of records and accounts as may be necessary for the proper conduct of the business of the Corporation.</w:t>
      </w:r>
    </w:p>
    <w:p>
      <w:pPr>
        <w:spacing w:after="0" w:line="185"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010000"/>
        </w:rPr>
        <w:t xml:space="preserve">SECTION 3.13 </w:t>
      </w:r>
      <w:r>
        <w:rPr>
          <w:rFonts w:ascii="Arial" w:cs="Arial" w:eastAsia="Arial" w:hAnsi="Arial"/>
          <w:sz w:val="19"/>
          <w:szCs w:val="19"/>
          <w:u w:val="single" w:color="auto"/>
          <w:color w:val="000000"/>
        </w:rPr>
        <w:t>Chairperson of the Board of Directors</w:t>
      </w:r>
      <w:r>
        <w:rPr>
          <w:rFonts w:ascii="Arial" w:cs="Arial" w:eastAsia="Arial" w:hAnsi="Arial"/>
          <w:sz w:val="19"/>
          <w:szCs w:val="19"/>
          <w:color w:val="000000"/>
        </w:rPr>
        <w:t>. The Corporation may have, at the discretion of the</w:t>
      </w:r>
      <w:r>
        <w:rPr>
          <w:rFonts w:ascii="Arial" w:cs="Arial" w:eastAsia="Arial" w:hAnsi="Arial"/>
          <w:sz w:val="19"/>
          <w:szCs w:val="19"/>
          <w:color w:val="010000"/>
        </w:rPr>
        <w:t xml:space="preserve"> </w:t>
      </w:r>
      <w:r>
        <w:rPr>
          <w:rFonts w:ascii="Arial" w:cs="Arial" w:eastAsia="Arial" w:hAnsi="Arial"/>
          <w:sz w:val="19"/>
          <w:szCs w:val="19"/>
          <w:color w:val="000000"/>
        </w:rPr>
        <w:t>Board of Directors, a Chairperson of the Board of Directors who shall be elected by the Board of Directors from their own numbers and shall preside as Chairperson at all meetings of the stockholders and of the Board of Directors at which he or she is present. The Chairperson shall have such other powers and duties as provided in these By-laws and as the Board of Directors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2"/>
          <w:szCs w:val="22"/>
          <w:b w:val="1"/>
          <w:bCs w:val="1"/>
          <w:color w:val="010000"/>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010000"/>
        </w:rPr>
        <w:t xml:space="preserve">SECTION 4.1 </w:t>
      </w:r>
      <w:r>
        <w:rPr>
          <w:rFonts w:ascii="Arial" w:cs="Arial" w:eastAsia="Arial" w:hAnsi="Arial"/>
          <w:sz w:val="19"/>
          <w:szCs w:val="19"/>
          <w:u w:val="single" w:color="auto"/>
          <w:color w:val="000000"/>
        </w:rPr>
        <w:t>Elected Officers</w:t>
      </w:r>
      <w:r>
        <w:rPr>
          <w:rFonts w:ascii="Arial" w:cs="Arial" w:eastAsia="Arial" w:hAnsi="Arial"/>
          <w:sz w:val="19"/>
          <w:szCs w:val="19"/>
          <w:color w:val="000000"/>
        </w:rPr>
        <w:t>. The elected officers of the Corporation shall include a Chief Executive</w:t>
      </w:r>
      <w:r>
        <w:rPr>
          <w:rFonts w:ascii="Arial" w:cs="Arial" w:eastAsia="Arial" w:hAnsi="Arial"/>
          <w:sz w:val="19"/>
          <w:szCs w:val="19"/>
          <w:color w:val="010000"/>
        </w:rPr>
        <w:t xml:space="preserve"> </w:t>
      </w:r>
      <w:r>
        <w:rPr>
          <w:rFonts w:ascii="Arial" w:cs="Arial" w:eastAsia="Arial" w:hAnsi="Arial"/>
          <w:sz w:val="19"/>
          <w:szCs w:val="19"/>
          <w:color w:val="000000"/>
        </w:rPr>
        <w:t xml:space="preserve">Officer, a President, a Chief Financial Officer, a Treasurer, a Secretary, one or more Vice Presidents and such other officers as the Board of Directors from time to time may deem proper. Any number of offices may be held by the same person. All officers elected by the Board of Directors shall each have such powers and duties as generally pertain to their respective offices, subject to the specific provisions of this </w:t>
      </w:r>
      <w:r>
        <w:rPr>
          <w:rFonts w:ascii="Arial" w:cs="Arial" w:eastAsia="Arial" w:hAnsi="Arial"/>
          <w:sz w:val="19"/>
          <w:szCs w:val="19"/>
          <w:u w:val="single" w:color="auto"/>
          <w:color w:val="000000"/>
        </w:rPr>
        <w:t>Article IV</w:t>
      </w:r>
      <w:r>
        <w:rPr>
          <w:rFonts w:ascii="Arial" w:cs="Arial" w:eastAsia="Arial" w:hAnsi="Arial"/>
          <w:sz w:val="19"/>
          <w:szCs w:val="19"/>
          <w:color w:val="000000"/>
        </w:rPr>
        <w:t xml:space="preserve"> of these By-Laws. Such officers shall also have such powers and duties as from time to time may be conferred by the Board of Directors or by any committee thereof. The Board of Directors or any committee thereof may from time to time elect, or the Chairperson of the Board or the Chief Executive Officer may appoint, such other officers (including one or more Assistant Vice Presidents, Assistant Secretaries, and Assistant Treasurers) and such agents, as may be necessary or desirable for the conduct of the business of the Corporation. Such other officers and agents shall have such duties and shall hold their offices for such terms as shall be provided in these By-Laws or as may be prescribed by the Board of Directors or such committee or by the Chairperson of the Board or the Chief Executive Officer, as the case may be.</w:t>
      </w:r>
    </w:p>
    <w:p>
      <w:pPr>
        <w:spacing w:after="0" w:line="200" w:lineRule="exact"/>
        <w:rPr>
          <w:sz w:val="20"/>
          <w:szCs w:val="20"/>
          <w:color w:val="auto"/>
        </w:rPr>
      </w:pPr>
    </w:p>
    <w:p>
      <w:pPr>
        <w:spacing w:after="0" w:line="204" w:lineRule="exact"/>
        <w:rPr>
          <w:sz w:val="20"/>
          <w:szCs w:val="20"/>
          <w:color w:val="auto"/>
        </w:rPr>
      </w:pPr>
    </w:p>
    <w:p>
      <w:pPr>
        <w:ind w:right="200"/>
        <w:spacing w:after="0"/>
        <w:rPr>
          <w:sz w:val="20"/>
          <w:szCs w:val="20"/>
          <w:color w:val="auto"/>
        </w:rPr>
      </w:pPr>
      <w:r>
        <w:rPr>
          <w:rFonts w:ascii="Arial" w:cs="Arial" w:eastAsia="Arial" w:hAnsi="Arial"/>
          <w:sz w:val="22"/>
          <w:szCs w:val="22"/>
          <w:color w:val="010000"/>
        </w:rPr>
        <w:t xml:space="preserve">SECTION 4.2 </w:t>
      </w:r>
      <w:r>
        <w:rPr>
          <w:rFonts w:ascii="Arial" w:cs="Arial" w:eastAsia="Arial" w:hAnsi="Arial"/>
          <w:sz w:val="22"/>
          <w:szCs w:val="22"/>
          <w:u w:val="single" w:color="auto"/>
          <w:color w:val="000000"/>
        </w:rPr>
        <w:t>Election and Term of Office</w:t>
      </w:r>
      <w:r>
        <w:rPr>
          <w:rFonts w:ascii="Arial" w:cs="Arial" w:eastAsia="Arial" w:hAnsi="Arial"/>
          <w:sz w:val="22"/>
          <w:szCs w:val="22"/>
          <w:color w:val="000000"/>
        </w:rPr>
        <w:t>. The elected officers of the Corporation shall be elected by the</w:t>
      </w:r>
      <w:r>
        <w:rPr>
          <w:rFonts w:ascii="Arial" w:cs="Arial" w:eastAsia="Arial" w:hAnsi="Arial"/>
          <w:sz w:val="22"/>
          <w:szCs w:val="22"/>
          <w:color w:val="010000"/>
        </w:rPr>
        <w:t xml:space="preserve"> </w:t>
      </w:r>
      <w:r>
        <w:rPr>
          <w:rFonts w:ascii="Arial" w:cs="Arial" w:eastAsia="Arial" w:hAnsi="Arial"/>
          <w:sz w:val="22"/>
          <w:szCs w:val="22"/>
          <w:color w:val="000000"/>
        </w:rPr>
        <w:t>Board of Directors. Each officer shall hold office until such officer’s successor shall have been duly elected and shall have qualified or until such officer’s earlier resignation or removal.</w:t>
      </w:r>
    </w:p>
    <w:p>
      <w:pPr>
        <w:spacing w:after="0" w:line="186"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010000"/>
        </w:rPr>
        <w:t xml:space="preserve">SECTION 4.3 </w:t>
      </w:r>
      <w:r>
        <w:rPr>
          <w:rFonts w:ascii="Arial" w:cs="Arial" w:eastAsia="Arial" w:hAnsi="Arial"/>
          <w:sz w:val="21"/>
          <w:szCs w:val="21"/>
          <w:u w:val="single" w:color="auto"/>
          <w:color w:val="000000"/>
        </w:rPr>
        <w:t>Chief Executive Officer</w:t>
      </w:r>
      <w:r>
        <w:rPr>
          <w:rFonts w:ascii="Arial" w:cs="Arial" w:eastAsia="Arial" w:hAnsi="Arial"/>
          <w:sz w:val="21"/>
          <w:szCs w:val="21"/>
          <w:color w:val="000000"/>
        </w:rPr>
        <w:t>. The Chief Executive Officer shall be responsible for the general</w:t>
      </w:r>
      <w:r>
        <w:rPr>
          <w:rFonts w:ascii="Arial" w:cs="Arial" w:eastAsia="Arial" w:hAnsi="Arial"/>
          <w:sz w:val="21"/>
          <w:szCs w:val="21"/>
          <w:color w:val="010000"/>
        </w:rPr>
        <w:t xml:space="preserve"> </w:t>
      </w:r>
      <w:r>
        <w:rPr>
          <w:rFonts w:ascii="Arial" w:cs="Arial" w:eastAsia="Arial" w:hAnsi="Arial"/>
          <w:sz w:val="21"/>
          <w:szCs w:val="21"/>
          <w:color w:val="000000"/>
        </w:rPr>
        <w:t>management of the affairs of the Corporation and shall perform all duties incidental to his or her office that may be required by law and all such other duties as are properly required of him or her by the Board of Directors. He or she shall make reports to the Board of Directors and the stockholders, and shall see that all orders and resolutions of the Board of Directors and of any committee thereof are carried into effect. The Chief Executive Officer shall, in the absence of or because of the inability to act of the Chairperson of the Board of Directors, perform all duties of the Chairperson of the Board of Directors and preside at all meetings of stockholders and of the Board of Directors.</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010000"/>
        </w:rPr>
        <w:t xml:space="preserve">SECTION 4.4 </w:t>
      </w:r>
      <w:r>
        <w:rPr>
          <w:rFonts w:ascii="Arial" w:cs="Arial" w:eastAsia="Arial" w:hAnsi="Arial"/>
          <w:sz w:val="19"/>
          <w:szCs w:val="19"/>
          <w:u w:val="single" w:color="auto"/>
          <w:color w:val="000000"/>
        </w:rPr>
        <w:t>President</w:t>
      </w:r>
      <w:r>
        <w:rPr>
          <w:rFonts w:ascii="Arial" w:cs="Arial" w:eastAsia="Arial" w:hAnsi="Arial"/>
          <w:sz w:val="19"/>
          <w:szCs w:val="19"/>
          <w:color w:val="000000"/>
        </w:rPr>
        <w:t>. The President shall act in a general executive capacity and shall assist the Chief</w:t>
      </w:r>
      <w:r>
        <w:rPr>
          <w:rFonts w:ascii="Arial" w:cs="Arial" w:eastAsia="Arial" w:hAnsi="Arial"/>
          <w:sz w:val="19"/>
          <w:szCs w:val="19"/>
          <w:color w:val="010000"/>
        </w:rPr>
        <w:t xml:space="preserve"> </w:t>
      </w:r>
      <w:r>
        <w:rPr>
          <w:rFonts w:ascii="Arial" w:cs="Arial" w:eastAsia="Arial" w:hAnsi="Arial"/>
          <w:sz w:val="19"/>
          <w:szCs w:val="19"/>
          <w:color w:val="000000"/>
        </w:rPr>
        <w:t>Executive Officer in the administration and operation of the Corporation’s business and general supervision of its policies and affairs and shall, in general, perform all duties incident to the office of President of a corporation and such other duties as may from time to time be assigned to the President by the Board of Directors.</w:t>
      </w:r>
    </w:p>
    <w:p>
      <w:pPr>
        <w:spacing w:after="0" w:line="143"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010000"/>
        </w:rPr>
        <w:t xml:space="preserve">SECTION 4.5 </w:t>
      </w:r>
      <w:r>
        <w:rPr>
          <w:rFonts w:ascii="Arial" w:cs="Arial" w:eastAsia="Arial" w:hAnsi="Arial"/>
          <w:sz w:val="22"/>
          <w:szCs w:val="22"/>
          <w:u w:val="single" w:color="auto"/>
          <w:color w:val="000000"/>
        </w:rPr>
        <w:t>Vice Presidents</w:t>
      </w:r>
      <w:r>
        <w:rPr>
          <w:rFonts w:ascii="Arial" w:cs="Arial" w:eastAsia="Arial" w:hAnsi="Arial"/>
          <w:sz w:val="22"/>
          <w:szCs w:val="22"/>
          <w:color w:val="000000"/>
        </w:rPr>
        <w:t>. Each Vice President shall have such powers and shall perform such duties as</w:t>
      </w:r>
      <w:r>
        <w:rPr>
          <w:rFonts w:ascii="Arial" w:cs="Arial" w:eastAsia="Arial" w:hAnsi="Arial"/>
          <w:sz w:val="22"/>
          <w:szCs w:val="22"/>
          <w:color w:val="010000"/>
        </w:rPr>
        <w:t xml:space="preserve"> </w:t>
      </w:r>
      <w:r>
        <w:rPr>
          <w:rFonts w:ascii="Arial" w:cs="Arial" w:eastAsia="Arial" w:hAnsi="Arial"/>
          <w:sz w:val="22"/>
          <w:szCs w:val="22"/>
          <w:color w:val="000000"/>
        </w:rPr>
        <w:t>shall be assigned to such Vice President by the Board of Directors.</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22"/>
          <w:szCs w:val="22"/>
          <w:color w:val="010000"/>
        </w:rPr>
        <w:t xml:space="preserve">SECTION 4.6 </w:t>
      </w:r>
      <w:r>
        <w:rPr>
          <w:rFonts w:ascii="Arial" w:cs="Arial" w:eastAsia="Arial" w:hAnsi="Arial"/>
          <w:sz w:val="22"/>
          <w:szCs w:val="22"/>
          <w:u w:val="single" w:color="auto"/>
          <w:color w:val="000000"/>
        </w:rPr>
        <w:t>Chief Financial Officer</w:t>
      </w:r>
      <w:r>
        <w:rPr>
          <w:rFonts w:ascii="Arial" w:cs="Arial" w:eastAsia="Arial" w:hAnsi="Arial"/>
          <w:sz w:val="22"/>
          <w:szCs w:val="22"/>
          <w:color w:val="000000"/>
        </w:rPr>
        <w:t>. The Chief Financial Officer shall be a Vice President and act in an</w:t>
      </w:r>
      <w:r>
        <w:rPr>
          <w:rFonts w:ascii="Arial" w:cs="Arial" w:eastAsia="Arial" w:hAnsi="Arial"/>
          <w:sz w:val="22"/>
          <w:szCs w:val="22"/>
          <w:color w:val="010000"/>
        </w:rPr>
        <w:t xml:space="preserve"> </w:t>
      </w:r>
      <w:r>
        <w:rPr>
          <w:rFonts w:ascii="Arial" w:cs="Arial" w:eastAsia="Arial" w:hAnsi="Arial"/>
          <w:sz w:val="22"/>
          <w:szCs w:val="22"/>
          <w:color w:val="000000"/>
        </w:rPr>
        <w:t>executive financial capacity. The Chief Financial Officer shall assist the Chairperson of the Board of Directors, the Chief Executive Officer and the President in the general supervision of the Corporation’s financial policies and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5" w:name="page106"/>
    <w:bookmarkEnd w:id="105"/>
    <w:p>
      <w:pPr>
        <w:ind w:right="140"/>
        <w:spacing w:after="0" w:line="246" w:lineRule="auto"/>
        <w:rPr>
          <w:sz w:val="20"/>
          <w:szCs w:val="20"/>
          <w:color w:val="auto"/>
        </w:rPr>
      </w:pPr>
      <w:r>
        <w:rPr>
          <w:rFonts w:ascii="Arial" w:cs="Arial" w:eastAsia="Arial" w:hAnsi="Arial"/>
          <w:sz w:val="21"/>
          <w:szCs w:val="21"/>
          <w:color w:val="010000"/>
        </w:rPr>
        <w:t xml:space="preserve">SECTION 4.7 </w:t>
      </w:r>
      <w:r>
        <w:rPr>
          <w:rFonts w:ascii="Arial" w:cs="Arial" w:eastAsia="Arial" w:hAnsi="Arial"/>
          <w:sz w:val="21"/>
          <w:szCs w:val="21"/>
          <w:u w:val="single" w:color="auto"/>
          <w:color w:val="000000"/>
        </w:rPr>
        <w:t>Treasurer</w:t>
      </w:r>
      <w:r>
        <w:rPr>
          <w:rFonts w:ascii="Arial" w:cs="Arial" w:eastAsia="Arial" w:hAnsi="Arial"/>
          <w:sz w:val="21"/>
          <w:szCs w:val="21"/>
          <w:color w:val="000000"/>
        </w:rPr>
        <w:t>. The Treasurer shall exercise general supervision over the receipt, custody and</w:t>
      </w:r>
      <w:r>
        <w:rPr>
          <w:rFonts w:ascii="Arial" w:cs="Arial" w:eastAsia="Arial" w:hAnsi="Arial"/>
          <w:sz w:val="21"/>
          <w:szCs w:val="21"/>
          <w:color w:val="010000"/>
        </w:rPr>
        <w:t xml:space="preserve"> </w:t>
      </w:r>
      <w:r>
        <w:rPr>
          <w:rFonts w:ascii="Arial" w:cs="Arial" w:eastAsia="Arial" w:hAnsi="Arial"/>
          <w:sz w:val="21"/>
          <w:szCs w:val="21"/>
          <w:color w:val="000000"/>
        </w:rPr>
        <w:t>disbursement of corporate funds. The Treasurer shall cause the funds of the Corporation to be deposited in such banks as may be authorized by the Board of Directors, or in such banks as may be designated as depositaries in the manner provided by resolution of the Board of Directors. The Treasurer shall have such further powers and duties and shall be subject to such directions as may be granted or imposed upon him or her from time to time by the Board of Directors, the Chairperson of the Board of Directors or the Chief Executive Officer. In the absence of an officer appointed as the Treasurer, the Chief Financial Officer shall perform all the duties and responsibilities of the Treasurer.</w:t>
      </w:r>
    </w:p>
    <w:p>
      <w:pPr>
        <w:spacing w:after="0" w:line="180"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010000"/>
        </w:rPr>
        <w:t xml:space="preserve">SECTION 4.8 </w:t>
      </w:r>
      <w:r>
        <w:rPr>
          <w:rFonts w:ascii="Arial" w:cs="Arial" w:eastAsia="Arial" w:hAnsi="Arial"/>
          <w:sz w:val="19"/>
          <w:szCs w:val="19"/>
          <w:u w:val="single" w:color="auto"/>
          <w:color w:val="000000"/>
        </w:rPr>
        <w:t>Secretary</w:t>
      </w:r>
      <w:r>
        <w:rPr>
          <w:rFonts w:ascii="Arial" w:cs="Arial" w:eastAsia="Arial" w:hAnsi="Arial"/>
          <w:sz w:val="19"/>
          <w:szCs w:val="19"/>
          <w:color w:val="000000"/>
        </w:rPr>
        <w:t>. The Secretary shall keep or cause to be kept in one or more books provided for that</w:t>
      </w:r>
      <w:r>
        <w:rPr>
          <w:rFonts w:ascii="Arial" w:cs="Arial" w:eastAsia="Arial" w:hAnsi="Arial"/>
          <w:sz w:val="19"/>
          <w:szCs w:val="19"/>
          <w:color w:val="010000"/>
        </w:rPr>
        <w:t xml:space="preserve"> </w:t>
      </w:r>
      <w:r>
        <w:rPr>
          <w:rFonts w:ascii="Arial" w:cs="Arial" w:eastAsia="Arial" w:hAnsi="Arial"/>
          <w:sz w:val="19"/>
          <w:szCs w:val="19"/>
          <w:color w:val="000000"/>
        </w:rPr>
        <w:t>purpose, the minutes of all meetings of the Board of Directors, the committees of the Board of Directors and the stockholders; the Secretary shall see that all notices are duly given in accordance with the provisions of these By-Laws and as required by law; the Secretary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the Secretary shall see that the books, reports, statements, certificates and other documents and records required by law to be kept and filed are properly kept and filed; and in general, the Secretary shall perform all the duties incident to the office of Secretary and such other duties as from time to time may be assigned to such Secretary by the Board of Directors, the Chairperson of the Board of Directors or the Chief Executive Officer.</w:t>
      </w:r>
    </w:p>
    <w:p>
      <w:pPr>
        <w:spacing w:after="0" w:line="15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010000"/>
        </w:rPr>
        <w:t xml:space="preserve">SECTION 4.9 </w:t>
      </w:r>
      <w:r>
        <w:rPr>
          <w:rFonts w:ascii="Arial" w:cs="Arial" w:eastAsia="Arial" w:hAnsi="Arial"/>
          <w:sz w:val="19"/>
          <w:szCs w:val="19"/>
          <w:u w:val="single" w:color="auto"/>
          <w:color w:val="000000"/>
        </w:rPr>
        <w:t>Removal</w:t>
      </w:r>
      <w:r>
        <w:rPr>
          <w:rFonts w:ascii="Arial" w:cs="Arial" w:eastAsia="Arial" w:hAnsi="Arial"/>
          <w:sz w:val="19"/>
          <w:szCs w:val="19"/>
          <w:color w:val="000000"/>
        </w:rPr>
        <w:t>. Any officer elected, or agent appointed, by the Board of Directors may be removed</w:t>
      </w:r>
      <w:r>
        <w:rPr>
          <w:rFonts w:ascii="Arial" w:cs="Arial" w:eastAsia="Arial" w:hAnsi="Arial"/>
          <w:sz w:val="19"/>
          <w:szCs w:val="19"/>
          <w:color w:val="010000"/>
        </w:rPr>
        <w:t xml:space="preserve"> </w:t>
      </w:r>
      <w:r>
        <w:rPr>
          <w:rFonts w:ascii="Arial" w:cs="Arial" w:eastAsia="Arial" w:hAnsi="Arial"/>
          <w:sz w:val="19"/>
          <w:szCs w:val="19"/>
          <w:color w:val="000000"/>
        </w:rPr>
        <w:t>from office with or without cause by the affirmative vote of a majority of the Whole Board. Any officer or agent appointed by the Chairperson of the Board of Directors or the Chief Executive Officer may be removed by him or her with or without cause. No elected officer shall have any contractual rights against the Corporation for compensation by virtue of such election beyond the date of the election of his or her successor, his or death, his or her resignation or his or her removal, whichever event shall first occur, except as otherwise provided in an employment contract or under an employee deferred compensation plan.</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21"/>
          <w:szCs w:val="21"/>
          <w:color w:val="010000"/>
        </w:rPr>
        <w:t xml:space="preserve">SECTION 4.10 </w:t>
      </w:r>
      <w:r>
        <w:rPr>
          <w:rFonts w:ascii="Arial" w:cs="Arial" w:eastAsia="Arial" w:hAnsi="Arial"/>
          <w:sz w:val="21"/>
          <w:szCs w:val="21"/>
          <w:u w:val="single" w:color="auto"/>
          <w:color w:val="000000"/>
        </w:rPr>
        <w:t>Vacancies</w:t>
      </w:r>
      <w:r>
        <w:rPr>
          <w:rFonts w:ascii="Arial" w:cs="Arial" w:eastAsia="Arial" w:hAnsi="Arial"/>
          <w:sz w:val="21"/>
          <w:szCs w:val="21"/>
          <w:color w:val="000000"/>
        </w:rPr>
        <w:t>. A newly created elected office and a vacancy in any elected office because of death,</w:t>
      </w:r>
      <w:r>
        <w:rPr>
          <w:rFonts w:ascii="Arial" w:cs="Arial" w:eastAsia="Arial" w:hAnsi="Arial"/>
          <w:sz w:val="21"/>
          <w:szCs w:val="21"/>
          <w:color w:val="010000"/>
        </w:rPr>
        <w:t xml:space="preserve"> </w:t>
      </w:r>
      <w:r>
        <w:rPr>
          <w:rFonts w:ascii="Arial" w:cs="Arial" w:eastAsia="Arial" w:hAnsi="Arial"/>
          <w:sz w:val="21"/>
          <w:szCs w:val="21"/>
          <w:color w:val="000000"/>
        </w:rPr>
        <w:t>resignation or removal may be filled by the Board of Directors. Any vacancy in an office appointed by the Chairperson of the Board of Directors or the Chief Executive Officer because of death, resignation or removal may be filled by the Chairperson of the Board or the Chief Executive Officer.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CERTIFICATES AND TRANSFERS</w:t>
      </w:r>
    </w:p>
    <w:p>
      <w:pPr>
        <w:spacing w:after="0" w:line="188"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010000"/>
        </w:rPr>
        <w:t xml:space="preserve">SECTION 5.1 </w:t>
      </w:r>
      <w:r>
        <w:rPr>
          <w:rFonts w:ascii="Arial" w:cs="Arial" w:eastAsia="Arial" w:hAnsi="Arial"/>
          <w:sz w:val="22"/>
          <w:szCs w:val="22"/>
          <w:u w:val="single" w:color="auto"/>
          <w:color w:val="000000"/>
        </w:rPr>
        <w:t>Certificated and Uncertificated Stock; Transfers</w:t>
      </w:r>
      <w:r>
        <w:rPr>
          <w:rFonts w:ascii="Arial" w:cs="Arial" w:eastAsia="Arial" w:hAnsi="Arial"/>
          <w:sz w:val="22"/>
          <w:szCs w:val="22"/>
          <w:color w:val="000000"/>
        </w:rPr>
        <w:t>. The interest of each stockholder of the</w:t>
      </w:r>
      <w:r>
        <w:rPr>
          <w:rFonts w:ascii="Arial" w:cs="Arial" w:eastAsia="Arial" w:hAnsi="Arial"/>
          <w:sz w:val="22"/>
          <w:szCs w:val="22"/>
          <w:color w:val="010000"/>
        </w:rPr>
        <w:t xml:space="preserve"> </w:t>
      </w:r>
      <w:r>
        <w:rPr>
          <w:rFonts w:ascii="Arial" w:cs="Arial" w:eastAsia="Arial" w:hAnsi="Arial"/>
          <w:sz w:val="22"/>
          <w:szCs w:val="22"/>
          <w:color w:val="000000"/>
        </w:rPr>
        <w:t xml:space="preserve">Corporation may be evidenced by certificates for shares of stock in such form as the appropriate officers of the Corporation may from time to time prescribe or be uncertificated;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the Board of Directors may provide by resolution or resolutions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6" w:name="page107"/>
    <w:bookmarkEnd w:id="106"/>
    <w:p>
      <w:pPr>
        <w:ind w:right="80"/>
        <w:spacing w:after="0" w:line="250" w:lineRule="auto"/>
        <w:rPr>
          <w:sz w:val="20"/>
          <w:szCs w:val="20"/>
          <w:color w:val="auto"/>
        </w:rPr>
      </w:pPr>
      <w:r>
        <w:rPr>
          <w:rFonts w:ascii="Arial" w:cs="Arial" w:eastAsia="Arial" w:hAnsi="Arial"/>
          <w:sz w:val="22"/>
          <w:szCs w:val="22"/>
          <w:color w:val="auto"/>
        </w:rPr>
        <w:t>some or all of any or all classes or series of capital stock of the Corporation shall be represented by uncertificated shares.</w:t>
      </w:r>
    </w:p>
    <w:p>
      <w:pPr>
        <w:spacing w:after="0" w:line="175"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The shares of the stock of the Corporation shall be transferred on the books of the Corporation, in the case of certificated shares of stock, by the holder thereof in person or by such holder’s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The certificates of stock for any certificated classes or series of capital stock of the Corporation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50" w:lineRule="exact"/>
        <w:rPr>
          <w:sz w:val="20"/>
          <w:szCs w:val="20"/>
          <w:color w:val="auto"/>
        </w:rPr>
      </w:pPr>
    </w:p>
    <w:p>
      <w:pPr>
        <w:ind w:right="120" w:firstLine="648"/>
        <w:spacing w:after="0" w:line="245" w:lineRule="auto"/>
        <w:rPr>
          <w:sz w:val="20"/>
          <w:szCs w:val="20"/>
          <w:color w:val="auto"/>
        </w:rPr>
      </w:pPr>
      <w:r>
        <w:rPr>
          <w:rFonts w:ascii="Arial" w:cs="Arial" w:eastAsia="Arial" w:hAnsi="Arial"/>
          <w:sz w:val="21"/>
          <w:szCs w:val="21"/>
          <w:color w:val="auto"/>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w:t>
      </w:r>
    </w:p>
    <w:p>
      <w:pPr>
        <w:spacing w:after="0" w:line="181"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010000"/>
        </w:rPr>
        <w:t xml:space="preserve">SECTION 5.2 </w:t>
      </w:r>
      <w:r>
        <w:rPr>
          <w:rFonts w:ascii="Arial" w:cs="Arial" w:eastAsia="Arial" w:hAnsi="Arial"/>
          <w:sz w:val="22"/>
          <w:szCs w:val="22"/>
          <w:u w:val="single" w:color="auto"/>
          <w:color w:val="000000"/>
        </w:rPr>
        <w:t>Lost, Stolen or Destroyed Certificates</w:t>
      </w:r>
      <w:r>
        <w:rPr>
          <w:rFonts w:ascii="Arial" w:cs="Arial" w:eastAsia="Arial" w:hAnsi="Arial"/>
          <w:sz w:val="22"/>
          <w:szCs w:val="22"/>
          <w:color w:val="000000"/>
        </w:rPr>
        <w:t>. No certificate for shares of stock in the Corporation</w:t>
      </w:r>
      <w:r>
        <w:rPr>
          <w:rFonts w:ascii="Arial" w:cs="Arial" w:eastAsia="Arial" w:hAnsi="Arial"/>
          <w:sz w:val="22"/>
          <w:szCs w:val="22"/>
          <w:color w:val="010000"/>
        </w:rPr>
        <w:t xml:space="preserve"> </w:t>
      </w:r>
      <w:r>
        <w:rPr>
          <w:rFonts w:ascii="Arial" w:cs="Arial" w:eastAsia="Arial" w:hAnsi="Arial"/>
          <w:sz w:val="22"/>
          <w:szCs w:val="22"/>
          <w:color w:val="000000"/>
        </w:rPr>
        <w:t>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his or her discretion require.</w:t>
      </w:r>
    </w:p>
    <w:p>
      <w:pPr>
        <w:spacing w:after="0" w:line="18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010000"/>
        </w:rPr>
        <w:t xml:space="preserve">SECTION 5.3 </w:t>
      </w:r>
      <w:r>
        <w:rPr>
          <w:rFonts w:ascii="Arial" w:cs="Arial" w:eastAsia="Arial" w:hAnsi="Arial"/>
          <w:sz w:val="22"/>
          <w:szCs w:val="22"/>
          <w:u w:val="single" w:color="auto"/>
          <w:color w:val="000000"/>
        </w:rPr>
        <w:t>Record Owners</w:t>
      </w:r>
      <w:r>
        <w:rPr>
          <w:rFonts w:ascii="Arial" w:cs="Arial" w:eastAsia="Arial" w:hAnsi="Arial"/>
          <w:sz w:val="22"/>
          <w:szCs w:val="22"/>
          <w:color w:val="000000"/>
        </w:rPr>
        <w:t>. The Corporation shall be entitled to recognize the exclusive right of a person</w:t>
      </w:r>
      <w:r>
        <w:rPr>
          <w:rFonts w:ascii="Arial" w:cs="Arial" w:eastAsia="Arial" w:hAnsi="Arial"/>
          <w:sz w:val="22"/>
          <w:szCs w:val="22"/>
          <w:color w:val="010000"/>
        </w:rPr>
        <w:t xml:space="preserve"> </w:t>
      </w:r>
      <w:r>
        <w:rPr>
          <w:rFonts w:ascii="Arial" w:cs="Arial" w:eastAsia="Arial" w:hAnsi="Arial"/>
          <w:sz w:val="22"/>
          <w:szCs w:val="22"/>
          <w:color w:val="000000"/>
        </w:rPr>
        <w:t>registered on its books as the owner of shares to receive dividends, and to vote as such owner, and to hold liable for calls and assessments a person registered on its books as the owner of shares, and shall not be bound to recognize any equitable or other claim to or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07" w:name="page108"/>
    <w:bookmarkEnd w:id="107"/>
    <w:p>
      <w:pPr>
        <w:ind w:right="260"/>
        <w:spacing w:after="0" w:line="250" w:lineRule="auto"/>
        <w:rPr>
          <w:sz w:val="20"/>
          <w:szCs w:val="20"/>
          <w:color w:val="auto"/>
        </w:rPr>
      </w:pPr>
      <w:r>
        <w:rPr>
          <w:rFonts w:ascii="Arial" w:cs="Arial" w:eastAsia="Arial" w:hAnsi="Arial"/>
          <w:sz w:val="22"/>
          <w:szCs w:val="22"/>
          <w:color w:val="auto"/>
        </w:rPr>
        <w:t>such share or shares on the part of any other person, whether or not it shall have express or other notice thereof, except as otherwise required by law.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INDEMNIFICATION</w:t>
      </w:r>
    </w:p>
    <w:p>
      <w:pPr>
        <w:spacing w:after="0" w:line="18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010000"/>
        </w:rPr>
        <w:t>SECTION 6.1</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06" w:lineRule="exact"/>
        <w:rPr>
          <w:sz w:val="20"/>
          <w:szCs w:val="20"/>
          <w:color w:val="auto"/>
        </w:rPr>
      </w:pPr>
    </w:p>
    <w:p>
      <w:pPr>
        <w:ind w:firstLine="656"/>
        <w:spacing w:after="0" w:line="269" w:lineRule="auto"/>
        <w:tabs>
          <w:tab w:leader="none" w:pos="1296"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Each person who was or is a party or is threatened to be made a party or is otherwise involved in any threatened, pending or completed action, suit or proceeding, whether civil, criminal, administrative or investigative (hereinafter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by reason of the fact that he or she or a person of whom he or she is the legal representative is or was, at any time during which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is in effect (whether or not such person continues to serve in such capacity at the time any indemnification or advancement of expenses pursuant hereto is sought or at the time any proceeding relating thereto exists or is brought), a director or officer of the Corporation or is or was at any such time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whether the basis of such proceeding is alleged action in an official capacity as a director, officer, trustee, employee or agent or in any other capacity while serving as a director, officer, trustee, employee or agent, shall be (and shall be deemed to have a contractual right to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excise taxes under the Employee Retirement Income Security Act of 1974, as amended, or penalties and amounts paid or to be paid in settlement) incurred or suffered by such person in connection with such proceeding if the person acted in good faith and in a manner reasonably believed to be in or not opposed to the best interests of the Corporation, and, with respect to any criminal action or proceeding, had no reasonable cause to believe his or her conduct was unlawful. The termination of any proceeding by judgment, order, settlement, conviction or upon a plea of </w:t>
      </w:r>
      <w:r>
        <w:rPr>
          <w:rFonts w:ascii="Arial" w:cs="Arial" w:eastAsia="Arial" w:hAnsi="Arial"/>
          <w:sz w:val="19"/>
          <w:szCs w:val="19"/>
          <w:i w:val="1"/>
          <w:iCs w:val="1"/>
          <w:color w:val="auto"/>
        </w:rPr>
        <w:t>nolo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contendere </w:t>
      </w:r>
      <w:r>
        <w:rPr>
          <w:rFonts w:ascii="Arial" w:cs="Arial" w:eastAsia="Arial" w:hAnsi="Arial"/>
          <w:sz w:val="19"/>
          <w:szCs w:val="19"/>
          <w:color w:val="auto"/>
        </w:rPr>
        <w:t>or its equivalent, shall not, of itself, create a presumption that the person did not act in good faith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a manner that the person reasonably believed to be in or not opposed to the best interests of the Corporation, and, with respect to any criminal action or proceeding, had reasonable cause to believe that the person’s conduct was unlawful. Such indemnification shall continue as to a person who has ceased to be a director, officer, trustee, employee or agent and shall inure to the benefit of his or her heirs, executors and administrators;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provided in </w:t>
      </w:r>
      <w:r>
        <w:rPr>
          <w:rFonts w:ascii="Arial" w:cs="Arial" w:eastAsia="Arial" w:hAnsi="Arial"/>
          <w:sz w:val="19"/>
          <w:szCs w:val="19"/>
          <w:u w:val="single" w:color="auto"/>
          <w:color w:val="auto"/>
        </w:rPr>
        <w:t>Section 6.1(D)</w:t>
      </w:r>
      <w:r>
        <w:rPr>
          <w:rFonts w:ascii="Arial" w:cs="Arial" w:eastAsia="Arial" w:hAnsi="Arial"/>
          <w:sz w:val="19"/>
          <w:szCs w:val="19"/>
          <w:color w:val="auto"/>
        </w:rPr>
        <w:t xml:space="preserve"> of these By-Laws, the Corporation shall indemnify any such person seeking indemnification in connection with a proceeding (or part thereof) initiated by such person only if such proceeding (or part thereof) was authorized by the Board of Directors.</w:t>
      </w:r>
    </w:p>
    <w:p>
      <w:pPr>
        <w:spacing w:after="0" w:line="200" w:lineRule="exact"/>
        <w:rPr>
          <w:rFonts w:ascii="Arial" w:cs="Arial" w:eastAsia="Arial" w:hAnsi="Arial"/>
          <w:sz w:val="19"/>
          <w:szCs w:val="19"/>
          <w:color w:val="010000"/>
        </w:rPr>
      </w:pPr>
    </w:p>
    <w:p>
      <w:pPr>
        <w:spacing w:after="0" w:line="204" w:lineRule="exact"/>
        <w:rPr>
          <w:rFonts w:ascii="Arial" w:cs="Arial" w:eastAsia="Arial" w:hAnsi="Arial"/>
          <w:sz w:val="19"/>
          <w:szCs w:val="19"/>
          <w:color w:val="010000"/>
        </w:rPr>
      </w:pPr>
    </w:p>
    <w:p>
      <w:pPr>
        <w:ind w:right="520" w:firstLine="656"/>
        <w:spacing w:after="0" w:line="250" w:lineRule="auto"/>
        <w:tabs>
          <w:tab w:leader="none" w:pos="1296"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 xml:space="preserve">To obtain indemnification under this </w:t>
      </w:r>
      <w:r>
        <w:rPr>
          <w:rFonts w:ascii="Arial" w:cs="Arial" w:eastAsia="Arial" w:hAnsi="Arial"/>
          <w:sz w:val="22"/>
          <w:szCs w:val="22"/>
          <w:u w:val="single" w:color="auto"/>
          <w:color w:val="auto"/>
        </w:rPr>
        <w:t>Section 6.1</w:t>
      </w:r>
      <w:r>
        <w:rPr>
          <w:rFonts w:ascii="Arial" w:cs="Arial" w:eastAsia="Arial" w:hAnsi="Arial"/>
          <w:sz w:val="22"/>
          <w:szCs w:val="22"/>
          <w:color w:val="auto"/>
        </w:rPr>
        <w:t>, a claimant shall submit to the Corporation a written request, including therein or therewith such documentation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08" w:name="page109"/>
    <w:bookmarkEnd w:id="108"/>
    <w:p>
      <w:pPr>
        <w:ind w:right="20"/>
        <w:spacing w:after="0" w:line="273" w:lineRule="auto"/>
        <w:rPr>
          <w:sz w:val="20"/>
          <w:szCs w:val="20"/>
          <w:color w:val="auto"/>
        </w:rPr>
      </w:pPr>
      <w:r>
        <w:rPr>
          <w:rFonts w:ascii="Arial" w:cs="Arial" w:eastAsia="Arial" w:hAnsi="Arial"/>
          <w:sz w:val="19"/>
          <w:szCs w:val="19"/>
          <w:color w:val="auto"/>
        </w:rPr>
        <w:t>information as is reasonably available to the claimant and is reasonably necessary to determine whether and to what extent the claimant is entitled to indemnification. Upon written request by a claimant for indemnification, a determination, if required by applicable law, with respect to the claimant’s entitlement thereto shall be made as follows: (i) by a majority vote of the Disinterested Directors (as hereinafter defined) even though less than a quorum, or (ii) by a committee consisting of Disinterested Directors designated by majority vote of such Disinterested Directors even though less than a quorum, or (iii) if there are no Disinterested Directors or, if such Disinterested Directors so direct, by Independent Counsel (as hereinafter defined) selected by the Board of Directors, in a written opinion to the Board of Directors, a copy of which shall be delivered to the claimant, or (iv) by the affirmative vote of a majority of the total voting power of all the then outstanding Voting Stock, voting together as a single class. If it is so determined that the claimant is entitled to indemnification, payment to the claimant shall be made within ten (10) days after such determination.</w:t>
      </w:r>
    </w:p>
    <w:p>
      <w:pPr>
        <w:spacing w:after="0" w:line="155" w:lineRule="exact"/>
        <w:rPr>
          <w:sz w:val="20"/>
          <w:szCs w:val="20"/>
          <w:color w:val="auto"/>
        </w:rPr>
      </w:pPr>
    </w:p>
    <w:p>
      <w:pPr>
        <w:ind w:right="40" w:firstLine="656"/>
        <w:spacing w:after="0" w:line="271" w:lineRule="auto"/>
        <w:tabs>
          <w:tab w:leader="none" w:pos="1296"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 xml:space="preserve">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indemnitee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19"/>
          <w:szCs w:val="19"/>
          <w:u w:val="single" w:color="auto"/>
          <w:color w:val="auto"/>
        </w:rPr>
        <w:t>undertaking</w:t>
      </w:r>
      <w:r>
        <w:rPr>
          <w:rFonts w:ascii="Arial" w:cs="Arial" w:eastAsia="Arial" w:hAnsi="Arial"/>
          <w:sz w:val="19"/>
          <w:szCs w:val="19"/>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19"/>
          <w:szCs w:val="19"/>
          <w:u w:val="single" w:color="auto"/>
          <w:color w:val="auto"/>
        </w:rPr>
        <w:t>final disposition</w:t>
      </w:r>
      <w:r>
        <w:rPr>
          <w:rFonts w:ascii="Arial" w:cs="Arial" w:eastAsia="Arial" w:hAnsi="Arial"/>
          <w:sz w:val="19"/>
          <w:szCs w:val="19"/>
          <w:color w:val="auto"/>
        </w:rPr>
        <w:t xml:space="preserve">”) that such director or officer is not entitled to be indemnified for such expenses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otherwise.</w:t>
      </w:r>
    </w:p>
    <w:p>
      <w:pPr>
        <w:spacing w:after="0" w:line="200" w:lineRule="exact"/>
        <w:rPr>
          <w:rFonts w:ascii="Arial" w:cs="Arial" w:eastAsia="Arial" w:hAnsi="Arial"/>
          <w:sz w:val="19"/>
          <w:szCs w:val="19"/>
          <w:color w:val="010000"/>
        </w:rPr>
      </w:pPr>
    </w:p>
    <w:p>
      <w:pPr>
        <w:spacing w:after="0" w:line="203" w:lineRule="exact"/>
        <w:rPr>
          <w:rFonts w:ascii="Arial" w:cs="Arial" w:eastAsia="Arial" w:hAnsi="Arial"/>
          <w:sz w:val="19"/>
          <w:szCs w:val="19"/>
          <w:color w:val="010000"/>
        </w:rPr>
      </w:pPr>
    </w:p>
    <w:p>
      <w:pPr>
        <w:ind w:firstLine="656"/>
        <w:spacing w:after="0" w:line="273" w:lineRule="auto"/>
        <w:tabs>
          <w:tab w:leader="none" w:pos="1296"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 xml:space="preserve">If a (i) claim for indemnification under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of these By-Laws is not paid in full by the Corporation within thirty (30) days after a written claim pursuant to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of these By-Laws has been received by the Corporation or if (ii) a request for advancement of expenses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is not paid in full by the Corporation within twenty (20) days after a statement pursuant to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of these By-Laws,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that makes it permissible for the Corporation to indemnify the claimant for the amount claimed or that the claimant is not entitled to the requested advancement of expenses, but (except where the required undertaking, if any, has not been tendered to the Corporation), the burden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9" w:name="page110"/>
    <w:bookmarkEnd w:id="109"/>
    <w:p>
      <w:pPr>
        <w:ind w:right="40"/>
        <w:spacing w:after="0" w:line="246" w:lineRule="auto"/>
        <w:rPr>
          <w:sz w:val="20"/>
          <w:szCs w:val="20"/>
          <w:color w:val="auto"/>
        </w:rPr>
      </w:pPr>
      <w:r>
        <w:rPr>
          <w:rFonts w:ascii="Arial" w:cs="Arial" w:eastAsia="Arial" w:hAnsi="Arial"/>
          <w:sz w:val="21"/>
          <w:szCs w:val="21"/>
          <w:color w:val="auto"/>
        </w:rPr>
        <w:t>proving such defense shall be on the Corporation. Neither the failure of the Corporation (including its Disinterested Directors, Independent Counsel 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Counsel or stockholders) that the claimant has not met such applicable standard of conduct, shall be a defense to the action or create a presumption that the claimant has not met the applicable standard of conduct.</w:t>
      </w:r>
    </w:p>
    <w:p>
      <w:pPr>
        <w:spacing w:after="0" w:line="184" w:lineRule="exact"/>
        <w:rPr>
          <w:sz w:val="20"/>
          <w:szCs w:val="20"/>
          <w:color w:val="auto"/>
        </w:rPr>
      </w:pPr>
    </w:p>
    <w:p>
      <w:pPr>
        <w:jc w:val="both"/>
        <w:ind w:right="540" w:firstLine="656"/>
        <w:spacing w:after="0" w:line="257" w:lineRule="auto"/>
        <w:tabs>
          <w:tab w:leader="none" w:pos="1296"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 xml:space="preserve">If a determination shall have been made pursuant to </w:t>
      </w:r>
      <w:r>
        <w:rPr>
          <w:rFonts w:ascii="Arial" w:cs="Arial" w:eastAsia="Arial" w:hAnsi="Arial"/>
          <w:sz w:val="21"/>
          <w:szCs w:val="21"/>
          <w:u w:val="single" w:color="auto"/>
          <w:color w:val="auto"/>
        </w:rPr>
        <w:t>Section 6.1(B)</w:t>
      </w:r>
      <w:r>
        <w:rPr>
          <w:rFonts w:ascii="Arial" w:cs="Arial" w:eastAsia="Arial" w:hAnsi="Arial"/>
          <w:sz w:val="21"/>
          <w:szCs w:val="21"/>
          <w:color w:val="auto"/>
        </w:rPr>
        <w:t xml:space="preserve"> of these By-Laws that the claimant is entitled to indemnification, the Corporation shall be bound by such determination in any judicial proceeding commenced pursuant to </w:t>
      </w:r>
      <w:r>
        <w:rPr>
          <w:rFonts w:ascii="Arial" w:cs="Arial" w:eastAsia="Arial" w:hAnsi="Arial"/>
          <w:sz w:val="21"/>
          <w:szCs w:val="21"/>
          <w:u w:val="single" w:color="auto"/>
          <w:color w:val="auto"/>
        </w:rPr>
        <w:t>Section 6.1(D)</w:t>
      </w:r>
      <w:r>
        <w:rPr>
          <w:rFonts w:ascii="Arial" w:cs="Arial" w:eastAsia="Arial" w:hAnsi="Arial"/>
          <w:sz w:val="21"/>
          <w:szCs w:val="21"/>
          <w:color w:val="auto"/>
        </w:rPr>
        <w:t xml:space="preserve"> of these By-Laws.</w:t>
      </w:r>
    </w:p>
    <w:p>
      <w:pPr>
        <w:spacing w:after="0" w:line="169" w:lineRule="exact"/>
        <w:rPr>
          <w:rFonts w:ascii="Arial" w:cs="Arial" w:eastAsia="Arial" w:hAnsi="Arial"/>
          <w:sz w:val="21"/>
          <w:szCs w:val="21"/>
          <w:color w:val="010000"/>
        </w:rPr>
      </w:pPr>
    </w:p>
    <w:p>
      <w:pPr>
        <w:jc w:val="both"/>
        <w:ind w:right="20" w:firstLine="656"/>
        <w:spacing w:after="0" w:line="238" w:lineRule="auto"/>
        <w:tabs>
          <w:tab w:leader="none" w:pos="1296" w:val="left"/>
        </w:tabs>
        <w:numPr>
          <w:ilvl w:val="0"/>
          <w:numId w:val="77"/>
        </w:numPr>
        <w:rPr>
          <w:rFonts w:ascii="Arial" w:cs="Arial" w:eastAsia="Arial" w:hAnsi="Arial"/>
          <w:sz w:val="22"/>
          <w:szCs w:val="22"/>
          <w:color w:val="010000"/>
        </w:rPr>
      </w:pPr>
      <w:r>
        <w:rPr>
          <w:rFonts w:ascii="Arial" w:cs="Arial" w:eastAsia="Arial" w:hAnsi="Arial"/>
          <w:sz w:val="22"/>
          <w:szCs w:val="22"/>
          <w:color w:val="auto"/>
        </w:rPr>
        <w:t xml:space="preserve">The Corporation shall be precluded from asserting in any judicial proceeding commenced pursuant to </w:t>
      </w:r>
      <w:r>
        <w:rPr>
          <w:rFonts w:ascii="Arial" w:cs="Arial" w:eastAsia="Arial" w:hAnsi="Arial"/>
          <w:sz w:val="22"/>
          <w:szCs w:val="22"/>
          <w:u w:val="single" w:color="auto"/>
          <w:color w:val="auto"/>
        </w:rPr>
        <w:t>Section 6.1(D)</w:t>
      </w:r>
      <w:r>
        <w:rPr>
          <w:rFonts w:ascii="Arial" w:cs="Arial" w:eastAsia="Arial" w:hAnsi="Arial"/>
          <w:sz w:val="22"/>
          <w:szCs w:val="22"/>
          <w:color w:val="auto"/>
        </w:rPr>
        <w:t xml:space="preserve"> of these By-Laws that the procedures and presumptions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are not valid, binding and enforceable and shall stipulate in such proceeding that the Corporation is bound by all the provisions of this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184" w:lineRule="exact"/>
        <w:rPr>
          <w:rFonts w:ascii="Arial" w:cs="Arial" w:eastAsia="Arial" w:hAnsi="Arial"/>
          <w:sz w:val="22"/>
          <w:szCs w:val="22"/>
          <w:color w:val="010000"/>
        </w:rPr>
      </w:pPr>
    </w:p>
    <w:p>
      <w:pPr>
        <w:ind w:firstLine="656"/>
        <w:spacing w:after="0" w:line="274" w:lineRule="auto"/>
        <w:tabs>
          <w:tab w:leader="none" w:pos="1296"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 xml:space="preserve">All of the rights conferred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as to indemnification, advancement of expenses and otherwise, shall be contract rights between the Corporation and each indemnitee to whom such rights are extended that vest at the commencement of such indemnitee’s service to or at the request of the Corporation and (i) any amendment or modification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that in any way diminishes or adversely affects any such rights shall be prospective only and shall not in any way diminish or adversely affect any such rights with respect to such person, and (ii) all of such rights shall continue as to any such indemnitee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indemnitee’s heirs, executors and administrators.</w:t>
      </w:r>
    </w:p>
    <w:p>
      <w:pPr>
        <w:spacing w:after="0" w:line="158" w:lineRule="exact"/>
        <w:rPr>
          <w:rFonts w:ascii="Arial" w:cs="Arial" w:eastAsia="Arial" w:hAnsi="Arial"/>
          <w:sz w:val="19"/>
          <w:szCs w:val="19"/>
          <w:color w:val="010000"/>
        </w:rPr>
      </w:pPr>
    </w:p>
    <w:p>
      <w:pPr>
        <w:ind w:right="120" w:firstLine="656"/>
        <w:spacing w:after="0" w:line="277" w:lineRule="auto"/>
        <w:tabs>
          <w:tab w:leader="none" w:pos="1296"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 xml:space="preserve">All of the rights conferred in this </w:t>
      </w:r>
      <w:r>
        <w:rPr>
          <w:rFonts w:ascii="Arial" w:cs="Arial" w:eastAsia="Arial" w:hAnsi="Arial"/>
          <w:sz w:val="19"/>
          <w:szCs w:val="19"/>
          <w:u w:val="single" w:color="auto"/>
          <w:color w:val="auto"/>
        </w:rPr>
        <w:t>Section 6.1</w:t>
      </w:r>
      <w:r>
        <w:rPr>
          <w:rFonts w:ascii="Arial" w:cs="Arial" w:eastAsia="Arial" w:hAnsi="Arial"/>
          <w:sz w:val="19"/>
          <w:szCs w:val="19"/>
          <w:color w:val="auto"/>
        </w:rPr>
        <w:t>, as to indemnification, advancement of expenses and otherwise (i) shall not be exclusive of any other rights to which any person seeking indemnification or advancement of expenses may be entitled or hereafter acquire under any statute, provision of the Certificate of Incorporation, these By-Laws, agreement, vote of stockholders or Disinterested Directors or otherwise both as to action in such person’s official capacity and as to action in another capacity while holding such office and (ii) cannot be terminated or impaired by the Corporation, the Board of Directors or the stockholders of the Corporation with respect to a person’s service prior to the date of such termination.</w:t>
      </w:r>
    </w:p>
    <w:p>
      <w:pPr>
        <w:spacing w:after="0" w:line="151" w:lineRule="exact"/>
        <w:rPr>
          <w:rFonts w:ascii="Arial" w:cs="Arial" w:eastAsia="Arial" w:hAnsi="Arial"/>
          <w:sz w:val="19"/>
          <w:szCs w:val="19"/>
          <w:color w:val="010000"/>
        </w:rPr>
      </w:pPr>
    </w:p>
    <w:p>
      <w:pPr>
        <w:ind w:right="60" w:firstLine="656"/>
        <w:spacing w:after="0" w:line="279" w:lineRule="auto"/>
        <w:tabs>
          <w:tab w:leader="none" w:pos="1296"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To the extent that the Corporation maintains any policy or policies providing such insurance, each such current or former director or officer, and each such agent or employee to which rights to indemnification have been granted as provided in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10" w:name="page111"/>
    <w:bookmarkEnd w:id="110"/>
    <w:p>
      <w:pPr>
        <w:ind w:right="180"/>
        <w:spacing w:after="0"/>
        <w:rPr>
          <w:sz w:val="20"/>
          <w:szCs w:val="20"/>
          <w:color w:val="auto"/>
        </w:rPr>
      </w:pPr>
      <w:r>
        <w:rPr>
          <w:rFonts w:ascii="Arial" w:cs="Arial" w:eastAsia="Arial" w:hAnsi="Arial"/>
          <w:sz w:val="22"/>
          <w:szCs w:val="22"/>
          <w:u w:val="single" w:color="auto"/>
          <w:color w:val="auto"/>
        </w:rPr>
        <w:t>Section 6.1(J)</w:t>
      </w:r>
      <w:r>
        <w:rPr>
          <w:rFonts w:ascii="Arial" w:cs="Arial" w:eastAsia="Arial" w:hAnsi="Arial"/>
          <w:sz w:val="22"/>
          <w:szCs w:val="22"/>
          <w:color w:val="auto"/>
        </w:rPr>
        <w:t xml:space="preserve"> of these By-Laws, shall be covered by such policy or policies in accordance with its or their terms to the maximum extent of the coverage thereunder for any such current or former director, officer, employee or agent.</w:t>
      </w:r>
    </w:p>
    <w:p>
      <w:pPr>
        <w:spacing w:after="0" w:line="186" w:lineRule="exact"/>
        <w:rPr>
          <w:sz w:val="20"/>
          <w:szCs w:val="20"/>
          <w:color w:val="auto"/>
        </w:rPr>
      </w:pPr>
    </w:p>
    <w:p>
      <w:pPr>
        <w:ind w:right="160" w:firstLine="656"/>
        <w:spacing w:after="0" w:line="282" w:lineRule="auto"/>
        <w:tabs>
          <w:tab w:leader="none" w:pos="1296"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The Corporation may, to the extent authorized from time to time by the Board of Directors or the Chief Executive Officer, grant rights to indemnification, and rights to advancement of expenses incurred in connection with any proceeding in advance of its final disposition, to any current or former employee or agent of the Corporation to the fullest extent of the provisions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with respect to the indemnification and advancement of expenses of current or former directors and officers of the Corporation.</w:t>
      </w:r>
    </w:p>
    <w:p>
      <w:pPr>
        <w:spacing w:after="0" w:line="147" w:lineRule="exact"/>
        <w:rPr>
          <w:rFonts w:ascii="Arial" w:cs="Arial" w:eastAsia="Arial" w:hAnsi="Arial"/>
          <w:sz w:val="19"/>
          <w:szCs w:val="19"/>
          <w:color w:val="010000"/>
        </w:rPr>
      </w:pPr>
    </w:p>
    <w:p>
      <w:pPr>
        <w:ind w:right="40" w:firstLine="656"/>
        <w:spacing w:after="0" w:line="275" w:lineRule="auto"/>
        <w:tabs>
          <w:tab w:leader="none" w:pos="1296"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If any provision or provisions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be held to be invalid, illegal or unenforceable for any reason whatsoever: (i) the validity, legality and enforceability of the remaining provisions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(including, without limitation, each portion of any subsection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containing any such provision held to be invalid, illegal or unenforceable, that is not itself held to be invalid, illegal or unenforceable) shall not in any way be affected or impaired thereby; and (ii) to the fullest extent possible, the provisions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(including, without limitation, each such portion of any subsection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w:t>
      </w:r>
      <w:r>
        <w:rPr>
          <w:rFonts w:ascii="Arial" w:cs="Arial" w:eastAsia="Arial" w:hAnsi="Arial"/>
          <w:sz w:val="19"/>
          <w:szCs w:val="19"/>
          <w:color w:val="auto"/>
        </w:rPr>
        <w:t xml:space="preserve"> containing any such provision held to be invalid, illegal or unenforceable) shall be construed so as to give effect to the intent manifested by the provision held invalid, illegal or unenforceable.</w:t>
      </w:r>
    </w:p>
    <w:p>
      <w:pPr>
        <w:spacing w:after="0" w:line="157" w:lineRule="exact"/>
        <w:rPr>
          <w:rFonts w:ascii="Arial" w:cs="Arial" w:eastAsia="Arial" w:hAnsi="Arial"/>
          <w:sz w:val="19"/>
          <w:szCs w:val="19"/>
          <w:color w:val="010000"/>
        </w:rPr>
      </w:pPr>
    </w:p>
    <w:p>
      <w:pPr>
        <w:ind w:left="1300" w:hanging="644"/>
        <w:spacing w:after="0"/>
        <w:tabs>
          <w:tab w:leader="none" w:pos="1300"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right="40" w:firstLine="1304"/>
        <w:spacing w:after="0" w:line="250" w:lineRule="auto"/>
        <w:tabs>
          <w:tab w:leader="none" w:pos="1944"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Disinterested Director</w:t>
      </w:r>
      <w:r>
        <w:rPr>
          <w:rFonts w:ascii="Arial" w:cs="Arial" w:eastAsia="Arial" w:hAnsi="Arial"/>
          <w:sz w:val="22"/>
          <w:szCs w:val="22"/>
          <w:color w:val="auto"/>
        </w:rPr>
        <w:t>” means a director of the Corporation who is not and was not a party to the matter in respect of which indemnification is sought by the claimant.</w:t>
      </w:r>
    </w:p>
    <w:p>
      <w:pPr>
        <w:spacing w:after="0" w:line="174" w:lineRule="exact"/>
        <w:rPr>
          <w:rFonts w:ascii="Arial" w:cs="Arial" w:eastAsia="Arial" w:hAnsi="Arial"/>
          <w:sz w:val="22"/>
          <w:szCs w:val="22"/>
          <w:color w:val="010000"/>
        </w:rPr>
      </w:pPr>
    </w:p>
    <w:p>
      <w:pPr>
        <w:ind w:right="140" w:firstLine="1304"/>
        <w:spacing w:after="0" w:line="287" w:lineRule="auto"/>
        <w:tabs>
          <w:tab w:leader="none" w:pos="1944" w:val="left"/>
        </w:tabs>
        <w:numPr>
          <w:ilvl w:val="1"/>
          <w:numId w:val="7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Independent Counsel</w:t>
      </w:r>
      <w:r>
        <w:rPr>
          <w:rFonts w:ascii="Arial" w:cs="Arial" w:eastAsia="Arial" w:hAnsi="Arial"/>
          <w:sz w:val="19"/>
          <w:szCs w:val="19"/>
          <w:color w:val="auto"/>
        </w:rPr>
        <w:t xml:space="preserve">”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42" w:lineRule="exact"/>
        <w:rPr>
          <w:rFonts w:ascii="Arial" w:cs="Arial" w:eastAsia="Arial" w:hAnsi="Arial"/>
          <w:sz w:val="19"/>
          <w:szCs w:val="19"/>
          <w:color w:val="010000"/>
        </w:rPr>
      </w:pPr>
    </w:p>
    <w:p>
      <w:pPr>
        <w:ind w:firstLine="656"/>
        <w:spacing w:after="0" w:line="287" w:lineRule="auto"/>
        <w:tabs>
          <w:tab w:leader="none" w:pos="1296"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Any notice, request or other communication required or permitted to be given to the Corporation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be in writing and either delivered in person or sent by telecopy, e-mail, telex, telegram, overnight mail or courier service, or certified or registered mail, postage prepaid, return receipt requested, to the Secretary of the Corporation and shall be effective only upon receipt by the Secretary.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 PROVISIONS</w:t>
      </w:r>
    </w:p>
    <w:p>
      <w:pPr>
        <w:spacing w:after="0" w:line="188" w:lineRule="exact"/>
        <w:rPr>
          <w:sz w:val="20"/>
          <w:szCs w:val="20"/>
          <w:color w:val="auto"/>
        </w:rPr>
      </w:pPr>
    </w:p>
    <w:p>
      <w:pPr>
        <w:ind w:right="240"/>
        <w:spacing w:after="0"/>
        <w:rPr>
          <w:sz w:val="20"/>
          <w:szCs w:val="20"/>
          <w:color w:val="auto"/>
        </w:rPr>
      </w:pPr>
      <w:r>
        <w:rPr>
          <w:rFonts w:ascii="Arial" w:cs="Arial" w:eastAsia="Arial" w:hAnsi="Arial"/>
          <w:sz w:val="22"/>
          <w:szCs w:val="22"/>
          <w:color w:val="010000"/>
        </w:rPr>
        <w:t xml:space="preserve">SECTION 7.1 </w:t>
      </w:r>
      <w:r>
        <w:rPr>
          <w:rFonts w:ascii="Arial" w:cs="Arial" w:eastAsia="Arial" w:hAnsi="Arial"/>
          <w:sz w:val="22"/>
          <w:szCs w:val="22"/>
          <w:u w:val="single" w:color="auto"/>
          <w:color w:val="000000"/>
        </w:rPr>
        <w:t>Transfer and Registry Agents</w:t>
      </w:r>
      <w:r>
        <w:rPr>
          <w:rFonts w:ascii="Arial" w:cs="Arial" w:eastAsia="Arial" w:hAnsi="Arial"/>
          <w:sz w:val="22"/>
          <w:szCs w:val="22"/>
          <w:color w:val="000000"/>
        </w:rPr>
        <w:t>. The Corporation may from time to time maintain one or more</w:t>
      </w:r>
      <w:r>
        <w:rPr>
          <w:rFonts w:ascii="Arial" w:cs="Arial" w:eastAsia="Arial" w:hAnsi="Arial"/>
          <w:sz w:val="22"/>
          <w:szCs w:val="22"/>
          <w:color w:val="010000"/>
        </w:rPr>
        <w:t xml:space="preserve"> </w:t>
      </w:r>
      <w:r>
        <w:rPr>
          <w:rFonts w:ascii="Arial" w:cs="Arial" w:eastAsia="Arial" w:hAnsi="Arial"/>
          <w:sz w:val="22"/>
          <w:szCs w:val="22"/>
          <w:color w:val="000000"/>
        </w:rPr>
        <w:t>transfer offices or agencies and registry offices or agencies at such place or places as may be determined from time to time by the Board of Directors.</w:t>
      </w:r>
    </w:p>
    <w:p>
      <w:pPr>
        <w:spacing w:after="0" w:line="18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010000"/>
        </w:rPr>
        <w:t xml:space="preserve">SECTION 7.2 </w:t>
      </w:r>
      <w:r>
        <w:rPr>
          <w:rFonts w:ascii="Arial" w:cs="Arial" w:eastAsia="Arial" w:hAnsi="Arial"/>
          <w:sz w:val="22"/>
          <w:szCs w:val="22"/>
          <w:u w:val="single" w:color="auto"/>
          <w:color w:val="000000"/>
        </w:rPr>
        <w:t>Fiscal Year</w:t>
      </w:r>
      <w:r>
        <w:rPr>
          <w:rFonts w:ascii="Arial" w:cs="Arial" w:eastAsia="Arial" w:hAnsi="Arial"/>
          <w:sz w:val="22"/>
          <w:szCs w:val="22"/>
          <w:color w:val="000000"/>
        </w:rPr>
        <w:t>. The fiscal year of the Corporation shall begin on the first day of January and end</w:t>
      </w:r>
      <w:r>
        <w:rPr>
          <w:rFonts w:ascii="Arial" w:cs="Arial" w:eastAsia="Arial" w:hAnsi="Arial"/>
          <w:sz w:val="22"/>
          <w:szCs w:val="22"/>
          <w:color w:val="010000"/>
        </w:rPr>
        <w:t xml:space="preserve"> </w:t>
      </w:r>
      <w:r>
        <w:rPr>
          <w:rFonts w:ascii="Arial" w:cs="Arial" w:eastAsia="Arial" w:hAnsi="Arial"/>
          <w:sz w:val="22"/>
          <w:szCs w:val="22"/>
          <w:color w:val="000000"/>
        </w:rPr>
        <w:t>on the thirty-first day of December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1" w:name="page112"/>
    <w:bookmarkEnd w:id="111"/>
    <w:p>
      <w:pPr>
        <w:ind w:right="60"/>
        <w:spacing w:after="0"/>
        <w:rPr>
          <w:sz w:val="20"/>
          <w:szCs w:val="20"/>
          <w:color w:val="auto"/>
        </w:rPr>
      </w:pPr>
      <w:r>
        <w:rPr>
          <w:rFonts w:ascii="Arial" w:cs="Arial" w:eastAsia="Arial" w:hAnsi="Arial"/>
          <w:sz w:val="22"/>
          <w:szCs w:val="22"/>
          <w:color w:val="010000"/>
        </w:rPr>
        <w:t xml:space="preserve">SECTION 7.3 </w:t>
      </w:r>
      <w:r>
        <w:rPr>
          <w:rFonts w:ascii="Arial" w:cs="Arial" w:eastAsia="Arial" w:hAnsi="Arial"/>
          <w:sz w:val="22"/>
          <w:szCs w:val="22"/>
          <w:u w:val="single" w:color="auto"/>
          <w:color w:val="000000"/>
        </w:rPr>
        <w:t>Dividends</w:t>
      </w:r>
      <w:r>
        <w:rPr>
          <w:rFonts w:ascii="Arial" w:cs="Arial" w:eastAsia="Arial" w:hAnsi="Arial"/>
          <w:sz w:val="22"/>
          <w:szCs w:val="22"/>
          <w:color w:val="000000"/>
        </w:rPr>
        <w:t>. The Board of Directors may from time to time declare, and the Corporation may</w:t>
      </w:r>
      <w:r>
        <w:rPr>
          <w:rFonts w:ascii="Arial" w:cs="Arial" w:eastAsia="Arial" w:hAnsi="Arial"/>
          <w:sz w:val="22"/>
          <w:szCs w:val="22"/>
          <w:color w:val="010000"/>
        </w:rPr>
        <w:t xml:space="preserve"> </w:t>
      </w:r>
      <w:r>
        <w:rPr>
          <w:rFonts w:ascii="Arial" w:cs="Arial" w:eastAsia="Arial" w:hAnsi="Arial"/>
          <w:sz w:val="22"/>
          <w:szCs w:val="22"/>
          <w:color w:val="000000"/>
        </w:rPr>
        <w:t>pay, dividends on its outstanding shares in the manner and upon the terms and conditions provided by law and the Certificate of Incorporation.</w:t>
      </w:r>
    </w:p>
    <w:p>
      <w:pPr>
        <w:spacing w:after="0" w:line="186"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010000"/>
        </w:rPr>
        <w:t xml:space="preserve">SECTION 7.4 </w:t>
      </w:r>
      <w:r>
        <w:rPr>
          <w:rFonts w:ascii="Arial" w:cs="Arial" w:eastAsia="Arial" w:hAnsi="Arial"/>
          <w:sz w:val="22"/>
          <w:szCs w:val="22"/>
          <w:u w:val="single" w:color="auto"/>
          <w:color w:val="000000"/>
        </w:rPr>
        <w:t>Seal</w:t>
      </w:r>
      <w:r>
        <w:rPr>
          <w:rFonts w:ascii="Arial" w:cs="Arial" w:eastAsia="Arial" w:hAnsi="Arial"/>
          <w:sz w:val="22"/>
          <w:szCs w:val="22"/>
          <w:color w:val="000000"/>
        </w:rPr>
        <w:t>. The corporate seal, if any, shall be in such form as shall be approved from time to time</w:t>
      </w:r>
      <w:r>
        <w:rPr>
          <w:rFonts w:ascii="Arial" w:cs="Arial" w:eastAsia="Arial" w:hAnsi="Arial"/>
          <w:sz w:val="22"/>
          <w:szCs w:val="22"/>
          <w:color w:val="010000"/>
        </w:rPr>
        <w:t xml:space="preserve"> </w:t>
      </w:r>
      <w:r>
        <w:rPr>
          <w:rFonts w:ascii="Arial" w:cs="Arial" w:eastAsia="Arial" w:hAnsi="Arial"/>
          <w:sz w:val="22"/>
          <w:szCs w:val="22"/>
          <w:color w:val="000000"/>
        </w:rPr>
        <w:t>by the Board of Directors.</w:t>
      </w:r>
    </w:p>
    <w:p>
      <w:pPr>
        <w:spacing w:after="0" w:line="17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010000"/>
        </w:rPr>
        <w:t xml:space="preserve">SECTION 7.5 </w:t>
      </w:r>
      <w:r>
        <w:rPr>
          <w:rFonts w:ascii="Arial" w:cs="Arial" w:eastAsia="Arial" w:hAnsi="Arial"/>
          <w:sz w:val="22"/>
          <w:szCs w:val="22"/>
          <w:u w:val="single" w:color="auto"/>
          <w:color w:val="000000"/>
        </w:rPr>
        <w:t>Waiver of Notice</w:t>
      </w:r>
      <w:r>
        <w:rPr>
          <w:rFonts w:ascii="Arial" w:cs="Arial" w:eastAsia="Arial" w:hAnsi="Arial"/>
          <w:sz w:val="22"/>
          <w:szCs w:val="22"/>
          <w:color w:val="000000"/>
        </w:rPr>
        <w:t>. Whenever any notice is required to be given to any stockholder or director</w:t>
      </w:r>
      <w:r>
        <w:rPr>
          <w:rFonts w:ascii="Arial" w:cs="Arial" w:eastAsia="Arial" w:hAnsi="Arial"/>
          <w:sz w:val="22"/>
          <w:szCs w:val="22"/>
          <w:color w:val="010000"/>
        </w:rPr>
        <w:t xml:space="preserve"> </w:t>
      </w:r>
      <w:r>
        <w:rPr>
          <w:rFonts w:ascii="Arial" w:cs="Arial" w:eastAsia="Arial" w:hAnsi="Arial"/>
          <w:sz w:val="22"/>
          <w:szCs w:val="22"/>
          <w:color w:val="000000"/>
        </w:rPr>
        <w:t>of the Corporation under the provisions of the DGCL,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spacing w:after="0" w:line="191" w:lineRule="exact"/>
        <w:rPr>
          <w:sz w:val="20"/>
          <w:szCs w:val="20"/>
          <w:color w:val="auto"/>
        </w:rPr>
      </w:pPr>
    </w:p>
    <w:p>
      <w:pPr>
        <w:ind w:right="260"/>
        <w:spacing w:after="0" w:line="257" w:lineRule="auto"/>
        <w:rPr>
          <w:sz w:val="20"/>
          <w:szCs w:val="20"/>
          <w:color w:val="auto"/>
        </w:rPr>
      </w:pPr>
      <w:r>
        <w:rPr>
          <w:rFonts w:ascii="Arial" w:cs="Arial" w:eastAsia="Arial" w:hAnsi="Arial"/>
          <w:sz w:val="21"/>
          <w:szCs w:val="21"/>
          <w:color w:val="010000"/>
        </w:rPr>
        <w:t xml:space="preserve">SECTION 7.6 </w:t>
      </w:r>
      <w:r>
        <w:rPr>
          <w:rFonts w:ascii="Arial" w:cs="Arial" w:eastAsia="Arial" w:hAnsi="Arial"/>
          <w:sz w:val="21"/>
          <w:szCs w:val="21"/>
          <w:u w:val="single" w:color="auto"/>
          <w:color w:val="000000"/>
        </w:rPr>
        <w:t>Audits</w:t>
      </w:r>
      <w:r>
        <w:rPr>
          <w:rFonts w:ascii="Arial" w:cs="Arial" w:eastAsia="Arial" w:hAnsi="Arial"/>
          <w:sz w:val="21"/>
          <w:szCs w:val="21"/>
          <w:color w:val="000000"/>
        </w:rPr>
        <w:t>. The accounts, books and records of the Corporation shall be audited upon the</w:t>
      </w:r>
      <w:r>
        <w:rPr>
          <w:rFonts w:ascii="Arial" w:cs="Arial" w:eastAsia="Arial" w:hAnsi="Arial"/>
          <w:sz w:val="21"/>
          <w:szCs w:val="21"/>
          <w:color w:val="010000"/>
        </w:rPr>
        <w:t xml:space="preserve"> </w:t>
      </w:r>
      <w:r>
        <w:rPr>
          <w:rFonts w:ascii="Arial" w:cs="Arial" w:eastAsia="Arial" w:hAnsi="Arial"/>
          <w:sz w:val="21"/>
          <w:szCs w:val="21"/>
          <w:color w:val="000000"/>
        </w:rPr>
        <w:t>conclusion of each fiscal year by an independent certified public accountant selected by the Board of Directors, and it shall be the duty of the Board of Directors to cause such audit to be done annually.</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21"/>
          <w:szCs w:val="21"/>
          <w:color w:val="010000"/>
        </w:rPr>
        <w:t xml:space="preserve">SECTION 7.7 </w:t>
      </w:r>
      <w:r>
        <w:rPr>
          <w:rFonts w:ascii="Arial" w:cs="Arial" w:eastAsia="Arial" w:hAnsi="Arial"/>
          <w:sz w:val="21"/>
          <w:szCs w:val="21"/>
          <w:u w:val="single" w:color="auto"/>
          <w:color w:val="000000"/>
        </w:rPr>
        <w:t>Resignations</w:t>
      </w:r>
      <w:r>
        <w:rPr>
          <w:rFonts w:ascii="Arial" w:cs="Arial" w:eastAsia="Arial" w:hAnsi="Arial"/>
          <w:sz w:val="21"/>
          <w:szCs w:val="21"/>
          <w:color w:val="000000"/>
        </w:rPr>
        <w:t>. Any director or any officer, whether elected or appointed, may resign at any time</w:t>
      </w:r>
      <w:r>
        <w:rPr>
          <w:rFonts w:ascii="Arial" w:cs="Arial" w:eastAsia="Arial" w:hAnsi="Arial"/>
          <w:sz w:val="21"/>
          <w:szCs w:val="21"/>
          <w:color w:val="010000"/>
        </w:rPr>
        <w:t xml:space="preserve"> </w:t>
      </w:r>
      <w:r>
        <w:rPr>
          <w:rFonts w:ascii="Arial" w:cs="Arial" w:eastAsia="Arial" w:hAnsi="Arial"/>
          <w:sz w:val="21"/>
          <w:szCs w:val="21"/>
          <w:color w:val="000000"/>
        </w:rPr>
        <w:t>by giving written notice of such resignation to the Chairperson of the Board of Directors, the Chief Executive Officer or the Secretary, and such resignation shall be deemed to be effective as of the close of business on the date said notice is received by the Chairperson of the Board of Directors, the Chief Executive Officer or the Secretary, or at such later time as is specified therein. No formal action shall be required of the Board of Directors or the stockholders to make any such resignation effective.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CONTRACTS, PROXIES, ETC.</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010000"/>
        </w:rPr>
        <w:t xml:space="preserve">SECTION 8.1 </w:t>
      </w:r>
      <w:r>
        <w:rPr>
          <w:rFonts w:ascii="Arial" w:cs="Arial" w:eastAsia="Arial" w:hAnsi="Arial"/>
          <w:sz w:val="19"/>
          <w:szCs w:val="19"/>
          <w:u w:val="single" w:color="auto"/>
          <w:color w:val="000000"/>
        </w:rPr>
        <w:t>Contracts</w:t>
      </w:r>
      <w:r>
        <w:rPr>
          <w:rFonts w:ascii="Arial" w:cs="Arial" w:eastAsia="Arial" w:hAnsi="Arial"/>
          <w:sz w:val="19"/>
          <w:szCs w:val="19"/>
          <w:color w:val="000000"/>
        </w:rPr>
        <w:t>. Except as otherwise required by law, the Certificate of Incorporation or these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of Directors may determine. The Chairperson of the Board of Directors, the Chief Executive Officer, the President or any Vice President may execute bonds, contracts, deeds, leases and other instruments to be made or executed for or on behalf of the Corporation. Subject to any restrictions imposed by the Board of Directors or the Chairperson of the Board of Directors, the Chief Executive Officer, the President or any Vice President of the Corporation may delegate contractual powers to others under his or her jurisdiction, it being understood, however, that any such delegation of power shall not relieve such officer of responsibility with respect to the exercise of such delegated power.</w:t>
      </w:r>
    </w:p>
    <w:p>
      <w:pPr>
        <w:spacing w:after="0" w:line="161"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010000"/>
        </w:rPr>
        <w:t xml:space="preserve">SECTION 8.2 </w:t>
      </w:r>
      <w:r>
        <w:rPr>
          <w:rFonts w:ascii="Arial" w:cs="Arial" w:eastAsia="Arial" w:hAnsi="Arial"/>
          <w:sz w:val="22"/>
          <w:szCs w:val="22"/>
          <w:u w:val="single" w:color="auto"/>
          <w:color w:val="000000"/>
        </w:rPr>
        <w:t>Proxies</w:t>
      </w:r>
      <w:r>
        <w:rPr>
          <w:rFonts w:ascii="Arial" w:cs="Arial" w:eastAsia="Arial" w:hAnsi="Arial"/>
          <w:sz w:val="22"/>
          <w:szCs w:val="22"/>
          <w:color w:val="000000"/>
        </w:rPr>
        <w:t>. Unless otherwise provided by resolution adopted by the Board of Directors, the</w:t>
      </w:r>
      <w:r>
        <w:rPr>
          <w:rFonts w:ascii="Arial" w:cs="Arial" w:eastAsia="Arial" w:hAnsi="Arial"/>
          <w:sz w:val="22"/>
          <w:szCs w:val="22"/>
          <w:color w:val="010000"/>
        </w:rPr>
        <w:t xml:space="preserve"> </w:t>
      </w:r>
      <w:r>
        <w:rPr>
          <w:rFonts w:ascii="Arial" w:cs="Arial" w:eastAsia="Arial" w:hAnsi="Arial"/>
          <w:sz w:val="22"/>
          <w:szCs w:val="22"/>
          <w:color w:val="000000"/>
        </w:rPr>
        <w:t>Chairperson of the Board of Directors, the Chief Executive Officer, the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12" w:name="page113"/>
    <w:bookmarkEnd w:id="112"/>
    <w:p>
      <w:pPr>
        <w:spacing w:after="0" w:line="245" w:lineRule="auto"/>
        <w:rPr>
          <w:sz w:val="20"/>
          <w:szCs w:val="20"/>
          <w:color w:val="auto"/>
        </w:rPr>
      </w:pPr>
      <w:r>
        <w:rPr>
          <w:rFonts w:ascii="Arial" w:cs="Arial" w:eastAsia="Arial" w:hAnsi="Arial"/>
          <w:sz w:val="21"/>
          <w:szCs w:val="21"/>
          <w:color w:val="auto"/>
        </w:rPr>
        <w:t>or any Vice President may from time to time appoint an attorney or attorneys or agent or agents of the Corporation, in the name and on behalf of the Corporation, to cast the votes that the Corporation may be entitled to cast as the holder of stock or other securities in any other corporation, any of whose stock or other securities may be held by the Corporation, at meetings of the holders of the stock or other securities of such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ARTICLE IX</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AMENDMENTS</w:t>
      </w:r>
    </w:p>
    <w:p>
      <w:pPr>
        <w:spacing w:after="0" w:line="188"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010000"/>
        </w:rPr>
        <w:t xml:space="preserve">SECTION 9.1 </w:t>
      </w:r>
      <w:r>
        <w:rPr>
          <w:rFonts w:ascii="Arial" w:cs="Arial" w:eastAsia="Arial" w:hAnsi="Arial"/>
          <w:sz w:val="21"/>
          <w:szCs w:val="21"/>
          <w:u w:val="single" w:color="auto"/>
          <w:color w:val="000000"/>
        </w:rPr>
        <w:t>By the Stockholders</w:t>
      </w:r>
      <w:r>
        <w:rPr>
          <w:rFonts w:ascii="Arial" w:cs="Arial" w:eastAsia="Arial" w:hAnsi="Arial"/>
          <w:sz w:val="21"/>
          <w:szCs w:val="21"/>
          <w:color w:val="000000"/>
        </w:rPr>
        <w:t>. Subject to the laws of the State of Delaware and the provisions of the</w:t>
      </w:r>
      <w:r>
        <w:rPr>
          <w:rFonts w:ascii="Arial" w:cs="Arial" w:eastAsia="Arial" w:hAnsi="Arial"/>
          <w:sz w:val="21"/>
          <w:szCs w:val="21"/>
          <w:color w:val="010000"/>
        </w:rPr>
        <w:t xml:space="preserve"> </w:t>
      </w:r>
      <w:r>
        <w:rPr>
          <w:rFonts w:ascii="Arial" w:cs="Arial" w:eastAsia="Arial" w:hAnsi="Arial"/>
          <w:sz w:val="21"/>
          <w:szCs w:val="21"/>
          <w:color w:val="000000"/>
        </w:rPr>
        <w:t>Certificate of Incorporation, these By-laws and the Investor Rights Agreement, these By-Laws may be altered, amended or repealed, or new By-laws enacted, at any special meeting of the stockholders if duly called for that purpose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in the notice of such special meeting, notice of such purpose shall be given), or at any annual meeting, by the affirmative vote of a majority of the total voting power of all the then outstanding Voting Stock, voting together as a single class.</w:t>
      </w:r>
    </w:p>
    <w:p>
      <w:pPr>
        <w:spacing w:after="0" w:line="17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010000"/>
        </w:rPr>
        <w:t xml:space="preserve">SECTION 9.2 </w:t>
      </w:r>
      <w:r>
        <w:rPr>
          <w:rFonts w:ascii="Arial" w:cs="Arial" w:eastAsia="Arial" w:hAnsi="Arial"/>
          <w:sz w:val="22"/>
          <w:szCs w:val="22"/>
          <w:u w:val="single" w:color="auto"/>
          <w:color w:val="000000"/>
        </w:rPr>
        <w:t>By the Board of Directors</w:t>
      </w:r>
      <w:r>
        <w:rPr>
          <w:rFonts w:ascii="Arial" w:cs="Arial" w:eastAsia="Arial" w:hAnsi="Arial"/>
          <w:sz w:val="22"/>
          <w:szCs w:val="22"/>
          <w:color w:val="000000"/>
        </w:rPr>
        <w:t>. Subject to the laws of the State of Delaware and the provisions of</w:t>
      </w:r>
      <w:r>
        <w:rPr>
          <w:rFonts w:ascii="Arial" w:cs="Arial" w:eastAsia="Arial" w:hAnsi="Arial"/>
          <w:sz w:val="22"/>
          <w:szCs w:val="22"/>
          <w:color w:val="010000"/>
        </w:rPr>
        <w:t xml:space="preserve"> </w:t>
      </w:r>
      <w:r>
        <w:rPr>
          <w:rFonts w:ascii="Arial" w:cs="Arial" w:eastAsia="Arial" w:hAnsi="Arial"/>
          <w:sz w:val="22"/>
          <w:szCs w:val="22"/>
          <w:color w:val="000000"/>
        </w:rPr>
        <w:t>the Certificate of Incorporation, these By-laws and the Investor Rights Agreement, these By-laws may also be altered, amended or repealed, or new By-laws enacted, by the affirmative vote of at least a majority of the Whole Board at any meeting of the Board of Directors.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74" w:right="10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WARRANT AGREEMENT</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THIS AMENDED AND RESTATED WARRANT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August 25, 2022, is by and between (i) Westrock Coffee Holdings, LLC, a Delaware limited liability company, which prior to the Effective Date (as defined below) shall convert to a Delaware corporation bearing the name “Westrock Coffee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(ii) Computershare Inc., a Delaware corporation (“</w:t>
      </w:r>
      <w:r>
        <w:rPr>
          <w:rFonts w:ascii="Arial" w:cs="Arial" w:eastAsia="Arial" w:hAnsi="Arial"/>
          <w:sz w:val="16"/>
          <w:szCs w:val="16"/>
          <w:b w:val="1"/>
          <w:bCs w:val="1"/>
          <w:i w:val="1"/>
          <w:iCs w:val="1"/>
          <w:color w:val="auto"/>
        </w:rPr>
        <w:t>Computershare Inc.</w:t>
      </w:r>
      <w:r>
        <w:rPr>
          <w:rFonts w:ascii="Arial" w:cs="Arial" w:eastAsia="Arial" w:hAnsi="Arial"/>
          <w:sz w:val="16"/>
          <w:szCs w:val="16"/>
          <w:color w:val="auto"/>
        </w:rPr>
        <w:t>”), and its affiliate, Computershare Trust Company, N.A., a federally chartered trust company (“</w:t>
      </w:r>
      <w:r>
        <w:rPr>
          <w:rFonts w:ascii="Arial" w:cs="Arial" w:eastAsia="Arial" w:hAnsi="Arial"/>
          <w:sz w:val="16"/>
          <w:szCs w:val="16"/>
          <w:b w:val="1"/>
          <w:bCs w:val="1"/>
          <w:i w:val="1"/>
          <w:iCs w:val="1"/>
          <w:color w:val="auto"/>
        </w:rPr>
        <w:t>Trust Company</w:t>
      </w:r>
      <w:r>
        <w:rPr>
          <w:rFonts w:ascii="Arial" w:cs="Arial" w:eastAsia="Arial" w:hAnsi="Arial"/>
          <w:sz w:val="16"/>
          <w:szCs w:val="16"/>
          <w:color w:val="auto"/>
        </w:rPr>
        <w:t>” and together with Computershare Inc., in such capacity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and also referred to herein as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and amends and restates in its entirety that certain Warrant Agreement, dated August 5, 2021 (“</w:t>
      </w:r>
      <w:r>
        <w:rPr>
          <w:rFonts w:ascii="Arial" w:cs="Arial" w:eastAsia="Arial" w:hAnsi="Arial"/>
          <w:sz w:val="16"/>
          <w:szCs w:val="16"/>
          <w:b w:val="1"/>
          <w:bCs w:val="1"/>
          <w:i w:val="1"/>
          <w:iCs w:val="1"/>
          <w:color w:val="auto"/>
        </w:rPr>
        <w:t>Prior Agreement</w:t>
      </w:r>
      <w:r>
        <w:rPr>
          <w:rFonts w:ascii="Arial" w:cs="Arial" w:eastAsia="Arial" w:hAnsi="Arial"/>
          <w:sz w:val="16"/>
          <w:szCs w:val="16"/>
          <w:color w:val="auto"/>
        </w:rPr>
        <w:t>”), by and between Riverview Acquisition Corp., a Delaware corporation ( “</w:t>
      </w:r>
      <w:r>
        <w:rPr>
          <w:rFonts w:ascii="Arial" w:cs="Arial" w:eastAsia="Arial" w:hAnsi="Arial"/>
          <w:sz w:val="16"/>
          <w:szCs w:val="16"/>
          <w:b w:val="1"/>
          <w:bCs w:val="1"/>
          <w:i w:val="1"/>
          <w:iCs w:val="1"/>
          <w:color w:val="auto"/>
        </w:rPr>
        <w:t>RVAC</w:t>
      </w:r>
      <w:r>
        <w:rPr>
          <w:rFonts w:ascii="Arial" w:cs="Arial" w:eastAsia="Arial" w:hAnsi="Arial"/>
          <w:sz w:val="16"/>
          <w:szCs w:val="16"/>
          <w:color w:val="auto"/>
        </w:rPr>
        <w:t>”), and Continental Stock Transfer</w:t>
      </w:r>
    </w:p>
    <w:p>
      <w:pPr>
        <w:spacing w:after="0" w:line="2" w:lineRule="exact"/>
        <w:rPr>
          <w:sz w:val="20"/>
          <w:szCs w:val="20"/>
          <w:color w:val="auto"/>
        </w:rPr>
      </w:pPr>
    </w:p>
    <w:p>
      <w:pPr>
        <w:ind w:firstLine="8"/>
        <w:spacing w:after="0" w:line="323" w:lineRule="auto"/>
        <w:tabs>
          <w:tab w:leader="none" w:pos="19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Trust Company, a New York corporation (“</w:t>
      </w:r>
      <w:r>
        <w:rPr>
          <w:rFonts w:ascii="Arial" w:cs="Arial" w:eastAsia="Arial" w:hAnsi="Arial"/>
          <w:sz w:val="16"/>
          <w:szCs w:val="16"/>
          <w:b w:val="1"/>
          <w:bCs w:val="1"/>
          <w:i w:val="1"/>
          <w:iCs w:val="1"/>
          <w:color w:val="auto"/>
        </w:rPr>
        <w:t>Prior Warrant Agent</w:t>
      </w:r>
      <w:r>
        <w:rPr>
          <w:rFonts w:ascii="Arial" w:cs="Arial" w:eastAsia="Arial" w:hAnsi="Arial"/>
          <w:sz w:val="16"/>
          <w:szCs w:val="16"/>
          <w:color w:val="auto"/>
        </w:rPr>
        <w:t>”) pursuant to Section 9.8 of the Prior Agreement This Agreement shall be effective as of the closing of the Westrock Business Combination (as defined below) (such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RVAC and the Prior Warrant Agent previously entered into the Prior Agreement in connection with RVAC’s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units of RVAC’s equity securities, each such unit comprised of one share of Class A common stock of RVAC, par value $0.001 per share (“</w:t>
      </w:r>
      <w:r>
        <w:rPr>
          <w:rFonts w:ascii="Arial" w:cs="Arial" w:eastAsia="Arial" w:hAnsi="Arial"/>
          <w:sz w:val="18"/>
          <w:szCs w:val="18"/>
          <w:b w:val="1"/>
          <w:bCs w:val="1"/>
          <w:i w:val="1"/>
          <w:iCs w:val="1"/>
          <w:color w:val="auto"/>
        </w:rPr>
        <w:t>RVAC Common Stock</w:t>
      </w:r>
      <w:r>
        <w:rPr>
          <w:rFonts w:ascii="Arial" w:cs="Arial" w:eastAsia="Arial" w:hAnsi="Arial"/>
          <w:sz w:val="18"/>
          <w:szCs w:val="18"/>
          <w:color w:val="auto"/>
        </w:rPr>
        <w:t>”), and one-half of one Public Warrant (as defined below)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and, in connection therewith, RVAC had issued and delivered 12,500,000 warrants to public investors in the Offering (the “</w:t>
      </w:r>
      <w:r>
        <w:rPr>
          <w:rFonts w:ascii="Arial" w:cs="Arial" w:eastAsia="Arial" w:hAnsi="Arial"/>
          <w:sz w:val="18"/>
          <w:szCs w:val="18"/>
          <w:b w:val="1"/>
          <w:bCs w:val="1"/>
          <w:i w:val="1"/>
          <w:i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RVAC has entered into that certain Private Placement Warrants Purchase Agreement (the “</w:t>
      </w:r>
      <w:r>
        <w:rPr>
          <w:rFonts w:ascii="Arial" w:cs="Arial" w:eastAsia="Arial" w:hAnsi="Arial"/>
          <w:sz w:val="18"/>
          <w:szCs w:val="18"/>
          <w:b w:val="1"/>
          <w:bCs w:val="1"/>
          <w:i w:val="1"/>
          <w:iCs w:val="1"/>
          <w:color w:val="auto"/>
        </w:rPr>
        <w:t>Private Placement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Warrants Purchase Agreement</w:t>
      </w:r>
      <w:r>
        <w:rPr>
          <w:rFonts w:ascii="Arial" w:cs="Arial" w:eastAsia="Arial" w:hAnsi="Arial"/>
          <w:sz w:val="18"/>
          <w:szCs w:val="18"/>
          <w:color w:val="auto"/>
        </w:rPr>
        <w:t>”) with Riverview Sponsor Partners,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pursuant to which the Sponsor purchased an aggregate of 7,400,000 warrants simultaneously with the closing of the Offering bearing the legend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and together with the Public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at a purchase price of $1.00 per Private Placement Warrant;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Prior Agreement had permitted the issuance of Working Capital Warrants (as defined in the Prior Agreement) and Post-IPO Warrants (as defined in the Prior Agreement) by RVAC but no such Working Capital Warrants or Post-IPO Warrants were issued by RVAC;</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WHEREAS, RVAC entered into a Transaction Agreement, dated April 4, 2022 (as amended, modified or supplemented, the “</w:t>
      </w:r>
      <w:r>
        <w:rPr>
          <w:rFonts w:ascii="Arial" w:cs="Arial" w:eastAsia="Arial" w:hAnsi="Arial"/>
          <w:sz w:val="16"/>
          <w:szCs w:val="16"/>
          <w:b w:val="1"/>
          <w:bCs w:val="1"/>
          <w:i w:val="1"/>
          <w:iCs w:val="1"/>
          <w:color w:val="auto"/>
        </w:rPr>
        <w:t>Transaction Agreement</w:t>
      </w:r>
      <w:r>
        <w:rPr>
          <w:rFonts w:ascii="Arial" w:cs="Arial" w:eastAsia="Arial" w:hAnsi="Arial"/>
          <w:sz w:val="16"/>
          <w:szCs w:val="16"/>
          <w:color w:val="auto"/>
        </w:rPr>
        <w:t>” and the transactions contemplated by the Transaction Agreement, the “</w:t>
      </w:r>
      <w:r>
        <w:rPr>
          <w:rFonts w:ascii="Arial" w:cs="Arial" w:eastAsia="Arial" w:hAnsi="Arial"/>
          <w:sz w:val="16"/>
          <w:szCs w:val="16"/>
          <w:b w:val="1"/>
          <w:bCs w:val="1"/>
          <w:i w:val="1"/>
          <w:iCs w:val="1"/>
          <w:color w:val="auto"/>
        </w:rPr>
        <w:t>Westrock Business Combination</w:t>
      </w:r>
      <w:r>
        <w:rPr>
          <w:rFonts w:ascii="Arial" w:cs="Arial" w:eastAsia="Arial" w:hAnsi="Arial"/>
          <w:sz w:val="16"/>
          <w:szCs w:val="16"/>
          <w:color w:val="auto"/>
        </w:rPr>
        <w:t>”), by and among RVAC, the Company, Origin Merger Sub I, Inc., a Delaware corporation and wholly owned subsidiary of the Company (“</w:t>
      </w:r>
      <w:r>
        <w:rPr>
          <w:rFonts w:ascii="Arial" w:cs="Arial" w:eastAsia="Arial" w:hAnsi="Arial"/>
          <w:sz w:val="16"/>
          <w:szCs w:val="16"/>
          <w:b w:val="1"/>
          <w:bCs w:val="1"/>
          <w:i w:val="1"/>
          <w:iCs w:val="1"/>
          <w:color w:val="auto"/>
        </w:rPr>
        <w:t>Merger Sub I</w:t>
      </w:r>
      <w:r>
        <w:rPr>
          <w:rFonts w:ascii="Arial" w:cs="Arial" w:eastAsia="Arial" w:hAnsi="Arial"/>
          <w:sz w:val="16"/>
          <w:szCs w:val="16"/>
          <w:color w:val="auto"/>
        </w:rPr>
        <w:t>”) and Origin Merger Sub II, LLC, a Delaware limited liability company and wholly owned subsidiary of the Company (“</w:t>
      </w:r>
      <w:r>
        <w:rPr>
          <w:rFonts w:ascii="Arial" w:cs="Arial" w:eastAsia="Arial" w:hAnsi="Arial"/>
          <w:sz w:val="16"/>
          <w:szCs w:val="16"/>
          <w:b w:val="1"/>
          <w:bCs w:val="1"/>
          <w:i w:val="1"/>
          <w:iCs w:val="1"/>
          <w:color w:val="auto"/>
        </w:rPr>
        <w:t>Merger Sub II</w:t>
      </w:r>
      <w:r>
        <w:rPr>
          <w:rFonts w:ascii="Arial" w:cs="Arial" w:eastAsia="Arial" w:hAnsi="Arial"/>
          <w:sz w:val="16"/>
          <w:szCs w:val="16"/>
          <w:color w:val="auto"/>
        </w:rPr>
        <w:t>”), pursuant to which, among other things, (i) the Company shall convert from a Delaware limited liability company to a Delaware corporation (the “</w:t>
      </w: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 (ii) following the Conversion, Merger Sub I shall merge with and into RVAC (the “</w:t>
      </w:r>
      <w:r>
        <w:rPr>
          <w:rFonts w:ascii="Arial" w:cs="Arial" w:eastAsia="Arial" w:hAnsi="Arial"/>
          <w:sz w:val="16"/>
          <w:szCs w:val="16"/>
          <w:b w:val="1"/>
          <w:bCs w:val="1"/>
          <w:i w:val="1"/>
          <w:iCs w:val="1"/>
          <w:color w:val="auto"/>
        </w:rPr>
        <w:t>SPAC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with RVAC surviving the merger as a direct wholly-owned subsidiary of the Company (the “</w:t>
      </w:r>
      <w:r>
        <w:rPr>
          <w:rFonts w:ascii="Arial" w:cs="Arial" w:eastAsia="Arial" w:hAnsi="Arial"/>
          <w:sz w:val="16"/>
          <w:szCs w:val="16"/>
          <w:b w:val="1"/>
          <w:bCs w:val="1"/>
          <w:i w:val="1"/>
          <w:iCs w:val="1"/>
          <w:color w:val="auto"/>
        </w:rPr>
        <w:t>SPAC Merger Surviving Company</w:t>
      </w:r>
      <w:r>
        <w:rPr>
          <w:rFonts w:ascii="Arial" w:cs="Arial" w:eastAsia="Arial" w:hAnsi="Arial"/>
          <w:sz w:val="16"/>
          <w:szCs w:val="16"/>
          <w:color w:val="auto"/>
        </w:rPr>
        <w:t>”); and (iii) following the SPAC Merger, the SPAC Merger Surviving Company will merge with and into Merger Sub II,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Sub II surviving the merger as a direct wholly-owned subsidiary of the Company;</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in the SPAC Merger, each share of RVAC Common Stock will be exchanged for one share of common stock, par value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as a result of the SPAC Merger and pursuant to Section 4.4 of the Prior Agreement and that certain Assignment, Assumption and Amendment Agreement, dated as of August 25, 2022, by and among the Company, RVAC, the Warrant Agent and the Prior Warrant Agent, the Company shall assume the Warrants from RVAC and each whole Warrant shall thereafter no longer be exercisable for RVAC Common Stock but shall instead entitle the holder thereof to purchase one share of Common Stock for $11.50 per whole share, subject to adjustment as described herein;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has filed a registration statement on Form S-4 (File No. 333-264464)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register the Warrants being assumed by the Company as a result of the SPAC Merger, the terms of the Prior Agreement and this Agreement and the shares of Common Stock issuable upon exercise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herein contained, the parties hereto agree as follows:</w:t>
      </w:r>
    </w:p>
    <w:p>
      <w:pPr>
        <w:spacing w:after="0" w:line="237" w:lineRule="exact"/>
        <w:rPr>
          <w:sz w:val="20"/>
          <w:szCs w:val="20"/>
          <w:color w:val="auto"/>
        </w:rPr>
      </w:pPr>
    </w:p>
    <w:p>
      <w:pPr>
        <w:jc w:val="both"/>
        <w:ind w:firstLine="656"/>
        <w:spacing w:after="0" w:line="263"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express (and no implied) terms and conditions set forth in this Agreement.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Form of Warrant</w:t>
      </w:r>
      <w:r>
        <w:rPr>
          <w:rFonts w:ascii="Arial" w:cs="Arial" w:eastAsia="Arial" w:hAnsi="Arial"/>
          <w:sz w:val="17"/>
          <w:szCs w:val="17"/>
          <w:color w:val="auto"/>
        </w:rPr>
        <w:t xml:space="preserve">. Each Warrant shall be issued in registered form only, and, if a physical certificate is issued, shall be in substantially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provisions of which are incorporated herein and shall be signed by, or bear the facsimile signature of, the Chairman of the Board, President, Chief Executive Officer, Chief Financial Officer,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Public Warrants shall initially be represented by one or more book-entry certificates (each, a “</w:t>
      </w:r>
      <w:r>
        <w:rPr>
          <w:rFonts w:ascii="Arial" w:cs="Arial" w:eastAsia="Arial" w:hAnsi="Arial"/>
          <w:sz w:val="17"/>
          <w:szCs w:val="17"/>
          <w:b w:val="1"/>
          <w:bCs w:val="1"/>
          <w:i w:val="1"/>
          <w:iCs w:val="1"/>
          <w:color w:val="auto"/>
        </w:rPr>
        <w:t>Book-Entry Warrant Certificate</w:t>
      </w:r>
      <w:r>
        <w:rPr>
          <w:rFonts w:ascii="Arial" w:cs="Arial" w:eastAsia="Arial" w:hAnsi="Arial"/>
          <w:sz w:val="17"/>
          <w:szCs w:val="17"/>
          <w:color w:val="auto"/>
        </w:rPr>
        <w:t>”).</w:t>
      </w:r>
    </w:p>
    <w:p>
      <w:pPr>
        <w:spacing w:after="0" w:line="17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Effect of Countersignature</w:t>
      </w:r>
      <w:r>
        <w:rPr>
          <w:rFonts w:ascii="Arial" w:cs="Arial" w:eastAsia="Arial" w:hAnsi="Arial"/>
          <w:sz w:val="16"/>
          <w:szCs w:val="16"/>
          <w:color w:val="auto"/>
        </w:rPr>
        <w:t>. If a physical certificate is issued, unless and until countersigned by the Warrant Agent pursuant to this Agreement, a Warrant certificate shall be invalid and of no effect and may not be exercised by the holder thereof.</w:t>
      </w:r>
    </w:p>
    <w:p>
      <w:pPr>
        <w:spacing w:after="0" w:line="12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Book-Entry Warrant Certificates deposited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and registered in the name of Cede &amp; Co., a nominee of the Depositary. Ownership of beneficial interests in the Public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6" w:lineRule="exact"/>
        <w:rPr>
          <w:sz w:val="20"/>
          <w:szCs w:val="20"/>
          <w:color w:val="auto"/>
        </w:rPr>
      </w:pPr>
    </w:p>
    <w:p>
      <w:pPr>
        <w:jc w:val="both"/>
        <w:ind w:firstLine="1944"/>
        <w:spacing w:after="0" w:line="272" w:lineRule="auto"/>
        <w:rPr>
          <w:sz w:val="20"/>
          <w:szCs w:val="20"/>
          <w:color w:val="auto"/>
        </w:rPr>
      </w:pPr>
      <w:r>
        <w:rPr>
          <w:rFonts w:ascii="Arial" w:cs="Arial" w:eastAsia="Arial" w:hAnsi="Arial"/>
          <w:sz w:val="17"/>
          <w:szCs w:val="17"/>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t>
      </w:r>
      <w:r>
        <w:rPr>
          <w:rFonts w:ascii="Arial" w:cs="Arial" w:eastAsia="Arial" w:hAnsi="Arial"/>
          <w:sz w:val="17"/>
          <w:szCs w:val="17"/>
          <w:b w:val="1"/>
          <w:bCs w:val="1"/>
          <w:i w:val="1"/>
          <w:iCs w:val="1"/>
          <w:color w:val="auto"/>
        </w:rPr>
        <w:t>Definitive Warrant Certificate</w:t>
      </w:r>
      <w:r>
        <w:rPr>
          <w:rFonts w:ascii="Arial" w:cs="Arial" w:eastAsia="Arial" w:hAnsi="Arial"/>
          <w:sz w:val="17"/>
          <w:szCs w:val="17"/>
          <w:color w:val="auto"/>
        </w:rPr>
        <w:t xml:space="preserve">”). Such Definitive Warrant Certificate shall be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with appropriate insertions, modifications and omissions,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5" w:name="page116"/>
    <w:bookmarkEnd w:id="115"/>
    <w:p>
      <w:pPr>
        <w:jc w:val="both"/>
        <w:ind w:firstLine="1944"/>
        <w:spacing w:after="0" w:line="255"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the absolute owner of such Warrant and of each Warrant represented thereby (notwithstanding any notation of ownership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writing on a Definitive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The Private Placement Warrants shall be identical to the Public Warrants, except that so long as they are held by either the Sponsor or any Permitted Transferees (as defined below), as applicable, the Private Placement Warrants: (i)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may not be transferred, assigned or sold until the date that is thirty (30) days after Effective Date, and (iii) shall not be redeemable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(ii), the Private Placement Warrants and any shares of Common Stock held by either the Sponsor or any persons who were officers or directors of RVAC prior to the Effective Date (“</w:t>
      </w:r>
      <w:r>
        <w:rPr>
          <w:rFonts w:ascii="Arial" w:cs="Arial" w:eastAsia="Arial" w:hAnsi="Arial"/>
          <w:sz w:val="16"/>
          <w:szCs w:val="16"/>
          <w:b w:val="1"/>
          <w:bCs w:val="1"/>
          <w:i w:val="1"/>
          <w:iCs w:val="1"/>
          <w:color w:val="auto"/>
        </w:rPr>
        <w:t>RVAC Officers and Directors</w:t>
      </w:r>
      <w:r>
        <w:rPr>
          <w:rFonts w:ascii="Arial" w:cs="Arial" w:eastAsia="Arial" w:hAnsi="Arial"/>
          <w:sz w:val="16"/>
          <w:szCs w:val="16"/>
          <w:color w:val="auto"/>
        </w:rPr>
        <w:t>”), or any Permitted Transferees, as applicable, and issued upon exercise of the Private Placement Warrants may be transferred by the holders thereof:</w:t>
      </w:r>
    </w:p>
    <w:p>
      <w:pPr>
        <w:spacing w:after="0" w:line="166" w:lineRule="exact"/>
        <w:rPr>
          <w:sz w:val="20"/>
          <w:szCs w:val="20"/>
          <w:color w:val="auto"/>
        </w:rPr>
      </w:pPr>
    </w:p>
    <w:p>
      <w:pPr>
        <w:ind w:left="660" w:firstLine="1292"/>
        <w:spacing w:after="0" w:line="277" w:lineRule="auto"/>
        <w:tabs>
          <w:tab w:leader="none" w:pos="2604"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to RVAC Officers and Directors, any affiliate or family member of any of the RVAC Officers and Directors, any affiliate of the Sponsor or to any members of the Sponsor or any of their affiliates;</w:t>
      </w:r>
    </w:p>
    <w:p>
      <w:pPr>
        <w:spacing w:after="0" w:line="170" w:lineRule="exact"/>
        <w:rPr>
          <w:rFonts w:ascii="Arial" w:cs="Arial" w:eastAsia="Arial" w:hAnsi="Arial"/>
          <w:sz w:val="18"/>
          <w:szCs w:val="18"/>
          <w:color w:val="010000"/>
        </w:rPr>
      </w:pPr>
    </w:p>
    <w:p>
      <w:pPr>
        <w:jc w:val="both"/>
        <w:ind w:left="660" w:firstLine="1292"/>
        <w:spacing w:after="0" w:line="263" w:lineRule="auto"/>
        <w:tabs>
          <w:tab w:leader="none" w:pos="2604"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in the case of an individual, by gift to a member of such individual’s immediate family or to a trust, the beneficiary of which is a member of such individual’s immediate family, an affiliate of such individual or to a charitable organization;</w:t>
      </w:r>
    </w:p>
    <w:p>
      <w:pPr>
        <w:spacing w:after="0" w:line="183" w:lineRule="exact"/>
        <w:rPr>
          <w:rFonts w:ascii="Arial" w:cs="Arial" w:eastAsia="Arial" w:hAnsi="Arial"/>
          <w:sz w:val="18"/>
          <w:szCs w:val="18"/>
          <w:color w:val="010000"/>
        </w:rPr>
      </w:pPr>
    </w:p>
    <w:p>
      <w:pPr>
        <w:ind w:left="2600" w:hanging="648"/>
        <w:spacing w:after="0"/>
        <w:tabs>
          <w:tab w:leader="none" w:pos="2600" w:val="left"/>
        </w:tabs>
        <w:numPr>
          <w:ilvl w:val="0"/>
          <w:numId w:val="81"/>
        </w:numPr>
        <w:rPr>
          <w:rFonts w:ascii="Arial" w:cs="Arial" w:eastAsia="Arial" w:hAnsi="Arial"/>
          <w:sz w:val="16"/>
          <w:szCs w:val="16"/>
          <w:color w:val="010000"/>
        </w:rPr>
      </w:pPr>
      <w:r>
        <w:rPr>
          <w:rFonts w:ascii="Arial" w:cs="Arial" w:eastAsia="Arial" w:hAnsi="Arial"/>
          <w:sz w:val="16"/>
          <w:szCs w:val="16"/>
          <w:color w:val="auto"/>
        </w:rPr>
        <w:t>in the case of an individual, by virtue of laws of descent and distribution upon death of such person;</w:t>
      </w:r>
    </w:p>
    <w:p>
      <w:pPr>
        <w:spacing w:after="0" w:line="248" w:lineRule="exact"/>
        <w:rPr>
          <w:rFonts w:ascii="Arial" w:cs="Arial" w:eastAsia="Arial" w:hAnsi="Arial"/>
          <w:sz w:val="16"/>
          <w:szCs w:val="16"/>
          <w:color w:val="010000"/>
        </w:rPr>
      </w:pPr>
    </w:p>
    <w:p>
      <w:pPr>
        <w:ind w:left="2600" w:hanging="648"/>
        <w:spacing w:after="0"/>
        <w:tabs>
          <w:tab w:leader="none" w:pos="260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010000"/>
        </w:rPr>
      </w:pPr>
    </w:p>
    <w:p>
      <w:pPr>
        <w:jc w:val="both"/>
        <w:ind w:left="660" w:firstLine="1292"/>
        <w:spacing w:after="0" w:line="263" w:lineRule="auto"/>
        <w:tabs>
          <w:tab w:leader="none" w:pos="2604"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by private sales or transfers made in connection with any forward purchase agreement or similar arrangement or in connection with the consummation of the Westrock Business Combination at prices no greater than the price at which the Warrants were originally purchased;</w:t>
      </w:r>
    </w:p>
    <w:p>
      <w:pPr>
        <w:spacing w:after="0" w:line="183" w:lineRule="exact"/>
        <w:rPr>
          <w:rFonts w:ascii="Arial" w:cs="Arial" w:eastAsia="Arial" w:hAnsi="Arial"/>
          <w:sz w:val="18"/>
          <w:szCs w:val="18"/>
          <w:color w:val="010000"/>
        </w:rPr>
      </w:pPr>
    </w:p>
    <w:p>
      <w:pPr>
        <w:ind w:left="660" w:right="20" w:firstLine="1292"/>
        <w:spacing w:after="0" w:line="277" w:lineRule="auto"/>
        <w:tabs>
          <w:tab w:leader="none" w:pos="2604"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by virtue of the laws of the State of Delaware or the limited liability company agreement of the Sponsor upon dissolution of the Sponsor;</w:t>
      </w:r>
    </w:p>
    <w:p>
      <w:pPr>
        <w:spacing w:after="0" w:line="170" w:lineRule="exact"/>
        <w:rPr>
          <w:rFonts w:ascii="Arial" w:cs="Arial" w:eastAsia="Arial" w:hAnsi="Arial"/>
          <w:sz w:val="18"/>
          <w:szCs w:val="18"/>
          <w:color w:val="010000"/>
        </w:rPr>
      </w:pPr>
    </w:p>
    <w:p>
      <w:pPr>
        <w:ind w:left="2600" w:hanging="648"/>
        <w:spacing w:after="0"/>
        <w:tabs>
          <w:tab w:leader="none" w:pos="260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010000"/>
        </w:rPr>
      </w:pPr>
    </w:p>
    <w:p>
      <w:pPr>
        <w:jc w:val="both"/>
        <w:ind w:left="660" w:firstLine="1292"/>
        <w:spacing w:after="0" w:line="275" w:lineRule="auto"/>
        <w:tabs>
          <w:tab w:leader="none" w:pos="2604"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 xml:space="preserve">in the event that, subsequent to the consummation of the Westrock Business Combination, the Company completes a liquidation, merger, share exchange or other similar transaction which results in all of the Company’s stockholders having the right to exchange their shares of Common Stock for cash, securities or other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clauses (a) through (f), these transferees (the “</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enter into a written agreement with the Company agreeing to be bound by the transfer restrictions in this Agreement.</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6" w:name="page117"/>
    <w:bookmarkEnd w:id="116"/>
    <w:p>
      <w:pPr>
        <w:jc w:val="both"/>
        <w:ind w:firstLine="1296"/>
        <w:spacing w:after="0" w:line="273"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Opinion of Counsel</w:t>
      </w:r>
      <w:r>
        <w:rPr>
          <w:rFonts w:ascii="Arial" w:cs="Arial" w:eastAsia="Arial" w:hAnsi="Arial"/>
          <w:sz w:val="17"/>
          <w:szCs w:val="17"/>
          <w:color w:val="auto"/>
        </w:rPr>
        <w:t>. The Company shall provide a reliance letter from Wachtell, Lipton, Rosen &amp; Katz, reasonably satisfactory to the Warrant Agent, on or prior to the Effective Date, which such reliance letter shall permit the Warrant Agent to rely on the opinion of Wachtell, Lipton, Rosen &amp; Katz, filed as Exhibit 5.1 to the Registration Statement under which the Warrants will have been registered, relating to (i) the Warrants being a valid and binding obligation of the Company and (ii) the shares of the Common Stock, when issued upon the exercise of such Warrants and the payment of the exercise price pursuant to and in accordance with the terms of this Agreement, being validly issued, fully paid and non assessable.</w:t>
      </w:r>
    </w:p>
    <w:p>
      <w:pPr>
        <w:spacing w:after="0" w:line="178"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The term “Warrant Price” as used in this Agreement shall mean the price per share at which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reduction shall be identical among all of the Warrants and the Company shall comply with the requirements of Listing Rule 5406(d)(4) of the Nasdaq Stock Market .</w:t>
      </w:r>
    </w:p>
    <w:p>
      <w:pPr>
        <w:spacing w:after="0" w:line="19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(the “</w:t>
      </w:r>
      <w:r>
        <w:rPr>
          <w:rFonts w:ascii="Arial" w:cs="Arial" w:eastAsia="Arial" w:hAnsi="Arial"/>
          <w:sz w:val="17"/>
          <w:szCs w:val="17"/>
          <w:b w:val="1"/>
          <w:bCs w:val="1"/>
          <w:i w:val="1"/>
          <w:iCs w:val="1"/>
          <w:color w:val="auto"/>
        </w:rPr>
        <w:t>Exercise Period</w:t>
      </w:r>
      <w:r>
        <w:rPr>
          <w:rFonts w:ascii="Arial" w:cs="Arial" w:eastAsia="Arial" w:hAnsi="Arial"/>
          <w:sz w:val="17"/>
          <w:szCs w:val="17"/>
          <w:color w:val="auto"/>
        </w:rPr>
        <w:t xml:space="preserve">”) commencing on the date that is thirty (30) days after the Effective Date, and terminating on the earlier to occur of: (i) at 5:00 p.m., New York City time on the date that is five (5) years after the Effective Date, (ii) the liquidation of the Company and (iii) other than with respect to the Private Placement Warrants then held by either the Sponsor or any RVAC Officers and Directors, or any of their Permitted Transferees as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 Redemption Date (as defined below) as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(the “</w:t>
      </w:r>
      <w:r>
        <w:rPr>
          <w:rFonts w:ascii="Arial" w:cs="Arial" w:eastAsia="Arial" w:hAnsi="Arial"/>
          <w:sz w:val="17"/>
          <w:szCs w:val="17"/>
          <w:b w:val="1"/>
          <w:bCs w:val="1"/>
          <w:i w:val="1"/>
          <w:iCs w:val="1"/>
          <w:color w:val="auto"/>
        </w:rPr>
        <w:t>Expiration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exercise of any Warrant shall be subject to the satisfaction of any applicable conditions, as set forth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below, with respect to an effective registration statement. Except with respect to the right to receive the Redemption Price (as defined below) in the event of a redemption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each outstanding Warrant (other than a Private Placement Warrant held by either the Sponsor or any RVAC Officers and Directors, or their Permitted Transferees, in the event of a redemption for cash)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provide at least twenty (20) days prior written notice of any such extension to Registered Holders of the Warrants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extension shall be identical in duration among all the Warrants.</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88"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the Warrant and this Agreement, a Warrant may be exercised by the Registered Holder thereof by delivering to the Warrant Agent at the office of the Warrant Agent designated for such purposes (i) the Definitive Warrant Certificate evidencing the Warrants to be exercised, or, in the case of a Book-Entry Warrant Certificate, the Warrants to be exercised (the “</w:t>
      </w:r>
      <w:r>
        <w:rPr>
          <w:rFonts w:ascii="Arial" w:cs="Arial" w:eastAsia="Arial" w:hAnsi="Arial"/>
          <w:sz w:val="16"/>
          <w:szCs w:val="16"/>
          <w:b w:val="1"/>
          <w:bCs w:val="1"/>
          <w:i w:val="1"/>
          <w:iCs w:val="1"/>
          <w:color w:val="auto"/>
        </w:rPr>
        <w:t>Book-Entry Warrants</w:t>
      </w:r>
      <w:r>
        <w:rPr>
          <w:rFonts w:ascii="Arial" w:cs="Arial" w:eastAsia="Arial" w:hAnsi="Arial"/>
          <w:sz w:val="16"/>
          <w:szCs w:val="16"/>
          <w:color w:val="auto"/>
        </w:rPr>
        <w:t>”) on the records of the Depositary to an account of the Warrant Agent at the Depositary designated for such purposes in writing by the Warrant Agent to the Depositary from time to time, (ii) an election to purchase (“</w:t>
      </w:r>
      <w:r>
        <w:rPr>
          <w:rFonts w:ascii="Arial" w:cs="Arial" w:eastAsia="Arial" w:hAnsi="Arial"/>
          <w:sz w:val="16"/>
          <w:szCs w:val="16"/>
          <w:b w:val="1"/>
          <w:bCs w:val="1"/>
          <w:i w:val="1"/>
          <w:iCs w:val="1"/>
          <w:color w:val="auto"/>
        </w:rPr>
        <w:t>Election to Purchase</w:t>
      </w:r>
      <w:r>
        <w:rPr>
          <w:rFonts w:ascii="Arial" w:cs="Arial" w:eastAsia="Arial" w:hAnsi="Arial"/>
          <w:sz w:val="16"/>
          <w:szCs w:val="16"/>
          <w:color w:val="auto"/>
        </w:rPr>
        <w:t>”) shares of Common Stock pursuant to the exercise of a Warrant, properly completed and duly executed by the Registered Holder on the reverse of the Definitive Warrant Certificate or, in the case of a Book-Entry Warrant Certificate, properly delivered by the Participant in accordance with the Depositary’s procedures, and (iii) payment in full of the Warrant Price for each full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68" w:lineRule="exact"/>
        <w:rPr>
          <w:sz w:val="20"/>
          <w:szCs w:val="20"/>
          <w:color w:val="auto"/>
        </w:rPr>
      </w:pPr>
    </w:p>
    <w:p>
      <w:pPr>
        <w:ind w:left="660" w:firstLine="1292"/>
        <w:spacing w:after="0" w:line="277" w:lineRule="auto"/>
        <w:tabs>
          <w:tab w:leader="none" w:pos="2604"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in lawful money of the United States, in good certified check or good bank draft payable to the order of the Warrant Agent or by wire transfer of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7" w:name="page118"/>
    <w:bookmarkEnd w:id="117"/>
    <w:p>
      <w:pPr>
        <w:jc w:val="both"/>
        <w:ind w:left="660" w:firstLine="1292"/>
        <w:spacing w:after="0" w:line="254" w:lineRule="auto"/>
        <w:tabs>
          <w:tab w:leader="none" w:pos="2604"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 xml:space="preserve">in the event of a redemption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in which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has elected to require all holders of the Warrants to exercise such Warrants on a “cashless basis,”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the “Fair Market Value” shall mean the average closing price of the Common Stock for the ten (10) trading days ending on the third trading day prior to the date on which the notice of redemption is sent to the holders of the Warrants,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91" w:lineRule="exact"/>
        <w:rPr>
          <w:rFonts w:ascii="Arial" w:cs="Arial" w:eastAsia="Arial" w:hAnsi="Arial"/>
          <w:sz w:val="18"/>
          <w:szCs w:val="18"/>
          <w:color w:val="010000"/>
        </w:rPr>
      </w:pPr>
    </w:p>
    <w:p>
      <w:pPr>
        <w:jc w:val="both"/>
        <w:ind w:left="660" w:firstLine="1292"/>
        <w:spacing w:after="0" w:line="291" w:lineRule="auto"/>
        <w:tabs>
          <w:tab w:leader="none" w:pos="2604" w:val="left"/>
        </w:tabs>
        <w:numPr>
          <w:ilvl w:val="0"/>
          <w:numId w:val="84"/>
        </w:numPr>
        <w:rPr>
          <w:rFonts w:ascii="Arial" w:cs="Arial" w:eastAsia="Arial" w:hAnsi="Arial"/>
          <w:sz w:val="16"/>
          <w:szCs w:val="16"/>
          <w:color w:val="010000"/>
        </w:rPr>
      </w:pPr>
      <w:r>
        <w:rPr>
          <w:rFonts w:ascii="Arial" w:cs="Arial" w:eastAsia="Arial" w:hAnsi="Arial"/>
          <w:sz w:val="16"/>
          <w:szCs w:val="16"/>
          <w:color w:val="auto"/>
        </w:rPr>
        <w:t xml:space="preserve">with respect to any Private Placement Warrant, so long as such Private Placement Warrant is held by either the Sponsor or any RVAC Officers and Directors, or their Permitted Transferees, by surrendering the Warrants for that number of shares of Common Stock equal to the quotient obtained by dividing (x) the product of the number of shares of Common Stock underlying the Warrants, multiplied by the excess of the “Fair Market Value”, as defined in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3.3.1(c)</w:t>
      </w:r>
      <w:r>
        <w:rPr>
          <w:rFonts w:ascii="Arial" w:cs="Arial" w:eastAsia="Arial" w:hAnsi="Arial"/>
          <w:sz w:val="16"/>
          <w:szCs w:val="16"/>
          <w:color w:val="auto"/>
        </w:rPr>
        <w:t xml:space="preserve">, over the Warrant Price by (y) the Fair Market Value. Solely for purposes of this </w:t>
      </w:r>
      <w:r>
        <w:rPr>
          <w:rFonts w:ascii="Arial" w:cs="Arial" w:eastAsia="Arial" w:hAnsi="Arial"/>
          <w:sz w:val="16"/>
          <w:szCs w:val="16"/>
          <w:u w:val="single" w:color="auto"/>
          <w:color w:val="auto"/>
        </w:rPr>
        <w:t>subsection 3.3.1(c)</w:t>
      </w:r>
      <w:r>
        <w:rPr>
          <w:rFonts w:ascii="Arial" w:cs="Arial" w:eastAsia="Arial" w:hAnsi="Arial"/>
          <w:sz w:val="16"/>
          <w:szCs w:val="16"/>
          <w:color w:val="auto"/>
        </w:rPr>
        <w:t>, the “Fair Market Value” shall mean the average closing price of the Common Stock for the ten (10) trading days ending on the third trading day prior to the date on which notice of exercise of the Private Placement Warrant is sent to the Warrant Agent; or</w:t>
      </w:r>
    </w:p>
    <w:p>
      <w:pPr>
        <w:spacing w:after="0" w:line="166" w:lineRule="exact"/>
        <w:rPr>
          <w:rFonts w:ascii="Arial" w:cs="Arial" w:eastAsia="Arial" w:hAnsi="Arial"/>
          <w:sz w:val="16"/>
          <w:szCs w:val="16"/>
          <w:color w:val="010000"/>
        </w:rPr>
      </w:pPr>
    </w:p>
    <w:p>
      <w:pPr>
        <w:ind w:left="2600" w:hanging="648"/>
        <w:spacing w:after="0"/>
        <w:tabs>
          <w:tab w:leader="none" w:pos="260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Shares of Common Stock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 (a))</w:t>
      </w:r>
      <w:r>
        <w:rPr>
          <w:rFonts w:ascii="Arial" w:cs="Arial" w:eastAsia="Arial" w:hAnsi="Arial"/>
          <w:sz w:val="16"/>
          <w:szCs w:val="16"/>
          <w:color w:val="auto"/>
        </w:rPr>
        <w:t>, the Company shall issue to the Registered Holder of such Warrant a book-entry position or certificate, as applicable, for the number of full shares of Common Stock to which he, she or it is entitled, registered in such name or names as may be directed by him, her or it, and if such Warrant shall not have been exercised in full, a new book-entry position or countersigned Warrant, as applicable, for the number of shares of Common Stock as to which such Warrant shall not have been exercised.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Notwithstanding the foregoing, the Company shall not be obligated to deliver any shares of Common Stock pursuant to the exercise of a Warrant and shall have no obligation to settle such Warrant exercise unless a registration statement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with respect to the shares of Common Stock underlying the Public Warrants is then effective and a prospectus relating thereto is current, subject to the Company’s satisfying its obligations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No Warrant shall be exercisable and the Company shall not be obligated to issue shares of Common Stock upon exercise of a Warrant unless the Common Stock issuable upon such Warrant exercise has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which case the purchaser of a Unit containing such Public Warrants shall have paid the full purchase price for the Unit solely for the shares of Common Stock underlying such Unit. In no event will the Company be required to net cash settle the Warrant exercise. The Company may require holders of Public Warrants to settle the Warrant on a “cashless basis”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178" w:lineRule="exact"/>
        <w:rPr>
          <w:sz w:val="20"/>
          <w:szCs w:val="20"/>
          <w:color w:val="auto"/>
        </w:rPr>
      </w:pPr>
    </w:p>
    <w:p>
      <w:pPr>
        <w:jc w:val="both"/>
        <w:ind w:firstLine="1944"/>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book-entry position or certificate, as applicable, for shares of Common Stock is issued shall for all purposes be deemed to have become the holder of record of such shares of Common Stock on the date on which the Warrant, or book-entry position representing such Warrant, was surrendered and payment of the Warrant Price was made, irrespective of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8" w:name="page119"/>
    <w:bookmarkEnd w:id="118"/>
    <w:p>
      <w:pPr>
        <w:jc w:val="both"/>
        <w:spacing w:after="0" w:line="259" w:lineRule="auto"/>
        <w:rPr>
          <w:sz w:val="20"/>
          <w:szCs w:val="20"/>
          <w:color w:val="auto"/>
        </w:rPr>
      </w:pPr>
      <w:r>
        <w:rPr>
          <w:rFonts w:ascii="Arial" w:cs="Arial" w:eastAsia="Arial" w:hAnsi="Arial"/>
          <w:sz w:val="18"/>
          <w:szCs w:val="18"/>
          <w:color w:val="auto"/>
        </w:rPr>
        <w:t>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shares of Common Stock at the close of business on the next succeeding date on which the share transfer books or book-entry system are open.</w:t>
      </w:r>
    </w:p>
    <w:p>
      <w:pPr>
        <w:spacing w:after="0" w:line="187"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as the case may be, (2) a more recent public announcement by the Company or (3) any other notice by the Company or the Transfer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increase shall not be effective until the sixty-first (61st) day after such notice is delivered to the Company.</w:t>
      </w:r>
    </w:p>
    <w:p>
      <w:pPr>
        <w:spacing w:after="0" w:line="389"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u w:val="single" w:color="auto"/>
          <w:color w:val="auto"/>
        </w:rPr>
        <w:t>Stock Dividends</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Split-Ups</w:t>
      </w:r>
      <w:r>
        <w:rPr>
          <w:rFonts w:ascii="Arial" w:cs="Arial" w:eastAsia="Arial" w:hAnsi="Arial"/>
          <w:sz w:val="16"/>
          <w:szCs w:val="16"/>
          <w:color w:val="auto"/>
        </w:rPr>
        <w:t xml:space="preserve">. If after the date hereof, and subject to the provisions of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below,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the outstanding shares of Common Stock. A rights offering to holders of the Common Stock entitling holders to purchase shares of Common Stock at a price less than the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Common Stock) multiplied by (ii) one (1) minus the quotient of</w:t>
      </w:r>
    </w:p>
    <w:p>
      <w:pPr>
        <w:spacing w:after="0" w:line="1" w:lineRule="exact"/>
        <w:rPr>
          <w:sz w:val="20"/>
          <w:szCs w:val="20"/>
          <w:color w:val="auto"/>
        </w:rPr>
      </w:pPr>
    </w:p>
    <w:p>
      <w:pPr>
        <w:jc w:val="both"/>
        <w:ind w:firstLine="8"/>
        <w:spacing w:after="0" w:line="271" w:lineRule="auto"/>
        <w:tabs>
          <w:tab w:leader="none" w:pos="272"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price per share of Common Stock paid in such rights offering and divided by (y) the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(i) if the rights offering is for securities convertible into or exercisable for Common Stock, in determining the price payable for Common Stock, there shall be taken into account any consideration received for such rights, as well as any additional amount payable upon exercise or conversion and (ii) “Fair Market Value” means the volume weighted average price of the Common Stock as reported during the ten (10) trading day period ending on the trading day prior to the first date on which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of Common Stock trade on the applicable exchange or in the applicable market, regular way, without the right to receive such rights.</w:t>
      </w:r>
    </w:p>
    <w:p>
      <w:pPr>
        <w:spacing w:after="0" w:line="237" w:lineRule="exact"/>
        <w:rPr>
          <w:sz w:val="20"/>
          <w:szCs w:val="20"/>
          <w:color w:val="auto"/>
        </w:rPr>
      </w:pPr>
    </w:p>
    <w:p>
      <w:pPr>
        <w:jc w:val="both"/>
        <w:ind w:firstLine="1944"/>
        <w:spacing w:after="0" w:line="268"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xml:space="preserve">. If the Company, at any time while the Warrants are outstanding and unexpired, shall pay a dividend or make a distribution in cash, securities or other assets to the holders of the Common Stock on account of such shares of Common Stock (or other shares of the Company’s capital stock into which the Warrants are convertible), other than (a) as described in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above, or (b) Ordinary Cash Dividends (as defined below) (any such non-excluded event being referred to herein as an “</w:t>
      </w:r>
      <w:r>
        <w:rPr>
          <w:rFonts w:ascii="Arial" w:cs="Arial" w:eastAsia="Arial" w:hAnsi="Arial"/>
          <w:sz w:val="17"/>
          <w:szCs w:val="17"/>
          <w:b w:val="1"/>
          <w:bCs w:val="1"/>
          <w:i w:val="1"/>
          <w:i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share of Common Stock in respect of such Extraordinary Dividend. For purposes of this </w:t>
      </w:r>
      <w:r>
        <w:rPr>
          <w:rFonts w:ascii="Arial" w:cs="Arial" w:eastAsia="Arial" w:hAnsi="Arial"/>
          <w:sz w:val="17"/>
          <w:szCs w:val="17"/>
          <w:u w:val="single" w:color="auto"/>
          <w:color w:val="auto"/>
        </w:rPr>
        <w:t>subsection 4.1.2</w:t>
      </w:r>
      <w:r>
        <w:rPr>
          <w:rFonts w:ascii="Arial" w:cs="Arial" w:eastAsia="Arial" w:hAnsi="Arial"/>
          <w:sz w:val="17"/>
          <w:szCs w:val="17"/>
          <w:color w:val="auto"/>
        </w:rPr>
        <w:t>, “</w:t>
      </w:r>
      <w:r>
        <w:rPr>
          <w:rFonts w:ascii="Arial" w:cs="Arial" w:eastAsia="Arial" w:hAnsi="Arial"/>
          <w:sz w:val="17"/>
          <w:szCs w:val="17"/>
          <w:b w:val="1"/>
          <w:bCs w:val="1"/>
          <w:i w:val="1"/>
          <w:iCs w:val="1"/>
          <w:color w:val="auto"/>
        </w:rPr>
        <w:t>Ordinary Cash Dividends</w:t>
      </w:r>
      <w:r>
        <w:rPr>
          <w:rFonts w:ascii="Arial" w:cs="Arial" w:eastAsia="Arial" w:hAnsi="Arial"/>
          <w:sz w:val="17"/>
          <w:szCs w:val="17"/>
          <w:color w:val="auto"/>
        </w:rPr>
        <w:t xml:space="preserve">”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Adjustments in Warrant Price</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75" w:lineRule="auto"/>
        <w:rPr>
          <w:sz w:val="20"/>
          <w:szCs w:val="20"/>
          <w:color w:val="auto"/>
        </w:rPr>
      </w:pPr>
      <w:r>
        <w:rPr>
          <w:rFonts w:ascii="Arial" w:cs="Arial" w:eastAsia="Arial" w:hAnsi="Arial"/>
          <w:sz w:val="17"/>
          <w:szCs w:val="17"/>
          <w:color w:val="auto"/>
        </w:rPr>
        <w:t xml:space="preserve">4.3.1 Whenever the number of shares of Common Stock purchasable upon the exercise of the Warrants is adjusted, as provided in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7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7"/>
          <w:szCs w:val="17"/>
          <w:color w:val="auto"/>
        </w:rPr>
        <w:t>[RESERVED].</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of Common Stock (other than a change under </w:t>
      </w:r>
      <w:r>
        <w:rPr>
          <w:rFonts w:ascii="Arial" w:cs="Arial" w:eastAsia="Arial" w:hAnsi="Arial"/>
          <w:sz w:val="17"/>
          <w:szCs w:val="17"/>
          <w:u w:val="single" w:color="auto"/>
          <w:color w:val="auto"/>
        </w:rPr>
        <w:t>subsections 4.1.1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hereof or that solely affects the par value of such shares of Common Stock), or in the case of any merger or consolidation of the Company with or into another entity or conversion of the Company as another entity (other than a consolidation or merger in which the Company is the continuing corporation (and is not a subsidiary of another entity whose stockholders did not own all or substantially all of the Common Stock of the Company in substantially the same proportions immediately before such transaction) and that does not result in any reclassification or reorganization of the outstanding shares of Common Stock),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7"/>
          <w:szCs w:val="17"/>
          <w:b w:val="1"/>
          <w:bCs w:val="1"/>
          <w:i w:val="1"/>
          <w:iCs w:val="1"/>
          <w:color w:val="auto"/>
        </w:rPr>
        <w:t>Alternative Issuance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the holders of the Common Stock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0" w:name="page121"/>
    <w:bookmarkEnd w:id="120"/>
    <w:p>
      <w:pPr>
        <w:jc w:val="both"/>
        <w:spacing w:after="0" w:line="284" w:lineRule="auto"/>
        <w:rPr>
          <w:sz w:val="20"/>
          <w:szCs w:val="20"/>
          <w:color w:val="auto"/>
        </w:rPr>
      </w:pPr>
      <w:r>
        <w:rPr>
          <w:rFonts w:ascii="Arial" w:cs="Arial" w:eastAsia="Arial" w:hAnsi="Arial"/>
          <w:sz w:val="16"/>
          <w:szCs w:val="16"/>
          <w:color w:val="auto"/>
        </w:rPr>
        <w:t xml:space="preserve">amount received per share by the holders of the Common Stock in such consolidation or merger that affirmatively make such election, and (ii) if a tender, exchange or redemption offer shall have been made to and accepted by the holders of the Common Stock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less than 70% of the consideration receivable by the holders of the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(but in no event less than zero) of (i) the Warrant Price in effect prior to such reduction minus (ii) (A) the Per Share Consideration (as defined below) minus (B) the Black-Scholes Warrant Value (as defined below). The “</w:t>
      </w:r>
      <w:r>
        <w:rPr>
          <w:rFonts w:ascii="Arial" w:cs="Arial" w:eastAsia="Arial" w:hAnsi="Arial"/>
          <w:sz w:val="16"/>
          <w:szCs w:val="16"/>
          <w:b w:val="1"/>
          <w:bCs w:val="1"/>
          <w:i w:val="1"/>
          <w:i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 Model for a Capped American Call on Bloomberg Financial Markets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w:t>
      </w:r>
    </w:p>
    <w:p>
      <w:pPr>
        <w:spacing w:after="0" w:line="39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share of Common Stock shall be the volume weighted average price of the Common Stock as reported during the ten (10) 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Arial" w:cs="Arial" w:eastAsia="Arial" w:hAnsi="Arial"/>
          <w:sz w:val="16"/>
          <w:szCs w:val="16"/>
          <w:b w:val="1"/>
          <w:bCs w:val="1"/>
          <w:i w:val="1"/>
          <w:iCs w:val="1"/>
          <w:color w:val="auto"/>
        </w:rPr>
        <w:t>Per Share Consideration</w:t>
      </w:r>
      <w:r>
        <w:rPr>
          <w:rFonts w:ascii="Arial" w:cs="Arial" w:eastAsia="Arial" w:hAnsi="Arial"/>
          <w:sz w:val="16"/>
          <w:szCs w:val="16"/>
          <w:color w:val="auto"/>
        </w:rPr>
        <w:t xml:space="preserve">” means (i) if the consideration paid to holders of the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6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Notices of Changes in Warrant</w:t>
      </w:r>
      <w:r>
        <w:rPr>
          <w:rFonts w:ascii="Arial" w:cs="Arial" w:eastAsia="Arial" w:hAnsi="Arial"/>
          <w:sz w:val="17"/>
          <w:szCs w:val="17"/>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w:t>
      </w:r>
      <w:r>
        <w:rPr>
          <w:rFonts w:ascii="Arial" w:cs="Arial" w:eastAsia="Arial" w:hAnsi="Arial"/>
          <w:sz w:val="17"/>
          <w:szCs w:val="17"/>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 The Warrant Agent shall be entitled to rely on such notice and any adjustment or statement therein contained and shall have no duty or liability with respect thereto and shall not be deemed to have knowledge of any such adjustment or any such event unless and until it shall have received such notice.</w:t>
      </w:r>
    </w:p>
    <w:p>
      <w:pPr>
        <w:sectPr>
          <w:pgSz w:w="11900" w:h="16838" w:orient="portrait"/>
          <w:cols w:equalWidth="0" w:num="1">
            <w:col w:w="9920"/>
          </w:cols>
          <w:pgMar w:left="980" w:top="125" w:right="999" w:bottom="1440" w:gutter="0" w:footer="0" w:header="0"/>
        </w:sectPr>
      </w:pP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xml:space="preserve">. Notwithstanding any provision contained Company shall not issue fractional shares of Common Stock upon the exercise of Warrants.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holder of any Warrant would be entitled, upon the exercise of</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line="308" w:lineRule="auto"/>
        <w:rPr>
          <w:sz w:val="20"/>
          <w:szCs w:val="20"/>
          <w:color w:val="auto"/>
        </w:rPr>
      </w:pPr>
      <w:r>
        <w:rPr>
          <w:rFonts w:ascii="Arial" w:cs="Arial" w:eastAsia="Arial" w:hAnsi="Arial"/>
          <w:sz w:val="17"/>
          <w:szCs w:val="17"/>
          <w:color w:val="auto"/>
        </w:rPr>
        <w:t>in this Agreement to the contrary, the If, by reason of any adjustment made</w:t>
      </w:r>
    </w:p>
    <w:p>
      <w:pPr>
        <w:spacing w:after="0" w:line="397" w:lineRule="exact"/>
        <w:rPr>
          <w:sz w:val="20"/>
          <w:szCs w:val="20"/>
          <w:color w:val="auto"/>
        </w:rPr>
      </w:pPr>
    </w:p>
    <w:p>
      <w:pPr>
        <w:sectPr>
          <w:pgSz w:w="11900" w:h="16838" w:orient="portrait"/>
          <w:cols w:equalWidth="0" w:num="2">
            <w:col w:w="6940" w:space="20"/>
            <w:col w:w="2960"/>
          </w:cols>
          <w:pgMar w:left="980" w:top="12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121" w:name="page122"/>
    <w:bookmarkEnd w:id="121"/>
    <w:p>
      <w:pPr>
        <w:jc w:val="both"/>
        <w:spacing w:after="0" w:line="277" w:lineRule="auto"/>
        <w:rPr>
          <w:sz w:val="20"/>
          <w:szCs w:val="20"/>
          <w:color w:val="auto"/>
        </w:rPr>
      </w:pPr>
      <w:r>
        <w:rPr>
          <w:rFonts w:ascii="Arial" w:cs="Arial" w:eastAsia="Arial" w:hAnsi="Arial"/>
          <w:sz w:val="18"/>
          <w:szCs w:val="18"/>
          <w:color w:val="auto"/>
        </w:rPr>
        <w:t>such Warrant, to receive a fractional interest in a share, the Company shall, upon such exercise, round down to the nearest whole number the number of shares of Common Stock to be issued to such holder.</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Warrants issued after such adjustment may state the same Warrant Price and the same number of shares of Common Stock as is stated in the Warrants initially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9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In case any event shall occur affecting the Company as to which none of the provisions of the preceding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strictly applicable, but which would require an adjustment to the terms of the Warrants in order to (i) avoid an adverse impact on the Warrants and (ii) effectuate the intent and purpose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if they determine that an adjustment is necessary, the terms of such adjustment. The Company shall adjust the terms of the Warrants in a manner that is consistent with any adjustment recommended in such opinion.</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Registration of Transfer</w:t>
      </w:r>
      <w:r>
        <w:rPr>
          <w:rFonts w:ascii="Arial" w:cs="Arial" w:eastAsia="Arial" w:hAnsi="Arial"/>
          <w:sz w:val="17"/>
          <w:szCs w:val="17"/>
          <w:color w:val="auto"/>
        </w:rPr>
        <w:t>. The Warrant Agent shall register the transfer, from time to time, of any outstanding Warrant upon the Warrant Register, upon surrender of such Warrant for transfer, in the case of a certificated Warrant, properly endorsed with appropriate instructions for transfer and accompanied by a guaranty of signature by an “eligible guarantor institution” that is a member or participant in the Securities Transfer Agents Medallion Program or other comparable “signature guarantee program.”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 Warrant surrendered for transfer bears a restrictive legend (as in the case of the Private Placement Warrants and the Working Capital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Warrant Execution and Countersignature</w:t>
      </w:r>
      <w:r>
        <w:rPr>
          <w:rFonts w:ascii="Arial" w:cs="Arial" w:eastAsia="Arial" w:hAnsi="Arial"/>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8"/>
          <w:szCs w:val="18"/>
          <w:u w:val="single" w:color="auto"/>
          <w:color w:val="auto"/>
        </w:rPr>
        <w:t>Section 5</w:t>
      </w:r>
      <w:r>
        <w:rPr>
          <w:rFonts w:ascii="Arial" w:cs="Arial" w:eastAsia="Arial" w:hAnsi="Arial"/>
          <w:sz w:val="18"/>
          <w:szCs w:val="18"/>
          <w:color w:val="auto"/>
        </w:rPr>
        <w:t>, and the Company, whenever required by the Warrant Agent, shall supply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2" w:name="page123"/>
    <w:bookmarkEnd w:id="122"/>
    <w:p>
      <w:pPr>
        <w:ind w:right="20"/>
        <w:spacing w:after="0" w:line="277" w:lineRule="auto"/>
        <w:rPr>
          <w:sz w:val="20"/>
          <w:szCs w:val="20"/>
          <w:color w:val="auto"/>
        </w:rPr>
      </w:pPr>
      <w:r>
        <w:rPr>
          <w:rFonts w:ascii="Arial" w:cs="Arial" w:eastAsia="Arial" w:hAnsi="Arial"/>
          <w:sz w:val="18"/>
          <w:szCs w:val="18"/>
          <w:color w:val="auto"/>
        </w:rPr>
        <w:t>Warrant Agent with Warrants duly executed on behalf of the Company for such purpose. The Warrant Agent may countersign a Definitive Warrant Certificate in manual or facsimile form.</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5"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 of Warrants for Cash</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6.4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hereof,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below, at the price of $0.01 per Warrant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closing price of the Common Stock reported has been at least $18.00 per share (subject to adjustment in compliance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on each of twenty (20) trading days within the thirty (30) trading-day period ending on the third business day prior to the date on which notice of the redemption is given;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there is an effective registration statement covering the shares of Common Stock issuable upon exercise of the Warrants, and a current prospectus relating thereto, available throughout the 30-day Redemption Period (as defined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below) or the Company has elected to require the exercise of the Warrants on a “cashless basis” pursuant to </w:t>
      </w:r>
      <w:r>
        <w:rPr>
          <w:rFonts w:ascii="Arial" w:cs="Arial" w:eastAsia="Arial" w:hAnsi="Arial"/>
          <w:sz w:val="17"/>
          <w:szCs w:val="17"/>
          <w:u w:val="single" w:color="auto"/>
          <w:color w:val="auto"/>
        </w:rPr>
        <w:t>subsection 3.3.1</w:t>
      </w:r>
      <w:r>
        <w:rPr>
          <w:rFonts w:ascii="Arial" w:cs="Arial" w:eastAsia="Arial" w:hAnsi="Arial"/>
          <w:sz w:val="17"/>
          <w:szCs w:val="17"/>
          <w:color w:val="auto"/>
        </w:rPr>
        <w:t xml:space="preserve"> and such cashless exercise is exempt from registration under the Securities Act.</w:t>
      </w:r>
    </w:p>
    <w:p>
      <w:pPr>
        <w:spacing w:after="0" w:line="18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xml:space="preserve">. In the event that the Company elects to redeem all of the Warrants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the Company shall fix a date for the redemption (the “</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Notice of redemption shall be mailed by first class mail, postage prepaid, by the Company not less than thirty (30) days prior to the Redemption Date (such period, the “</w:t>
      </w:r>
      <w:r>
        <w:rPr>
          <w:rFonts w:ascii="Arial" w:cs="Arial" w:eastAsia="Arial" w:hAnsi="Arial"/>
          <w:sz w:val="18"/>
          <w:szCs w:val="18"/>
          <w:b w:val="1"/>
          <w:bCs w:val="1"/>
          <w:i w:val="1"/>
          <w:iCs w:val="1"/>
          <w:color w:val="auto"/>
        </w:rPr>
        <w:t>Redemption Period</w:t>
      </w:r>
      <w:r>
        <w:rPr>
          <w:rFonts w:ascii="Arial" w:cs="Arial" w:eastAsia="Arial" w:hAnsi="Arial"/>
          <w:sz w:val="18"/>
          <w:szCs w:val="18"/>
          <w:color w:val="auto"/>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9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xml:space="preserve">. The Warrants may be exercised, for cash (or on a “cashless basis” in accordance with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of this Agreement) at any time after notice of redemption shall have been given by the Company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the notice of redemption shall contain the information necessary to calculate the number of shares of Common Stock to be received upon exercise of the Warrants, including the “Fair Market Value” (as such term is defined in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hereof) in such case. On and after the Redemption Date, the record holder of the Warrants shall have no further rights except to receive, upon surrender of the Warrants, the Redemption Price.</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Exclusion of Certain Warrants</w:t>
      </w:r>
      <w:r>
        <w:rPr>
          <w:rFonts w:ascii="Arial" w:cs="Arial" w:eastAsia="Arial" w:hAnsi="Arial"/>
          <w:sz w:val="18"/>
          <w:szCs w:val="18"/>
          <w:color w:val="auto"/>
        </w:rPr>
        <w:t xml:space="preserve">. The Company agrees that the redemption rights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not apply to the Private Placement Warrants if at the time of the redemption such Private Placement Warrants continue to be held by the Sponsor or any Permitted Transferees, as applicable. However, once such Private Placement Warrants are transferred (other than to Permitted Transferees under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the Company may redeem the Private Placement Warrants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The Private Placement Warrants that are transferred to persons other than Permitted Transferees shall upon such transfer cease to be Private Placement Warrants and shall become Public Warrants under this Agreement.</w:t>
      </w:r>
    </w:p>
    <w:p>
      <w:pPr>
        <w:spacing w:after="0" w:line="192"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3" w:name="page124"/>
    <w:bookmarkEnd w:id="123"/>
    <w:p>
      <w:pPr>
        <w:jc w:val="both"/>
        <w:spacing w:after="0" w:line="279" w:lineRule="auto"/>
        <w:rPr>
          <w:sz w:val="20"/>
          <w:szCs w:val="20"/>
          <w:color w:val="auto"/>
        </w:rPr>
      </w:pPr>
      <w:r>
        <w:rPr>
          <w:rFonts w:ascii="Arial" w:cs="Arial" w:eastAsia="Arial" w:hAnsi="Arial"/>
          <w:sz w:val="17"/>
          <w:szCs w:val="17"/>
          <w:color w:val="auto"/>
        </w:rPr>
        <w:t>their discretion impose (which shall include an open penalty surety bond satisfactory to it and holding it and Company harmless and, in the case of a mutilated Warrant,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Registration of Common Stock; Cashless Exercise at Company’s Option</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Registration of the Common Stock</w:t>
      </w:r>
      <w:r>
        <w:rPr>
          <w:rFonts w:ascii="Arial" w:cs="Arial" w:eastAsia="Arial" w:hAnsi="Arial"/>
          <w:sz w:val="16"/>
          <w:szCs w:val="16"/>
          <w:color w:val="auto"/>
        </w:rPr>
        <w:t xml:space="preserve">. The Company agrees that as soon as practicable, but in no event later than twenty (20) business days after the Effective Date, it shall use its best efforts to file with the Commission a registration statement registering, under the Securities Act, the issuance of the shares of Common Stock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60th business day following the Effective Date, holders of the Warrants shall have the right, during the period beginning on the 61st business day after the Effective Date and ending upon such registration statement being declared effective by the Commission, and during any other period when the Company shall fail to have maintained an effective registration statement covering the shares of Common Stock issuable upon exercise of the Warrants, to exercise such Warrants on a “cashless basis,” by exchanging the Warrants (in accordance with Section 3(a)(9) of the Securities Act (or any successor rule) or another exemption) for that number of shares of Common Stock equal to the quotient obtained by dividing (x) the product of the number of shares of Common Stock underlying the Warrants, multiplied by the excess of the “Fair Market Value” (as defined below) over the Warrant Price by (y) the Fair Market Value.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“Fair Market Value” shall mean the average closing price of the Common Stock for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shares of Common Stock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393" w:lineRule="exact"/>
        <w:rPr>
          <w:sz w:val="20"/>
          <w:szCs w:val="20"/>
          <w:color w:val="auto"/>
        </w:rPr>
      </w:pPr>
    </w:p>
    <w:p>
      <w:pPr>
        <w:jc w:val="both"/>
        <w:ind w:firstLine="1944"/>
        <w:spacing w:after="0" w:line="289"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Common Stock is at the time of any exercise of a Warrant not listed on a national securities exchange such that it satisfies the definition of a “covered security”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 in the event the Company so elects, the Company shall not be required to file or maintain in effect a registration statement for the registration, under the Securities Act, of the Common Stock issuable upon exercise of the Warrants, notwithstanding anything in this Agreement to the contrary or (ii) if the Company does not so elect, the Company agrees to use its best efforts to register or qualify for sale the Common Stock issuable upon exercise of the Public Warrants under the blue sky laws of the state of residence of the exercising Public Warrant holder to the extent an exemption is not available.</w:t>
      </w:r>
    </w:p>
    <w:p>
      <w:pPr>
        <w:spacing w:after="0" w:line="166"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Calculation of Shares of Common Stock to be Issued on Cashless Exercise</w:t>
      </w:r>
      <w:r>
        <w:rPr>
          <w:rFonts w:ascii="Arial" w:cs="Arial" w:eastAsia="Arial" w:hAnsi="Arial"/>
          <w:sz w:val="18"/>
          <w:szCs w:val="18"/>
          <w:color w:val="auto"/>
        </w:rPr>
        <w:t>. In connection with any cashless exercise of Warrants, the Company shall calculate and transmit to the Warrant Agent, and the Warrant Agent shall have no duty under this Agreement to determine, the number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4" w:name="page125"/>
    <w:bookmarkEnd w:id="124"/>
    <w:p>
      <w:pPr>
        <w:jc w:val="both"/>
        <w:ind w:right="20"/>
        <w:spacing w:after="0" w:line="277" w:lineRule="auto"/>
        <w:rPr>
          <w:sz w:val="20"/>
          <w:szCs w:val="20"/>
          <w:color w:val="auto"/>
        </w:rPr>
      </w:pPr>
      <w:r>
        <w:rPr>
          <w:rFonts w:ascii="Arial" w:cs="Arial" w:eastAsia="Arial" w:hAnsi="Arial"/>
          <w:sz w:val="18"/>
          <w:szCs w:val="18"/>
          <w:color w:val="auto"/>
        </w:rPr>
        <w:t>to be issued on such cashless exercise, and the Warrant Agent shall have no duty or obligation to calculate or confirm whether the Company’s determination of the shares of Common Stock to be issued on such exercise is accurate.</w:t>
      </w:r>
    </w:p>
    <w:p>
      <w:pPr>
        <w:spacing w:after="0" w:line="170" w:lineRule="exact"/>
        <w:rPr>
          <w:sz w:val="20"/>
          <w:szCs w:val="20"/>
          <w:color w:val="auto"/>
        </w:rPr>
      </w:pPr>
    </w:p>
    <w:p>
      <w:pPr>
        <w:jc w:val="both"/>
        <w:ind w:firstLine="1944"/>
        <w:spacing w:after="0" w:line="342" w:lineRule="auto"/>
        <w:rPr>
          <w:sz w:val="20"/>
          <w:szCs w:val="20"/>
          <w:color w:val="auto"/>
        </w:rPr>
      </w:pPr>
      <w:r>
        <w:rPr>
          <w:rFonts w:ascii="Arial" w:cs="Arial" w:eastAsia="Arial" w:hAnsi="Arial"/>
          <w:sz w:val="16"/>
          <w:szCs w:val="16"/>
          <w:color w:val="auto"/>
        </w:rPr>
        <w:t xml:space="preserve">7.4.4 </w:t>
      </w:r>
      <w:r>
        <w:rPr>
          <w:rFonts w:ascii="Arial" w:cs="Arial" w:eastAsia="Arial" w:hAnsi="Arial"/>
          <w:sz w:val="16"/>
          <w:szCs w:val="16"/>
          <w:u w:val="single" w:color="auto"/>
          <w:color w:val="auto"/>
        </w:rPr>
        <w:t>Deliver of Warrant Exercise Funds</w:t>
      </w:r>
      <w:r>
        <w:rPr>
          <w:rFonts w:ascii="Arial" w:cs="Arial" w:eastAsia="Arial" w:hAnsi="Arial"/>
          <w:sz w:val="16"/>
          <w:szCs w:val="16"/>
          <w:color w:val="auto"/>
        </w:rPr>
        <w:t>. The Warrant Agent shall forward funds received for Warrant exercises in a given month by the 5th business day of the following month by wire transfer to an account designated by the Company.</w:t>
      </w:r>
    </w:p>
    <w:p>
      <w:pPr>
        <w:spacing w:after="0" w:line="124"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7.4.5 </w:t>
      </w:r>
      <w:r>
        <w:rPr>
          <w:rFonts w:ascii="Arial" w:cs="Arial" w:eastAsia="Arial" w:hAnsi="Arial"/>
          <w:sz w:val="18"/>
          <w:szCs w:val="18"/>
          <w:u w:val="single" w:color="auto"/>
          <w:color w:val="auto"/>
        </w:rPr>
        <w:t>Cost Basis Information</w:t>
      </w:r>
      <w:r>
        <w:rPr>
          <w:rFonts w:ascii="Arial" w:cs="Arial" w:eastAsia="Arial" w:hAnsi="Arial"/>
          <w:sz w:val="18"/>
          <w:szCs w:val="18"/>
          <w:color w:val="auto"/>
        </w:rPr>
        <w:t>. The Company hereby instructs the Warrant Agent to record cost basis for newly issued shares (whether pursuant to a cash exercise or a cashless exercise) in accordance with instructions by the Company. If the Company does not provide such cost basis information to the Warrant Agent as outlined above, then the Warrant Agent will treat those shares issued hereunder as uncovered securities or the equivalent, and each holder of such shares will need to obtain such cost basis information from the Company.</w:t>
      </w:r>
    </w:p>
    <w:p>
      <w:pPr>
        <w:spacing w:after="0" w:line="200" w:lineRule="exact"/>
        <w:rPr>
          <w:sz w:val="20"/>
          <w:szCs w:val="20"/>
          <w:color w:val="auto"/>
        </w:rPr>
      </w:pPr>
    </w:p>
    <w:p>
      <w:pPr>
        <w:spacing w:after="0" w:line="204"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shares of Common Stock upon the exercise of the Warrants, but the Company shall not be obligated to pay any transfer taxes in respect of the Warrants or such shares of Common Stock. The Warrant Agent shall have no duty to take any action requiring the payment of taxes or charges unless and until it is satisfied that all such taxes and charges have been paid.</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thirty (30) days’ notice in writing to the Company. If for any reason the transfer agency relationship in effect between the Company and the Warrant Agent or its affiliates terminates, the Warrant Agent will be deemed to have resigned automatically and be discharged from its duties under this Agreement.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9"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84"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7"/>
          <w:szCs w:val="17"/>
          <w:color w:val="auto"/>
        </w:rPr>
        <w:t xml:space="preserve">8.2.3 </w:t>
      </w:r>
      <w:r>
        <w:rPr>
          <w:rFonts w:ascii="Arial" w:cs="Arial" w:eastAsia="Arial" w:hAnsi="Arial"/>
          <w:sz w:val="17"/>
          <w:szCs w:val="17"/>
          <w:u w:val="single" w:color="auto"/>
          <w:color w:val="auto"/>
        </w:rPr>
        <w:t>Merger or Consolidation of Warrant Agent</w:t>
      </w:r>
      <w:r>
        <w:rPr>
          <w:rFonts w:ascii="Arial" w:cs="Arial" w:eastAsia="Arial" w:hAnsi="Arial"/>
          <w:sz w:val="17"/>
          <w:szCs w:val="17"/>
          <w:color w:val="auto"/>
        </w:rPr>
        <w:t>. Any corporation or other entity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5" w:name="page126"/>
    <w:bookmarkEnd w:id="125"/>
    <w:p>
      <w:pPr>
        <w:ind w:left="1300"/>
        <w:spacing w:after="0"/>
        <w:tabs>
          <w:tab w:leader="none" w:pos="19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(as shall be agreed upon in writing by the Company and the Warrant Agent) for its services as such Warrant Agent hereunder and will reimburse the Warrant Agent upon demand for all of its reasonable expenses (including reasonable counsel fees and expenses) incurred in connection with the preparation, delivery, negotiation, amendment, administration and execution of this Agreement and the exercise and performance of its duties hereunder.</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may be deemed to be conclusively proved and established by a certificate signed by a person reasonably believed by the Warrant Agent to be the Chief Executive Officer, the Chief Financial Officer, the President, Secretary or Chairman of the Board of the Company (each an authorized officer); and such certificate shall be full authorization and protection to the Warrant Agent and the Warrant Agent and its agents shall be indemnified and shall incur no liability for or in respect of any action taken, suffered or omitted to be taken by it in the absence of bad faith under the provisions of this Agreement in reliance upon such certificate.</w:t>
      </w:r>
    </w:p>
    <w:p>
      <w:pPr>
        <w:spacing w:after="0" w:line="192"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u w:val="single" w:color="auto"/>
          <w:color w:val="auto"/>
        </w:rPr>
        <w:t>Indemnity; Limitation on Liability</w:t>
      </w:r>
      <w:r>
        <w:rPr>
          <w:rFonts w:ascii="Arial" w:cs="Arial" w:eastAsia="Arial" w:hAnsi="Arial"/>
          <w:sz w:val="16"/>
          <w:szCs w:val="16"/>
          <w:color w:val="auto"/>
        </w:rPr>
        <w:t>. The Company also covenants and agrees to indemnify the Warrant Agent for, and to hold it harmless against, any and all loss, liability, damage, judgment, fine, penalty, claim, demand, settlement, reasonable and documented out-of-pocket third party cost or expense (including, without limitation, the reasonable fees and expenses of outside legal counsel)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that may be paid, incurred or suffered by it, or which it may become subject, other than such Losses arising in connection with the gross negligence, fraud, bad faith or willful misconduct on the part of the Warrant Agent (which gross negligence, fraud, bad faith, or willful misconduct must be determined by a final, non-appealable judgment of a court of competent jurisdiction), for any action taken, suffered, or omitted to be taken by the Warrant Agent in connection with the execution, acceptance, administration, exercise and performance of its duties under this Agreement, including the costs and expenses of defending against any claim of liability arising therefrom, directly or indirectly, or enforcing its rights hereunder. The Warrant Agent shall be liable hereunder only for its own gross negligence, fraud, bad faith or willful misconduct (which gross negligence, fraud, bad faith or willful misconduct must be determined by a final, non-appealable judgment of a court of competent jurisdiction). Notwithstanding anything in this Agreement to the contrary, the Warrant Agent’s aggregate liability under this Agreement, whether in contract, or in tort, or otherwise, will be, other than in the case of fraud (as determined by a final, non-appealable judgment of a court of competent jurisdiction), limited to the amount of annual fees paid by the Company to the Warrant Agent during the twelve (12) months immediately preceding the event for which recovery from the Warrant Agent is being sought. Anything to the contrary notwithstanding, in no event will the Warrant Agent be liable for special, punitive, indirect, incidental or consequential loss or damages of any kind whatsoever (including, without limitation, lost profits), even if the Warrant Agent has been advised of the likelihood of such loss or damages, and regardless of the form of action. The provisions under Section 8.4 shall survive the expiration of the Warrant and the termination of this Agreement and the resignation, replacement or removal of the Warrant Agent.</w:t>
      </w:r>
    </w:p>
    <w:p>
      <w:pPr>
        <w:spacing w:after="0" w:line="38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Exclusions</w:t>
      </w:r>
      <w:r>
        <w:rPr>
          <w:rFonts w:ascii="Arial" w:cs="Arial" w:eastAsia="Arial" w:hAnsi="Arial"/>
          <w:sz w:val="17"/>
          <w:szCs w:val="17"/>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17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express terms and conditions (and no implied terms and conditions) herein set forth and among other things shall account for, and pay to the Company, all monies received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7"/>
          <w:szCs w:val="17"/>
          <w:color w:val="auto"/>
        </w:rPr>
        <w:t>the Warrant Agent for the purchase of shares of Common Stock through the exercise of the Warrants. The Warrant Agent shall act hereunder solely as agent for the Company. The Warrant Agent shall not assume any obligations or relationship of agency or trust with any of the owners or holders of the Warrants or Common Stock. The Warrant Agent shall not have any duty or responsibility in the case of the receipt of any written demand from any holder of Warrants or Common Stock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Common Stock or any other Person for interest or earnings on any moneys held by the Warrant Agent pursuant to this Agreement.</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Legal Counsel</w:t>
      </w:r>
      <w:r>
        <w:rPr>
          <w:rFonts w:ascii="Arial" w:cs="Arial" w:eastAsia="Arial" w:hAnsi="Arial"/>
          <w:sz w:val="16"/>
          <w:szCs w:val="16"/>
          <w:color w:val="auto"/>
        </w:rPr>
        <w:t>. The Warrant Agent may consult with legal counsel selected by it (who may be legal counsel for the Company), and the opinion or advice of such counsel shall be full and complete authorization and protection to the Warrant Agent as to any action taken or omitted by it in accordance with such advice or opinion in the absence of Warrant Agent’s bad faith, fraud, gross negligence or willful misconduct (each as must be determined by a final, non-appealable judgment of a court of competent jurisdiction).</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Reliance on Agreement and Warrants</w:t>
      </w:r>
      <w:r>
        <w:rPr>
          <w:rFonts w:ascii="Arial" w:cs="Arial" w:eastAsia="Arial" w:hAnsi="Arial"/>
          <w:sz w:val="17"/>
          <w:szCs w:val="17"/>
          <w:color w:val="auto"/>
        </w:rPr>
        <w:t>. The Warrant Agent shall not be liable for or by reason of any of the statements of fact or recitals contained in this Agreement or in the Warrants (except as to its countersignature thereof) or be required to verify the same, but all such statements and recitals are and shall be deemed to have been made by the Company only.</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Freedom to Trade in Company Securities</w:t>
      </w:r>
      <w:r>
        <w:rPr>
          <w:rFonts w:ascii="Arial" w:cs="Arial" w:eastAsia="Arial" w:hAnsi="Arial"/>
          <w:sz w:val="18"/>
          <w:szCs w:val="18"/>
          <w:color w:val="auto"/>
        </w:rPr>
        <w:t>. Subject to applicable laws, the Warrant Agent and any stockholder, director, officer or employee of the Warrant Agent may buy, sell or deal in any of the Warrant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or any such stockholder, director, officer or employee of the Warrant Agent from acting in any other capacity for the Company or for any other legal entity.</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Reliance on Attorneys and Agents</w:t>
      </w:r>
      <w:r>
        <w:rPr>
          <w:rFonts w:ascii="Arial" w:cs="Arial" w:eastAsia="Arial" w:hAnsi="Arial"/>
          <w:sz w:val="17"/>
          <w:szCs w:val="17"/>
          <w:color w:val="auto"/>
        </w:rPr>
        <w:t>.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absent gross negligence, willful misconduct, fraud or bad faith in the selection and continued employment thereof (which gross negligence, willful misconduct, fraud or bad faith must be determined by a final, non-appealable judgment of a court of competent jurisdiction).</w:t>
      </w:r>
    </w:p>
    <w:p>
      <w:pPr>
        <w:spacing w:after="0" w:line="178"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No Risk of Own Funds</w:t>
      </w:r>
      <w:r>
        <w:rPr>
          <w:rFonts w:ascii="Arial" w:cs="Arial" w:eastAsia="Arial" w:hAnsi="Arial"/>
          <w:sz w:val="18"/>
          <w:szCs w:val="18"/>
          <w:color w:val="auto"/>
        </w:rPr>
        <w:t>. No provision of this Agreement shall require the Warrant Agent to expend or risk its own funds or otherwise incur any financial liability in the performance of any of its duties hereunder or in the exercise any of its rights or powers if it shall reasonably believe in the absence of bad faith that repayment of such funds or adequate indemnification against such risk or liability is not reasonably assured to it.</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No Notice</w:t>
      </w:r>
      <w:r>
        <w:rPr>
          <w:rFonts w:ascii="Arial" w:cs="Arial" w:eastAsia="Arial" w:hAnsi="Arial"/>
          <w:sz w:val="16"/>
          <w:szCs w:val="16"/>
          <w:color w:val="auto"/>
        </w:rPr>
        <w:t>. 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Ambiguity</w:t>
      </w:r>
      <w:r>
        <w:rPr>
          <w:rFonts w:ascii="Arial" w:cs="Arial" w:eastAsia="Arial" w:hAnsi="Arial"/>
          <w:sz w:val="18"/>
          <w:szCs w:val="18"/>
          <w:color w:val="auto"/>
        </w:rPr>
        <w:t>. In the event the Warrant Agent believes any ambiguity or uncertainty exists hereunder or in any notice, instruction, direction, request or other communication, paper or document received by the Warrant Agent hereunder, the Warrant Agent, may, in its sole discretion, refrain from taking any action, and shall be fully protected and shall not be liable in any way to Company, the holder of any Warrant or any other person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7" w:name="page128"/>
    <w:bookmarkEnd w:id="127"/>
    <w:p>
      <w:pPr>
        <w:jc w:val="both"/>
        <w:ind w:right="20"/>
        <w:spacing w:after="0" w:line="277" w:lineRule="auto"/>
        <w:rPr>
          <w:sz w:val="20"/>
          <w:szCs w:val="20"/>
          <w:color w:val="auto"/>
        </w:rPr>
      </w:pPr>
      <w:r>
        <w:rPr>
          <w:rFonts w:ascii="Arial" w:cs="Arial" w:eastAsia="Arial" w:hAnsi="Arial"/>
          <w:sz w:val="18"/>
          <w:szCs w:val="18"/>
          <w:color w:val="auto"/>
        </w:rPr>
        <w:t>refraining from taking such action, unless the Warrant Agent receives written instructions signed by the Company which eliminates such ambiguity or uncertainty to the satisfaction of Warrant Agent.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Non-Registration</w:t>
      </w:r>
      <w:r>
        <w:rPr>
          <w:rFonts w:ascii="Arial" w:cs="Arial" w:eastAsia="Arial" w:hAnsi="Arial"/>
          <w:sz w:val="18"/>
          <w:szCs w:val="18"/>
          <w:color w:val="auto"/>
        </w:rPr>
        <w:t>. The Warrant Agent shall not be liable or responsible for any failure of the Company to comply with any of its obligations relating to any registration statement filed with the Commission or this Agreement, including without limitation obligations under applicable regulation or law.</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Signature Guarantee</w:t>
      </w:r>
      <w:r>
        <w:rPr>
          <w:rFonts w:ascii="Arial" w:cs="Arial" w:eastAsia="Arial" w:hAnsi="Arial"/>
          <w:sz w:val="18"/>
          <w:szCs w:val="18"/>
          <w:color w:val="auto"/>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Authorized Officers</w:t>
      </w:r>
      <w:r>
        <w:rPr>
          <w:rFonts w:ascii="Arial" w:cs="Arial" w:eastAsia="Arial" w:hAnsi="Arial"/>
          <w:sz w:val="18"/>
          <w:szCs w:val="18"/>
          <w:color w:val="auto"/>
        </w:rPr>
        <w:t>. The Warrant Agent shall be fully authorized and protected in relying upon written instructions received from any authorized officer of the Company and shall not be liable for any action taken, suffered or omitted to be taken by, the Warrant Agent in accordance with such advice or instructions.</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Bank Accounts</w:t>
      </w:r>
      <w:r>
        <w:rPr>
          <w:rFonts w:ascii="Arial" w:cs="Arial" w:eastAsia="Arial" w:hAnsi="Arial"/>
          <w:sz w:val="17"/>
          <w:szCs w:val="17"/>
          <w:color w:val="auto"/>
        </w:rPr>
        <w:t>. All funds received by Computershare Inc. under this Agreement that are to be distributed or applied by the Warrant Agent in the performance of services hereunder (the “</w:t>
      </w:r>
      <w:r>
        <w:rPr>
          <w:rFonts w:ascii="Arial" w:cs="Arial" w:eastAsia="Arial" w:hAnsi="Arial"/>
          <w:sz w:val="17"/>
          <w:szCs w:val="17"/>
          <w:b w:val="1"/>
          <w:bCs w:val="1"/>
          <w:i w:val="1"/>
          <w:iCs w:val="1"/>
          <w:color w:val="auto"/>
        </w:rPr>
        <w:t>Funds</w:t>
      </w:r>
      <w:r>
        <w:rPr>
          <w:rFonts w:ascii="Arial" w:cs="Arial" w:eastAsia="Arial" w:hAnsi="Arial"/>
          <w:sz w:val="17"/>
          <w:szCs w:val="17"/>
          <w:color w:val="auto"/>
        </w:rPr>
        <w:t>”) shall be held by Computershare Inc. as agent for the Company and deposited in one or more bank accounts to be maintained by Computershare Inc. in its name as agent for the Company. Until paid pursuant to the terms of this Agreement, Computershare Inc.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Warrant Agent shall have no responsibility or liability for any diminution of the Funds that may result from any deposit made by Computershare Inc. in accordance with this paragraph, including any losses resulting from a default by any bank, financial institution or other third party. Computershare Inc. may from time to time receive interest, dividends or other earnings in connection with such deposits. Computershare Inc. shall not be obligated to pay such interest, dividends or earnings to the Company, any holder or any other party. Computershare Inc. shall forward funds received for warrant exercises in a given month by the 5th business day of the following month by wire transfer to an account designated by the Company.</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neither the Warrant Agent nor the Company shall be liable for any delays or failures in performance resulting from acts beyond its reasonable control including, without limitation, acts of God, epidemics, pandemics, terrorist acts, shortage of supply, disruptions in public utilities, strikes and lock-outs, war, or civil unrest.</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8.19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hereunder shall remain confidential, and shall not be disclosed to any other person, until the second anniversary of the earlier of the termination of this Agreement and the resignation, replacement or removal of the Warrant Agent, except as may be required by law, including, without limitation, pursuant to subpoenas from state or federal government authorities (e.g., in divorce and criminal actions).</w:t>
      </w:r>
    </w:p>
    <w:p>
      <w:pPr>
        <w:spacing w:after="0" w:line="1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8.20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shall perform, acknowledge and deliver or cause to be performed, acknowledged and delivered all such further and other acts, documents, instruments and assurances as may be reasonably required by the Warrant Agent for the carrying out or performing by the Warrant Agent of the provisions of this Agreement.</w:t>
      </w:r>
    </w:p>
    <w:p>
      <w:pPr>
        <w:spacing w:after="0" w:line="184"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8" w:name="page129"/>
    <w:bookmarkEnd w:id="128"/>
    <w:p>
      <w:pPr>
        <w:jc w:val="both"/>
        <w:ind w:firstLine="129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sent if by hand, overnight delivery, certified mail or private courier service, postage prepaid, addressed (until another address is filed in writing by the Company with the Warrant Agent), as follows:</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Westrock Coffee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River Bluff Drive, Suite 210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Little Rock, Arkansas 77202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Robert McKinney, Chief Legal Officer</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Computershare Inc.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150 Royall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Client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Brandon C. Price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BCPrice@wlrk.com</w:t>
      </w:r>
    </w:p>
    <w:p>
      <w:pPr>
        <w:spacing w:after="0" w:line="21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 The validity, interpretation, and performance of this Agreement and of the Warrants shall be governed in all respects by the laws of the State of New York.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jurisdiction and that such courts represent an inconvenient forum.</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Notwithstanding the foregoing, the provisions of this paragraph will not apply to suits brought to enforce any liability or duty created by the Exchange Act, any other claim for which the federal district courts of the United States of America are the sole and exclusive forum or any complaint asserting a cause of action arising under the Securities Act against the Company or any of its directors, officers, other employees or agents.</w:t>
      </w:r>
    </w:p>
    <w:p>
      <w:pPr>
        <w:spacing w:after="0" w:line="18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Any person or entity purchasing or otherwise acquiring any interest in the Warrants shall be deemed to have notice of and to have consented to the forum provisions in this </w:t>
      </w:r>
      <w:r>
        <w:rPr>
          <w:rFonts w:ascii="Arial" w:cs="Arial" w:eastAsia="Arial" w:hAnsi="Arial"/>
          <w:sz w:val="17"/>
          <w:szCs w:val="17"/>
          <w:u w:val="single" w:color="auto"/>
          <w:color w:val="auto"/>
        </w:rPr>
        <w:t>Section 9.3</w:t>
      </w:r>
      <w:r>
        <w:rPr>
          <w:rFonts w:ascii="Arial" w:cs="Arial" w:eastAsia="Arial" w:hAnsi="Arial"/>
          <w:sz w:val="17"/>
          <w:szCs w:val="17"/>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7"/>
          <w:szCs w:val="17"/>
          <w:b w:val="1"/>
          <w:bCs w:val="1"/>
          <w:i w:val="1"/>
          <w:iCs w:val="1"/>
          <w:color w:val="auto"/>
        </w:rPr>
        <w:t>foreign action</w:t>
      </w:r>
      <w:r>
        <w:rPr>
          <w:rFonts w:ascii="Arial" w:cs="Arial" w:eastAsia="Arial" w:hAnsi="Arial"/>
          <w:sz w:val="17"/>
          <w:szCs w:val="17"/>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7"/>
          <w:szCs w:val="17"/>
          <w:b w:val="1"/>
          <w:bCs w:val="1"/>
          <w:i w:val="1"/>
          <w:i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 warrant holder’s counsel in the foreign action as agent for such warrant holder.</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9" w:name="page130"/>
    <w:bookmarkEnd w:id="129"/>
    <w:p>
      <w:pPr>
        <w:jc w:val="both"/>
        <w:spacing w:after="0" w:line="263" w:lineRule="auto"/>
        <w:rPr>
          <w:sz w:val="20"/>
          <w:szCs w:val="20"/>
          <w:color w:val="auto"/>
        </w:rPr>
      </w:pPr>
      <w:r>
        <w:rPr>
          <w:rFonts w:ascii="Arial" w:cs="Arial" w:eastAsia="Arial" w:hAnsi="Arial"/>
          <w:sz w:val="18"/>
          <w:szCs w:val="18"/>
          <w:color w:val="auto"/>
        </w:rPr>
        <w:t>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Examination of the Warrant Agreement</w:t>
      </w:r>
      <w:r>
        <w:rPr>
          <w:rFonts w:ascii="Arial" w:cs="Arial" w:eastAsia="Arial" w:hAnsi="Arial"/>
          <w:sz w:val="17"/>
          <w:szCs w:val="17"/>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(i) for the purpose of curing any ambiguity, or curing, correcting or supplementing any defective provision contained herein or adding or changing any other provisions with respect to matters or questions arising under this Agreement as the Company deems necessary or desirable and that shall not adversely affect the interest of the Registered Holders, and (ii) to provide for the delivery of Alternative Issuance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All other modifications or amendments, including any modification or amendment to increase the Warrant Price or shorten the Exercise Period shall require the vote or written consent of the Registered Holders of 50% of the number of the then outstanding Public Warrants and, solely with respect to any amendment to the terms of the Private Placement Warrants or any provision of this Agreement with respect to the Private Placement Warrants, 50% of the number of then 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respectively, without the consent of the Registered Holders. No supplement or amendment to this Agreement shall be effective unless duly executed by the Warrant Agent and the Company. Upon the delivery of a certificate from an authorized officer of the Company which states that the proposed supplement or amendment is in compliance with the terms of this </w:t>
      </w:r>
      <w:r>
        <w:rPr>
          <w:rFonts w:ascii="Arial" w:cs="Arial" w:eastAsia="Arial" w:hAnsi="Arial"/>
          <w:sz w:val="17"/>
          <w:szCs w:val="17"/>
          <w:u w:val="single" w:color="auto"/>
          <w:color w:val="auto"/>
        </w:rPr>
        <w:t>Section 9.8</w:t>
      </w:r>
      <w:r>
        <w:rPr>
          <w:rFonts w:ascii="Arial" w:cs="Arial" w:eastAsia="Arial" w:hAnsi="Arial"/>
          <w:sz w:val="17"/>
          <w:szCs w:val="17"/>
          <w:color w:val="auto"/>
        </w:rPr>
        <w:t>, the Warrant Agent shall execute such supplement or amendment. Notwithstanding anything in this Agreement to the contrary, the Warrant Agent shall not be required to execute any supplement or amendment to this Agreement that it has determined would adversely affect its own rights, duties, obligations or immunities under this Agreement</w:t>
      </w:r>
    </w:p>
    <w:p>
      <w:pPr>
        <w:spacing w:after="0" w:line="18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Severability</w:t>
      </w:r>
      <w:r>
        <w:rPr>
          <w:rFonts w:ascii="Arial" w:cs="Arial" w:eastAsia="Arial" w:hAnsi="Arial"/>
          <w:sz w:val="17"/>
          <w:szCs w:val="17"/>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 provided, however, that if any excluded provision shall affect the rights, immunities, liabilities, duties or obligations of the Warrant Agent, the Warrant Agent shall be entitled to resign with ten (10) business days prior written notice to the Company.</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 effective as of the Effective Date, provided that, for the avoidance of doubt, the Prior Agreement shall continue to be in full force and effect prior to such time. This Agreement shall be null and void and of no effect if the Transaction Agreement is terminated.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0" w:name="page131"/>
    <w:bookmarkEnd w:id="130"/>
    <w:p>
      <w:pPr>
        <w:ind w:left="20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WESTROCK COFFEE HOLDINGS, LLC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By:/s/Robert P.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29743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Robert P. McKinney</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[Signature Page to Amended and Restated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60"/>
          </w:cols>
          <w:pgMar w:left="1440" w:top="125" w:right="1099" w:bottom="1440" w:gutter="0" w:footer="0" w:header="0"/>
        </w:sectPr>
      </w:pPr>
    </w:p>
    <w:bookmarkStart w:id="131" w:name="page132"/>
    <w:bookmarkEnd w:id="131"/>
    <w:p>
      <w:pPr>
        <w:ind w:left="4500"/>
        <w:spacing w:after="0"/>
        <w:rPr>
          <w:sz w:val="20"/>
          <w:szCs w:val="20"/>
          <w:color w:val="auto"/>
        </w:rPr>
      </w:pPr>
      <w:r>
        <w:rPr>
          <w:rFonts w:ascii="Arial" w:cs="Arial" w:eastAsia="Arial" w:hAnsi="Arial"/>
          <w:sz w:val="17"/>
          <w:szCs w:val="17"/>
          <w:b w:val="1"/>
          <w:bCs w:val="1"/>
          <w:color w:val="auto"/>
        </w:rPr>
        <w:t>COMPUTERSHARE TRUST COMPANY, N.A.</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COMPUTERSHARE, INC.</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Warrant Agent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On behalf of both entities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By:/s/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29743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Collin Ekeogu</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Manager, Corporate Actions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Amended and Restated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 WESTROCK COFFEE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This Warrant Certificate certifies that ________________</w:t>
      </w:r>
      <w:r>
        <w:rPr>
          <w:rFonts w:ascii="Arial" w:cs="Arial" w:eastAsia="Arial" w:hAnsi="Arial"/>
          <w:sz w:val="17"/>
          <w:szCs w:val="17"/>
          <w:color w:val="auto"/>
        </w:rPr>
        <w:t>, or registered assigns, is the registered holder of warrant(s)</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evidenced hereby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to purchase shares of common stock, $0.01 par value per share (“</w:t>
      </w:r>
      <w:r>
        <w:rPr>
          <w:rFonts w:ascii="Arial" w:cs="Arial" w:eastAsia="Arial" w:hAnsi="Arial"/>
          <w:sz w:val="16"/>
          <w:szCs w:val="16"/>
          <w:b w:val="1"/>
          <w:bCs w:val="1"/>
          <w:i w:val="1"/>
          <w:i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of Westrock Coffee Company,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Each whole Warrant entitles the holder,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set forth in the Warrant Agreement referred to below, to receive from the Company that number of fully paid and non-assessable shares of Common Stock as set forth below, at the exercise price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 as determined pursuant to the Warrant Agreement, payable in lawful money (or through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whole Warrant is initially exercisable for one fully paid and non-assessable share of Common Stock. No fractional shares will be issued upon exercise of any Warrant. If, upon the exercise of Warrants, a holder would be entitled to receive a fractional interest in a share of Common Stock, the Company will, upon exercise, round down to the nearest whole number the number of shares of Common Stock to be issued to the Warrant holder. The number of shares of Common Stock issuable upon exercise of the Warrants is subject to adjustment upon the occurrence of certain events set forth in the Warrant Agreement.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initial Warrant Price per share of Common Stock for any Warrant is equal to $11.50 per share. The Warrant Price is subject to adjustment upon the occurrence of certain events set forth in the Warrant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Warrant Certificate shall be governed by and construed in accordance with the internal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3" w:name="page134"/>
    <w:bookmarkEnd w:id="133"/>
    <w:p>
      <w:pPr>
        <w:ind w:left="4500"/>
        <w:spacing w:after="0"/>
        <w:rPr>
          <w:sz w:val="20"/>
          <w:szCs w:val="20"/>
          <w:color w:val="auto"/>
        </w:rPr>
      </w:pPr>
      <w:r>
        <w:rPr>
          <w:rFonts w:ascii="Arial" w:cs="Arial" w:eastAsia="Arial" w:hAnsi="Arial"/>
          <w:sz w:val="18"/>
          <w:szCs w:val="18"/>
          <w:b w:val="1"/>
          <w:bCs w:val="1"/>
          <w:color w:val="auto"/>
        </w:rPr>
        <w:t>WESTROCK COFFEE COMPANY</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29743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COMPUTERSHARE, INC.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COMPUTERSHARE TRUST COMPANY, N.A.,</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Warrant Agent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On behalf of both entities</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29743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365125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[Form of Warrant Certificate]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[Reverse]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shares of Common Stock and are issued or to be issued pursuant to a Warrant Agreement dated as of August 25, 2022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duly executed and delivered by the Company to Computershare Inc., a Delaware corporation (“</w:t>
      </w:r>
      <w:r>
        <w:rPr>
          <w:rFonts w:ascii="Arial" w:cs="Arial" w:eastAsia="Arial" w:hAnsi="Arial"/>
          <w:sz w:val="16"/>
          <w:szCs w:val="16"/>
          <w:b w:val="1"/>
          <w:bCs w:val="1"/>
          <w:i w:val="1"/>
          <w:iCs w:val="1"/>
          <w:color w:val="auto"/>
        </w:rPr>
        <w:t>Computershare Inc.</w:t>
      </w:r>
      <w:r>
        <w:rPr>
          <w:rFonts w:ascii="Arial" w:cs="Arial" w:eastAsia="Arial" w:hAnsi="Arial"/>
          <w:sz w:val="16"/>
          <w:szCs w:val="16"/>
          <w:color w:val="auto"/>
        </w:rPr>
        <w:t>”), and Computershare Trust Company, N.A., a federally chartered trust company and a wholly owned subsidiary of Computershare Inc. (“</w:t>
      </w:r>
      <w:r>
        <w:rPr>
          <w:rFonts w:ascii="Arial" w:cs="Arial" w:eastAsia="Arial" w:hAnsi="Arial"/>
          <w:sz w:val="16"/>
          <w:szCs w:val="16"/>
          <w:b w:val="1"/>
          <w:bCs w:val="1"/>
          <w:i w:val="1"/>
          <w:iCs w:val="1"/>
          <w:color w:val="auto"/>
        </w:rPr>
        <w:t>Trust Company</w:t>
      </w:r>
      <w:r>
        <w:rPr>
          <w:rFonts w:ascii="Arial" w:cs="Arial" w:eastAsia="Arial" w:hAnsi="Arial"/>
          <w:sz w:val="16"/>
          <w:szCs w:val="16"/>
          <w:color w:val="auto"/>
        </w:rPr>
        <w:t>” and together with Computershare Inc., in such capacity as warrant agent,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which Warrant Agreement is hereby incorporated by reference in and made a part of this instrument and is hereby referred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description of the rights, limitation of rights, obligations, duties and immunities thereunder of the Warrant Agent, the Company and the holders (the words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else in this Warrant Certificate or the Warrant Agreement, no Warrant may be exercised unless at the time of exercise (i) a registration statement covering the shares of Common Stock to be issued upon exercise is effective under the Securities Act and (ii) a prospectus thereunder relating to the shares of Common Stock is current, except through “cashless exercise” as provided for in the Warrant Agreement.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Warrant Agreement provides that upon the occurrence of certain events the number of shares of Common Stock issuable upon exercise of the Warrants set forth on the face hereof may, subject to certain conditions, be adjusted. If, upon exercise of a Warrant, the holder thereof would be entitled to receive a fractional interest in a share of Common Stock, the Company shall, upon exercise, round down to the nearest whole number of shares of Common Stock to be issued to the holder of the Warrant.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Election to Purchase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Be Executed Upon Exercise of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_____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Common Stock and herewith tenders payment for such shares of Common Stock to the order of Westrock Coffee Company (the</w:t>
      </w:r>
    </w:p>
    <w:tbl>
      <w:tblPr>
        <w:tblLayout w:type="fixed"/>
        <w:tblInd w:w="0" w:type="dxa"/>
        <w:tblCellMar>
          <w:top w:w="0" w:type="dxa"/>
          <w:left w:w="0" w:type="dxa"/>
          <w:bottom w:w="0" w:type="dxa"/>
          <w:right w:w="0" w:type="dxa"/>
        </w:tblCellMar>
      </w:tblPr>
      <w:tr>
        <w:trPr>
          <w:trHeight w:val="196"/>
        </w:trPr>
        <w:tc>
          <w:tcPr>
            <w:tcW w:w="2320" w:type="dxa"/>
            <w:vAlign w:val="bottom"/>
            <w:gridSpan w:val="3"/>
          </w:tcPr>
          <w:p>
            <w:pPr>
              <w:spacing w:after="0" w:line="196"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Company</w:t>
            </w:r>
            <w:r>
              <w:rPr>
                <w:rFonts w:ascii="Arial" w:cs="Arial" w:eastAsia="Arial" w:hAnsi="Arial"/>
                <w:sz w:val="18"/>
                <w:szCs w:val="18"/>
                <w:color w:val="auto"/>
                <w:w w:val="92"/>
              </w:rPr>
              <w:t>”) in the amount of $</w:t>
            </w:r>
          </w:p>
        </w:tc>
        <w:tc>
          <w:tcPr>
            <w:tcW w:w="1100" w:type="dxa"/>
            <w:vAlign w:val="bottom"/>
            <w:tcBorders>
              <w:bottom w:val="single" w:sz="8" w:color="auto"/>
            </w:tcBorders>
          </w:tcPr>
          <w:p>
            <w:pPr>
              <w:spacing w:after="0"/>
              <w:rPr>
                <w:sz w:val="17"/>
                <w:szCs w:val="17"/>
                <w:color w:val="auto"/>
              </w:rPr>
            </w:pPr>
          </w:p>
        </w:tc>
        <w:tc>
          <w:tcPr>
            <w:tcW w:w="650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1"/>
              </w:rPr>
              <w:t>in accordance with the terms hereof. The undersigned requests that a certificate for such</w:t>
            </w:r>
          </w:p>
        </w:tc>
      </w:tr>
      <w:tr>
        <w:trPr>
          <w:trHeight w:val="196"/>
        </w:trPr>
        <w:tc>
          <w:tcPr>
            <w:tcW w:w="4020" w:type="dxa"/>
            <w:vAlign w:val="bottom"/>
            <w:gridSpan w:val="5"/>
          </w:tcPr>
          <w:p>
            <w:pPr>
              <w:spacing w:after="0" w:line="196" w:lineRule="exact"/>
              <w:rPr>
                <w:sz w:val="20"/>
                <w:szCs w:val="20"/>
                <w:color w:val="auto"/>
              </w:rPr>
            </w:pPr>
            <w:r>
              <w:rPr>
                <w:rFonts w:ascii="Arial" w:cs="Arial" w:eastAsia="Arial" w:hAnsi="Arial"/>
                <w:sz w:val="18"/>
                <w:szCs w:val="18"/>
                <w:color w:val="auto"/>
                <w:w w:val="92"/>
              </w:rPr>
              <w:t>shares of Common Stock be registered in the name of</w:t>
            </w: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80" w:type="dxa"/>
            <w:vAlign w:val="bottom"/>
          </w:tcPr>
          <w:p>
            <w:pPr>
              <w:jc w:val="right"/>
              <w:spacing w:after="0" w:line="196" w:lineRule="exact"/>
              <w:rPr>
                <w:sz w:val="20"/>
                <w:szCs w:val="20"/>
                <w:color w:val="auto"/>
              </w:rPr>
            </w:pPr>
            <w:r>
              <w:rPr>
                <w:rFonts w:ascii="Arial" w:cs="Arial" w:eastAsia="Arial" w:hAnsi="Arial"/>
                <w:sz w:val="18"/>
                <w:szCs w:val="18"/>
                <w:color w:val="auto"/>
                <w:w w:val="90"/>
              </w:rPr>
              <w:t>, whose address is and that such shares of Common Stock be</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w w:val="94"/>
              </w:rPr>
              <w:t>delivered to</w:t>
            </w:r>
          </w:p>
        </w:tc>
        <w:tc>
          <w:tcPr>
            <w:tcW w:w="1220" w:type="dxa"/>
            <w:vAlign w:val="bottom"/>
            <w:tcBorders>
              <w:bottom w:val="single" w:sz="8" w:color="auto"/>
            </w:tcBorders>
          </w:tcPr>
          <w:p>
            <w:pPr>
              <w:spacing w:after="0"/>
              <w:rPr>
                <w:sz w:val="17"/>
                <w:szCs w:val="17"/>
                <w:color w:val="auto"/>
              </w:rPr>
            </w:pPr>
          </w:p>
        </w:tc>
        <w:tc>
          <w:tcPr>
            <w:tcW w:w="13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9"/>
              </w:rPr>
              <w:t>whose address is</w:t>
            </w:r>
          </w:p>
        </w:tc>
        <w:tc>
          <w:tcPr>
            <w:tcW w:w="6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3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 If said number of shares of Common Stock is less than all of the shares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purchasable hereunder, the undersigned requests that a new Warrant Certificate representing the remaining balance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3"/>
          </w:tcPr>
          <w:p>
            <w:pPr>
              <w:spacing w:after="0"/>
              <w:rPr>
                <w:sz w:val="20"/>
                <w:szCs w:val="20"/>
                <w:color w:val="auto"/>
              </w:rPr>
            </w:pPr>
            <w:r>
              <w:rPr>
                <w:rFonts w:ascii="Arial" w:cs="Arial" w:eastAsia="Arial" w:hAnsi="Arial"/>
                <w:sz w:val="18"/>
                <w:szCs w:val="18"/>
                <w:color w:val="auto"/>
                <w:w w:val="91"/>
              </w:rPr>
              <w:t>such shares of Common Stock be registered in the name of</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89"/>
              </w:rPr>
              <w:t>, whose address is</w:t>
            </w:r>
          </w:p>
        </w:tc>
        <w:tc>
          <w:tcPr>
            <w:tcW w:w="1300" w:type="dxa"/>
            <w:vAlign w:val="bottom"/>
            <w:tcBorders>
              <w:bottom w:val="single" w:sz="8" w:color="auto"/>
            </w:tcBorders>
          </w:tcPr>
          <w:p>
            <w:pPr>
              <w:spacing w:after="0"/>
              <w:rPr>
                <w:sz w:val="17"/>
                <w:szCs w:val="17"/>
                <w:color w:val="auto"/>
              </w:rPr>
            </w:pPr>
          </w:p>
        </w:tc>
        <w:tc>
          <w:tcPr>
            <w:tcW w:w="1640" w:type="dxa"/>
            <w:vAlign w:val="bottom"/>
          </w:tcPr>
          <w:p>
            <w:pPr>
              <w:ind w:left="60"/>
              <w:spacing w:after="0"/>
              <w:rPr>
                <w:sz w:val="20"/>
                <w:szCs w:val="20"/>
                <w:color w:val="auto"/>
              </w:rPr>
            </w:pPr>
            <w:r>
              <w:rPr>
                <w:rFonts w:ascii="Arial" w:cs="Arial" w:eastAsia="Arial" w:hAnsi="Arial"/>
                <w:sz w:val="18"/>
                <w:szCs w:val="18"/>
                <w:color w:val="auto"/>
                <w:w w:val="88"/>
              </w:rPr>
              <w:t>and that such Warrant</w:t>
            </w:r>
          </w:p>
        </w:tc>
      </w:tr>
      <w:tr>
        <w:trPr>
          <w:trHeight w:val="196"/>
        </w:trPr>
        <w:tc>
          <w:tcPr>
            <w:tcW w:w="1920" w:type="dxa"/>
            <w:vAlign w:val="bottom"/>
          </w:tcPr>
          <w:p>
            <w:pPr>
              <w:spacing w:after="0" w:line="196" w:lineRule="exact"/>
              <w:rPr>
                <w:sz w:val="20"/>
                <w:szCs w:val="20"/>
                <w:color w:val="auto"/>
              </w:rPr>
            </w:pPr>
            <w:r>
              <w:rPr>
                <w:rFonts w:ascii="Arial" w:cs="Arial" w:eastAsia="Arial" w:hAnsi="Arial"/>
                <w:sz w:val="18"/>
                <w:szCs w:val="18"/>
                <w:color w:val="auto"/>
                <w:w w:val="93"/>
              </w:rPr>
              <w:t>Certificate be delivered to</w:t>
            </w:r>
          </w:p>
        </w:tc>
        <w:tc>
          <w:tcPr>
            <w:tcW w:w="1180" w:type="dxa"/>
            <w:vAlign w:val="bottom"/>
            <w:tcBorders>
              <w:bottom w:val="single" w:sz="8" w:color="auto"/>
            </w:tcBorders>
          </w:tcPr>
          <w:p>
            <w:pPr>
              <w:spacing w:after="0"/>
              <w:rPr>
                <w:sz w:val="17"/>
                <w:szCs w:val="17"/>
                <w:color w:val="auto"/>
              </w:rPr>
            </w:pPr>
          </w:p>
        </w:tc>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w w:val="88"/>
              </w:rPr>
              <w:t>, whose address is</w:t>
            </w:r>
          </w:p>
        </w:tc>
        <w:tc>
          <w:tcPr>
            <w:tcW w:w="1160" w:type="dxa"/>
            <w:vAlign w:val="bottom"/>
            <w:tcBorders>
              <w:bottom w:val="single" w:sz="8" w:color="auto"/>
            </w:tcBorders>
          </w:tcPr>
          <w:p>
            <w:pPr>
              <w:spacing w:after="0"/>
              <w:rPr>
                <w:sz w:val="17"/>
                <w:szCs w:val="17"/>
                <w:color w:val="auto"/>
              </w:rPr>
            </w:pPr>
          </w:p>
        </w:tc>
        <w:tc>
          <w:tcPr>
            <w:tcW w:w="138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shares of Class A Common Stock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to be exercised on a “cashless” basis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Common Stock. If said number of shares of Common Stock is less than all of the shares of Common Stock purchasable hereunder (after giving effect to the cashless exercise), the undersigned requests that a new</w:t>
      </w:r>
    </w:p>
    <w:tbl>
      <w:tblPr>
        <w:tblLayout w:type="fixed"/>
        <w:tblInd w:w="0" w:type="dxa"/>
        <w:tblCellMar>
          <w:top w:w="0" w:type="dxa"/>
          <w:left w:w="0" w:type="dxa"/>
          <w:bottom w:w="0" w:type="dxa"/>
          <w:right w:w="0" w:type="dxa"/>
        </w:tblCellMar>
      </w:tblPr>
      <w:tr>
        <w:trPr>
          <w:trHeight w:val="180"/>
        </w:trPr>
        <w:tc>
          <w:tcPr>
            <w:tcW w:w="8560" w:type="dxa"/>
            <w:vAlign w:val="bottom"/>
            <w:gridSpan w:val="5"/>
          </w:tcPr>
          <w:p>
            <w:pPr>
              <w:spacing w:after="0" w:line="180" w:lineRule="exact"/>
              <w:rPr>
                <w:sz w:val="20"/>
                <w:szCs w:val="20"/>
                <w:color w:val="auto"/>
              </w:rPr>
            </w:pPr>
            <w:r>
              <w:rPr>
                <w:rFonts w:ascii="Arial" w:cs="Arial" w:eastAsia="Arial" w:hAnsi="Arial"/>
                <w:sz w:val="18"/>
                <w:szCs w:val="18"/>
                <w:color w:val="auto"/>
                <w:w w:val="90"/>
              </w:rPr>
              <w:t>Warrant Certificate representing the remaining balance of such shares of Common Stock be registered in the name of</w:t>
            </w:r>
          </w:p>
        </w:tc>
        <w:tc>
          <w:tcPr>
            <w:tcW w:w="1340" w:type="dxa"/>
            <w:vAlign w:val="bottom"/>
            <w:gridSpan w:val="3"/>
          </w:tcPr>
          <w:p>
            <w:pPr>
              <w:jc w:val="right"/>
              <w:spacing w:after="0" w:line="180" w:lineRule="exact"/>
              <w:rPr>
                <w:sz w:val="20"/>
                <w:szCs w:val="20"/>
                <w:color w:val="auto"/>
              </w:rPr>
            </w:pPr>
            <w:r>
              <w:rPr>
                <w:rFonts w:ascii="Arial" w:cs="Arial" w:eastAsia="Arial" w:hAnsi="Arial"/>
                <w:sz w:val="18"/>
                <w:szCs w:val="18"/>
                <w:color w:val="auto"/>
              </w:rPr>
              <w:t>,</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w w:val="89"/>
              </w:rPr>
              <w:t>whose address is</w:t>
            </w:r>
          </w:p>
        </w:tc>
        <w:tc>
          <w:tcPr>
            <w:tcW w:w="1180" w:type="dxa"/>
            <w:vAlign w:val="bottom"/>
          </w:tcPr>
          <w:p>
            <w:pPr>
              <w:spacing w:after="0"/>
              <w:rPr>
                <w:sz w:val="17"/>
                <w:szCs w:val="17"/>
                <w:color w:val="auto"/>
              </w:rPr>
            </w:pPr>
          </w:p>
        </w:tc>
        <w:tc>
          <w:tcPr>
            <w:tcW w:w="3560" w:type="dxa"/>
            <w:vAlign w:val="bottom"/>
          </w:tcPr>
          <w:p>
            <w:pPr>
              <w:ind w:left="40"/>
              <w:spacing w:after="0" w:line="196" w:lineRule="exact"/>
              <w:rPr>
                <w:sz w:val="20"/>
                <w:szCs w:val="20"/>
                <w:color w:val="auto"/>
              </w:rPr>
            </w:pPr>
            <w:r>
              <w:rPr>
                <w:rFonts w:ascii="Arial" w:cs="Arial" w:eastAsia="Arial" w:hAnsi="Arial"/>
                <w:sz w:val="18"/>
                <w:szCs w:val="18"/>
                <w:color w:val="auto"/>
                <w:w w:val="90"/>
              </w:rPr>
              <w:t>and that such Warrant Certificate be delivered to</w:t>
            </w:r>
          </w:p>
        </w:tc>
        <w:tc>
          <w:tcPr>
            <w:tcW w:w="2560" w:type="dxa"/>
            <w:vAlign w:val="bottom"/>
            <w:gridSpan w:val="2"/>
          </w:tcPr>
          <w:p>
            <w:pPr>
              <w:ind w:left="1180"/>
              <w:spacing w:after="0" w:line="196" w:lineRule="exact"/>
              <w:rPr>
                <w:sz w:val="20"/>
                <w:szCs w:val="20"/>
                <w:color w:val="auto"/>
              </w:rPr>
            </w:pPr>
            <w:r>
              <w:rPr>
                <w:rFonts w:ascii="Arial" w:cs="Arial" w:eastAsia="Arial" w:hAnsi="Arial"/>
                <w:sz w:val="18"/>
                <w:szCs w:val="18"/>
                <w:color w:val="auto"/>
                <w:w w:val="89"/>
              </w:rPr>
              <w:t>, whose address is</w:t>
            </w:r>
          </w:p>
        </w:tc>
        <w:tc>
          <w:tcPr>
            <w:tcW w:w="130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Date: [</w:t>
      </w:r>
      <w:r>
        <w:rPr>
          <w:rFonts w:ascii="Arial" w:cs="Arial" w:eastAsia="Arial" w:hAnsi="Arial"/>
          <w:sz w:val="18"/>
          <w:szCs w:val="18"/>
          <w:b w:val="1"/>
          <w:bCs w:val="1"/>
          <w:color w:val="auto"/>
        </w:rPr>
        <w:t>●</w:t>
      </w:r>
      <w:r>
        <w:rPr>
          <w:rFonts w:ascii="Arial" w:cs="Arial" w:eastAsia="Arial" w:hAnsi="Arial"/>
          <w:sz w:val="18"/>
          <w:szCs w:val="18"/>
          <w:color w:val="auto"/>
        </w:rPr>
        <w:t>], 2022</w:t>
      </w:r>
    </w:p>
    <w:p>
      <w:pPr>
        <w:spacing w:after="0" w:line="200" w:lineRule="exact"/>
        <w:rPr>
          <w:sz w:val="20"/>
          <w:szCs w:val="20"/>
          <w:color w:val="auto"/>
        </w:rPr>
      </w:pPr>
    </w:p>
    <w:p>
      <w:pPr>
        <w:spacing w:after="0" w:line="27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700405</wp:posOffset>
            </wp:positionV>
            <wp:extent cx="34290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554990</wp:posOffset>
            </wp:positionV>
            <wp:extent cx="34290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-130175</wp:posOffset>
            </wp:positionV>
            <wp:extent cx="34290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-130175</wp:posOffset>
            </wp:positionV>
            <wp:extent cx="34290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-130175</wp:posOffset>
            </wp:positionV>
            <wp:extent cx="34290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28632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THE SECURITIES REPRESENTED BY THIS CERTIFICATE MAY NOT BE SOLD OR TRANSFERRED PRIOR TO THE DATE THAT IS THIRTY (30) DAYS AFTER EFFECTIVE DATE (AS DEFINED IN THE PREAMBLE TO THE WARRANT AGREEMENT REFERRED TO HEREIN) EXCEPT TO A PERMITTED TRANSFEREE (AS DEFINED IN SECTION 2 OF THE WARRANT AGREEMENT) WHO AGREES IN WRITING WITH THE COMPANY TO BE SUBJECT TO SUCH TRANSFER PROVISIONS.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EVIDENCED BY THIS CERTIFICATE AND SHARES OF COMMON STOCK OF THE COMPANY ISSUED UPON EXERCISE OF SUCH SECURITIES SHALL BE ENTITLED TO REGISTRATION RIGHTS UNDER A REGISTRATION RIGHTS AGREEMENT TO BE EXECUTED BY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u w:val="single" w:color="auto"/>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314325</wp:posOffset>
            </wp:positionV>
            <wp:extent cx="6292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331470</wp:posOffset>
            </wp:positionV>
            <wp:extent cx="62922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dated as of August 29, 2022</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WESTROCK BEVERAGE SOLUTIONS, LLC,</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WESTROCK COFFEE COMPANY,</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Holdings,</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THE LENDERS AND ISSUING BANKS PARTY HERETO,</w:t>
      </w: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WELLS FARGO BANK, N.A.,</w:t>
      </w:r>
    </w:p>
    <w:p>
      <w:pPr>
        <w:spacing w:after="0" w:line="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as Administrative Agent, Collateral Agent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323215</wp:posOffset>
            </wp:positionV>
            <wp:extent cx="62922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WELLS FARGO SECURITIES, LLC,</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Lead Arranger and Bookrunner</w:t>
      </w: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BOFA SECURITIES, INC.,</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Syndication Agent</w:t>
      </w: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WELLS FARGO SECURITIES, LLC,</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Sustainability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1371600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300355</wp:posOffset>
            </wp:positionV>
            <wp:extent cx="62922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317500</wp:posOffset>
            </wp:positionV>
            <wp:extent cx="62922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460"/>
          </w:cols>
          <w:pgMar w:left="1440" w:top="333" w:right="9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56"/>
        </w:trPr>
        <w:tc>
          <w:tcPr>
            <w:tcW w:w="1160" w:type="dxa"/>
            <w:vAlign w:val="bottom"/>
          </w:tcPr>
          <w:p>
            <w:pPr>
              <w:spacing w:after="0"/>
              <w:rPr>
                <w:sz w:val="22"/>
                <w:szCs w:val="22"/>
                <w:color w:val="auto"/>
              </w:rPr>
            </w:pPr>
          </w:p>
        </w:tc>
        <w:tc>
          <w:tcPr>
            <w:tcW w:w="7920" w:type="dxa"/>
            <w:vAlign w:val="bottom"/>
          </w:tcPr>
          <w:p>
            <w:pPr>
              <w:ind w:left="3260"/>
              <w:spacing w:after="0"/>
              <w:rPr>
                <w:sz w:val="20"/>
                <w:szCs w:val="20"/>
                <w:color w:val="auto"/>
              </w:rPr>
            </w:pPr>
            <w:r>
              <w:rPr>
                <w:rFonts w:ascii="Arial" w:cs="Arial" w:eastAsia="Arial" w:hAnsi="Arial"/>
                <w:sz w:val="20"/>
                <w:szCs w:val="20"/>
                <w:b w:val="1"/>
                <w:bCs w:val="1"/>
                <w:color w:val="auto"/>
              </w:rPr>
              <w:t>CONTENTS</w:t>
            </w:r>
          </w:p>
        </w:tc>
        <w:tc>
          <w:tcPr>
            <w:tcW w:w="840" w:type="dxa"/>
            <w:vAlign w:val="bottom"/>
          </w:tcPr>
          <w:p>
            <w:pPr>
              <w:spacing w:after="0"/>
              <w:rPr>
                <w:sz w:val="22"/>
                <w:szCs w:val="22"/>
                <w:color w:val="auto"/>
              </w:rPr>
            </w:pPr>
          </w:p>
        </w:tc>
      </w:tr>
      <w:tr>
        <w:trPr>
          <w:trHeight w:val="455"/>
        </w:trPr>
        <w:tc>
          <w:tcPr>
            <w:tcW w:w="11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Page</w:t>
            </w:r>
          </w:p>
        </w:tc>
      </w:tr>
      <w:tr>
        <w:trPr>
          <w:trHeight w:val="457"/>
        </w:trPr>
        <w:tc>
          <w:tcPr>
            <w:tcW w:w="9080" w:type="dxa"/>
            <w:vAlign w:val="bottom"/>
            <w:gridSpan w:val="2"/>
          </w:tcPr>
          <w:p>
            <w:pPr>
              <w:spacing w:after="0"/>
              <w:rPr>
                <w:sz w:val="20"/>
                <w:szCs w:val="20"/>
                <w:color w:val="auto"/>
              </w:rPr>
            </w:pPr>
            <w:r>
              <w:rPr>
                <w:rFonts w:ascii="Arial" w:cs="Arial" w:eastAsia="Arial" w:hAnsi="Arial"/>
                <w:sz w:val="20"/>
                <w:szCs w:val="20"/>
                <w:color w:val="auto"/>
              </w:rPr>
              <w:t>ARTICLE I . Definitions</w:t>
            </w:r>
          </w:p>
        </w:tc>
        <w:tc>
          <w:tcPr>
            <w:tcW w:w="8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1.01</w:t>
            </w:r>
          </w:p>
        </w:tc>
        <w:tc>
          <w:tcPr>
            <w:tcW w:w="7920" w:type="dxa"/>
            <w:vAlign w:val="bottom"/>
          </w:tcPr>
          <w:p>
            <w:pPr>
              <w:ind w:left="160"/>
              <w:spacing w:after="0"/>
              <w:rPr>
                <w:sz w:val="20"/>
                <w:szCs w:val="20"/>
                <w:color w:val="auto"/>
              </w:rPr>
            </w:pPr>
            <w:r>
              <w:rPr>
                <w:rFonts w:ascii="Arial" w:cs="Arial" w:eastAsia="Arial" w:hAnsi="Arial"/>
                <w:sz w:val="20"/>
                <w:szCs w:val="20"/>
                <w:color w:val="auto"/>
              </w:rPr>
              <w:t>Defined Terms</w:t>
            </w:r>
          </w:p>
        </w:tc>
        <w:tc>
          <w:tcPr>
            <w:tcW w:w="8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1.02</w:t>
            </w:r>
          </w:p>
        </w:tc>
        <w:tc>
          <w:tcPr>
            <w:tcW w:w="7920" w:type="dxa"/>
            <w:vAlign w:val="bottom"/>
          </w:tcPr>
          <w:p>
            <w:pPr>
              <w:ind w:left="160"/>
              <w:spacing w:after="0"/>
              <w:rPr>
                <w:sz w:val="20"/>
                <w:szCs w:val="20"/>
                <w:color w:val="auto"/>
              </w:rPr>
            </w:pPr>
            <w:r>
              <w:rPr>
                <w:rFonts w:ascii="Arial" w:cs="Arial" w:eastAsia="Arial" w:hAnsi="Arial"/>
                <w:sz w:val="20"/>
                <w:szCs w:val="20"/>
                <w:color w:val="auto"/>
              </w:rPr>
              <w:t>Terms Generally; GAAP</w:t>
            </w:r>
          </w:p>
        </w:tc>
        <w:tc>
          <w:tcPr>
            <w:tcW w:w="84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1.03</w:t>
            </w:r>
          </w:p>
        </w:tc>
        <w:tc>
          <w:tcPr>
            <w:tcW w:w="7920" w:type="dxa"/>
            <w:vAlign w:val="bottom"/>
          </w:tcPr>
          <w:p>
            <w:pPr>
              <w:ind w:left="160"/>
              <w:spacing w:after="0"/>
              <w:rPr>
                <w:sz w:val="20"/>
                <w:szCs w:val="20"/>
                <w:color w:val="auto"/>
              </w:rPr>
            </w:pPr>
            <w:r>
              <w:rPr>
                <w:rFonts w:ascii="Arial" w:cs="Arial" w:eastAsia="Arial" w:hAnsi="Arial"/>
                <w:sz w:val="20"/>
                <w:szCs w:val="20"/>
                <w:color w:val="auto"/>
              </w:rPr>
              <w:t>Interest Rates; Benchmark Notifications</w:t>
            </w:r>
          </w:p>
        </w:tc>
        <w:tc>
          <w:tcPr>
            <w:tcW w:w="84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1.04</w:t>
            </w:r>
          </w:p>
        </w:tc>
        <w:tc>
          <w:tcPr>
            <w:tcW w:w="7920" w:type="dxa"/>
            <w:vAlign w:val="bottom"/>
          </w:tcPr>
          <w:p>
            <w:pPr>
              <w:ind w:left="160"/>
              <w:spacing w:after="0"/>
              <w:rPr>
                <w:sz w:val="20"/>
                <w:szCs w:val="20"/>
                <w:color w:val="auto"/>
              </w:rPr>
            </w:pPr>
            <w:r>
              <w:rPr>
                <w:rFonts w:ascii="Arial" w:cs="Arial" w:eastAsia="Arial" w:hAnsi="Arial"/>
                <w:sz w:val="20"/>
                <w:szCs w:val="20"/>
                <w:color w:val="auto"/>
              </w:rPr>
              <w:t>Timing of Payment or Performance</w:t>
            </w:r>
          </w:p>
        </w:tc>
        <w:tc>
          <w:tcPr>
            <w:tcW w:w="8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1.05</w:t>
            </w:r>
          </w:p>
        </w:tc>
        <w:tc>
          <w:tcPr>
            <w:tcW w:w="7920" w:type="dxa"/>
            <w:vAlign w:val="bottom"/>
          </w:tcPr>
          <w:p>
            <w:pPr>
              <w:ind w:left="160"/>
              <w:spacing w:after="0"/>
              <w:rPr>
                <w:sz w:val="20"/>
                <w:szCs w:val="20"/>
                <w:color w:val="auto"/>
              </w:rPr>
            </w:pPr>
            <w:r>
              <w:rPr>
                <w:rFonts w:ascii="Arial" w:cs="Arial" w:eastAsia="Arial" w:hAnsi="Arial"/>
                <w:sz w:val="20"/>
                <w:szCs w:val="20"/>
                <w:color w:val="auto"/>
              </w:rPr>
              <w:t>Times of Day</w:t>
            </w:r>
          </w:p>
        </w:tc>
        <w:tc>
          <w:tcPr>
            <w:tcW w:w="8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1.06</w:t>
            </w:r>
          </w:p>
        </w:tc>
        <w:tc>
          <w:tcPr>
            <w:tcW w:w="7920" w:type="dxa"/>
            <w:vAlign w:val="bottom"/>
          </w:tcPr>
          <w:p>
            <w:pPr>
              <w:ind w:left="160"/>
              <w:spacing w:after="0"/>
              <w:rPr>
                <w:sz w:val="20"/>
                <w:szCs w:val="20"/>
                <w:color w:val="auto"/>
              </w:rPr>
            </w:pPr>
            <w:r>
              <w:rPr>
                <w:rFonts w:ascii="Arial" w:cs="Arial" w:eastAsia="Arial" w:hAnsi="Arial"/>
                <w:sz w:val="20"/>
                <w:szCs w:val="20"/>
                <w:color w:val="auto"/>
              </w:rPr>
              <w:t>Classification of Loans and Borrowings</w:t>
            </w:r>
          </w:p>
        </w:tc>
        <w:tc>
          <w:tcPr>
            <w:tcW w:w="8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1.07</w:t>
            </w:r>
          </w:p>
        </w:tc>
        <w:tc>
          <w:tcPr>
            <w:tcW w:w="7920" w:type="dxa"/>
            <w:vAlign w:val="bottom"/>
          </w:tcPr>
          <w:p>
            <w:pPr>
              <w:ind w:left="160"/>
              <w:spacing w:after="0"/>
              <w:rPr>
                <w:sz w:val="20"/>
                <w:szCs w:val="20"/>
                <w:color w:val="auto"/>
              </w:rPr>
            </w:pPr>
            <w:r>
              <w:rPr>
                <w:rFonts w:ascii="Arial" w:cs="Arial" w:eastAsia="Arial" w:hAnsi="Arial"/>
                <w:sz w:val="20"/>
                <w:szCs w:val="20"/>
                <w:color w:val="auto"/>
              </w:rPr>
              <w:t>Certain Conditions, Calculations and Tests</w:t>
            </w:r>
          </w:p>
        </w:tc>
        <w:tc>
          <w:tcPr>
            <w:tcW w:w="8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1.08</w:t>
            </w:r>
          </w:p>
        </w:tc>
        <w:tc>
          <w:tcPr>
            <w:tcW w:w="7920" w:type="dxa"/>
            <w:vAlign w:val="bottom"/>
          </w:tcPr>
          <w:p>
            <w:pPr>
              <w:ind w:left="160"/>
              <w:spacing w:after="0"/>
              <w:rPr>
                <w:sz w:val="20"/>
                <w:szCs w:val="20"/>
                <w:color w:val="auto"/>
              </w:rPr>
            </w:pPr>
            <w:r>
              <w:rPr>
                <w:rFonts w:ascii="Arial" w:cs="Arial" w:eastAsia="Arial" w:hAnsi="Arial"/>
                <w:sz w:val="20"/>
                <w:szCs w:val="20"/>
                <w:color w:val="auto"/>
              </w:rPr>
              <w:t>Effectuation of Transactions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459"/>
        </w:trPr>
        <w:tc>
          <w:tcPr>
            <w:tcW w:w="9080" w:type="dxa"/>
            <w:vAlign w:val="bottom"/>
            <w:gridSpan w:val="2"/>
          </w:tcPr>
          <w:p>
            <w:pPr>
              <w:spacing w:after="0"/>
              <w:rPr>
                <w:sz w:val="20"/>
                <w:szCs w:val="20"/>
                <w:color w:val="auto"/>
              </w:rPr>
            </w:pPr>
            <w:r>
              <w:rPr>
                <w:rFonts w:ascii="Arial" w:cs="Arial" w:eastAsia="Arial" w:hAnsi="Arial"/>
                <w:sz w:val="20"/>
                <w:szCs w:val="20"/>
                <w:color w:val="auto"/>
              </w:rPr>
              <w:t>ARTICLE II. The Credits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2.01</w:t>
            </w:r>
          </w:p>
        </w:tc>
        <w:tc>
          <w:tcPr>
            <w:tcW w:w="7920" w:type="dxa"/>
            <w:vAlign w:val="bottom"/>
          </w:tcPr>
          <w:p>
            <w:pPr>
              <w:ind w:left="160"/>
              <w:spacing w:after="0"/>
              <w:rPr>
                <w:sz w:val="20"/>
                <w:szCs w:val="20"/>
                <w:color w:val="auto"/>
              </w:rPr>
            </w:pPr>
            <w:r>
              <w:rPr>
                <w:rFonts w:ascii="Arial" w:cs="Arial" w:eastAsia="Arial" w:hAnsi="Arial"/>
                <w:sz w:val="20"/>
                <w:szCs w:val="20"/>
                <w:color w:val="auto"/>
              </w:rPr>
              <w:t>Commitments</w:t>
            </w:r>
          </w:p>
        </w:tc>
        <w:tc>
          <w:tcPr>
            <w:tcW w:w="8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2.02</w:t>
            </w:r>
          </w:p>
        </w:tc>
        <w:tc>
          <w:tcPr>
            <w:tcW w:w="7920" w:type="dxa"/>
            <w:vAlign w:val="bottom"/>
          </w:tcPr>
          <w:p>
            <w:pPr>
              <w:ind w:left="160"/>
              <w:spacing w:after="0"/>
              <w:rPr>
                <w:sz w:val="20"/>
                <w:szCs w:val="20"/>
                <w:color w:val="auto"/>
              </w:rPr>
            </w:pPr>
            <w:r>
              <w:rPr>
                <w:rFonts w:ascii="Arial" w:cs="Arial" w:eastAsia="Arial" w:hAnsi="Arial"/>
                <w:sz w:val="20"/>
                <w:szCs w:val="20"/>
                <w:color w:val="auto"/>
              </w:rPr>
              <w:t>Loans and Borrowings</w:t>
            </w:r>
          </w:p>
        </w:tc>
        <w:tc>
          <w:tcPr>
            <w:tcW w:w="84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2.03</w:t>
            </w:r>
          </w:p>
        </w:tc>
        <w:tc>
          <w:tcPr>
            <w:tcW w:w="7920" w:type="dxa"/>
            <w:vAlign w:val="bottom"/>
          </w:tcPr>
          <w:p>
            <w:pPr>
              <w:ind w:left="160"/>
              <w:spacing w:after="0"/>
              <w:rPr>
                <w:sz w:val="20"/>
                <w:szCs w:val="20"/>
                <w:color w:val="auto"/>
              </w:rPr>
            </w:pPr>
            <w:r>
              <w:rPr>
                <w:rFonts w:ascii="Arial" w:cs="Arial" w:eastAsia="Arial" w:hAnsi="Arial"/>
                <w:sz w:val="20"/>
                <w:szCs w:val="20"/>
                <w:color w:val="auto"/>
              </w:rPr>
              <w:t>Requests for Borrowings</w:t>
            </w:r>
          </w:p>
        </w:tc>
        <w:tc>
          <w:tcPr>
            <w:tcW w:w="84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2.04</w:t>
            </w:r>
          </w:p>
        </w:tc>
        <w:tc>
          <w:tcPr>
            <w:tcW w:w="7920" w:type="dxa"/>
            <w:vAlign w:val="bottom"/>
          </w:tcPr>
          <w:p>
            <w:pPr>
              <w:ind w:left="160"/>
              <w:spacing w:after="0"/>
              <w:rPr>
                <w:sz w:val="20"/>
                <w:szCs w:val="20"/>
                <w:color w:val="auto"/>
              </w:rPr>
            </w:pPr>
            <w:r>
              <w:rPr>
                <w:rFonts w:ascii="Arial" w:cs="Arial" w:eastAsia="Arial" w:hAnsi="Arial"/>
                <w:sz w:val="20"/>
                <w:szCs w:val="20"/>
                <w:color w:val="auto"/>
              </w:rPr>
              <w:t>Swingline Loans.</w:t>
            </w:r>
          </w:p>
        </w:tc>
        <w:tc>
          <w:tcPr>
            <w:tcW w:w="84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2.05</w:t>
            </w:r>
          </w:p>
        </w:tc>
        <w:tc>
          <w:tcPr>
            <w:tcW w:w="7920" w:type="dxa"/>
            <w:vAlign w:val="bottom"/>
          </w:tcPr>
          <w:p>
            <w:pPr>
              <w:ind w:left="160"/>
              <w:spacing w:after="0"/>
              <w:rPr>
                <w:sz w:val="20"/>
                <w:szCs w:val="20"/>
                <w:color w:val="auto"/>
              </w:rPr>
            </w:pPr>
            <w:r>
              <w:rPr>
                <w:rFonts w:ascii="Arial" w:cs="Arial" w:eastAsia="Arial" w:hAnsi="Arial"/>
                <w:sz w:val="20"/>
                <w:szCs w:val="20"/>
                <w:color w:val="auto"/>
              </w:rPr>
              <w:t>Letters of Credit.</w:t>
            </w:r>
          </w:p>
        </w:tc>
        <w:tc>
          <w:tcPr>
            <w:tcW w:w="84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2.06</w:t>
            </w:r>
          </w:p>
        </w:tc>
        <w:tc>
          <w:tcPr>
            <w:tcW w:w="7920" w:type="dxa"/>
            <w:vAlign w:val="bottom"/>
          </w:tcPr>
          <w:p>
            <w:pPr>
              <w:ind w:left="160"/>
              <w:spacing w:after="0"/>
              <w:rPr>
                <w:sz w:val="20"/>
                <w:szCs w:val="20"/>
                <w:color w:val="auto"/>
              </w:rPr>
            </w:pPr>
            <w:r>
              <w:rPr>
                <w:rFonts w:ascii="Arial" w:cs="Arial" w:eastAsia="Arial" w:hAnsi="Arial"/>
                <w:sz w:val="20"/>
                <w:szCs w:val="20"/>
                <w:color w:val="auto"/>
              </w:rPr>
              <w:t>Funding of Borrowings.</w:t>
            </w:r>
          </w:p>
        </w:tc>
        <w:tc>
          <w:tcPr>
            <w:tcW w:w="84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2.07</w:t>
            </w:r>
          </w:p>
        </w:tc>
        <w:tc>
          <w:tcPr>
            <w:tcW w:w="7920" w:type="dxa"/>
            <w:vAlign w:val="bottom"/>
          </w:tcPr>
          <w:p>
            <w:pPr>
              <w:ind w:left="160"/>
              <w:spacing w:after="0"/>
              <w:rPr>
                <w:sz w:val="20"/>
                <w:szCs w:val="20"/>
                <w:color w:val="auto"/>
              </w:rPr>
            </w:pPr>
            <w:r>
              <w:rPr>
                <w:rFonts w:ascii="Arial" w:cs="Arial" w:eastAsia="Arial" w:hAnsi="Arial"/>
                <w:sz w:val="20"/>
                <w:szCs w:val="20"/>
                <w:color w:val="auto"/>
              </w:rPr>
              <w:t>Interest Elections</w:t>
            </w:r>
          </w:p>
        </w:tc>
        <w:tc>
          <w:tcPr>
            <w:tcW w:w="84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2.08</w:t>
            </w:r>
          </w:p>
        </w:tc>
        <w:tc>
          <w:tcPr>
            <w:tcW w:w="7920" w:type="dxa"/>
            <w:vAlign w:val="bottom"/>
          </w:tcPr>
          <w:p>
            <w:pPr>
              <w:ind w:left="160"/>
              <w:spacing w:after="0"/>
              <w:rPr>
                <w:sz w:val="20"/>
                <w:szCs w:val="20"/>
                <w:color w:val="auto"/>
              </w:rPr>
            </w:pPr>
            <w:r>
              <w:rPr>
                <w:rFonts w:ascii="Arial" w:cs="Arial" w:eastAsia="Arial" w:hAnsi="Arial"/>
                <w:sz w:val="20"/>
                <w:szCs w:val="20"/>
                <w:color w:val="auto"/>
              </w:rPr>
              <w:t>Termination and Reduction of Commitments</w:t>
            </w:r>
          </w:p>
        </w:tc>
        <w:tc>
          <w:tcPr>
            <w:tcW w:w="84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2.09</w:t>
            </w:r>
          </w:p>
        </w:tc>
        <w:tc>
          <w:tcPr>
            <w:tcW w:w="7920" w:type="dxa"/>
            <w:vAlign w:val="bottom"/>
          </w:tcPr>
          <w:p>
            <w:pPr>
              <w:ind w:left="160"/>
              <w:spacing w:after="0"/>
              <w:rPr>
                <w:sz w:val="20"/>
                <w:szCs w:val="20"/>
                <w:color w:val="auto"/>
              </w:rPr>
            </w:pPr>
            <w:r>
              <w:rPr>
                <w:rFonts w:ascii="Arial" w:cs="Arial" w:eastAsia="Arial" w:hAnsi="Arial"/>
                <w:sz w:val="20"/>
                <w:szCs w:val="20"/>
                <w:color w:val="auto"/>
              </w:rPr>
              <w:t>Repayment of Loans; Evidence of Debt</w:t>
            </w:r>
          </w:p>
        </w:tc>
        <w:tc>
          <w:tcPr>
            <w:tcW w:w="84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2.10</w:t>
            </w:r>
          </w:p>
        </w:tc>
        <w:tc>
          <w:tcPr>
            <w:tcW w:w="7920" w:type="dxa"/>
            <w:vAlign w:val="bottom"/>
          </w:tcPr>
          <w:p>
            <w:pPr>
              <w:ind w:left="160"/>
              <w:spacing w:after="0"/>
              <w:rPr>
                <w:sz w:val="20"/>
                <w:szCs w:val="20"/>
                <w:color w:val="auto"/>
              </w:rPr>
            </w:pPr>
            <w:r>
              <w:rPr>
                <w:rFonts w:ascii="Arial" w:cs="Arial" w:eastAsia="Arial" w:hAnsi="Arial"/>
                <w:sz w:val="20"/>
                <w:szCs w:val="20"/>
                <w:color w:val="auto"/>
              </w:rPr>
              <w:t>Repayment of Term Loans and Revolving Facility Loans</w:t>
            </w:r>
          </w:p>
        </w:tc>
        <w:tc>
          <w:tcPr>
            <w:tcW w:w="84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2.11</w:t>
            </w:r>
          </w:p>
        </w:tc>
        <w:tc>
          <w:tcPr>
            <w:tcW w:w="7920" w:type="dxa"/>
            <w:vAlign w:val="bottom"/>
          </w:tcPr>
          <w:p>
            <w:pPr>
              <w:ind w:left="160"/>
              <w:spacing w:after="0"/>
              <w:rPr>
                <w:sz w:val="20"/>
                <w:szCs w:val="20"/>
                <w:color w:val="auto"/>
              </w:rPr>
            </w:pPr>
            <w:r>
              <w:rPr>
                <w:rFonts w:ascii="Arial" w:cs="Arial" w:eastAsia="Arial" w:hAnsi="Arial"/>
                <w:sz w:val="20"/>
                <w:szCs w:val="20"/>
                <w:color w:val="auto"/>
              </w:rPr>
              <w:t>Prepayment of Loans</w:t>
            </w:r>
          </w:p>
        </w:tc>
        <w:tc>
          <w:tcPr>
            <w:tcW w:w="84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2.12</w:t>
            </w:r>
          </w:p>
        </w:tc>
        <w:tc>
          <w:tcPr>
            <w:tcW w:w="7920" w:type="dxa"/>
            <w:vAlign w:val="bottom"/>
          </w:tcPr>
          <w:p>
            <w:pPr>
              <w:ind w:left="160"/>
              <w:spacing w:after="0"/>
              <w:rPr>
                <w:sz w:val="20"/>
                <w:szCs w:val="20"/>
                <w:color w:val="auto"/>
              </w:rPr>
            </w:pPr>
            <w:r>
              <w:rPr>
                <w:rFonts w:ascii="Arial" w:cs="Arial" w:eastAsia="Arial" w:hAnsi="Arial"/>
                <w:sz w:val="20"/>
                <w:szCs w:val="20"/>
                <w:color w:val="auto"/>
              </w:rPr>
              <w:t>Fees</w:t>
            </w:r>
          </w:p>
        </w:tc>
        <w:tc>
          <w:tcPr>
            <w:tcW w:w="84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2.13</w:t>
            </w:r>
          </w:p>
        </w:tc>
        <w:tc>
          <w:tcPr>
            <w:tcW w:w="7920" w:type="dxa"/>
            <w:vAlign w:val="bottom"/>
          </w:tcPr>
          <w:p>
            <w:pPr>
              <w:ind w:left="160"/>
              <w:spacing w:after="0"/>
              <w:rPr>
                <w:sz w:val="20"/>
                <w:szCs w:val="20"/>
                <w:color w:val="auto"/>
              </w:rPr>
            </w:pPr>
            <w:r>
              <w:rPr>
                <w:rFonts w:ascii="Arial" w:cs="Arial" w:eastAsia="Arial" w:hAnsi="Arial"/>
                <w:sz w:val="20"/>
                <w:szCs w:val="20"/>
                <w:color w:val="auto"/>
              </w:rPr>
              <w:t>Interest</w:t>
            </w:r>
          </w:p>
        </w:tc>
        <w:tc>
          <w:tcPr>
            <w:tcW w:w="84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2.14</w:t>
            </w:r>
          </w:p>
        </w:tc>
        <w:tc>
          <w:tcPr>
            <w:tcW w:w="7920" w:type="dxa"/>
            <w:vAlign w:val="bottom"/>
          </w:tcPr>
          <w:p>
            <w:pPr>
              <w:ind w:left="160"/>
              <w:spacing w:after="0"/>
              <w:rPr>
                <w:sz w:val="20"/>
                <w:szCs w:val="20"/>
                <w:color w:val="auto"/>
              </w:rPr>
            </w:pPr>
            <w:r>
              <w:rPr>
                <w:rFonts w:ascii="Arial" w:cs="Arial" w:eastAsia="Arial" w:hAnsi="Arial"/>
                <w:sz w:val="20"/>
                <w:szCs w:val="20"/>
                <w:color w:val="auto"/>
              </w:rPr>
              <w:t>Alternative Rate of Interest</w:t>
            </w:r>
          </w:p>
        </w:tc>
        <w:tc>
          <w:tcPr>
            <w:tcW w:w="8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2.15</w:t>
            </w:r>
          </w:p>
        </w:tc>
        <w:tc>
          <w:tcPr>
            <w:tcW w:w="7920" w:type="dxa"/>
            <w:vAlign w:val="bottom"/>
          </w:tcPr>
          <w:p>
            <w:pPr>
              <w:ind w:left="160"/>
              <w:spacing w:after="0"/>
              <w:rPr>
                <w:sz w:val="20"/>
                <w:szCs w:val="20"/>
                <w:color w:val="auto"/>
              </w:rPr>
            </w:pPr>
            <w:r>
              <w:rPr>
                <w:rFonts w:ascii="Arial" w:cs="Arial" w:eastAsia="Arial" w:hAnsi="Arial"/>
                <w:sz w:val="20"/>
                <w:szCs w:val="20"/>
                <w:color w:val="auto"/>
              </w:rPr>
              <w:t>Increased Costs</w:t>
            </w:r>
          </w:p>
        </w:tc>
        <w:tc>
          <w:tcPr>
            <w:tcW w:w="84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2.16</w:t>
            </w:r>
          </w:p>
        </w:tc>
        <w:tc>
          <w:tcPr>
            <w:tcW w:w="7920" w:type="dxa"/>
            <w:vAlign w:val="bottom"/>
          </w:tcPr>
          <w:p>
            <w:pPr>
              <w:ind w:left="160"/>
              <w:spacing w:after="0"/>
              <w:rPr>
                <w:sz w:val="20"/>
                <w:szCs w:val="20"/>
                <w:color w:val="auto"/>
              </w:rPr>
            </w:pPr>
            <w:r>
              <w:rPr>
                <w:rFonts w:ascii="Arial" w:cs="Arial" w:eastAsia="Arial" w:hAnsi="Arial"/>
                <w:sz w:val="20"/>
                <w:szCs w:val="20"/>
                <w:color w:val="auto"/>
              </w:rPr>
              <w:t>Break Funding Payments</w:t>
            </w:r>
          </w:p>
        </w:tc>
        <w:tc>
          <w:tcPr>
            <w:tcW w:w="8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2.17</w:t>
            </w:r>
          </w:p>
        </w:tc>
        <w:tc>
          <w:tcPr>
            <w:tcW w:w="7920" w:type="dxa"/>
            <w:vAlign w:val="bottom"/>
          </w:tcPr>
          <w:p>
            <w:pPr>
              <w:ind w:left="160"/>
              <w:spacing w:after="0"/>
              <w:rPr>
                <w:sz w:val="20"/>
                <w:szCs w:val="20"/>
                <w:color w:val="auto"/>
              </w:rPr>
            </w:pPr>
            <w:r>
              <w:rPr>
                <w:rFonts w:ascii="Arial" w:cs="Arial" w:eastAsia="Arial" w:hAnsi="Arial"/>
                <w:sz w:val="20"/>
                <w:szCs w:val="20"/>
                <w:color w:val="auto"/>
              </w:rPr>
              <w:t>Taxes</w:t>
            </w:r>
          </w:p>
        </w:tc>
        <w:tc>
          <w:tcPr>
            <w:tcW w:w="84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2.18</w:t>
            </w:r>
          </w:p>
        </w:tc>
        <w:tc>
          <w:tcPr>
            <w:tcW w:w="7920" w:type="dxa"/>
            <w:vAlign w:val="bottom"/>
          </w:tcPr>
          <w:p>
            <w:pPr>
              <w:ind w:left="160"/>
              <w:spacing w:after="0"/>
              <w:rPr>
                <w:sz w:val="20"/>
                <w:szCs w:val="20"/>
                <w:color w:val="auto"/>
              </w:rPr>
            </w:pPr>
            <w:r>
              <w:rPr>
                <w:rFonts w:ascii="Arial" w:cs="Arial" w:eastAsia="Arial" w:hAnsi="Arial"/>
                <w:sz w:val="20"/>
                <w:szCs w:val="20"/>
                <w:color w:val="auto"/>
              </w:rPr>
              <w:t>Payments Generally; Pro Rata Treatment; Sharing of Set-offs</w:t>
            </w:r>
          </w:p>
        </w:tc>
        <w:tc>
          <w:tcPr>
            <w:tcW w:w="84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2.19</w:t>
            </w:r>
          </w:p>
        </w:tc>
        <w:tc>
          <w:tcPr>
            <w:tcW w:w="7920" w:type="dxa"/>
            <w:vAlign w:val="bottom"/>
          </w:tcPr>
          <w:p>
            <w:pPr>
              <w:ind w:left="160"/>
              <w:spacing w:after="0"/>
              <w:rPr>
                <w:sz w:val="20"/>
                <w:szCs w:val="20"/>
                <w:color w:val="auto"/>
              </w:rPr>
            </w:pPr>
            <w:r>
              <w:rPr>
                <w:rFonts w:ascii="Arial" w:cs="Arial" w:eastAsia="Arial" w:hAnsi="Arial"/>
                <w:sz w:val="20"/>
                <w:szCs w:val="20"/>
                <w:color w:val="auto"/>
              </w:rPr>
              <w:t>Mitigation Obligations; Replacement of Lenders</w:t>
            </w:r>
          </w:p>
        </w:tc>
        <w:tc>
          <w:tcPr>
            <w:tcW w:w="84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2.20</w:t>
            </w:r>
          </w:p>
        </w:tc>
        <w:tc>
          <w:tcPr>
            <w:tcW w:w="7920" w:type="dxa"/>
            <w:vAlign w:val="bottom"/>
          </w:tcPr>
          <w:p>
            <w:pPr>
              <w:ind w:left="160"/>
              <w:spacing w:after="0"/>
              <w:rPr>
                <w:sz w:val="20"/>
                <w:szCs w:val="20"/>
                <w:color w:val="auto"/>
              </w:rPr>
            </w:pPr>
            <w:r>
              <w:rPr>
                <w:rFonts w:ascii="Arial" w:cs="Arial" w:eastAsia="Arial" w:hAnsi="Arial"/>
                <w:sz w:val="20"/>
                <w:szCs w:val="20"/>
                <w:color w:val="auto"/>
              </w:rPr>
              <w:t>[Reserved]</w:t>
            </w:r>
          </w:p>
        </w:tc>
        <w:tc>
          <w:tcPr>
            <w:tcW w:w="84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2.21</w:t>
            </w:r>
          </w:p>
        </w:tc>
        <w:tc>
          <w:tcPr>
            <w:tcW w:w="7920" w:type="dxa"/>
            <w:vAlign w:val="bottom"/>
          </w:tcPr>
          <w:p>
            <w:pPr>
              <w:ind w:left="160"/>
              <w:spacing w:after="0"/>
              <w:rPr>
                <w:sz w:val="20"/>
                <w:szCs w:val="20"/>
                <w:color w:val="auto"/>
              </w:rPr>
            </w:pPr>
            <w:r>
              <w:rPr>
                <w:rFonts w:ascii="Arial" w:cs="Arial" w:eastAsia="Arial" w:hAnsi="Arial"/>
                <w:sz w:val="20"/>
                <w:szCs w:val="20"/>
                <w:color w:val="auto"/>
              </w:rPr>
              <w:t>Incremental Commitments</w:t>
            </w:r>
          </w:p>
        </w:tc>
        <w:tc>
          <w:tcPr>
            <w:tcW w:w="84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2.22</w:t>
            </w:r>
          </w:p>
        </w:tc>
        <w:tc>
          <w:tcPr>
            <w:tcW w:w="7920" w:type="dxa"/>
            <w:vAlign w:val="bottom"/>
          </w:tcPr>
          <w:p>
            <w:pPr>
              <w:ind w:left="160"/>
              <w:spacing w:after="0"/>
              <w:rPr>
                <w:sz w:val="20"/>
                <w:szCs w:val="20"/>
                <w:color w:val="auto"/>
              </w:rPr>
            </w:pPr>
            <w:r>
              <w:rPr>
                <w:rFonts w:ascii="Arial" w:cs="Arial" w:eastAsia="Arial" w:hAnsi="Arial"/>
                <w:sz w:val="20"/>
                <w:szCs w:val="20"/>
                <w:color w:val="auto"/>
              </w:rPr>
              <w:t>Extensions of Loans and Commitments</w:t>
            </w:r>
          </w:p>
        </w:tc>
        <w:tc>
          <w:tcPr>
            <w:tcW w:w="84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2.23</w:t>
            </w:r>
          </w:p>
        </w:tc>
        <w:tc>
          <w:tcPr>
            <w:tcW w:w="7920" w:type="dxa"/>
            <w:vAlign w:val="bottom"/>
          </w:tcPr>
          <w:p>
            <w:pPr>
              <w:ind w:left="160"/>
              <w:spacing w:after="0"/>
              <w:rPr>
                <w:sz w:val="20"/>
                <w:szCs w:val="20"/>
                <w:color w:val="auto"/>
              </w:rPr>
            </w:pPr>
            <w:r>
              <w:rPr>
                <w:rFonts w:ascii="Arial" w:cs="Arial" w:eastAsia="Arial" w:hAnsi="Arial"/>
                <w:sz w:val="20"/>
                <w:szCs w:val="20"/>
                <w:color w:val="auto"/>
              </w:rPr>
              <w:t>Refinancing Amendments</w:t>
            </w:r>
          </w:p>
        </w:tc>
        <w:tc>
          <w:tcPr>
            <w:tcW w:w="84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2.24</w:t>
            </w:r>
          </w:p>
        </w:tc>
        <w:tc>
          <w:tcPr>
            <w:tcW w:w="7920" w:type="dxa"/>
            <w:vAlign w:val="bottom"/>
          </w:tcPr>
          <w:p>
            <w:pPr>
              <w:ind w:left="160"/>
              <w:spacing w:after="0"/>
              <w:rPr>
                <w:sz w:val="20"/>
                <w:szCs w:val="20"/>
                <w:color w:val="auto"/>
              </w:rPr>
            </w:pPr>
            <w:r>
              <w:rPr>
                <w:rFonts w:ascii="Arial" w:cs="Arial" w:eastAsia="Arial" w:hAnsi="Arial"/>
                <w:sz w:val="20"/>
                <w:szCs w:val="20"/>
                <w:color w:val="auto"/>
              </w:rPr>
              <w:t>Defaulting Lender</w:t>
            </w:r>
          </w:p>
        </w:tc>
        <w:tc>
          <w:tcPr>
            <w:tcW w:w="84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2.25</w:t>
            </w:r>
          </w:p>
        </w:tc>
        <w:tc>
          <w:tcPr>
            <w:tcW w:w="7920" w:type="dxa"/>
            <w:vAlign w:val="bottom"/>
          </w:tcPr>
          <w:p>
            <w:pPr>
              <w:ind w:left="160"/>
              <w:spacing w:after="0"/>
              <w:rPr>
                <w:sz w:val="20"/>
                <w:szCs w:val="20"/>
                <w:color w:val="auto"/>
              </w:rPr>
            </w:pPr>
            <w:r>
              <w:rPr>
                <w:rFonts w:ascii="Arial" w:cs="Arial" w:eastAsia="Arial" w:hAnsi="Arial"/>
                <w:sz w:val="20"/>
                <w:szCs w:val="20"/>
                <w:color w:val="auto"/>
              </w:rPr>
              <w:t>Loan Repurchases</w:t>
            </w:r>
          </w:p>
        </w:tc>
        <w:tc>
          <w:tcPr>
            <w:tcW w:w="84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459"/>
        </w:trPr>
        <w:tc>
          <w:tcPr>
            <w:tcW w:w="9080" w:type="dxa"/>
            <w:vAlign w:val="bottom"/>
            <w:gridSpan w:val="2"/>
          </w:tcPr>
          <w:p>
            <w:pPr>
              <w:spacing w:after="0"/>
              <w:rPr>
                <w:sz w:val="20"/>
                <w:szCs w:val="20"/>
                <w:color w:val="auto"/>
              </w:rPr>
            </w:pPr>
            <w:r>
              <w:rPr>
                <w:rFonts w:ascii="Arial" w:cs="Arial" w:eastAsia="Arial" w:hAnsi="Arial"/>
                <w:sz w:val="20"/>
                <w:szCs w:val="20"/>
                <w:color w:val="auto"/>
              </w:rPr>
              <w:t>ARTICLE III. Representations and Warranties</w:t>
            </w:r>
          </w:p>
        </w:tc>
        <w:tc>
          <w:tcPr>
            <w:tcW w:w="84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3.01</w:t>
            </w:r>
          </w:p>
        </w:tc>
        <w:tc>
          <w:tcPr>
            <w:tcW w:w="7920" w:type="dxa"/>
            <w:vAlign w:val="bottom"/>
          </w:tcPr>
          <w:p>
            <w:pPr>
              <w:ind w:left="160"/>
              <w:spacing w:after="0"/>
              <w:rPr>
                <w:sz w:val="20"/>
                <w:szCs w:val="20"/>
                <w:color w:val="auto"/>
              </w:rPr>
            </w:pPr>
            <w:r>
              <w:rPr>
                <w:rFonts w:ascii="Arial" w:cs="Arial" w:eastAsia="Arial" w:hAnsi="Arial"/>
                <w:sz w:val="20"/>
                <w:szCs w:val="20"/>
                <w:color w:val="auto"/>
              </w:rPr>
              <w:t>Organization; Powers</w:t>
            </w:r>
          </w:p>
        </w:tc>
        <w:tc>
          <w:tcPr>
            <w:tcW w:w="84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3.02</w:t>
            </w:r>
          </w:p>
        </w:tc>
        <w:tc>
          <w:tcPr>
            <w:tcW w:w="7920" w:type="dxa"/>
            <w:vAlign w:val="bottom"/>
          </w:tcPr>
          <w:p>
            <w:pPr>
              <w:ind w:left="160"/>
              <w:spacing w:after="0"/>
              <w:rPr>
                <w:sz w:val="20"/>
                <w:szCs w:val="20"/>
                <w:color w:val="auto"/>
              </w:rPr>
            </w:pPr>
            <w:r>
              <w:rPr>
                <w:rFonts w:ascii="Arial" w:cs="Arial" w:eastAsia="Arial" w:hAnsi="Arial"/>
                <w:sz w:val="20"/>
                <w:szCs w:val="20"/>
                <w:color w:val="auto"/>
              </w:rPr>
              <w:t>Authorization</w:t>
            </w:r>
          </w:p>
        </w:tc>
        <w:tc>
          <w:tcPr>
            <w:tcW w:w="840" w:type="dxa"/>
            <w:vAlign w:val="bottom"/>
          </w:tcPr>
          <w:p>
            <w:pPr>
              <w:jc w:val="right"/>
              <w:spacing w:after="0"/>
              <w:rPr>
                <w:sz w:val="20"/>
                <w:szCs w:val="20"/>
                <w:color w:val="auto"/>
              </w:rPr>
            </w:pPr>
            <w:r>
              <w:rPr>
                <w:rFonts w:ascii="Arial" w:cs="Arial" w:eastAsia="Arial" w:hAnsi="Arial"/>
                <w:sz w:val="20"/>
                <w:szCs w:val="20"/>
                <w:color w:val="auto"/>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3.03</w:t>
            </w:r>
          </w:p>
        </w:tc>
        <w:tc>
          <w:tcPr>
            <w:tcW w:w="6640" w:type="dxa"/>
            <w:vAlign w:val="bottom"/>
          </w:tcPr>
          <w:p>
            <w:pPr>
              <w:ind w:left="160"/>
              <w:spacing w:after="0"/>
              <w:rPr>
                <w:sz w:val="20"/>
                <w:szCs w:val="20"/>
                <w:color w:val="auto"/>
              </w:rPr>
            </w:pPr>
            <w:r>
              <w:rPr>
                <w:rFonts w:ascii="Arial" w:cs="Arial" w:eastAsia="Arial" w:hAnsi="Arial"/>
                <w:sz w:val="20"/>
                <w:szCs w:val="20"/>
                <w:color w:val="auto"/>
              </w:rPr>
              <w:t>Enforceability</w:t>
            </w:r>
          </w:p>
        </w:tc>
        <w:tc>
          <w:tcPr>
            <w:tcW w:w="212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3.04</w:t>
            </w:r>
          </w:p>
        </w:tc>
        <w:tc>
          <w:tcPr>
            <w:tcW w:w="6640" w:type="dxa"/>
            <w:vAlign w:val="bottom"/>
          </w:tcPr>
          <w:p>
            <w:pPr>
              <w:ind w:left="160"/>
              <w:spacing w:after="0"/>
              <w:rPr>
                <w:sz w:val="20"/>
                <w:szCs w:val="20"/>
                <w:color w:val="auto"/>
              </w:rPr>
            </w:pPr>
            <w:r>
              <w:rPr>
                <w:rFonts w:ascii="Arial" w:cs="Arial" w:eastAsia="Arial" w:hAnsi="Arial"/>
                <w:sz w:val="20"/>
                <w:szCs w:val="20"/>
                <w:color w:val="auto"/>
              </w:rPr>
              <w:t>Governmental Approvals</w:t>
            </w:r>
          </w:p>
        </w:tc>
        <w:tc>
          <w:tcPr>
            <w:tcW w:w="212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3.05</w:t>
            </w:r>
          </w:p>
        </w:tc>
        <w:tc>
          <w:tcPr>
            <w:tcW w:w="6640" w:type="dxa"/>
            <w:vAlign w:val="bottom"/>
          </w:tcPr>
          <w:p>
            <w:pPr>
              <w:ind w:left="160"/>
              <w:spacing w:after="0"/>
              <w:rPr>
                <w:sz w:val="20"/>
                <w:szCs w:val="20"/>
                <w:color w:val="auto"/>
              </w:rPr>
            </w:pPr>
            <w:r>
              <w:rPr>
                <w:rFonts w:ascii="Arial" w:cs="Arial" w:eastAsia="Arial" w:hAnsi="Arial"/>
                <w:sz w:val="20"/>
                <w:szCs w:val="20"/>
                <w:color w:val="auto"/>
              </w:rPr>
              <w:t>Financial Statements</w:t>
            </w:r>
          </w:p>
        </w:tc>
        <w:tc>
          <w:tcPr>
            <w:tcW w:w="212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3.06</w:t>
            </w:r>
          </w:p>
        </w:tc>
        <w:tc>
          <w:tcPr>
            <w:tcW w:w="6640" w:type="dxa"/>
            <w:vAlign w:val="bottom"/>
          </w:tcPr>
          <w:p>
            <w:pPr>
              <w:ind w:left="160"/>
              <w:spacing w:after="0"/>
              <w:rPr>
                <w:sz w:val="20"/>
                <w:szCs w:val="20"/>
                <w:color w:val="auto"/>
              </w:rPr>
            </w:pPr>
            <w:r>
              <w:rPr>
                <w:rFonts w:ascii="Arial" w:cs="Arial" w:eastAsia="Arial" w:hAnsi="Arial"/>
                <w:sz w:val="20"/>
                <w:szCs w:val="20"/>
                <w:color w:val="auto"/>
              </w:rPr>
              <w:t>No Material Adverse Effect</w:t>
            </w:r>
          </w:p>
        </w:tc>
        <w:tc>
          <w:tcPr>
            <w:tcW w:w="212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3.07</w:t>
            </w:r>
          </w:p>
        </w:tc>
        <w:tc>
          <w:tcPr>
            <w:tcW w:w="6640" w:type="dxa"/>
            <w:vAlign w:val="bottom"/>
          </w:tcPr>
          <w:p>
            <w:pPr>
              <w:ind w:left="160"/>
              <w:spacing w:after="0"/>
              <w:rPr>
                <w:sz w:val="20"/>
                <w:szCs w:val="20"/>
                <w:color w:val="auto"/>
              </w:rPr>
            </w:pPr>
            <w:r>
              <w:rPr>
                <w:rFonts w:ascii="Arial" w:cs="Arial" w:eastAsia="Arial" w:hAnsi="Arial"/>
                <w:sz w:val="20"/>
                <w:szCs w:val="20"/>
                <w:color w:val="auto"/>
              </w:rPr>
              <w:t>Title to Properties; Possession Under Leases</w:t>
            </w:r>
          </w:p>
        </w:tc>
        <w:tc>
          <w:tcPr>
            <w:tcW w:w="212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3.08</w:t>
            </w:r>
          </w:p>
        </w:tc>
        <w:tc>
          <w:tcPr>
            <w:tcW w:w="6640" w:type="dxa"/>
            <w:vAlign w:val="bottom"/>
          </w:tcPr>
          <w:p>
            <w:pPr>
              <w:ind w:left="160"/>
              <w:spacing w:after="0"/>
              <w:rPr>
                <w:sz w:val="20"/>
                <w:szCs w:val="20"/>
                <w:color w:val="auto"/>
              </w:rPr>
            </w:pPr>
            <w:r>
              <w:rPr>
                <w:rFonts w:ascii="Arial" w:cs="Arial" w:eastAsia="Arial" w:hAnsi="Arial"/>
                <w:sz w:val="20"/>
                <w:szCs w:val="20"/>
                <w:color w:val="auto"/>
              </w:rPr>
              <w:t>[Reserved]</w:t>
            </w:r>
          </w:p>
        </w:tc>
        <w:tc>
          <w:tcPr>
            <w:tcW w:w="21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3.09</w:t>
            </w:r>
          </w:p>
        </w:tc>
        <w:tc>
          <w:tcPr>
            <w:tcW w:w="6640" w:type="dxa"/>
            <w:vAlign w:val="bottom"/>
          </w:tcPr>
          <w:p>
            <w:pPr>
              <w:ind w:left="160"/>
              <w:spacing w:after="0"/>
              <w:rPr>
                <w:sz w:val="20"/>
                <w:szCs w:val="20"/>
                <w:color w:val="auto"/>
              </w:rPr>
            </w:pPr>
            <w:r>
              <w:rPr>
                <w:rFonts w:ascii="Arial" w:cs="Arial" w:eastAsia="Arial" w:hAnsi="Arial"/>
                <w:sz w:val="20"/>
                <w:szCs w:val="20"/>
                <w:color w:val="auto"/>
              </w:rPr>
              <w:t>Litigation; Compliance with Laws</w:t>
            </w:r>
          </w:p>
        </w:tc>
        <w:tc>
          <w:tcPr>
            <w:tcW w:w="21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3.10</w:t>
            </w:r>
          </w:p>
        </w:tc>
        <w:tc>
          <w:tcPr>
            <w:tcW w:w="6640" w:type="dxa"/>
            <w:vAlign w:val="bottom"/>
          </w:tcPr>
          <w:p>
            <w:pPr>
              <w:ind w:left="160"/>
              <w:spacing w:after="0"/>
              <w:rPr>
                <w:sz w:val="20"/>
                <w:szCs w:val="20"/>
                <w:color w:val="auto"/>
              </w:rPr>
            </w:pPr>
            <w:r>
              <w:rPr>
                <w:rFonts w:ascii="Arial" w:cs="Arial" w:eastAsia="Arial" w:hAnsi="Arial"/>
                <w:sz w:val="20"/>
                <w:szCs w:val="20"/>
                <w:color w:val="auto"/>
              </w:rPr>
              <w:t>Federal Reserve Regulations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3.11</w:t>
            </w:r>
          </w:p>
        </w:tc>
        <w:tc>
          <w:tcPr>
            <w:tcW w:w="6640" w:type="dxa"/>
            <w:vAlign w:val="bottom"/>
          </w:tcPr>
          <w:p>
            <w:pPr>
              <w:ind w:left="160"/>
              <w:spacing w:after="0"/>
              <w:rPr>
                <w:sz w:val="20"/>
                <w:szCs w:val="20"/>
                <w:color w:val="auto"/>
              </w:rPr>
            </w:pPr>
            <w:r>
              <w:rPr>
                <w:rFonts w:ascii="Arial" w:cs="Arial" w:eastAsia="Arial" w:hAnsi="Arial"/>
                <w:sz w:val="20"/>
                <w:szCs w:val="20"/>
                <w:color w:val="auto"/>
              </w:rPr>
              <w:t>Investment Company Act</w:t>
            </w:r>
          </w:p>
        </w:tc>
        <w:tc>
          <w:tcPr>
            <w:tcW w:w="21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3.12</w:t>
            </w:r>
          </w:p>
        </w:tc>
        <w:tc>
          <w:tcPr>
            <w:tcW w:w="6640" w:type="dxa"/>
            <w:vAlign w:val="bottom"/>
          </w:tcPr>
          <w:p>
            <w:pPr>
              <w:ind w:left="160"/>
              <w:spacing w:after="0"/>
              <w:rPr>
                <w:sz w:val="20"/>
                <w:szCs w:val="20"/>
                <w:color w:val="auto"/>
              </w:rPr>
            </w:pPr>
            <w:r>
              <w:rPr>
                <w:rFonts w:ascii="Arial" w:cs="Arial" w:eastAsia="Arial" w:hAnsi="Arial"/>
                <w:sz w:val="20"/>
                <w:szCs w:val="20"/>
                <w:color w:val="auto"/>
              </w:rPr>
              <w:t>Use of Proceeds</w:t>
            </w:r>
          </w:p>
        </w:tc>
        <w:tc>
          <w:tcPr>
            <w:tcW w:w="21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3.13</w:t>
            </w:r>
          </w:p>
        </w:tc>
        <w:tc>
          <w:tcPr>
            <w:tcW w:w="6640" w:type="dxa"/>
            <w:vAlign w:val="bottom"/>
          </w:tcPr>
          <w:p>
            <w:pPr>
              <w:ind w:left="160"/>
              <w:spacing w:after="0"/>
              <w:rPr>
                <w:sz w:val="20"/>
                <w:szCs w:val="20"/>
                <w:color w:val="auto"/>
              </w:rPr>
            </w:pPr>
            <w:r>
              <w:rPr>
                <w:rFonts w:ascii="Arial" w:cs="Arial" w:eastAsia="Arial" w:hAnsi="Arial"/>
                <w:sz w:val="20"/>
                <w:szCs w:val="20"/>
                <w:color w:val="auto"/>
              </w:rPr>
              <w:t>Tax Returns</w:t>
            </w:r>
          </w:p>
        </w:tc>
        <w:tc>
          <w:tcPr>
            <w:tcW w:w="21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3.14</w:t>
            </w:r>
          </w:p>
        </w:tc>
        <w:tc>
          <w:tcPr>
            <w:tcW w:w="6640" w:type="dxa"/>
            <w:vAlign w:val="bottom"/>
          </w:tcPr>
          <w:p>
            <w:pPr>
              <w:ind w:left="160"/>
              <w:spacing w:after="0"/>
              <w:rPr>
                <w:sz w:val="20"/>
                <w:szCs w:val="20"/>
                <w:color w:val="auto"/>
              </w:rPr>
            </w:pPr>
            <w:r>
              <w:rPr>
                <w:rFonts w:ascii="Arial" w:cs="Arial" w:eastAsia="Arial" w:hAnsi="Arial"/>
                <w:sz w:val="20"/>
                <w:szCs w:val="20"/>
                <w:color w:val="auto"/>
              </w:rPr>
              <w:t>No Material Misstatements</w:t>
            </w:r>
          </w:p>
        </w:tc>
        <w:tc>
          <w:tcPr>
            <w:tcW w:w="21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3.15</w:t>
            </w:r>
          </w:p>
        </w:tc>
        <w:tc>
          <w:tcPr>
            <w:tcW w:w="6640" w:type="dxa"/>
            <w:vAlign w:val="bottom"/>
          </w:tcPr>
          <w:p>
            <w:pPr>
              <w:ind w:left="160"/>
              <w:spacing w:after="0"/>
              <w:rPr>
                <w:sz w:val="20"/>
                <w:szCs w:val="20"/>
                <w:color w:val="auto"/>
              </w:rPr>
            </w:pPr>
            <w:r>
              <w:rPr>
                <w:rFonts w:ascii="Arial" w:cs="Arial" w:eastAsia="Arial" w:hAnsi="Arial"/>
                <w:sz w:val="20"/>
                <w:szCs w:val="20"/>
                <w:color w:val="auto"/>
              </w:rPr>
              <w:t>Employee Benefit Plans</w:t>
            </w:r>
          </w:p>
        </w:tc>
        <w:tc>
          <w:tcPr>
            <w:tcW w:w="212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3.16</w:t>
            </w:r>
          </w:p>
        </w:tc>
        <w:tc>
          <w:tcPr>
            <w:tcW w:w="6640" w:type="dxa"/>
            <w:vAlign w:val="bottom"/>
          </w:tcPr>
          <w:p>
            <w:pPr>
              <w:ind w:left="160"/>
              <w:spacing w:after="0"/>
              <w:rPr>
                <w:sz w:val="20"/>
                <w:szCs w:val="20"/>
                <w:color w:val="auto"/>
              </w:rPr>
            </w:pPr>
            <w:r>
              <w:rPr>
                <w:rFonts w:ascii="Arial" w:cs="Arial" w:eastAsia="Arial" w:hAnsi="Arial"/>
                <w:sz w:val="20"/>
                <w:szCs w:val="20"/>
                <w:color w:val="auto"/>
              </w:rPr>
              <w:t>Environmental Matters</w:t>
            </w:r>
          </w:p>
        </w:tc>
        <w:tc>
          <w:tcPr>
            <w:tcW w:w="21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3.17</w:t>
            </w:r>
          </w:p>
        </w:tc>
        <w:tc>
          <w:tcPr>
            <w:tcW w:w="6640" w:type="dxa"/>
            <w:vAlign w:val="bottom"/>
          </w:tcPr>
          <w:p>
            <w:pPr>
              <w:ind w:left="160"/>
              <w:spacing w:after="0"/>
              <w:rPr>
                <w:sz w:val="20"/>
                <w:szCs w:val="20"/>
                <w:color w:val="auto"/>
              </w:rPr>
            </w:pPr>
            <w:r>
              <w:rPr>
                <w:rFonts w:ascii="Arial" w:cs="Arial" w:eastAsia="Arial" w:hAnsi="Arial"/>
                <w:sz w:val="20"/>
                <w:szCs w:val="20"/>
                <w:color w:val="auto"/>
              </w:rPr>
              <w:t>Security Documents</w:t>
            </w:r>
          </w:p>
        </w:tc>
        <w:tc>
          <w:tcPr>
            <w:tcW w:w="212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3.18</w:t>
            </w:r>
          </w:p>
        </w:tc>
        <w:tc>
          <w:tcPr>
            <w:tcW w:w="6640" w:type="dxa"/>
            <w:vAlign w:val="bottom"/>
          </w:tcPr>
          <w:p>
            <w:pPr>
              <w:ind w:left="160"/>
              <w:spacing w:after="0"/>
              <w:rPr>
                <w:sz w:val="20"/>
                <w:szCs w:val="20"/>
                <w:color w:val="auto"/>
              </w:rPr>
            </w:pPr>
            <w:r>
              <w:rPr>
                <w:rFonts w:ascii="Arial" w:cs="Arial" w:eastAsia="Arial" w:hAnsi="Arial"/>
                <w:sz w:val="20"/>
                <w:szCs w:val="20"/>
                <w:color w:val="auto"/>
              </w:rPr>
              <w:t>Solvency</w:t>
            </w:r>
          </w:p>
        </w:tc>
        <w:tc>
          <w:tcPr>
            <w:tcW w:w="21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3.19</w:t>
            </w:r>
          </w:p>
        </w:tc>
        <w:tc>
          <w:tcPr>
            <w:tcW w:w="6640" w:type="dxa"/>
            <w:vAlign w:val="bottom"/>
          </w:tcPr>
          <w:p>
            <w:pPr>
              <w:ind w:left="160"/>
              <w:spacing w:after="0"/>
              <w:rPr>
                <w:sz w:val="20"/>
                <w:szCs w:val="20"/>
                <w:color w:val="auto"/>
              </w:rPr>
            </w:pPr>
            <w:r>
              <w:rPr>
                <w:rFonts w:ascii="Arial" w:cs="Arial" w:eastAsia="Arial" w:hAnsi="Arial"/>
                <w:sz w:val="20"/>
                <w:szCs w:val="20"/>
                <w:color w:val="auto"/>
              </w:rPr>
              <w:t>Labor Matters</w:t>
            </w:r>
          </w:p>
        </w:tc>
        <w:tc>
          <w:tcPr>
            <w:tcW w:w="212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3.20</w:t>
            </w:r>
          </w:p>
        </w:tc>
        <w:tc>
          <w:tcPr>
            <w:tcW w:w="6640" w:type="dxa"/>
            <w:vAlign w:val="bottom"/>
          </w:tcPr>
          <w:p>
            <w:pPr>
              <w:ind w:left="160"/>
              <w:spacing w:after="0"/>
              <w:rPr>
                <w:sz w:val="20"/>
                <w:szCs w:val="20"/>
                <w:color w:val="auto"/>
              </w:rPr>
            </w:pPr>
            <w:r>
              <w:rPr>
                <w:rFonts w:ascii="Arial" w:cs="Arial" w:eastAsia="Arial" w:hAnsi="Arial"/>
                <w:sz w:val="20"/>
                <w:szCs w:val="20"/>
                <w:color w:val="auto"/>
              </w:rPr>
              <w:t>Insurance</w:t>
            </w:r>
          </w:p>
        </w:tc>
        <w:tc>
          <w:tcPr>
            <w:tcW w:w="212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3.21</w:t>
            </w:r>
          </w:p>
        </w:tc>
        <w:tc>
          <w:tcPr>
            <w:tcW w:w="6640" w:type="dxa"/>
            <w:vAlign w:val="bottom"/>
          </w:tcPr>
          <w:p>
            <w:pPr>
              <w:ind w:left="160"/>
              <w:spacing w:after="0"/>
              <w:rPr>
                <w:sz w:val="20"/>
                <w:szCs w:val="20"/>
                <w:color w:val="auto"/>
              </w:rPr>
            </w:pPr>
            <w:r>
              <w:rPr>
                <w:rFonts w:ascii="Arial" w:cs="Arial" w:eastAsia="Arial" w:hAnsi="Arial"/>
                <w:sz w:val="20"/>
                <w:szCs w:val="20"/>
                <w:color w:val="auto"/>
              </w:rPr>
              <w:t>Intellectual Property; Licenses, Etc.</w:t>
            </w:r>
          </w:p>
        </w:tc>
        <w:tc>
          <w:tcPr>
            <w:tcW w:w="212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3.22</w:t>
            </w:r>
          </w:p>
        </w:tc>
        <w:tc>
          <w:tcPr>
            <w:tcW w:w="6640" w:type="dxa"/>
            <w:vAlign w:val="bottom"/>
          </w:tcPr>
          <w:p>
            <w:pPr>
              <w:ind w:left="160"/>
              <w:spacing w:after="0"/>
              <w:rPr>
                <w:sz w:val="20"/>
                <w:szCs w:val="20"/>
                <w:color w:val="auto"/>
              </w:rPr>
            </w:pPr>
            <w:r>
              <w:rPr>
                <w:rFonts w:ascii="Arial" w:cs="Arial" w:eastAsia="Arial" w:hAnsi="Arial"/>
                <w:sz w:val="20"/>
                <w:szCs w:val="20"/>
                <w:color w:val="auto"/>
              </w:rPr>
              <w:t>USA PATRIOT Act</w:t>
            </w:r>
          </w:p>
        </w:tc>
        <w:tc>
          <w:tcPr>
            <w:tcW w:w="212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3.23</w:t>
            </w:r>
          </w:p>
        </w:tc>
        <w:tc>
          <w:tcPr>
            <w:tcW w:w="6640" w:type="dxa"/>
            <w:vAlign w:val="bottom"/>
          </w:tcPr>
          <w:p>
            <w:pPr>
              <w:ind w:left="160"/>
              <w:spacing w:after="0"/>
              <w:rPr>
                <w:sz w:val="20"/>
                <w:szCs w:val="20"/>
                <w:color w:val="auto"/>
              </w:rPr>
            </w:pPr>
            <w:r>
              <w:rPr>
                <w:rFonts w:ascii="Arial" w:cs="Arial" w:eastAsia="Arial" w:hAnsi="Arial"/>
                <w:sz w:val="20"/>
                <w:szCs w:val="20"/>
                <w:color w:val="auto"/>
              </w:rPr>
              <w:t>Anti-Corruption Laws and Sanctions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459"/>
        </w:trPr>
        <w:tc>
          <w:tcPr>
            <w:tcW w:w="7800" w:type="dxa"/>
            <w:vAlign w:val="bottom"/>
            <w:gridSpan w:val="2"/>
          </w:tcPr>
          <w:p>
            <w:pPr>
              <w:spacing w:after="0"/>
              <w:rPr>
                <w:sz w:val="20"/>
                <w:szCs w:val="20"/>
                <w:color w:val="auto"/>
              </w:rPr>
            </w:pPr>
            <w:r>
              <w:rPr>
                <w:rFonts w:ascii="Arial" w:cs="Arial" w:eastAsia="Arial" w:hAnsi="Arial"/>
                <w:sz w:val="20"/>
                <w:szCs w:val="20"/>
                <w:color w:val="auto"/>
              </w:rPr>
              <w:t>ARTICLE IV. Conditions of Lending</w:t>
            </w:r>
          </w:p>
        </w:tc>
        <w:tc>
          <w:tcPr>
            <w:tcW w:w="21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4.01</w:t>
            </w:r>
          </w:p>
        </w:tc>
        <w:tc>
          <w:tcPr>
            <w:tcW w:w="6640" w:type="dxa"/>
            <w:vAlign w:val="bottom"/>
          </w:tcPr>
          <w:p>
            <w:pPr>
              <w:ind w:left="160"/>
              <w:spacing w:after="0"/>
              <w:rPr>
                <w:sz w:val="20"/>
                <w:szCs w:val="20"/>
                <w:color w:val="auto"/>
              </w:rPr>
            </w:pPr>
            <w:r>
              <w:rPr>
                <w:rFonts w:ascii="Arial" w:cs="Arial" w:eastAsia="Arial" w:hAnsi="Arial"/>
                <w:sz w:val="20"/>
                <w:szCs w:val="20"/>
                <w:color w:val="auto"/>
              </w:rPr>
              <w:t>Closing Date</w:t>
            </w:r>
          </w:p>
        </w:tc>
        <w:tc>
          <w:tcPr>
            <w:tcW w:w="212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4.02</w:t>
            </w:r>
          </w:p>
        </w:tc>
        <w:tc>
          <w:tcPr>
            <w:tcW w:w="6640" w:type="dxa"/>
            <w:vAlign w:val="bottom"/>
          </w:tcPr>
          <w:p>
            <w:pPr>
              <w:ind w:left="160"/>
              <w:spacing w:after="0"/>
              <w:rPr>
                <w:sz w:val="20"/>
                <w:szCs w:val="20"/>
                <w:color w:val="auto"/>
              </w:rPr>
            </w:pPr>
            <w:r>
              <w:rPr>
                <w:rFonts w:ascii="Arial" w:cs="Arial" w:eastAsia="Arial" w:hAnsi="Arial"/>
                <w:sz w:val="20"/>
                <w:szCs w:val="20"/>
                <w:color w:val="auto"/>
              </w:rPr>
              <w:t>Subsequent Credit Events</w:t>
            </w:r>
          </w:p>
        </w:tc>
        <w:tc>
          <w:tcPr>
            <w:tcW w:w="21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4.03</w:t>
            </w:r>
          </w:p>
        </w:tc>
        <w:tc>
          <w:tcPr>
            <w:tcW w:w="6640" w:type="dxa"/>
            <w:vAlign w:val="bottom"/>
          </w:tcPr>
          <w:p>
            <w:pPr>
              <w:ind w:left="160"/>
              <w:spacing w:after="0"/>
              <w:rPr>
                <w:sz w:val="20"/>
                <w:szCs w:val="20"/>
                <w:color w:val="auto"/>
              </w:rPr>
            </w:pPr>
            <w:r>
              <w:rPr>
                <w:rFonts w:ascii="Arial" w:cs="Arial" w:eastAsia="Arial" w:hAnsi="Arial"/>
                <w:sz w:val="20"/>
                <w:szCs w:val="20"/>
                <w:color w:val="auto"/>
              </w:rPr>
              <w:t>Determinations Under Section 4.01</w:t>
            </w:r>
          </w:p>
        </w:tc>
        <w:tc>
          <w:tcPr>
            <w:tcW w:w="21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459"/>
        </w:trPr>
        <w:tc>
          <w:tcPr>
            <w:tcW w:w="7800" w:type="dxa"/>
            <w:vAlign w:val="bottom"/>
            <w:gridSpan w:val="2"/>
          </w:tcPr>
          <w:p>
            <w:pPr>
              <w:spacing w:after="0"/>
              <w:rPr>
                <w:sz w:val="20"/>
                <w:szCs w:val="20"/>
                <w:color w:val="auto"/>
              </w:rPr>
            </w:pPr>
            <w:r>
              <w:rPr>
                <w:rFonts w:ascii="Arial" w:cs="Arial" w:eastAsia="Arial" w:hAnsi="Arial"/>
                <w:sz w:val="20"/>
                <w:szCs w:val="20"/>
                <w:color w:val="auto"/>
              </w:rPr>
              <w:t>ARTICLE V. Affirmative Covenants</w:t>
            </w:r>
          </w:p>
        </w:tc>
        <w:tc>
          <w:tcPr>
            <w:tcW w:w="21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5.01</w:t>
            </w:r>
          </w:p>
        </w:tc>
        <w:tc>
          <w:tcPr>
            <w:tcW w:w="6640" w:type="dxa"/>
            <w:vAlign w:val="bottom"/>
          </w:tcPr>
          <w:p>
            <w:pPr>
              <w:ind w:left="160"/>
              <w:spacing w:after="0"/>
              <w:rPr>
                <w:sz w:val="20"/>
                <w:szCs w:val="20"/>
                <w:color w:val="auto"/>
              </w:rPr>
            </w:pPr>
            <w:r>
              <w:rPr>
                <w:rFonts w:ascii="Arial" w:cs="Arial" w:eastAsia="Arial" w:hAnsi="Arial"/>
                <w:sz w:val="20"/>
                <w:szCs w:val="20"/>
                <w:color w:val="auto"/>
              </w:rPr>
              <w:t>Existence; Business and Properties</w:t>
            </w:r>
          </w:p>
        </w:tc>
        <w:tc>
          <w:tcPr>
            <w:tcW w:w="212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5.02</w:t>
            </w:r>
          </w:p>
        </w:tc>
        <w:tc>
          <w:tcPr>
            <w:tcW w:w="6640" w:type="dxa"/>
            <w:vAlign w:val="bottom"/>
          </w:tcPr>
          <w:p>
            <w:pPr>
              <w:ind w:left="160"/>
              <w:spacing w:after="0"/>
              <w:rPr>
                <w:sz w:val="20"/>
                <w:szCs w:val="20"/>
                <w:color w:val="auto"/>
              </w:rPr>
            </w:pPr>
            <w:r>
              <w:rPr>
                <w:rFonts w:ascii="Arial" w:cs="Arial" w:eastAsia="Arial" w:hAnsi="Arial"/>
                <w:sz w:val="20"/>
                <w:szCs w:val="20"/>
                <w:color w:val="auto"/>
              </w:rPr>
              <w:t>Insurance</w:t>
            </w:r>
          </w:p>
        </w:tc>
        <w:tc>
          <w:tcPr>
            <w:tcW w:w="2120" w:type="dxa"/>
            <w:vAlign w:val="bottom"/>
          </w:tcPr>
          <w:p>
            <w:pPr>
              <w:jc w:val="right"/>
              <w:spacing w:after="0"/>
              <w:rPr>
                <w:sz w:val="20"/>
                <w:szCs w:val="20"/>
                <w:color w:val="auto"/>
              </w:rPr>
            </w:pPr>
            <w:r>
              <w:rPr>
                <w:rFonts w:ascii="Arial" w:cs="Arial" w:eastAsia="Arial" w:hAnsi="Arial"/>
                <w:sz w:val="20"/>
                <w:szCs w:val="20"/>
                <w:color w:val="auto"/>
              </w:rPr>
              <w:t>138</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5.03</w:t>
            </w:r>
          </w:p>
        </w:tc>
        <w:tc>
          <w:tcPr>
            <w:tcW w:w="6640" w:type="dxa"/>
            <w:vAlign w:val="bottom"/>
          </w:tcPr>
          <w:p>
            <w:pPr>
              <w:ind w:left="160"/>
              <w:spacing w:after="0"/>
              <w:rPr>
                <w:sz w:val="20"/>
                <w:szCs w:val="20"/>
                <w:color w:val="auto"/>
              </w:rPr>
            </w:pPr>
            <w:r>
              <w:rPr>
                <w:rFonts w:ascii="Arial" w:cs="Arial" w:eastAsia="Arial" w:hAnsi="Arial"/>
                <w:sz w:val="20"/>
                <w:szCs w:val="20"/>
                <w:color w:val="auto"/>
              </w:rPr>
              <w:t>Taxes</w:t>
            </w:r>
          </w:p>
        </w:tc>
        <w:tc>
          <w:tcPr>
            <w:tcW w:w="21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5.04</w:t>
            </w:r>
          </w:p>
        </w:tc>
        <w:tc>
          <w:tcPr>
            <w:tcW w:w="6640" w:type="dxa"/>
            <w:vAlign w:val="bottom"/>
          </w:tcPr>
          <w:p>
            <w:pPr>
              <w:ind w:left="160"/>
              <w:spacing w:after="0"/>
              <w:rPr>
                <w:sz w:val="20"/>
                <w:szCs w:val="20"/>
                <w:color w:val="auto"/>
              </w:rPr>
            </w:pPr>
            <w:r>
              <w:rPr>
                <w:rFonts w:ascii="Arial" w:cs="Arial" w:eastAsia="Arial" w:hAnsi="Arial"/>
                <w:sz w:val="20"/>
                <w:szCs w:val="20"/>
                <w:color w:val="auto"/>
              </w:rPr>
              <w:t>Financial Statements, Reports, Etc.</w:t>
            </w:r>
          </w:p>
        </w:tc>
        <w:tc>
          <w:tcPr>
            <w:tcW w:w="21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5.05</w:t>
            </w:r>
          </w:p>
        </w:tc>
        <w:tc>
          <w:tcPr>
            <w:tcW w:w="6640" w:type="dxa"/>
            <w:vAlign w:val="bottom"/>
          </w:tcPr>
          <w:p>
            <w:pPr>
              <w:ind w:left="160"/>
              <w:spacing w:after="0"/>
              <w:rPr>
                <w:sz w:val="20"/>
                <w:szCs w:val="20"/>
                <w:color w:val="auto"/>
              </w:rPr>
            </w:pPr>
            <w:r>
              <w:rPr>
                <w:rFonts w:ascii="Arial" w:cs="Arial" w:eastAsia="Arial" w:hAnsi="Arial"/>
                <w:sz w:val="20"/>
                <w:szCs w:val="20"/>
                <w:color w:val="auto"/>
              </w:rPr>
              <w:t>Other Notices</w:t>
            </w:r>
          </w:p>
        </w:tc>
        <w:tc>
          <w:tcPr>
            <w:tcW w:w="212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5.06</w:t>
            </w:r>
          </w:p>
        </w:tc>
        <w:tc>
          <w:tcPr>
            <w:tcW w:w="6640" w:type="dxa"/>
            <w:vAlign w:val="bottom"/>
          </w:tcPr>
          <w:p>
            <w:pPr>
              <w:ind w:left="160"/>
              <w:spacing w:after="0"/>
              <w:rPr>
                <w:sz w:val="20"/>
                <w:szCs w:val="20"/>
                <w:color w:val="auto"/>
              </w:rPr>
            </w:pPr>
            <w:r>
              <w:rPr>
                <w:rFonts w:ascii="Arial" w:cs="Arial" w:eastAsia="Arial" w:hAnsi="Arial"/>
                <w:sz w:val="20"/>
                <w:szCs w:val="20"/>
                <w:color w:val="auto"/>
              </w:rPr>
              <w:t>Compliance with Laws</w:t>
            </w:r>
          </w:p>
        </w:tc>
        <w:tc>
          <w:tcPr>
            <w:tcW w:w="212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5.07</w:t>
            </w:r>
          </w:p>
        </w:tc>
        <w:tc>
          <w:tcPr>
            <w:tcW w:w="6640" w:type="dxa"/>
            <w:vAlign w:val="bottom"/>
          </w:tcPr>
          <w:p>
            <w:pPr>
              <w:ind w:left="160"/>
              <w:spacing w:after="0"/>
              <w:rPr>
                <w:sz w:val="20"/>
                <w:szCs w:val="20"/>
                <w:color w:val="auto"/>
              </w:rPr>
            </w:pPr>
            <w:r>
              <w:rPr>
                <w:rFonts w:ascii="Arial" w:cs="Arial" w:eastAsia="Arial" w:hAnsi="Arial"/>
                <w:sz w:val="20"/>
                <w:szCs w:val="20"/>
                <w:color w:val="auto"/>
              </w:rPr>
              <w:t>Maintaining Records; Access to Properties and Inspections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5.08</w:t>
            </w:r>
          </w:p>
        </w:tc>
        <w:tc>
          <w:tcPr>
            <w:tcW w:w="6640" w:type="dxa"/>
            <w:vAlign w:val="bottom"/>
          </w:tcPr>
          <w:p>
            <w:pPr>
              <w:ind w:left="160"/>
              <w:spacing w:after="0"/>
              <w:rPr>
                <w:sz w:val="20"/>
                <w:szCs w:val="20"/>
                <w:color w:val="auto"/>
              </w:rPr>
            </w:pPr>
            <w:r>
              <w:rPr>
                <w:rFonts w:ascii="Arial" w:cs="Arial" w:eastAsia="Arial" w:hAnsi="Arial"/>
                <w:sz w:val="20"/>
                <w:szCs w:val="20"/>
                <w:color w:val="auto"/>
              </w:rPr>
              <w:t>Use of Proceeds</w:t>
            </w:r>
          </w:p>
        </w:tc>
        <w:tc>
          <w:tcPr>
            <w:tcW w:w="212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5.09</w:t>
            </w:r>
          </w:p>
        </w:tc>
        <w:tc>
          <w:tcPr>
            <w:tcW w:w="6640" w:type="dxa"/>
            <w:vAlign w:val="bottom"/>
          </w:tcPr>
          <w:p>
            <w:pPr>
              <w:ind w:left="160"/>
              <w:spacing w:after="0"/>
              <w:rPr>
                <w:sz w:val="20"/>
                <w:szCs w:val="20"/>
                <w:color w:val="auto"/>
              </w:rPr>
            </w:pPr>
            <w:r>
              <w:rPr>
                <w:rFonts w:ascii="Arial" w:cs="Arial" w:eastAsia="Arial" w:hAnsi="Arial"/>
                <w:sz w:val="20"/>
                <w:szCs w:val="20"/>
                <w:color w:val="auto"/>
              </w:rPr>
              <w:t>Compliance with Environmental Laws</w:t>
            </w:r>
          </w:p>
        </w:tc>
        <w:tc>
          <w:tcPr>
            <w:tcW w:w="212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5.10</w:t>
            </w:r>
          </w:p>
        </w:tc>
        <w:tc>
          <w:tcPr>
            <w:tcW w:w="6640" w:type="dxa"/>
            <w:vAlign w:val="bottom"/>
          </w:tcPr>
          <w:p>
            <w:pPr>
              <w:ind w:left="160"/>
              <w:spacing w:after="0"/>
              <w:rPr>
                <w:sz w:val="20"/>
                <w:szCs w:val="20"/>
                <w:color w:val="auto"/>
              </w:rPr>
            </w:pPr>
            <w:r>
              <w:rPr>
                <w:rFonts w:ascii="Arial" w:cs="Arial" w:eastAsia="Arial" w:hAnsi="Arial"/>
                <w:sz w:val="20"/>
                <w:szCs w:val="20"/>
                <w:color w:val="auto"/>
              </w:rPr>
              <w:t>Further Assurances; Additional Security</w:t>
            </w:r>
          </w:p>
        </w:tc>
        <w:tc>
          <w:tcPr>
            <w:tcW w:w="212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5.11</w:t>
            </w:r>
          </w:p>
        </w:tc>
        <w:tc>
          <w:tcPr>
            <w:tcW w:w="6640" w:type="dxa"/>
            <w:vAlign w:val="bottom"/>
          </w:tcPr>
          <w:p>
            <w:pPr>
              <w:ind w:left="160"/>
              <w:spacing w:after="0"/>
              <w:rPr>
                <w:sz w:val="20"/>
                <w:szCs w:val="20"/>
                <w:color w:val="auto"/>
              </w:rPr>
            </w:pPr>
            <w:r>
              <w:rPr>
                <w:rFonts w:ascii="Arial" w:cs="Arial" w:eastAsia="Arial" w:hAnsi="Arial"/>
                <w:sz w:val="20"/>
                <w:szCs w:val="20"/>
                <w:color w:val="auto"/>
              </w:rPr>
              <w:t>Quarterly Compliance Certificates</w:t>
            </w:r>
          </w:p>
        </w:tc>
        <w:tc>
          <w:tcPr>
            <w:tcW w:w="21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5.12</w:t>
            </w:r>
          </w:p>
        </w:tc>
        <w:tc>
          <w:tcPr>
            <w:tcW w:w="6640" w:type="dxa"/>
            <w:vAlign w:val="bottom"/>
          </w:tcPr>
          <w:p>
            <w:pPr>
              <w:ind w:left="160"/>
              <w:spacing w:after="0"/>
              <w:rPr>
                <w:sz w:val="20"/>
                <w:szCs w:val="20"/>
                <w:color w:val="auto"/>
              </w:rPr>
            </w:pPr>
            <w:r>
              <w:rPr>
                <w:rFonts w:ascii="Arial" w:cs="Arial" w:eastAsia="Arial" w:hAnsi="Arial"/>
                <w:sz w:val="20"/>
                <w:szCs w:val="20"/>
                <w:color w:val="auto"/>
              </w:rPr>
              <w:t>Restricted and Unrestricted Subsidiaries</w:t>
            </w:r>
          </w:p>
        </w:tc>
        <w:tc>
          <w:tcPr>
            <w:tcW w:w="21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5.13</w:t>
            </w:r>
          </w:p>
        </w:tc>
        <w:tc>
          <w:tcPr>
            <w:tcW w:w="6640" w:type="dxa"/>
            <w:vAlign w:val="bottom"/>
          </w:tcPr>
          <w:p>
            <w:pPr>
              <w:ind w:left="160"/>
              <w:spacing w:after="0"/>
              <w:rPr>
                <w:sz w:val="20"/>
                <w:szCs w:val="20"/>
                <w:color w:val="auto"/>
              </w:rPr>
            </w:pPr>
            <w:r>
              <w:rPr>
                <w:rFonts w:ascii="Arial" w:cs="Arial" w:eastAsia="Arial" w:hAnsi="Arial"/>
                <w:sz w:val="20"/>
                <w:szCs w:val="20"/>
                <w:color w:val="auto"/>
              </w:rPr>
              <w:t>Anti-Corruption Laws and Sanctions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5.14</w:t>
            </w:r>
          </w:p>
        </w:tc>
        <w:tc>
          <w:tcPr>
            <w:tcW w:w="6640" w:type="dxa"/>
            <w:vAlign w:val="bottom"/>
          </w:tcPr>
          <w:p>
            <w:pPr>
              <w:ind w:left="160"/>
              <w:spacing w:after="0"/>
              <w:rPr>
                <w:sz w:val="20"/>
                <w:szCs w:val="20"/>
                <w:color w:val="auto"/>
              </w:rPr>
            </w:pPr>
            <w:r>
              <w:rPr>
                <w:rFonts w:ascii="Arial" w:cs="Arial" w:eastAsia="Arial" w:hAnsi="Arial"/>
                <w:sz w:val="20"/>
                <w:szCs w:val="20"/>
                <w:color w:val="auto"/>
              </w:rPr>
              <w:t>Post-Closing</w:t>
            </w:r>
          </w:p>
        </w:tc>
        <w:tc>
          <w:tcPr>
            <w:tcW w:w="21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5.15</w:t>
            </w:r>
          </w:p>
        </w:tc>
        <w:tc>
          <w:tcPr>
            <w:tcW w:w="6640" w:type="dxa"/>
            <w:vAlign w:val="bottom"/>
          </w:tcPr>
          <w:p>
            <w:pPr>
              <w:ind w:left="160"/>
              <w:spacing w:after="0"/>
              <w:rPr>
                <w:sz w:val="20"/>
                <w:szCs w:val="20"/>
                <w:color w:val="auto"/>
              </w:rPr>
            </w:pPr>
            <w:r>
              <w:rPr>
                <w:rFonts w:ascii="Arial" w:cs="Arial" w:eastAsia="Arial" w:hAnsi="Arial"/>
                <w:sz w:val="20"/>
                <w:szCs w:val="20"/>
                <w:color w:val="auto"/>
              </w:rPr>
              <w:t>Transactions with Affiliates</w:t>
            </w:r>
          </w:p>
        </w:tc>
        <w:tc>
          <w:tcPr>
            <w:tcW w:w="212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5.16</w:t>
            </w:r>
          </w:p>
        </w:tc>
        <w:tc>
          <w:tcPr>
            <w:tcW w:w="6640" w:type="dxa"/>
            <w:vAlign w:val="bottom"/>
          </w:tcPr>
          <w:p>
            <w:pPr>
              <w:ind w:left="160"/>
              <w:spacing w:after="0"/>
              <w:rPr>
                <w:sz w:val="20"/>
                <w:szCs w:val="20"/>
                <w:color w:val="auto"/>
              </w:rPr>
            </w:pPr>
            <w:r>
              <w:rPr>
                <w:rFonts w:ascii="Arial" w:cs="Arial" w:eastAsia="Arial" w:hAnsi="Arial"/>
                <w:sz w:val="20"/>
                <w:szCs w:val="20"/>
                <w:color w:val="auto"/>
              </w:rPr>
              <w:t>Sustainability Financing Framework</w:t>
            </w:r>
          </w:p>
        </w:tc>
        <w:tc>
          <w:tcPr>
            <w:tcW w:w="2120" w:type="dxa"/>
            <w:vAlign w:val="bottom"/>
          </w:tcPr>
          <w:p>
            <w:pPr>
              <w:jc w:val="right"/>
              <w:spacing w:after="0"/>
              <w:rPr>
                <w:sz w:val="20"/>
                <w:szCs w:val="20"/>
                <w:color w:val="auto"/>
              </w:rPr>
            </w:pPr>
            <w:r>
              <w:rPr>
                <w:rFonts w:ascii="Arial" w:cs="Arial" w:eastAsia="Arial" w:hAnsi="Arial"/>
                <w:sz w:val="20"/>
                <w:szCs w:val="20"/>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50"/>
        </w:trPr>
        <w:tc>
          <w:tcPr>
            <w:tcW w:w="8820" w:type="dxa"/>
            <w:vAlign w:val="bottom"/>
            <w:gridSpan w:val="2"/>
          </w:tcPr>
          <w:p>
            <w:pPr>
              <w:spacing w:after="0"/>
              <w:rPr>
                <w:sz w:val="20"/>
                <w:szCs w:val="20"/>
                <w:color w:val="auto"/>
              </w:rPr>
            </w:pPr>
            <w:r>
              <w:rPr>
                <w:rFonts w:ascii="Arial" w:cs="Arial" w:eastAsia="Arial" w:hAnsi="Arial"/>
                <w:sz w:val="20"/>
                <w:szCs w:val="20"/>
                <w:color w:val="auto"/>
              </w:rPr>
              <w:t>ARTICLE VI. Negative Covenants</w:t>
            </w:r>
          </w:p>
        </w:tc>
        <w:tc>
          <w:tcPr>
            <w:tcW w:w="110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6.01</w:t>
            </w:r>
          </w:p>
        </w:tc>
        <w:tc>
          <w:tcPr>
            <w:tcW w:w="7660" w:type="dxa"/>
            <w:vAlign w:val="bottom"/>
          </w:tcPr>
          <w:p>
            <w:pPr>
              <w:ind w:left="160"/>
              <w:spacing w:after="0"/>
              <w:rPr>
                <w:sz w:val="20"/>
                <w:szCs w:val="20"/>
                <w:color w:val="auto"/>
              </w:rPr>
            </w:pPr>
            <w:r>
              <w:rPr>
                <w:rFonts w:ascii="Arial" w:cs="Arial" w:eastAsia="Arial" w:hAnsi="Arial"/>
                <w:sz w:val="20"/>
                <w:szCs w:val="20"/>
                <w:color w:val="auto"/>
              </w:rPr>
              <w:t>Indebtedness</w:t>
            </w:r>
          </w:p>
        </w:tc>
        <w:tc>
          <w:tcPr>
            <w:tcW w:w="1100" w:type="dxa"/>
            <w:vAlign w:val="bottom"/>
          </w:tcPr>
          <w:p>
            <w:pPr>
              <w:jc w:val="right"/>
              <w:spacing w:after="0"/>
              <w:rPr>
                <w:sz w:val="20"/>
                <w:szCs w:val="20"/>
                <w:color w:val="auto"/>
              </w:rPr>
            </w:pPr>
            <w:r>
              <w:rPr>
                <w:rFonts w:ascii="Arial" w:cs="Arial" w:eastAsia="Arial" w:hAnsi="Arial"/>
                <w:sz w:val="20"/>
                <w:szCs w:val="20"/>
                <w:color w:val="auto"/>
              </w:rPr>
              <w:t>147</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6.02</w:t>
            </w:r>
          </w:p>
        </w:tc>
        <w:tc>
          <w:tcPr>
            <w:tcW w:w="7660" w:type="dxa"/>
            <w:vAlign w:val="bottom"/>
          </w:tcPr>
          <w:p>
            <w:pPr>
              <w:ind w:left="160"/>
              <w:spacing w:after="0"/>
              <w:rPr>
                <w:sz w:val="20"/>
                <w:szCs w:val="20"/>
                <w:color w:val="auto"/>
              </w:rPr>
            </w:pPr>
            <w:r>
              <w:rPr>
                <w:rFonts w:ascii="Arial" w:cs="Arial" w:eastAsia="Arial" w:hAnsi="Arial"/>
                <w:sz w:val="20"/>
                <w:szCs w:val="20"/>
                <w:color w:val="auto"/>
              </w:rPr>
              <w:t>Liens</w:t>
            </w:r>
          </w:p>
        </w:tc>
        <w:tc>
          <w:tcPr>
            <w:tcW w:w="1100" w:type="dxa"/>
            <w:vAlign w:val="bottom"/>
          </w:tcPr>
          <w:p>
            <w:pPr>
              <w:jc w:val="right"/>
              <w:spacing w:after="0"/>
              <w:rPr>
                <w:sz w:val="20"/>
                <w:szCs w:val="20"/>
                <w:color w:val="auto"/>
              </w:rPr>
            </w:pPr>
            <w:r>
              <w:rPr>
                <w:rFonts w:ascii="Arial" w:cs="Arial" w:eastAsia="Arial" w:hAnsi="Arial"/>
                <w:sz w:val="20"/>
                <w:szCs w:val="20"/>
                <w:color w:val="auto"/>
              </w:rPr>
              <w:t>151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6.03</w:t>
            </w:r>
          </w:p>
        </w:tc>
        <w:tc>
          <w:tcPr>
            <w:tcW w:w="7660" w:type="dxa"/>
            <w:vAlign w:val="bottom"/>
          </w:tcPr>
          <w:p>
            <w:pPr>
              <w:ind w:left="160"/>
              <w:spacing w:after="0"/>
              <w:rPr>
                <w:sz w:val="20"/>
                <w:szCs w:val="20"/>
                <w:color w:val="auto"/>
              </w:rPr>
            </w:pPr>
            <w:r>
              <w:rPr>
                <w:rFonts w:ascii="Arial" w:cs="Arial" w:eastAsia="Arial" w:hAnsi="Arial"/>
                <w:sz w:val="20"/>
                <w:szCs w:val="20"/>
                <w:color w:val="auto"/>
              </w:rPr>
              <w:t>[Reserved]</w:t>
            </w:r>
          </w:p>
        </w:tc>
        <w:tc>
          <w:tcPr>
            <w:tcW w:w="110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6.04</w:t>
            </w:r>
          </w:p>
        </w:tc>
        <w:tc>
          <w:tcPr>
            <w:tcW w:w="7660" w:type="dxa"/>
            <w:vAlign w:val="bottom"/>
          </w:tcPr>
          <w:p>
            <w:pPr>
              <w:ind w:left="160"/>
              <w:spacing w:after="0"/>
              <w:rPr>
                <w:sz w:val="20"/>
                <w:szCs w:val="20"/>
                <w:color w:val="auto"/>
              </w:rPr>
            </w:pPr>
            <w:r>
              <w:rPr>
                <w:rFonts w:ascii="Arial" w:cs="Arial" w:eastAsia="Arial" w:hAnsi="Arial"/>
                <w:sz w:val="20"/>
                <w:szCs w:val="20"/>
                <w:color w:val="auto"/>
              </w:rPr>
              <w:t>Investments, Loans and Advances</w:t>
            </w:r>
          </w:p>
        </w:tc>
        <w:tc>
          <w:tcPr>
            <w:tcW w:w="1100" w:type="dxa"/>
            <w:vAlign w:val="bottom"/>
          </w:tcPr>
          <w:p>
            <w:pPr>
              <w:jc w:val="right"/>
              <w:spacing w:after="0"/>
              <w:rPr>
                <w:sz w:val="20"/>
                <w:szCs w:val="20"/>
                <w:color w:val="auto"/>
              </w:rPr>
            </w:pPr>
            <w:r>
              <w:rPr>
                <w:rFonts w:ascii="Arial" w:cs="Arial" w:eastAsia="Arial" w:hAnsi="Arial"/>
                <w:sz w:val="20"/>
                <w:szCs w:val="20"/>
                <w:color w:val="auto"/>
              </w:rPr>
              <w:t>156</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6.05</w:t>
            </w:r>
          </w:p>
        </w:tc>
        <w:tc>
          <w:tcPr>
            <w:tcW w:w="7660" w:type="dxa"/>
            <w:vAlign w:val="bottom"/>
          </w:tcPr>
          <w:p>
            <w:pPr>
              <w:ind w:left="160"/>
              <w:spacing w:after="0"/>
              <w:rPr>
                <w:sz w:val="20"/>
                <w:szCs w:val="20"/>
                <w:color w:val="auto"/>
              </w:rPr>
            </w:pPr>
            <w:r>
              <w:rPr>
                <w:rFonts w:ascii="Arial" w:cs="Arial" w:eastAsia="Arial" w:hAnsi="Arial"/>
                <w:sz w:val="20"/>
                <w:szCs w:val="20"/>
                <w:color w:val="auto"/>
              </w:rPr>
              <w:t>Mergers, Consolidations, Sales of Assets and Acquisitions</w:t>
            </w:r>
          </w:p>
        </w:tc>
        <w:tc>
          <w:tcPr>
            <w:tcW w:w="110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6.06</w:t>
            </w:r>
          </w:p>
        </w:tc>
        <w:tc>
          <w:tcPr>
            <w:tcW w:w="7660" w:type="dxa"/>
            <w:vAlign w:val="bottom"/>
          </w:tcPr>
          <w:p>
            <w:pPr>
              <w:ind w:left="160"/>
              <w:spacing w:after="0"/>
              <w:rPr>
                <w:sz w:val="20"/>
                <w:szCs w:val="20"/>
                <w:color w:val="auto"/>
              </w:rPr>
            </w:pPr>
            <w:r>
              <w:rPr>
                <w:rFonts w:ascii="Arial" w:cs="Arial" w:eastAsia="Arial" w:hAnsi="Arial"/>
                <w:sz w:val="20"/>
                <w:szCs w:val="20"/>
                <w:color w:val="auto"/>
              </w:rPr>
              <w:t>Restricted Payments</w:t>
            </w:r>
          </w:p>
        </w:tc>
        <w:tc>
          <w:tcPr>
            <w:tcW w:w="110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6.07</w:t>
            </w:r>
          </w:p>
        </w:tc>
        <w:tc>
          <w:tcPr>
            <w:tcW w:w="7660" w:type="dxa"/>
            <w:vAlign w:val="bottom"/>
          </w:tcPr>
          <w:p>
            <w:pPr>
              <w:ind w:left="160"/>
              <w:spacing w:after="0"/>
              <w:rPr>
                <w:sz w:val="20"/>
                <w:szCs w:val="20"/>
                <w:color w:val="auto"/>
              </w:rPr>
            </w:pPr>
            <w:r>
              <w:rPr>
                <w:rFonts w:ascii="Arial" w:cs="Arial" w:eastAsia="Arial" w:hAnsi="Arial"/>
                <w:sz w:val="20"/>
                <w:szCs w:val="20"/>
                <w:color w:val="auto"/>
              </w:rPr>
              <w:t>Junior Debt Restricted Payments</w:t>
            </w:r>
          </w:p>
        </w:tc>
        <w:tc>
          <w:tcPr>
            <w:tcW w:w="110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6.08</w:t>
            </w:r>
          </w:p>
        </w:tc>
        <w:tc>
          <w:tcPr>
            <w:tcW w:w="7660" w:type="dxa"/>
            <w:vAlign w:val="bottom"/>
          </w:tcPr>
          <w:p>
            <w:pPr>
              <w:ind w:left="160"/>
              <w:spacing w:after="0"/>
              <w:rPr>
                <w:sz w:val="20"/>
                <w:szCs w:val="20"/>
                <w:color w:val="auto"/>
              </w:rPr>
            </w:pPr>
            <w:r>
              <w:rPr>
                <w:rFonts w:ascii="Arial" w:cs="Arial" w:eastAsia="Arial" w:hAnsi="Arial"/>
                <w:sz w:val="20"/>
                <w:szCs w:val="20"/>
                <w:color w:val="auto"/>
              </w:rPr>
              <w:t>Restrictions on Subsidiary Distributions and Negative Pledge Clauses</w:t>
            </w:r>
          </w:p>
        </w:tc>
        <w:tc>
          <w:tcPr>
            <w:tcW w:w="1100" w:type="dxa"/>
            <w:vAlign w:val="bottom"/>
          </w:tcPr>
          <w:p>
            <w:pPr>
              <w:jc w:val="right"/>
              <w:spacing w:after="0"/>
              <w:rPr>
                <w:sz w:val="20"/>
                <w:szCs w:val="20"/>
                <w:color w:val="auto"/>
              </w:rPr>
            </w:pPr>
            <w:r>
              <w:rPr>
                <w:rFonts w:ascii="Arial" w:cs="Arial" w:eastAsia="Arial" w:hAnsi="Arial"/>
                <w:sz w:val="20"/>
                <w:szCs w:val="20"/>
                <w:color w:val="auto"/>
              </w:rPr>
              <w:t>169</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6.09</w:t>
            </w:r>
          </w:p>
        </w:tc>
        <w:tc>
          <w:tcPr>
            <w:tcW w:w="7660" w:type="dxa"/>
            <w:vAlign w:val="bottom"/>
          </w:tcPr>
          <w:p>
            <w:pPr>
              <w:ind w:left="160"/>
              <w:spacing w:after="0"/>
              <w:rPr>
                <w:sz w:val="20"/>
                <w:szCs w:val="20"/>
                <w:color w:val="auto"/>
              </w:rPr>
            </w:pPr>
            <w:r>
              <w:rPr>
                <w:rFonts w:ascii="Arial" w:cs="Arial" w:eastAsia="Arial" w:hAnsi="Arial"/>
                <w:sz w:val="20"/>
                <w:szCs w:val="20"/>
                <w:color w:val="auto"/>
              </w:rPr>
              <w:t>Financial Covenants.</w:t>
            </w:r>
          </w:p>
        </w:tc>
        <w:tc>
          <w:tcPr>
            <w:tcW w:w="1100" w:type="dxa"/>
            <w:vAlign w:val="bottom"/>
          </w:tcPr>
          <w:p>
            <w:pPr>
              <w:jc w:val="right"/>
              <w:spacing w:after="0"/>
              <w:rPr>
                <w:sz w:val="20"/>
                <w:szCs w:val="20"/>
                <w:color w:val="auto"/>
              </w:rPr>
            </w:pPr>
            <w:r>
              <w:rPr>
                <w:rFonts w:ascii="Arial" w:cs="Arial" w:eastAsia="Arial" w:hAnsi="Arial"/>
                <w:sz w:val="20"/>
                <w:szCs w:val="20"/>
                <w:color w:val="auto"/>
              </w:rPr>
              <w:t>171</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6.10</w:t>
            </w:r>
          </w:p>
        </w:tc>
        <w:tc>
          <w:tcPr>
            <w:tcW w:w="7660" w:type="dxa"/>
            <w:vAlign w:val="bottom"/>
          </w:tcPr>
          <w:p>
            <w:pPr>
              <w:ind w:left="160"/>
              <w:spacing w:after="0"/>
              <w:rPr>
                <w:sz w:val="20"/>
                <w:szCs w:val="20"/>
                <w:color w:val="auto"/>
              </w:rPr>
            </w:pPr>
            <w:r>
              <w:rPr>
                <w:rFonts w:ascii="Arial" w:cs="Arial" w:eastAsia="Arial" w:hAnsi="Arial"/>
                <w:sz w:val="20"/>
                <w:szCs w:val="20"/>
                <w:color w:val="auto"/>
              </w:rPr>
              <w:t>Limitations on Holdings.</w:t>
            </w:r>
          </w:p>
        </w:tc>
        <w:tc>
          <w:tcPr>
            <w:tcW w:w="1100" w:type="dxa"/>
            <w:vAlign w:val="bottom"/>
          </w:tcPr>
          <w:p>
            <w:pPr>
              <w:jc w:val="right"/>
              <w:spacing w:after="0"/>
              <w:rPr>
                <w:sz w:val="20"/>
                <w:szCs w:val="20"/>
                <w:color w:val="auto"/>
              </w:rPr>
            </w:pPr>
            <w:r>
              <w:rPr>
                <w:rFonts w:ascii="Arial" w:cs="Arial" w:eastAsia="Arial" w:hAnsi="Arial"/>
                <w:sz w:val="20"/>
                <w:szCs w:val="20"/>
                <w:color w:val="auto"/>
              </w:rPr>
              <w:t>171</w:t>
            </w:r>
          </w:p>
        </w:tc>
      </w:tr>
      <w:tr>
        <w:trPr>
          <w:trHeight w:val="459"/>
        </w:trPr>
        <w:tc>
          <w:tcPr>
            <w:tcW w:w="8820" w:type="dxa"/>
            <w:vAlign w:val="bottom"/>
            <w:gridSpan w:val="2"/>
          </w:tcPr>
          <w:p>
            <w:pPr>
              <w:spacing w:after="0"/>
              <w:rPr>
                <w:sz w:val="20"/>
                <w:szCs w:val="20"/>
                <w:color w:val="auto"/>
              </w:rPr>
            </w:pPr>
            <w:r>
              <w:rPr>
                <w:rFonts w:ascii="Arial" w:cs="Arial" w:eastAsia="Arial" w:hAnsi="Arial"/>
                <w:sz w:val="20"/>
                <w:szCs w:val="20"/>
                <w:color w:val="auto"/>
              </w:rPr>
              <w:t>ARTICLE VII. Events of Default</w:t>
            </w:r>
          </w:p>
        </w:tc>
        <w:tc>
          <w:tcPr>
            <w:tcW w:w="1100" w:type="dxa"/>
            <w:vAlign w:val="bottom"/>
          </w:tcPr>
          <w:p>
            <w:pPr>
              <w:jc w:val="right"/>
              <w:spacing w:after="0"/>
              <w:rPr>
                <w:sz w:val="20"/>
                <w:szCs w:val="20"/>
                <w:color w:val="auto"/>
              </w:rPr>
            </w:pPr>
            <w:r>
              <w:rPr>
                <w:rFonts w:ascii="Arial" w:cs="Arial" w:eastAsia="Arial" w:hAnsi="Arial"/>
                <w:sz w:val="20"/>
                <w:szCs w:val="20"/>
                <w:color w:val="auto"/>
              </w:rPr>
              <w:t>172</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7.01</w:t>
            </w:r>
          </w:p>
        </w:tc>
        <w:tc>
          <w:tcPr>
            <w:tcW w:w="7660" w:type="dxa"/>
            <w:vAlign w:val="bottom"/>
          </w:tcPr>
          <w:p>
            <w:pPr>
              <w:ind w:left="160"/>
              <w:spacing w:after="0"/>
              <w:rPr>
                <w:sz w:val="20"/>
                <w:szCs w:val="20"/>
                <w:color w:val="auto"/>
              </w:rPr>
            </w:pPr>
            <w:r>
              <w:rPr>
                <w:rFonts w:ascii="Arial" w:cs="Arial" w:eastAsia="Arial" w:hAnsi="Arial"/>
                <w:sz w:val="20"/>
                <w:szCs w:val="20"/>
                <w:color w:val="auto"/>
              </w:rPr>
              <w:t>Events of Default</w:t>
            </w:r>
          </w:p>
        </w:tc>
        <w:tc>
          <w:tcPr>
            <w:tcW w:w="1100" w:type="dxa"/>
            <w:vAlign w:val="bottom"/>
          </w:tcPr>
          <w:p>
            <w:pPr>
              <w:jc w:val="right"/>
              <w:spacing w:after="0"/>
              <w:rPr>
                <w:sz w:val="20"/>
                <w:szCs w:val="20"/>
                <w:color w:val="auto"/>
              </w:rPr>
            </w:pPr>
            <w:r>
              <w:rPr>
                <w:rFonts w:ascii="Arial" w:cs="Arial" w:eastAsia="Arial" w:hAnsi="Arial"/>
                <w:sz w:val="20"/>
                <w:szCs w:val="20"/>
                <w:color w:val="auto"/>
              </w:rPr>
              <w:t>172</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7.02</w:t>
            </w:r>
          </w:p>
        </w:tc>
        <w:tc>
          <w:tcPr>
            <w:tcW w:w="7660" w:type="dxa"/>
            <w:vAlign w:val="bottom"/>
          </w:tcPr>
          <w:p>
            <w:pPr>
              <w:ind w:left="160"/>
              <w:spacing w:after="0"/>
              <w:rPr>
                <w:sz w:val="20"/>
                <w:szCs w:val="20"/>
                <w:color w:val="auto"/>
              </w:rPr>
            </w:pPr>
            <w:r>
              <w:rPr>
                <w:rFonts w:ascii="Arial" w:cs="Arial" w:eastAsia="Arial" w:hAnsi="Arial"/>
                <w:sz w:val="20"/>
                <w:szCs w:val="20"/>
                <w:color w:val="auto"/>
              </w:rPr>
              <w:t>Right to Cure</w:t>
            </w:r>
          </w:p>
        </w:tc>
        <w:tc>
          <w:tcPr>
            <w:tcW w:w="1100" w:type="dxa"/>
            <w:vAlign w:val="bottom"/>
          </w:tcPr>
          <w:p>
            <w:pPr>
              <w:jc w:val="right"/>
              <w:spacing w:after="0"/>
              <w:rPr>
                <w:sz w:val="20"/>
                <w:szCs w:val="20"/>
                <w:color w:val="auto"/>
              </w:rPr>
            </w:pPr>
            <w:r>
              <w:rPr>
                <w:rFonts w:ascii="Arial" w:cs="Arial" w:eastAsia="Arial" w:hAnsi="Arial"/>
                <w:sz w:val="20"/>
                <w:szCs w:val="20"/>
                <w:color w:val="auto"/>
              </w:rPr>
              <w:t>176</w:t>
            </w:r>
          </w:p>
        </w:tc>
      </w:tr>
      <w:tr>
        <w:trPr>
          <w:trHeight w:val="459"/>
        </w:trPr>
        <w:tc>
          <w:tcPr>
            <w:tcW w:w="8820" w:type="dxa"/>
            <w:vAlign w:val="bottom"/>
            <w:gridSpan w:val="2"/>
          </w:tcPr>
          <w:p>
            <w:pPr>
              <w:spacing w:after="0"/>
              <w:rPr>
                <w:sz w:val="20"/>
                <w:szCs w:val="20"/>
                <w:color w:val="auto"/>
              </w:rPr>
            </w:pPr>
            <w:r>
              <w:rPr>
                <w:rFonts w:ascii="Arial" w:cs="Arial" w:eastAsia="Arial" w:hAnsi="Arial"/>
                <w:sz w:val="20"/>
                <w:szCs w:val="20"/>
                <w:color w:val="auto"/>
              </w:rPr>
              <w:t>ARTICLE VIII. The Administrative Agent, the Collateral Agent and Other Agents</w:t>
            </w:r>
          </w:p>
        </w:tc>
        <w:tc>
          <w:tcPr>
            <w:tcW w:w="1100" w:type="dxa"/>
            <w:vAlign w:val="bottom"/>
          </w:tcPr>
          <w:p>
            <w:pPr>
              <w:jc w:val="right"/>
              <w:spacing w:after="0"/>
              <w:rPr>
                <w:sz w:val="20"/>
                <w:szCs w:val="20"/>
                <w:color w:val="auto"/>
              </w:rPr>
            </w:pPr>
            <w:r>
              <w:rPr>
                <w:rFonts w:ascii="Arial" w:cs="Arial" w:eastAsia="Arial" w:hAnsi="Arial"/>
                <w:sz w:val="20"/>
                <w:szCs w:val="20"/>
                <w:color w:val="auto"/>
              </w:rPr>
              <w:t>176</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8.01</w:t>
            </w:r>
          </w:p>
        </w:tc>
        <w:tc>
          <w:tcPr>
            <w:tcW w:w="7660" w:type="dxa"/>
            <w:vAlign w:val="bottom"/>
          </w:tcPr>
          <w:p>
            <w:pPr>
              <w:ind w:left="160"/>
              <w:spacing w:after="0"/>
              <w:rPr>
                <w:sz w:val="20"/>
                <w:szCs w:val="20"/>
                <w:color w:val="auto"/>
              </w:rPr>
            </w:pPr>
            <w:r>
              <w:rPr>
                <w:rFonts w:ascii="Arial" w:cs="Arial" w:eastAsia="Arial" w:hAnsi="Arial"/>
                <w:sz w:val="20"/>
                <w:szCs w:val="20"/>
                <w:color w:val="auto"/>
              </w:rPr>
              <w:t>Authorization and Action</w:t>
            </w:r>
          </w:p>
        </w:tc>
        <w:tc>
          <w:tcPr>
            <w:tcW w:w="1100" w:type="dxa"/>
            <w:vAlign w:val="bottom"/>
          </w:tcPr>
          <w:p>
            <w:pPr>
              <w:jc w:val="right"/>
              <w:spacing w:after="0"/>
              <w:rPr>
                <w:sz w:val="20"/>
                <w:szCs w:val="20"/>
                <w:color w:val="auto"/>
              </w:rPr>
            </w:pPr>
            <w:r>
              <w:rPr>
                <w:rFonts w:ascii="Arial" w:cs="Arial" w:eastAsia="Arial" w:hAnsi="Arial"/>
                <w:sz w:val="20"/>
                <w:szCs w:val="20"/>
                <w:color w:val="auto"/>
              </w:rPr>
              <w:t>176</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8.02</w:t>
            </w:r>
          </w:p>
        </w:tc>
        <w:tc>
          <w:tcPr>
            <w:tcW w:w="7660" w:type="dxa"/>
            <w:vAlign w:val="bottom"/>
          </w:tcPr>
          <w:p>
            <w:pPr>
              <w:ind w:left="160"/>
              <w:spacing w:after="0"/>
              <w:rPr>
                <w:sz w:val="20"/>
                <w:szCs w:val="20"/>
                <w:color w:val="auto"/>
              </w:rPr>
            </w:pPr>
            <w:r>
              <w:rPr>
                <w:rFonts w:ascii="Arial" w:cs="Arial" w:eastAsia="Arial" w:hAnsi="Arial"/>
                <w:sz w:val="20"/>
                <w:szCs w:val="20"/>
                <w:color w:val="auto"/>
              </w:rPr>
              <w:t>Administrative Agent’s and Collateral Agent’s Reliance; Limitation of Liability, Etc.</w:t>
            </w:r>
          </w:p>
        </w:tc>
        <w:tc>
          <w:tcPr>
            <w:tcW w:w="1100" w:type="dxa"/>
            <w:vAlign w:val="bottom"/>
          </w:tcPr>
          <w:p>
            <w:pPr>
              <w:jc w:val="right"/>
              <w:spacing w:after="0"/>
              <w:rPr>
                <w:sz w:val="20"/>
                <w:szCs w:val="20"/>
                <w:color w:val="auto"/>
              </w:rPr>
            </w:pPr>
            <w:r>
              <w:rPr>
                <w:rFonts w:ascii="Arial" w:cs="Arial" w:eastAsia="Arial" w:hAnsi="Arial"/>
                <w:sz w:val="20"/>
                <w:szCs w:val="20"/>
                <w:color w:val="auto"/>
              </w:rPr>
              <w:t>179</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8.03</w:t>
            </w:r>
          </w:p>
        </w:tc>
        <w:tc>
          <w:tcPr>
            <w:tcW w:w="7660" w:type="dxa"/>
            <w:vAlign w:val="bottom"/>
          </w:tcPr>
          <w:p>
            <w:pPr>
              <w:ind w:left="160"/>
              <w:spacing w:after="0"/>
              <w:rPr>
                <w:sz w:val="20"/>
                <w:szCs w:val="20"/>
                <w:color w:val="auto"/>
              </w:rPr>
            </w:pPr>
            <w:r>
              <w:rPr>
                <w:rFonts w:ascii="Arial" w:cs="Arial" w:eastAsia="Arial" w:hAnsi="Arial"/>
                <w:sz w:val="20"/>
                <w:szCs w:val="20"/>
                <w:color w:val="auto"/>
              </w:rPr>
              <w:t>Posting of Communications</w:t>
            </w:r>
          </w:p>
        </w:tc>
        <w:tc>
          <w:tcPr>
            <w:tcW w:w="1100" w:type="dxa"/>
            <w:vAlign w:val="bottom"/>
          </w:tcPr>
          <w:p>
            <w:pPr>
              <w:jc w:val="right"/>
              <w:spacing w:after="0"/>
              <w:rPr>
                <w:sz w:val="20"/>
                <w:szCs w:val="20"/>
                <w:color w:val="auto"/>
              </w:rPr>
            </w:pPr>
            <w:r>
              <w:rPr>
                <w:rFonts w:ascii="Arial" w:cs="Arial" w:eastAsia="Arial" w:hAnsi="Arial"/>
                <w:sz w:val="20"/>
                <w:szCs w:val="20"/>
                <w:color w:val="auto"/>
              </w:rPr>
              <w:t>181</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8.04</w:t>
            </w:r>
          </w:p>
        </w:tc>
        <w:tc>
          <w:tcPr>
            <w:tcW w:w="7660" w:type="dxa"/>
            <w:vAlign w:val="bottom"/>
          </w:tcPr>
          <w:p>
            <w:pPr>
              <w:ind w:left="160"/>
              <w:spacing w:after="0"/>
              <w:rPr>
                <w:sz w:val="20"/>
                <w:szCs w:val="20"/>
                <w:color w:val="auto"/>
              </w:rPr>
            </w:pPr>
            <w:r>
              <w:rPr>
                <w:rFonts w:ascii="Arial" w:cs="Arial" w:eastAsia="Arial" w:hAnsi="Arial"/>
                <w:sz w:val="20"/>
                <w:szCs w:val="20"/>
                <w:color w:val="auto"/>
              </w:rPr>
              <w:t>The Administrative Agent and Collateral Agent Individually</w:t>
            </w:r>
          </w:p>
        </w:tc>
        <w:tc>
          <w:tcPr>
            <w:tcW w:w="1100" w:type="dxa"/>
            <w:vAlign w:val="bottom"/>
          </w:tcPr>
          <w:p>
            <w:pPr>
              <w:jc w:val="right"/>
              <w:spacing w:after="0"/>
              <w:rPr>
                <w:sz w:val="20"/>
                <w:szCs w:val="20"/>
                <w:color w:val="auto"/>
              </w:rPr>
            </w:pPr>
            <w:r>
              <w:rPr>
                <w:rFonts w:ascii="Arial" w:cs="Arial" w:eastAsia="Arial" w:hAnsi="Arial"/>
                <w:sz w:val="20"/>
                <w:szCs w:val="20"/>
                <w:color w:val="auto"/>
              </w:rPr>
              <w:t>182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8.05</w:t>
            </w:r>
          </w:p>
        </w:tc>
        <w:tc>
          <w:tcPr>
            <w:tcW w:w="7660" w:type="dxa"/>
            <w:vAlign w:val="bottom"/>
          </w:tcPr>
          <w:p>
            <w:pPr>
              <w:ind w:left="160"/>
              <w:spacing w:after="0"/>
              <w:rPr>
                <w:sz w:val="20"/>
                <w:szCs w:val="20"/>
                <w:color w:val="auto"/>
              </w:rPr>
            </w:pPr>
            <w:r>
              <w:rPr>
                <w:rFonts w:ascii="Arial" w:cs="Arial" w:eastAsia="Arial" w:hAnsi="Arial"/>
                <w:sz w:val="20"/>
                <w:szCs w:val="20"/>
                <w:color w:val="auto"/>
              </w:rPr>
              <w:t>Successor Administrative Agent and Successor Collateral Agent</w:t>
            </w:r>
          </w:p>
        </w:tc>
        <w:tc>
          <w:tcPr>
            <w:tcW w:w="1100" w:type="dxa"/>
            <w:vAlign w:val="bottom"/>
          </w:tcPr>
          <w:p>
            <w:pPr>
              <w:jc w:val="right"/>
              <w:spacing w:after="0"/>
              <w:rPr>
                <w:sz w:val="20"/>
                <w:szCs w:val="20"/>
                <w:color w:val="auto"/>
              </w:rPr>
            </w:pPr>
            <w:r>
              <w:rPr>
                <w:rFonts w:ascii="Arial" w:cs="Arial" w:eastAsia="Arial" w:hAnsi="Arial"/>
                <w:sz w:val="20"/>
                <w:szCs w:val="20"/>
                <w:color w:val="auto"/>
              </w:rPr>
              <w:t>182</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8.06</w:t>
            </w:r>
          </w:p>
        </w:tc>
        <w:tc>
          <w:tcPr>
            <w:tcW w:w="7660" w:type="dxa"/>
            <w:vAlign w:val="bottom"/>
          </w:tcPr>
          <w:p>
            <w:pPr>
              <w:ind w:left="160"/>
              <w:spacing w:after="0"/>
              <w:rPr>
                <w:sz w:val="20"/>
                <w:szCs w:val="20"/>
                <w:color w:val="auto"/>
              </w:rPr>
            </w:pPr>
            <w:r>
              <w:rPr>
                <w:rFonts w:ascii="Arial" w:cs="Arial" w:eastAsia="Arial" w:hAnsi="Arial"/>
                <w:sz w:val="20"/>
                <w:szCs w:val="20"/>
                <w:color w:val="auto"/>
              </w:rPr>
              <w:t>Acknowledgements of Lenders</w:t>
            </w:r>
          </w:p>
        </w:tc>
        <w:tc>
          <w:tcPr>
            <w:tcW w:w="1100" w:type="dxa"/>
            <w:vAlign w:val="bottom"/>
          </w:tcPr>
          <w:p>
            <w:pPr>
              <w:jc w:val="right"/>
              <w:spacing w:after="0"/>
              <w:rPr>
                <w:sz w:val="20"/>
                <w:szCs w:val="20"/>
                <w:color w:val="auto"/>
              </w:rPr>
            </w:pPr>
            <w:r>
              <w:rPr>
                <w:rFonts w:ascii="Arial" w:cs="Arial" w:eastAsia="Arial" w:hAnsi="Arial"/>
                <w:sz w:val="20"/>
                <w:szCs w:val="20"/>
                <w:color w:val="auto"/>
              </w:rPr>
              <w:t>183</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8.07</w:t>
            </w:r>
          </w:p>
        </w:tc>
        <w:tc>
          <w:tcPr>
            <w:tcW w:w="7660" w:type="dxa"/>
            <w:vAlign w:val="bottom"/>
          </w:tcPr>
          <w:p>
            <w:pPr>
              <w:ind w:left="160"/>
              <w:spacing w:after="0"/>
              <w:rPr>
                <w:sz w:val="20"/>
                <w:szCs w:val="20"/>
                <w:color w:val="auto"/>
              </w:rPr>
            </w:pPr>
            <w:r>
              <w:rPr>
                <w:rFonts w:ascii="Arial" w:cs="Arial" w:eastAsia="Arial" w:hAnsi="Arial"/>
                <w:sz w:val="20"/>
                <w:szCs w:val="20"/>
                <w:color w:val="auto"/>
              </w:rPr>
              <w:t>Indemnification</w:t>
            </w:r>
          </w:p>
        </w:tc>
        <w:tc>
          <w:tcPr>
            <w:tcW w:w="1100" w:type="dxa"/>
            <w:vAlign w:val="bottom"/>
          </w:tcPr>
          <w:p>
            <w:pPr>
              <w:jc w:val="right"/>
              <w:spacing w:after="0"/>
              <w:rPr>
                <w:sz w:val="20"/>
                <w:szCs w:val="20"/>
                <w:color w:val="auto"/>
              </w:rPr>
            </w:pPr>
            <w:r>
              <w:rPr>
                <w:rFonts w:ascii="Arial" w:cs="Arial" w:eastAsia="Arial" w:hAnsi="Arial"/>
                <w:sz w:val="20"/>
                <w:szCs w:val="20"/>
                <w:color w:val="auto"/>
              </w:rPr>
              <w:t>185</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8.08</w:t>
            </w:r>
          </w:p>
        </w:tc>
        <w:tc>
          <w:tcPr>
            <w:tcW w:w="7660" w:type="dxa"/>
            <w:vAlign w:val="bottom"/>
          </w:tcPr>
          <w:p>
            <w:pPr>
              <w:ind w:left="160"/>
              <w:spacing w:after="0"/>
              <w:rPr>
                <w:sz w:val="20"/>
                <w:szCs w:val="20"/>
                <w:color w:val="auto"/>
              </w:rPr>
            </w:pPr>
            <w:r>
              <w:rPr>
                <w:rFonts w:ascii="Arial" w:cs="Arial" w:eastAsia="Arial" w:hAnsi="Arial"/>
                <w:sz w:val="20"/>
                <w:szCs w:val="20"/>
                <w:color w:val="auto"/>
              </w:rPr>
              <w:t>Agent in Its Individual Capacity</w:t>
            </w:r>
          </w:p>
        </w:tc>
        <w:tc>
          <w:tcPr>
            <w:tcW w:w="1100" w:type="dxa"/>
            <w:vAlign w:val="bottom"/>
          </w:tcPr>
          <w:p>
            <w:pPr>
              <w:jc w:val="right"/>
              <w:spacing w:after="0"/>
              <w:rPr>
                <w:sz w:val="20"/>
                <w:szCs w:val="20"/>
                <w:color w:val="auto"/>
              </w:rPr>
            </w:pPr>
            <w:r>
              <w:rPr>
                <w:rFonts w:ascii="Arial" w:cs="Arial" w:eastAsia="Arial" w:hAnsi="Arial"/>
                <w:sz w:val="20"/>
                <w:szCs w:val="20"/>
                <w:color w:val="auto"/>
              </w:rPr>
              <w:t>186</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8.09</w:t>
            </w:r>
          </w:p>
        </w:tc>
        <w:tc>
          <w:tcPr>
            <w:tcW w:w="7660" w:type="dxa"/>
            <w:vAlign w:val="bottom"/>
          </w:tcPr>
          <w:p>
            <w:pPr>
              <w:ind w:left="160"/>
              <w:spacing w:after="0"/>
              <w:rPr>
                <w:sz w:val="20"/>
                <w:szCs w:val="20"/>
                <w:color w:val="auto"/>
              </w:rPr>
            </w:pPr>
            <w:r>
              <w:rPr>
                <w:rFonts w:ascii="Arial" w:cs="Arial" w:eastAsia="Arial" w:hAnsi="Arial"/>
                <w:sz w:val="20"/>
                <w:szCs w:val="20"/>
                <w:color w:val="auto"/>
              </w:rPr>
              <w:t>Security Documents and Collateral Agent</w:t>
            </w:r>
          </w:p>
        </w:tc>
        <w:tc>
          <w:tcPr>
            <w:tcW w:w="1100" w:type="dxa"/>
            <w:vAlign w:val="bottom"/>
          </w:tcPr>
          <w:p>
            <w:pPr>
              <w:jc w:val="right"/>
              <w:spacing w:after="0"/>
              <w:rPr>
                <w:sz w:val="20"/>
                <w:szCs w:val="20"/>
                <w:color w:val="auto"/>
              </w:rPr>
            </w:pPr>
            <w:r>
              <w:rPr>
                <w:rFonts w:ascii="Arial" w:cs="Arial" w:eastAsia="Arial" w:hAnsi="Arial"/>
                <w:sz w:val="20"/>
                <w:szCs w:val="20"/>
                <w:color w:val="auto"/>
              </w:rPr>
              <w:t>186</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8.10</w:t>
            </w:r>
          </w:p>
        </w:tc>
        <w:tc>
          <w:tcPr>
            <w:tcW w:w="7660" w:type="dxa"/>
            <w:vAlign w:val="bottom"/>
          </w:tcPr>
          <w:p>
            <w:pPr>
              <w:ind w:left="160"/>
              <w:spacing w:after="0"/>
              <w:rPr>
                <w:sz w:val="20"/>
                <w:szCs w:val="20"/>
                <w:color w:val="auto"/>
              </w:rPr>
            </w:pPr>
            <w:r>
              <w:rPr>
                <w:rFonts w:ascii="Arial" w:cs="Arial" w:eastAsia="Arial" w:hAnsi="Arial"/>
                <w:sz w:val="20"/>
                <w:szCs w:val="20"/>
                <w:color w:val="auto"/>
              </w:rPr>
              <w:t>Right to Realize on Collateral and Enforce Guarantees</w:t>
            </w:r>
          </w:p>
        </w:tc>
        <w:tc>
          <w:tcPr>
            <w:tcW w:w="1100" w:type="dxa"/>
            <w:vAlign w:val="bottom"/>
          </w:tcPr>
          <w:p>
            <w:pPr>
              <w:jc w:val="right"/>
              <w:spacing w:after="0"/>
              <w:rPr>
                <w:sz w:val="20"/>
                <w:szCs w:val="20"/>
                <w:color w:val="auto"/>
              </w:rPr>
            </w:pPr>
            <w:r>
              <w:rPr>
                <w:rFonts w:ascii="Arial" w:cs="Arial" w:eastAsia="Arial" w:hAnsi="Arial"/>
                <w:sz w:val="20"/>
                <w:szCs w:val="20"/>
                <w:color w:val="auto"/>
              </w:rPr>
              <w:t>187</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8.11</w:t>
            </w:r>
          </w:p>
        </w:tc>
        <w:tc>
          <w:tcPr>
            <w:tcW w:w="7660" w:type="dxa"/>
            <w:vAlign w:val="bottom"/>
          </w:tcPr>
          <w:p>
            <w:pPr>
              <w:ind w:left="160"/>
              <w:spacing w:after="0"/>
              <w:rPr>
                <w:sz w:val="20"/>
                <w:szCs w:val="20"/>
                <w:color w:val="auto"/>
              </w:rPr>
            </w:pPr>
            <w:r>
              <w:rPr>
                <w:rFonts w:ascii="Arial" w:cs="Arial" w:eastAsia="Arial" w:hAnsi="Arial"/>
                <w:sz w:val="20"/>
                <w:szCs w:val="20"/>
                <w:color w:val="auto"/>
              </w:rPr>
              <w:t>Withholding Tax</w:t>
            </w:r>
          </w:p>
        </w:tc>
        <w:tc>
          <w:tcPr>
            <w:tcW w:w="1100" w:type="dxa"/>
            <w:vAlign w:val="bottom"/>
          </w:tcPr>
          <w:p>
            <w:pPr>
              <w:jc w:val="right"/>
              <w:spacing w:after="0"/>
              <w:rPr>
                <w:sz w:val="20"/>
                <w:szCs w:val="20"/>
                <w:color w:val="auto"/>
              </w:rPr>
            </w:pPr>
            <w:r>
              <w:rPr>
                <w:rFonts w:ascii="Arial" w:cs="Arial" w:eastAsia="Arial" w:hAnsi="Arial"/>
                <w:sz w:val="20"/>
                <w:szCs w:val="20"/>
                <w:color w:val="auto"/>
              </w:rPr>
              <w:t>188</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8.12</w:t>
            </w:r>
          </w:p>
        </w:tc>
        <w:tc>
          <w:tcPr>
            <w:tcW w:w="7660" w:type="dxa"/>
            <w:vAlign w:val="bottom"/>
          </w:tcPr>
          <w:p>
            <w:pPr>
              <w:ind w:left="160"/>
              <w:spacing w:after="0"/>
              <w:rPr>
                <w:sz w:val="20"/>
                <w:szCs w:val="20"/>
                <w:color w:val="auto"/>
              </w:rPr>
            </w:pPr>
            <w:r>
              <w:rPr>
                <w:rFonts w:ascii="Arial" w:cs="Arial" w:eastAsia="Arial" w:hAnsi="Arial"/>
                <w:sz w:val="20"/>
                <w:szCs w:val="20"/>
                <w:color w:val="auto"/>
              </w:rPr>
              <w:t>Certain ERISA Matters</w:t>
            </w:r>
          </w:p>
        </w:tc>
        <w:tc>
          <w:tcPr>
            <w:tcW w:w="1100" w:type="dxa"/>
            <w:vAlign w:val="bottom"/>
          </w:tcPr>
          <w:p>
            <w:pPr>
              <w:jc w:val="right"/>
              <w:spacing w:after="0"/>
              <w:rPr>
                <w:sz w:val="20"/>
                <w:szCs w:val="20"/>
                <w:color w:val="auto"/>
              </w:rPr>
            </w:pPr>
            <w:r>
              <w:rPr>
                <w:rFonts w:ascii="Arial" w:cs="Arial" w:eastAsia="Arial" w:hAnsi="Arial"/>
                <w:sz w:val="20"/>
                <w:szCs w:val="20"/>
                <w:color w:val="auto"/>
              </w:rPr>
              <w:t>188</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8.13</w:t>
            </w:r>
          </w:p>
        </w:tc>
        <w:tc>
          <w:tcPr>
            <w:tcW w:w="7660" w:type="dxa"/>
            <w:vAlign w:val="bottom"/>
          </w:tcPr>
          <w:p>
            <w:pPr>
              <w:ind w:left="160"/>
              <w:spacing w:after="0"/>
              <w:rPr>
                <w:sz w:val="20"/>
                <w:szCs w:val="20"/>
                <w:color w:val="auto"/>
              </w:rPr>
            </w:pPr>
            <w:r>
              <w:rPr>
                <w:rFonts w:ascii="Arial" w:cs="Arial" w:eastAsia="Arial" w:hAnsi="Arial"/>
                <w:sz w:val="20"/>
                <w:szCs w:val="20"/>
                <w:color w:val="auto"/>
              </w:rPr>
              <w:t>Sustainability Structuring Agent</w:t>
            </w:r>
          </w:p>
        </w:tc>
        <w:tc>
          <w:tcPr>
            <w:tcW w:w="1100" w:type="dxa"/>
            <w:vAlign w:val="bottom"/>
          </w:tcPr>
          <w:p>
            <w:pPr>
              <w:jc w:val="right"/>
              <w:spacing w:after="0"/>
              <w:rPr>
                <w:sz w:val="20"/>
                <w:szCs w:val="20"/>
                <w:color w:val="auto"/>
              </w:rPr>
            </w:pPr>
            <w:r>
              <w:rPr>
                <w:rFonts w:ascii="Arial" w:cs="Arial" w:eastAsia="Arial" w:hAnsi="Arial"/>
                <w:sz w:val="20"/>
                <w:szCs w:val="20"/>
                <w:color w:val="auto"/>
              </w:rPr>
              <w:t>189</w:t>
            </w:r>
          </w:p>
        </w:tc>
      </w:tr>
      <w:tr>
        <w:trPr>
          <w:trHeight w:val="459"/>
        </w:trPr>
        <w:tc>
          <w:tcPr>
            <w:tcW w:w="8820" w:type="dxa"/>
            <w:vAlign w:val="bottom"/>
            <w:gridSpan w:val="2"/>
          </w:tcPr>
          <w:p>
            <w:pPr>
              <w:spacing w:after="0"/>
              <w:rPr>
                <w:sz w:val="20"/>
                <w:szCs w:val="20"/>
                <w:color w:val="auto"/>
              </w:rPr>
            </w:pPr>
            <w:r>
              <w:rPr>
                <w:rFonts w:ascii="Arial" w:cs="Arial" w:eastAsia="Arial" w:hAnsi="Arial"/>
                <w:sz w:val="20"/>
                <w:szCs w:val="20"/>
                <w:color w:val="auto"/>
              </w:rPr>
              <w:t>ARTICLE IX. Miscellaneous</w:t>
            </w:r>
          </w:p>
        </w:tc>
        <w:tc>
          <w:tcPr>
            <w:tcW w:w="1100" w:type="dxa"/>
            <w:vAlign w:val="bottom"/>
          </w:tcPr>
          <w:p>
            <w:pPr>
              <w:jc w:val="right"/>
              <w:spacing w:after="0"/>
              <w:rPr>
                <w:sz w:val="20"/>
                <w:szCs w:val="20"/>
                <w:color w:val="auto"/>
              </w:rPr>
            </w:pPr>
            <w:r>
              <w:rPr>
                <w:rFonts w:ascii="Arial" w:cs="Arial" w:eastAsia="Arial" w:hAnsi="Arial"/>
                <w:sz w:val="20"/>
                <w:szCs w:val="20"/>
                <w:color w:val="auto"/>
              </w:rPr>
              <w:t>191</w:t>
            </w:r>
          </w:p>
        </w:tc>
      </w:tr>
      <w:tr>
        <w:trPr>
          <w:trHeight w:val="438"/>
        </w:trPr>
        <w:tc>
          <w:tcPr>
            <w:tcW w:w="1160" w:type="dxa"/>
            <w:vAlign w:val="bottom"/>
          </w:tcPr>
          <w:p>
            <w:pPr>
              <w:spacing w:after="0"/>
              <w:rPr>
                <w:sz w:val="20"/>
                <w:szCs w:val="20"/>
                <w:color w:val="auto"/>
              </w:rPr>
            </w:pPr>
            <w:r>
              <w:rPr>
                <w:rFonts w:ascii="Arial" w:cs="Arial" w:eastAsia="Arial" w:hAnsi="Arial"/>
                <w:sz w:val="20"/>
                <w:szCs w:val="20"/>
                <w:color w:val="auto"/>
              </w:rPr>
              <w:t>Section 9.01</w:t>
            </w:r>
          </w:p>
        </w:tc>
        <w:tc>
          <w:tcPr>
            <w:tcW w:w="7660" w:type="dxa"/>
            <w:vAlign w:val="bottom"/>
          </w:tcPr>
          <w:p>
            <w:pPr>
              <w:ind w:left="160"/>
              <w:spacing w:after="0"/>
              <w:rPr>
                <w:sz w:val="20"/>
                <w:szCs w:val="20"/>
                <w:color w:val="auto"/>
              </w:rPr>
            </w:pPr>
            <w:r>
              <w:rPr>
                <w:rFonts w:ascii="Arial" w:cs="Arial" w:eastAsia="Arial" w:hAnsi="Arial"/>
                <w:sz w:val="20"/>
                <w:szCs w:val="20"/>
                <w:color w:val="auto"/>
              </w:rPr>
              <w:t>Notices; Communications</w:t>
            </w:r>
          </w:p>
        </w:tc>
        <w:tc>
          <w:tcPr>
            <w:tcW w:w="1100" w:type="dxa"/>
            <w:vAlign w:val="bottom"/>
          </w:tcPr>
          <w:p>
            <w:pPr>
              <w:jc w:val="right"/>
              <w:spacing w:after="0"/>
              <w:rPr>
                <w:sz w:val="20"/>
                <w:szCs w:val="20"/>
                <w:color w:val="auto"/>
              </w:rPr>
            </w:pPr>
            <w:r>
              <w:rPr>
                <w:rFonts w:ascii="Arial" w:cs="Arial" w:eastAsia="Arial" w:hAnsi="Arial"/>
                <w:sz w:val="20"/>
                <w:szCs w:val="20"/>
                <w:color w:val="auto"/>
              </w:rPr>
              <w:t>191</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9.02</w:t>
            </w:r>
          </w:p>
        </w:tc>
        <w:tc>
          <w:tcPr>
            <w:tcW w:w="7660" w:type="dxa"/>
            <w:vAlign w:val="bottom"/>
          </w:tcPr>
          <w:p>
            <w:pPr>
              <w:ind w:left="160"/>
              <w:spacing w:after="0"/>
              <w:rPr>
                <w:sz w:val="20"/>
                <w:szCs w:val="20"/>
                <w:color w:val="auto"/>
              </w:rPr>
            </w:pPr>
            <w:r>
              <w:rPr>
                <w:rFonts w:ascii="Arial" w:cs="Arial" w:eastAsia="Arial" w:hAnsi="Arial"/>
                <w:sz w:val="20"/>
                <w:szCs w:val="20"/>
                <w:color w:val="auto"/>
              </w:rPr>
              <w:t>Survival of Agreement</w:t>
            </w:r>
          </w:p>
        </w:tc>
        <w:tc>
          <w:tcPr>
            <w:tcW w:w="1100" w:type="dxa"/>
            <w:vAlign w:val="bottom"/>
          </w:tcPr>
          <w:p>
            <w:pPr>
              <w:jc w:val="right"/>
              <w:spacing w:after="0"/>
              <w:rPr>
                <w:sz w:val="20"/>
                <w:szCs w:val="20"/>
                <w:color w:val="auto"/>
              </w:rPr>
            </w:pPr>
            <w:r>
              <w:rPr>
                <w:rFonts w:ascii="Arial" w:cs="Arial" w:eastAsia="Arial" w:hAnsi="Arial"/>
                <w:sz w:val="20"/>
                <w:szCs w:val="20"/>
                <w:color w:val="auto"/>
              </w:rPr>
              <w:t>192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9.03</w:t>
            </w:r>
          </w:p>
        </w:tc>
        <w:tc>
          <w:tcPr>
            <w:tcW w:w="7660" w:type="dxa"/>
            <w:vAlign w:val="bottom"/>
          </w:tcPr>
          <w:p>
            <w:pPr>
              <w:ind w:left="160"/>
              <w:spacing w:after="0"/>
              <w:rPr>
                <w:sz w:val="20"/>
                <w:szCs w:val="20"/>
                <w:color w:val="auto"/>
              </w:rPr>
            </w:pPr>
            <w:r>
              <w:rPr>
                <w:rFonts w:ascii="Arial" w:cs="Arial" w:eastAsia="Arial" w:hAnsi="Arial"/>
                <w:sz w:val="20"/>
                <w:szCs w:val="20"/>
                <w:color w:val="auto"/>
              </w:rPr>
              <w:t>Binding Effect</w:t>
            </w:r>
          </w:p>
        </w:tc>
        <w:tc>
          <w:tcPr>
            <w:tcW w:w="1100" w:type="dxa"/>
            <w:vAlign w:val="bottom"/>
          </w:tcPr>
          <w:p>
            <w:pPr>
              <w:jc w:val="right"/>
              <w:spacing w:after="0"/>
              <w:rPr>
                <w:sz w:val="20"/>
                <w:szCs w:val="20"/>
                <w:color w:val="auto"/>
              </w:rPr>
            </w:pPr>
            <w:r>
              <w:rPr>
                <w:rFonts w:ascii="Arial" w:cs="Arial" w:eastAsia="Arial" w:hAnsi="Arial"/>
                <w:sz w:val="20"/>
                <w:szCs w:val="20"/>
                <w:color w:val="auto"/>
              </w:rPr>
              <w:t>192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9.04</w:t>
            </w:r>
          </w:p>
        </w:tc>
        <w:tc>
          <w:tcPr>
            <w:tcW w:w="7660" w:type="dxa"/>
            <w:vAlign w:val="bottom"/>
          </w:tcPr>
          <w:p>
            <w:pPr>
              <w:ind w:left="160"/>
              <w:spacing w:after="0"/>
              <w:rPr>
                <w:sz w:val="20"/>
                <w:szCs w:val="20"/>
                <w:color w:val="auto"/>
              </w:rPr>
            </w:pPr>
            <w:r>
              <w:rPr>
                <w:rFonts w:ascii="Arial" w:cs="Arial" w:eastAsia="Arial" w:hAnsi="Arial"/>
                <w:sz w:val="20"/>
                <w:szCs w:val="20"/>
                <w:color w:val="auto"/>
              </w:rPr>
              <w:t>Successors and Assigns</w:t>
            </w:r>
          </w:p>
        </w:tc>
        <w:tc>
          <w:tcPr>
            <w:tcW w:w="1100" w:type="dxa"/>
            <w:vAlign w:val="bottom"/>
          </w:tcPr>
          <w:p>
            <w:pPr>
              <w:jc w:val="right"/>
              <w:spacing w:after="0"/>
              <w:rPr>
                <w:sz w:val="20"/>
                <w:szCs w:val="20"/>
                <w:color w:val="auto"/>
              </w:rPr>
            </w:pPr>
            <w:r>
              <w:rPr>
                <w:rFonts w:ascii="Arial" w:cs="Arial" w:eastAsia="Arial" w:hAnsi="Arial"/>
                <w:sz w:val="20"/>
                <w:szCs w:val="20"/>
                <w:color w:val="auto"/>
              </w:rPr>
              <w:t>192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9.05</w:t>
            </w:r>
          </w:p>
        </w:tc>
        <w:tc>
          <w:tcPr>
            <w:tcW w:w="7660" w:type="dxa"/>
            <w:vAlign w:val="bottom"/>
          </w:tcPr>
          <w:p>
            <w:pPr>
              <w:ind w:left="160"/>
              <w:spacing w:after="0"/>
              <w:rPr>
                <w:sz w:val="20"/>
                <w:szCs w:val="20"/>
                <w:color w:val="auto"/>
              </w:rPr>
            </w:pPr>
            <w:r>
              <w:rPr>
                <w:rFonts w:ascii="Arial" w:cs="Arial" w:eastAsia="Arial" w:hAnsi="Arial"/>
                <w:sz w:val="20"/>
                <w:szCs w:val="20"/>
                <w:color w:val="auto"/>
              </w:rPr>
              <w:t>Expenses; Indemnity; Limitation of Liability</w:t>
            </w:r>
          </w:p>
        </w:tc>
        <w:tc>
          <w:tcPr>
            <w:tcW w:w="1100" w:type="dxa"/>
            <w:vAlign w:val="bottom"/>
          </w:tcPr>
          <w:p>
            <w:pPr>
              <w:jc w:val="right"/>
              <w:spacing w:after="0"/>
              <w:rPr>
                <w:sz w:val="20"/>
                <w:szCs w:val="20"/>
                <w:color w:val="auto"/>
              </w:rPr>
            </w:pPr>
            <w:r>
              <w:rPr>
                <w:rFonts w:ascii="Arial" w:cs="Arial" w:eastAsia="Arial" w:hAnsi="Arial"/>
                <w:sz w:val="20"/>
                <w:szCs w:val="20"/>
                <w:color w:val="auto"/>
              </w:rPr>
              <w:t>200</w:t>
            </w:r>
          </w:p>
        </w:tc>
      </w:tr>
      <w:tr>
        <w:trPr>
          <w:trHeight w:val="229"/>
        </w:trPr>
        <w:tc>
          <w:tcPr>
            <w:tcW w:w="1160" w:type="dxa"/>
            <w:vAlign w:val="bottom"/>
          </w:tcPr>
          <w:p>
            <w:pPr>
              <w:spacing w:after="0"/>
              <w:rPr>
                <w:sz w:val="20"/>
                <w:szCs w:val="20"/>
                <w:color w:val="auto"/>
              </w:rPr>
            </w:pPr>
            <w:r>
              <w:rPr>
                <w:rFonts w:ascii="Arial" w:cs="Arial" w:eastAsia="Arial" w:hAnsi="Arial"/>
                <w:sz w:val="20"/>
                <w:szCs w:val="20"/>
                <w:color w:val="auto"/>
              </w:rPr>
              <w:t>Section 9.06</w:t>
            </w:r>
          </w:p>
        </w:tc>
        <w:tc>
          <w:tcPr>
            <w:tcW w:w="7660" w:type="dxa"/>
            <w:vAlign w:val="bottom"/>
          </w:tcPr>
          <w:p>
            <w:pPr>
              <w:ind w:left="160"/>
              <w:spacing w:after="0"/>
              <w:rPr>
                <w:sz w:val="20"/>
                <w:szCs w:val="20"/>
                <w:color w:val="auto"/>
              </w:rPr>
            </w:pPr>
            <w:r>
              <w:rPr>
                <w:rFonts w:ascii="Arial" w:cs="Arial" w:eastAsia="Arial" w:hAnsi="Arial"/>
                <w:sz w:val="20"/>
                <w:szCs w:val="20"/>
                <w:color w:val="auto"/>
              </w:rPr>
              <w:t>Right of Set-off</w:t>
            </w:r>
          </w:p>
        </w:tc>
        <w:tc>
          <w:tcPr>
            <w:tcW w:w="1100" w:type="dxa"/>
            <w:vAlign w:val="bottom"/>
          </w:tcPr>
          <w:p>
            <w:pPr>
              <w:jc w:val="right"/>
              <w:spacing w:after="0"/>
              <w:rPr>
                <w:sz w:val="20"/>
                <w:szCs w:val="20"/>
                <w:color w:val="auto"/>
              </w:rPr>
            </w:pPr>
            <w:r>
              <w:rPr>
                <w:rFonts w:ascii="Arial" w:cs="Arial" w:eastAsia="Arial" w:hAnsi="Arial"/>
                <w:sz w:val="20"/>
                <w:szCs w:val="20"/>
                <w:color w:val="auto"/>
              </w:rPr>
              <w:t>202</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9.07</w:t>
            </w:r>
          </w:p>
        </w:tc>
        <w:tc>
          <w:tcPr>
            <w:tcW w:w="7660" w:type="dxa"/>
            <w:vAlign w:val="bottom"/>
          </w:tcPr>
          <w:p>
            <w:pPr>
              <w:ind w:left="160"/>
              <w:spacing w:after="0"/>
              <w:rPr>
                <w:sz w:val="20"/>
                <w:szCs w:val="20"/>
                <w:color w:val="auto"/>
              </w:rPr>
            </w:pPr>
            <w:r>
              <w:rPr>
                <w:rFonts w:ascii="Arial" w:cs="Arial" w:eastAsia="Arial" w:hAnsi="Arial"/>
                <w:sz w:val="20"/>
                <w:szCs w:val="20"/>
                <w:color w:val="auto"/>
              </w:rPr>
              <w:t>Applicable Law</w:t>
            </w:r>
          </w:p>
        </w:tc>
        <w:tc>
          <w:tcPr>
            <w:tcW w:w="1100" w:type="dxa"/>
            <w:vAlign w:val="bottom"/>
          </w:tcPr>
          <w:p>
            <w:pPr>
              <w:jc w:val="right"/>
              <w:spacing w:after="0"/>
              <w:rPr>
                <w:sz w:val="20"/>
                <w:szCs w:val="20"/>
                <w:color w:val="auto"/>
              </w:rPr>
            </w:pPr>
            <w:r>
              <w:rPr>
                <w:rFonts w:ascii="Arial" w:cs="Arial" w:eastAsia="Arial" w:hAnsi="Arial"/>
                <w:sz w:val="20"/>
                <w:szCs w:val="20"/>
                <w:color w:val="auto"/>
              </w:rPr>
              <w:t>203</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9.08</w:t>
            </w:r>
          </w:p>
        </w:tc>
        <w:tc>
          <w:tcPr>
            <w:tcW w:w="7660" w:type="dxa"/>
            <w:vAlign w:val="bottom"/>
          </w:tcPr>
          <w:p>
            <w:pPr>
              <w:ind w:left="160"/>
              <w:spacing w:after="0"/>
              <w:rPr>
                <w:sz w:val="20"/>
                <w:szCs w:val="20"/>
                <w:color w:val="auto"/>
              </w:rPr>
            </w:pPr>
            <w:r>
              <w:rPr>
                <w:rFonts w:ascii="Arial" w:cs="Arial" w:eastAsia="Arial" w:hAnsi="Arial"/>
                <w:sz w:val="20"/>
                <w:szCs w:val="20"/>
                <w:color w:val="auto"/>
              </w:rPr>
              <w:t>Waivers; Amendment</w:t>
            </w:r>
          </w:p>
        </w:tc>
        <w:tc>
          <w:tcPr>
            <w:tcW w:w="1100" w:type="dxa"/>
            <w:vAlign w:val="bottom"/>
          </w:tcPr>
          <w:p>
            <w:pPr>
              <w:jc w:val="right"/>
              <w:spacing w:after="0"/>
              <w:rPr>
                <w:sz w:val="20"/>
                <w:szCs w:val="20"/>
                <w:color w:val="auto"/>
              </w:rPr>
            </w:pPr>
            <w:r>
              <w:rPr>
                <w:rFonts w:ascii="Arial" w:cs="Arial" w:eastAsia="Arial" w:hAnsi="Arial"/>
                <w:sz w:val="20"/>
                <w:szCs w:val="20"/>
                <w:color w:val="auto"/>
              </w:rPr>
              <w:t>203</w:t>
            </w: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Section 9.09</w:t>
            </w:r>
          </w:p>
        </w:tc>
        <w:tc>
          <w:tcPr>
            <w:tcW w:w="7660" w:type="dxa"/>
            <w:vAlign w:val="bottom"/>
          </w:tcPr>
          <w:p>
            <w:pPr>
              <w:ind w:left="160"/>
              <w:spacing w:after="0"/>
              <w:rPr>
                <w:sz w:val="20"/>
                <w:szCs w:val="20"/>
                <w:color w:val="auto"/>
              </w:rPr>
            </w:pPr>
            <w:r>
              <w:rPr>
                <w:rFonts w:ascii="Arial" w:cs="Arial" w:eastAsia="Arial" w:hAnsi="Arial"/>
                <w:sz w:val="20"/>
                <w:szCs w:val="20"/>
                <w:color w:val="auto"/>
              </w:rPr>
              <w:t>Interest Rate Limitation</w:t>
            </w:r>
          </w:p>
        </w:tc>
        <w:tc>
          <w:tcPr>
            <w:tcW w:w="1100" w:type="dxa"/>
            <w:vAlign w:val="bottom"/>
          </w:tcPr>
          <w:p>
            <w:pPr>
              <w:jc w:val="right"/>
              <w:spacing w:after="0"/>
              <w:rPr>
                <w:sz w:val="20"/>
                <w:szCs w:val="20"/>
                <w:color w:val="auto"/>
              </w:rPr>
            </w:pPr>
            <w:r>
              <w:rPr>
                <w:rFonts w:ascii="Arial" w:cs="Arial" w:eastAsia="Arial" w:hAnsi="Arial"/>
                <w:sz w:val="20"/>
                <w:szCs w:val="20"/>
                <w:color w:val="auto"/>
              </w:rPr>
              <w:t>208</w:t>
            </w:r>
          </w:p>
        </w:tc>
      </w:t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Section 9.10</w:t>
            </w:r>
          </w:p>
        </w:tc>
        <w:tc>
          <w:tcPr>
            <w:tcW w:w="7660" w:type="dxa"/>
            <w:vAlign w:val="bottom"/>
          </w:tcPr>
          <w:p>
            <w:pPr>
              <w:ind w:left="160"/>
              <w:spacing w:after="0"/>
              <w:rPr>
                <w:sz w:val="20"/>
                <w:szCs w:val="20"/>
                <w:color w:val="auto"/>
              </w:rPr>
            </w:pPr>
            <w:r>
              <w:rPr>
                <w:rFonts w:ascii="Arial" w:cs="Arial" w:eastAsia="Arial" w:hAnsi="Arial"/>
                <w:sz w:val="20"/>
                <w:szCs w:val="20"/>
                <w:color w:val="auto"/>
              </w:rPr>
              <w:t>Entire Agreement</w:t>
            </w:r>
          </w:p>
        </w:tc>
        <w:tc>
          <w:tcPr>
            <w:tcW w:w="1100" w:type="dxa"/>
            <w:vAlign w:val="bottom"/>
          </w:tcPr>
          <w:p>
            <w:pPr>
              <w:jc w:val="right"/>
              <w:spacing w:after="0"/>
              <w:rPr>
                <w:sz w:val="20"/>
                <w:szCs w:val="20"/>
                <w:color w:val="auto"/>
              </w:rPr>
            </w:pPr>
            <w:r>
              <w:rPr>
                <w:rFonts w:ascii="Arial" w:cs="Arial" w:eastAsia="Arial" w:hAnsi="Arial"/>
                <w:sz w:val="20"/>
                <w:szCs w:val="20"/>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Section 9.11</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WAIVER OF JURY TRIAL</w:t>
            </w:r>
          </w:p>
        </w:tc>
        <w:tc>
          <w:tcPr>
            <w:tcW w:w="38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Section 9.12</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Severability</w:t>
            </w:r>
          </w:p>
        </w:tc>
        <w:tc>
          <w:tcPr>
            <w:tcW w:w="38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Section 9.13</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Counterparts; Electronic Execution</w:t>
            </w:r>
          </w:p>
        </w:tc>
        <w:tc>
          <w:tcPr>
            <w:tcW w:w="38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Section 9.14</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Headings</w:t>
            </w:r>
          </w:p>
        </w:tc>
        <w:tc>
          <w:tcPr>
            <w:tcW w:w="38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Section 9.15</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Jurisdiction; Consent to Service of Process</w:t>
            </w:r>
          </w:p>
        </w:tc>
        <w:tc>
          <w:tcPr>
            <w:tcW w:w="380" w:type="dxa"/>
            <w:vAlign w:val="bottom"/>
          </w:tcPr>
          <w:p>
            <w:pPr>
              <w:jc w:val="right"/>
              <w:spacing w:after="0"/>
              <w:rPr>
                <w:sz w:val="20"/>
                <w:szCs w:val="20"/>
                <w:color w:val="auto"/>
              </w:rPr>
            </w:pPr>
            <w:r>
              <w:rPr>
                <w:rFonts w:ascii="Arial" w:cs="Arial" w:eastAsia="Arial" w:hAnsi="Arial"/>
                <w:sz w:val="20"/>
                <w:szCs w:val="20"/>
                <w:color w:val="auto"/>
              </w:rPr>
              <w:t>210</w:t>
            </w: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Section 9.16</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Confidentiality</w:t>
            </w:r>
          </w:p>
        </w:tc>
        <w:tc>
          <w:tcPr>
            <w:tcW w:w="380" w:type="dxa"/>
            <w:vAlign w:val="bottom"/>
          </w:tcPr>
          <w:p>
            <w:pPr>
              <w:jc w:val="right"/>
              <w:spacing w:after="0"/>
              <w:rPr>
                <w:sz w:val="20"/>
                <w:szCs w:val="20"/>
                <w:color w:val="auto"/>
              </w:rPr>
            </w:pPr>
            <w:r>
              <w:rPr>
                <w:rFonts w:ascii="Arial" w:cs="Arial" w:eastAsia="Arial" w:hAnsi="Arial"/>
                <w:sz w:val="20"/>
                <w:szCs w:val="20"/>
                <w:color w:val="auto"/>
              </w:rPr>
              <w:t>210</w:t>
            </w: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Section 9.17</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Platform; Borrower Materials</w:t>
            </w:r>
          </w:p>
        </w:tc>
        <w:tc>
          <w:tcPr>
            <w:tcW w:w="380" w:type="dxa"/>
            <w:vAlign w:val="bottom"/>
          </w:tcPr>
          <w:p>
            <w:pPr>
              <w:jc w:val="right"/>
              <w:spacing w:after="0"/>
              <w:rPr>
                <w:sz w:val="20"/>
                <w:szCs w:val="20"/>
                <w:color w:val="auto"/>
              </w:rPr>
            </w:pPr>
            <w:r>
              <w:rPr>
                <w:rFonts w:ascii="Arial" w:cs="Arial" w:eastAsia="Arial" w:hAnsi="Arial"/>
                <w:sz w:val="20"/>
                <w:szCs w:val="20"/>
                <w:color w:val="auto"/>
              </w:rPr>
              <w:t>211</w:t>
            </w: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Section 9.18</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Release of Liens and Guarantees</w:t>
            </w:r>
          </w:p>
        </w:tc>
        <w:tc>
          <w:tcPr>
            <w:tcW w:w="380" w:type="dxa"/>
            <w:vAlign w:val="bottom"/>
          </w:tcPr>
          <w:p>
            <w:pPr>
              <w:jc w:val="right"/>
              <w:spacing w:after="0"/>
              <w:rPr>
                <w:sz w:val="20"/>
                <w:szCs w:val="20"/>
                <w:color w:val="auto"/>
              </w:rPr>
            </w:pPr>
            <w:r>
              <w:rPr>
                <w:rFonts w:ascii="Arial" w:cs="Arial" w:eastAsia="Arial" w:hAnsi="Arial"/>
                <w:sz w:val="20"/>
                <w:szCs w:val="20"/>
                <w:color w:val="auto"/>
              </w:rPr>
              <w:t>212</w:t>
            </w: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Section 9.19</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USA PATRIOT Act Notice</w:t>
            </w:r>
          </w:p>
        </w:tc>
        <w:tc>
          <w:tcPr>
            <w:tcW w:w="380" w:type="dxa"/>
            <w:vAlign w:val="bottom"/>
          </w:tcPr>
          <w:p>
            <w:pPr>
              <w:jc w:val="right"/>
              <w:spacing w:after="0"/>
              <w:rPr>
                <w:sz w:val="20"/>
                <w:szCs w:val="20"/>
                <w:color w:val="auto"/>
              </w:rPr>
            </w:pPr>
            <w:r>
              <w:rPr>
                <w:rFonts w:ascii="Arial" w:cs="Arial" w:eastAsia="Arial" w:hAnsi="Arial"/>
                <w:sz w:val="20"/>
                <w:szCs w:val="20"/>
                <w:color w:val="auto"/>
              </w:rPr>
              <w:t>214</w:t>
            </w: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Section 9.20</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Agency of the Borrower for the Loan Parties</w:t>
            </w:r>
          </w:p>
        </w:tc>
        <w:tc>
          <w:tcPr>
            <w:tcW w:w="380" w:type="dxa"/>
            <w:vAlign w:val="bottom"/>
          </w:tcPr>
          <w:p>
            <w:pPr>
              <w:jc w:val="right"/>
              <w:spacing w:after="0"/>
              <w:rPr>
                <w:sz w:val="20"/>
                <w:szCs w:val="20"/>
                <w:color w:val="auto"/>
              </w:rPr>
            </w:pPr>
            <w:r>
              <w:rPr>
                <w:rFonts w:ascii="Arial" w:cs="Arial" w:eastAsia="Arial" w:hAnsi="Arial"/>
                <w:sz w:val="20"/>
                <w:szCs w:val="20"/>
                <w:color w:val="auto"/>
              </w:rPr>
              <w:t>214</w:t>
            </w: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Section 9.21</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No Liability of the Issuing Banks</w:t>
            </w:r>
          </w:p>
        </w:tc>
        <w:tc>
          <w:tcPr>
            <w:tcW w:w="380" w:type="dxa"/>
            <w:vAlign w:val="bottom"/>
          </w:tcPr>
          <w:p>
            <w:pPr>
              <w:jc w:val="right"/>
              <w:spacing w:after="0"/>
              <w:rPr>
                <w:sz w:val="20"/>
                <w:szCs w:val="20"/>
                <w:color w:val="auto"/>
              </w:rPr>
            </w:pPr>
            <w:r>
              <w:rPr>
                <w:rFonts w:ascii="Arial" w:cs="Arial" w:eastAsia="Arial" w:hAnsi="Arial"/>
                <w:sz w:val="20"/>
                <w:szCs w:val="20"/>
                <w:color w:val="auto"/>
              </w:rPr>
              <w:t>214</w:t>
            </w: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Section 9.22</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Judgment Currency</w:t>
            </w:r>
          </w:p>
        </w:tc>
        <w:tc>
          <w:tcPr>
            <w:tcW w:w="380" w:type="dxa"/>
            <w:vAlign w:val="bottom"/>
          </w:tcPr>
          <w:p>
            <w:pPr>
              <w:jc w:val="right"/>
              <w:spacing w:after="0"/>
              <w:rPr>
                <w:sz w:val="20"/>
                <w:szCs w:val="20"/>
                <w:color w:val="auto"/>
              </w:rPr>
            </w:pPr>
            <w:r>
              <w:rPr>
                <w:rFonts w:ascii="Arial" w:cs="Arial" w:eastAsia="Arial" w:hAnsi="Arial"/>
                <w:sz w:val="20"/>
                <w:szCs w:val="20"/>
                <w:color w:val="auto"/>
              </w:rPr>
              <w:t>215</w:t>
            </w: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Section 9.23</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Acknowledgment and Consent to Bail-In of EEA Financial Institutions</w:t>
            </w:r>
          </w:p>
        </w:tc>
        <w:tc>
          <w:tcPr>
            <w:tcW w:w="380" w:type="dxa"/>
            <w:vAlign w:val="bottom"/>
          </w:tcPr>
          <w:p>
            <w:pPr>
              <w:jc w:val="right"/>
              <w:spacing w:after="0"/>
              <w:rPr>
                <w:sz w:val="20"/>
                <w:szCs w:val="20"/>
                <w:color w:val="auto"/>
              </w:rPr>
            </w:pPr>
            <w:r>
              <w:rPr>
                <w:rFonts w:ascii="Arial" w:cs="Arial" w:eastAsia="Arial" w:hAnsi="Arial"/>
                <w:sz w:val="20"/>
                <w:szCs w:val="20"/>
                <w:color w:val="auto"/>
              </w:rPr>
              <w:t>215</w:t>
            </w:r>
          </w:p>
        </w:tc>
      </w:tr>
      <w:tr>
        <w:trPr>
          <w:trHeight w:val="250"/>
        </w:trPr>
        <w:tc>
          <w:tcPr>
            <w:tcW w:w="1220" w:type="dxa"/>
            <w:vAlign w:val="bottom"/>
          </w:tcPr>
          <w:p>
            <w:pPr>
              <w:spacing w:after="0"/>
              <w:rPr>
                <w:sz w:val="20"/>
                <w:szCs w:val="20"/>
                <w:color w:val="auto"/>
              </w:rPr>
            </w:pPr>
            <w:r>
              <w:rPr>
                <w:rFonts w:ascii="Arial" w:cs="Arial" w:eastAsia="Arial" w:hAnsi="Arial"/>
                <w:sz w:val="20"/>
                <w:szCs w:val="20"/>
                <w:color w:val="auto"/>
              </w:rPr>
              <w:t>Section 9.24</w:t>
            </w:r>
          </w:p>
        </w:tc>
        <w:tc>
          <w:tcPr>
            <w:tcW w:w="8320" w:type="dxa"/>
            <w:vAlign w:val="bottom"/>
            <w:gridSpan w:val="3"/>
          </w:tcPr>
          <w:p>
            <w:pPr>
              <w:ind w:left="100"/>
              <w:spacing w:after="0"/>
              <w:rPr>
                <w:sz w:val="20"/>
                <w:szCs w:val="20"/>
                <w:color w:val="auto"/>
              </w:rPr>
            </w:pPr>
            <w:r>
              <w:rPr>
                <w:rFonts w:ascii="Arial" w:cs="Arial" w:eastAsia="Arial" w:hAnsi="Arial"/>
                <w:sz w:val="20"/>
                <w:szCs w:val="20"/>
                <w:color w:val="auto"/>
              </w:rPr>
              <w:t>Acknowledgment Regarding Any Supported QFCs</w:t>
            </w:r>
          </w:p>
        </w:tc>
        <w:tc>
          <w:tcPr>
            <w:tcW w:w="380" w:type="dxa"/>
            <w:vAlign w:val="bottom"/>
          </w:tcPr>
          <w:p>
            <w:pPr>
              <w:jc w:val="right"/>
              <w:spacing w:after="0"/>
              <w:rPr>
                <w:sz w:val="20"/>
                <w:szCs w:val="20"/>
                <w:color w:val="auto"/>
              </w:rPr>
            </w:pPr>
            <w:r>
              <w:rPr>
                <w:rFonts w:ascii="Arial" w:cs="Arial" w:eastAsia="Arial" w:hAnsi="Arial"/>
                <w:sz w:val="20"/>
                <w:szCs w:val="20"/>
                <w:color w:val="auto"/>
              </w:rPr>
              <w:t>216</w:t>
            </w:r>
          </w:p>
        </w:tc>
      </w:tr>
      <w:tr>
        <w:trPr>
          <w:trHeight w:val="644"/>
        </w:trPr>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8"/>
              </w:rPr>
              <w:t>Exhibits and Schedules</w:t>
            </w:r>
          </w:p>
        </w:tc>
        <w:tc>
          <w:tcPr>
            <w:tcW w:w="76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3"/>
        </w:trPr>
        <w:tc>
          <w:tcPr>
            <w:tcW w:w="1220" w:type="dxa"/>
            <w:vAlign w:val="bottom"/>
          </w:tcPr>
          <w:p>
            <w:pPr>
              <w:spacing w:after="0"/>
              <w:rPr>
                <w:sz w:val="20"/>
                <w:szCs w:val="20"/>
                <w:color w:val="auto"/>
              </w:rPr>
            </w:pPr>
            <w:r>
              <w:rPr>
                <w:rFonts w:ascii="Arial" w:cs="Arial" w:eastAsia="Arial" w:hAnsi="Arial"/>
                <w:sz w:val="20"/>
                <w:szCs w:val="20"/>
                <w:color w:val="auto"/>
              </w:rPr>
              <w:t>Exhibit A</w:t>
            </w:r>
          </w:p>
        </w:tc>
        <w:tc>
          <w:tcPr>
            <w:tcW w:w="320" w:type="dxa"/>
            <w:vAlign w:val="bottom"/>
          </w:tcPr>
          <w:p>
            <w:pPr>
              <w:spacing w:after="0"/>
              <w:rPr>
                <w:sz w:val="20"/>
                <w:szCs w:val="20"/>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Assignment and Acceptance</w:t>
            </w:r>
          </w:p>
        </w:tc>
        <w:tc>
          <w:tcPr>
            <w:tcW w:w="380" w:type="dxa"/>
            <w:vAlign w:val="bottom"/>
          </w:tcPr>
          <w:p>
            <w:pPr>
              <w:spacing w:after="0"/>
              <w:rPr>
                <w:sz w:val="20"/>
                <w:szCs w:val="20"/>
                <w:color w:val="auto"/>
              </w:rPr>
            </w:pP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Exhibit B</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[Reserved]</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C</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Solvency Certificate</w:t>
            </w:r>
          </w:p>
        </w:tc>
        <w:tc>
          <w:tcPr>
            <w:tcW w:w="380" w:type="dxa"/>
            <w:vAlign w:val="bottom"/>
          </w:tcPr>
          <w:p>
            <w:pPr>
              <w:spacing w:after="0"/>
              <w:rPr>
                <w:sz w:val="19"/>
                <w:szCs w:val="19"/>
                <w:color w:val="auto"/>
              </w:rPr>
            </w:pP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Exhibit D-1</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Borrowing Request</w:t>
            </w:r>
          </w:p>
        </w:tc>
        <w:tc>
          <w:tcPr>
            <w:tcW w:w="380" w:type="dxa"/>
            <w:vAlign w:val="bottom"/>
          </w:tcPr>
          <w:p>
            <w:pPr>
              <w:spacing w:after="0"/>
              <w:rPr>
                <w:sz w:val="19"/>
                <w:szCs w:val="19"/>
                <w:color w:val="auto"/>
              </w:rPr>
            </w:pP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Exhibit D-2</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Letter of Credit Request</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D-3</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Swingline Borrowing Request</w:t>
            </w:r>
          </w:p>
        </w:tc>
        <w:tc>
          <w:tcPr>
            <w:tcW w:w="380" w:type="dxa"/>
            <w:vAlign w:val="bottom"/>
          </w:tcPr>
          <w:p>
            <w:pPr>
              <w:spacing w:after="0"/>
              <w:rPr>
                <w:sz w:val="19"/>
                <w:szCs w:val="19"/>
                <w:color w:val="auto"/>
              </w:rPr>
            </w:pP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Exhibit E</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Interest Election Request</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F</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Auction Procedures</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G</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Compliance Certificate</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H</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Promissory Note</w:t>
            </w:r>
          </w:p>
        </w:tc>
        <w:tc>
          <w:tcPr>
            <w:tcW w:w="380" w:type="dxa"/>
            <w:vAlign w:val="bottom"/>
          </w:tcPr>
          <w:p>
            <w:pPr>
              <w:spacing w:after="0"/>
              <w:rPr>
                <w:sz w:val="19"/>
                <w:szCs w:val="19"/>
                <w:color w:val="auto"/>
              </w:rPr>
            </w:pP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rPr>
              <w:t>Exhibit I</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Perfection Certificate</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J-1</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w w:val="90"/>
              </w:rPr>
              <w:t>U.S. Tax Certificate (For Non-U.S. Lenders that are not Partnerships for U.S. Federal Income Tax</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Purposes)</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J-2</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w w:val="94"/>
              </w:rPr>
              <w:t>U.S. Tax Certificate (For Non-U.S. Lenders that are Partnerships for U.S. Federal Income Tax</w:t>
            </w:r>
          </w:p>
        </w:tc>
        <w:tc>
          <w:tcPr>
            <w:tcW w:w="38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Purposes)</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J-3</w:t>
            </w:r>
          </w:p>
        </w:tc>
        <w:tc>
          <w:tcPr>
            <w:tcW w:w="320" w:type="dxa"/>
            <w:vAlign w:val="bottom"/>
          </w:tcPr>
          <w:p>
            <w:pPr>
              <w:spacing w:after="0"/>
              <w:rPr>
                <w:sz w:val="19"/>
                <w:szCs w:val="19"/>
                <w:color w:val="auto"/>
              </w:rPr>
            </w:pPr>
          </w:p>
        </w:tc>
        <w:tc>
          <w:tcPr>
            <w:tcW w:w="8380" w:type="dxa"/>
            <w:vAlign w:val="bottom"/>
            <w:gridSpan w:val="3"/>
          </w:tcPr>
          <w:p>
            <w:pPr>
              <w:ind w:left="180"/>
              <w:spacing w:after="0"/>
              <w:rPr>
                <w:sz w:val="20"/>
                <w:szCs w:val="20"/>
                <w:color w:val="auto"/>
              </w:rPr>
            </w:pPr>
            <w:r>
              <w:rPr>
                <w:rFonts w:ascii="Arial" w:cs="Arial" w:eastAsia="Arial" w:hAnsi="Arial"/>
                <w:sz w:val="20"/>
                <w:szCs w:val="20"/>
                <w:color w:val="auto"/>
                <w:w w:val="91"/>
              </w:rPr>
              <w:t>U.S. Tax Certificate (For Non-U.S. Participants that are not Partnerships for U.S. Federal Income Tax</w:t>
            </w: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Purposes)</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J-4</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w w:val="90"/>
              </w:rPr>
              <w:t>U.S. Tax Certificate (For Non-U.S. Participants that are Partnerships for U.S. Federal Income Tax</w:t>
            </w:r>
          </w:p>
        </w:tc>
        <w:tc>
          <w:tcPr>
            <w:tcW w:w="380" w:type="dxa"/>
            <w:vAlign w:val="bottom"/>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Purposes)</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K</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Sustainability Loan Report</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L</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Collateral Agreement</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rPr>
              <w:t>Exhibit M</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Guarantee Agreement</w:t>
            </w:r>
          </w:p>
        </w:tc>
        <w:tc>
          <w:tcPr>
            <w:tcW w:w="380" w:type="dxa"/>
            <w:vAlign w:val="bottom"/>
          </w:tcPr>
          <w:p>
            <w:pPr>
              <w:spacing w:after="0"/>
              <w:rPr>
                <w:sz w:val="19"/>
                <w:szCs w:val="19"/>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20"/>
                <w:szCs w:val="20"/>
                <w:color w:val="auto"/>
              </w:rPr>
              <w:t>Exhibit N</w:t>
            </w:r>
          </w:p>
        </w:tc>
        <w:tc>
          <w:tcPr>
            <w:tcW w:w="320" w:type="dxa"/>
            <w:vAlign w:val="bottom"/>
          </w:tcPr>
          <w:p>
            <w:pPr>
              <w:spacing w:after="0"/>
              <w:rPr>
                <w:sz w:val="21"/>
                <w:szCs w:val="21"/>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Form of Affiliated Lender Assignment and Acceptance</w:t>
            </w:r>
          </w:p>
        </w:tc>
        <w:tc>
          <w:tcPr>
            <w:tcW w:w="380" w:type="dxa"/>
            <w:vAlign w:val="bottom"/>
          </w:tcPr>
          <w:p>
            <w:pPr>
              <w:spacing w:after="0"/>
              <w:rPr>
                <w:sz w:val="21"/>
                <w:szCs w:val="21"/>
                <w:color w:val="auto"/>
              </w:rPr>
            </w:pPr>
          </w:p>
        </w:tc>
      </w:tr>
      <w:tr>
        <w:trPr>
          <w:trHeight w:val="438"/>
        </w:trPr>
        <w:tc>
          <w:tcPr>
            <w:tcW w:w="1540" w:type="dxa"/>
            <w:vAlign w:val="bottom"/>
            <w:gridSpan w:val="2"/>
          </w:tcPr>
          <w:p>
            <w:pPr>
              <w:spacing w:after="0"/>
              <w:rPr>
                <w:sz w:val="20"/>
                <w:szCs w:val="20"/>
                <w:color w:val="auto"/>
              </w:rPr>
            </w:pPr>
            <w:r>
              <w:rPr>
                <w:rFonts w:ascii="Arial" w:cs="Arial" w:eastAsia="Arial" w:hAnsi="Arial"/>
                <w:sz w:val="20"/>
                <w:szCs w:val="20"/>
                <w:color w:val="auto"/>
                <w:w w:val="99"/>
              </w:rPr>
              <w:t>Schedule 1.01(a)</w:t>
            </w: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Unrestricted Subsidiaries</w:t>
            </w:r>
          </w:p>
        </w:tc>
        <w:tc>
          <w:tcPr>
            <w:tcW w:w="380" w:type="dxa"/>
            <w:vAlign w:val="bottom"/>
          </w:tcPr>
          <w:p>
            <w:pPr>
              <w:spacing w:after="0"/>
              <w:rPr>
                <w:sz w:val="24"/>
                <w:szCs w:val="24"/>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20"/>
                <w:szCs w:val="20"/>
                <w:color w:val="auto"/>
                <w:w w:val="99"/>
              </w:rPr>
              <w:t>Schedule 1.01(b)</w:t>
            </w: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Sustainability Financing Framework</w:t>
            </w:r>
          </w:p>
        </w:tc>
        <w:tc>
          <w:tcPr>
            <w:tcW w:w="380" w:type="dxa"/>
            <w:vAlign w:val="bottom"/>
          </w:tcPr>
          <w:p>
            <w:pPr>
              <w:spacing w:after="0"/>
              <w:rPr>
                <w:sz w:val="19"/>
                <w:szCs w:val="19"/>
                <w:color w:val="auto"/>
              </w:rPr>
            </w:pPr>
          </w:p>
        </w:tc>
      </w:tr>
      <w:tr>
        <w:trPr>
          <w:trHeight w:val="229"/>
        </w:trPr>
        <w:tc>
          <w:tcPr>
            <w:tcW w:w="1220" w:type="dxa"/>
            <w:vAlign w:val="bottom"/>
          </w:tcPr>
          <w:p>
            <w:pPr>
              <w:spacing w:after="0"/>
              <w:rPr>
                <w:sz w:val="20"/>
                <w:szCs w:val="20"/>
                <w:color w:val="auto"/>
              </w:rPr>
            </w:pPr>
            <w:r>
              <w:rPr>
                <w:rFonts w:ascii="Arial" w:cs="Arial" w:eastAsia="Arial" w:hAnsi="Arial"/>
                <w:sz w:val="20"/>
                <w:szCs w:val="20"/>
                <w:color w:val="auto"/>
                <w:w w:val="93"/>
              </w:rPr>
              <w:t>Schedule 2.01</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Commitments</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w w:val="93"/>
              </w:rPr>
              <w:t>Schedule 3.04</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Governmental Approvals</w:t>
            </w:r>
          </w:p>
        </w:tc>
        <w:tc>
          <w:tcPr>
            <w:tcW w:w="38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20"/>
                <w:szCs w:val="20"/>
                <w:color w:val="auto"/>
                <w:w w:val="93"/>
              </w:rPr>
              <w:t>Schedule 3.09</w:t>
            </w:r>
          </w:p>
        </w:tc>
        <w:tc>
          <w:tcPr>
            <w:tcW w:w="32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Existing Litigation</w:t>
            </w:r>
          </w:p>
        </w:tc>
        <w:tc>
          <w:tcPr>
            <w:tcW w:w="380" w:type="dxa"/>
            <w:vAlign w:val="bottom"/>
          </w:tcPr>
          <w:p>
            <w:pPr>
              <w:spacing w:after="0"/>
              <w:rPr>
                <w:sz w:val="19"/>
                <w:szCs w:val="19"/>
                <w:color w:val="auto"/>
              </w:rPr>
            </w:pPr>
          </w:p>
        </w:tc>
      </w:tr>
      <w:tr>
        <w:trPr>
          <w:trHeight w:val="250"/>
        </w:trPr>
        <w:tc>
          <w:tcPr>
            <w:tcW w:w="1220" w:type="dxa"/>
            <w:vAlign w:val="bottom"/>
          </w:tcPr>
          <w:p>
            <w:pPr>
              <w:spacing w:after="0"/>
              <w:rPr>
                <w:sz w:val="20"/>
                <w:szCs w:val="20"/>
                <w:color w:val="auto"/>
              </w:rPr>
            </w:pPr>
            <w:r>
              <w:rPr>
                <w:rFonts w:ascii="Arial" w:cs="Arial" w:eastAsia="Arial" w:hAnsi="Arial"/>
                <w:sz w:val="20"/>
                <w:szCs w:val="20"/>
                <w:color w:val="auto"/>
                <w:w w:val="93"/>
              </w:rPr>
              <w:t>Schedule 3.16</w:t>
            </w:r>
          </w:p>
        </w:tc>
        <w:tc>
          <w:tcPr>
            <w:tcW w:w="320" w:type="dxa"/>
            <w:vAlign w:val="bottom"/>
          </w:tcPr>
          <w:p>
            <w:pPr>
              <w:spacing w:after="0"/>
              <w:rPr>
                <w:sz w:val="21"/>
                <w:szCs w:val="21"/>
                <w:color w:val="auto"/>
              </w:rPr>
            </w:pPr>
          </w:p>
        </w:tc>
        <w:tc>
          <w:tcPr>
            <w:tcW w:w="8000" w:type="dxa"/>
            <w:vAlign w:val="bottom"/>
            <w:gridSpan w:val="2"/>
          </w:tcPr>
          <w:p>
            <w:pPr>
              <w:ind w:left="180"/>
              <w:spacing w:after="0"/>
              <w:rPr>
                <w:sz w:val="20"/>
                <w:szCs w:val="20"/>
                <w:color w:val="auto"/>
              </w:rPr>
            </w:pPr>
            <w:r>
              <w:rPr>
                <w:rFonts w:ascii="Arial" w:cs="Arial" w:eastAsia="Arial" w:hAnsi="Arial"/>
                <w:sz w:val="20"/>
                <w:szCs w:val="20"/>
                <w:color w:val="auto"/>
              </w:rPr>
              <w:t>Environmental Matters</w:t>
            </w:r>
          </w:p>
        </w:tc>
        <w:tc>
          <w:tcPr>
            <w:tcW w:w="3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1" w:right="999" w:bottom="1440" w:gutter="0" w:footer="0" w:header="0"/>
        </w:sectPr>
      </w:pPr>
    </w:p>
    <w:bookmarkStart w:id="143" w:name="page144"/>
    <w:bookmarkEnd w:id="143"/>
    <w:p>
      <w:pPr>
        <w:spacing w:after="0" w:line="313" w:lineRule="auto"/>
        <w:rPr>
          <w:sz w:val="20"/>
          <w:szCs w:val="20"/>
          <w:color w:val="auto"/>
        </w:rPr>
      </w:pPr>
      <w:r>
        <w:rPr>
          <w:rFonts w:ascii="Arial" w:cs="Arial" w:eastAsia="Arial" w:hAnsi="Arial"/>
          <w:sz w:val="16"/>
          <w:szCs w:val="16"/>
          <w:color w:val="auto"/>
        </w:rPr>
        <w:t>Schedule 3.20 Schedule 3.21 Schedule 5.14 Schedule 6.01 Schedule 6.02(a) Schedule 6.04 Schedule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Insurance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Post-Closing Items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rPr>
          <w:sz w:val="20"/>
          <w:szCs w:val="20"/>
          <w:color w:val="auto"/>
        </w:rPr>
      </w:pPr>
      <w:r>
        <w:rPr>
          <w:rFonts w:ascii="Arial" w:cs="Arial" w:eastAsia="Arial" w:hAnsi="Arial"/>
          <w:sz w:val="20"/>
          <w:szCs w:val="20"/>
          <w:color w:val="auto"/>
        </w:rPr>
        <w:t>Liens</w:t>
      </w:r>
    </w:p>
    <w:p>
      <w:pPr>
        <w:spacing w:after="0"/>
        <w:rPr>
          <w:sz w:val="20"/>
          <w:szCs w:val="20"/>
          <w:color w:val="auto"/>
        </w:rPr>
      </w:pPr>
      <w:r>
        <w:rPr>
          <w:rFonts w:ascii="Arial" w:cs="Arial" w:eastAsia="Arial" w:hAnsi="Arial"/>
          <w:sz w:val="20"/>
          <w:szCs w:val="20"/>
          <w:color w:val="auto"/>
        </w:rPr>
        <w:t>Investments</w:t>
      </w:r>
    </w:p>
    <w:p>
      <w:pPr>
        <w:spacing w:after="0"/>
        <w:rPr>
          <w:sz w:val="20"/>
          <w:szCs w:val="20"/>
          <w:color w:val="auto"/>
        </w:rPr>
      </w:pPr>
      <w:r>
        <w:rPr>
          <w:rFonts w:ascii="Arial" w:cs="Arial" w:eastAsia="Arial" w:hAnsi="Arial"/>
          <w:sz w:val="19"/>
          <w:szCs w:val="19"/>
          <w:color w:val="auto"/>
        </w:rPr>
        <w:t>Notice Information</w:t>
      </w:r>
    </w:p>
    <w:p>
      <w:pPr>
        <w:spacing w:after="0" w:line="268" w:lineRule="exact"/>
        <w:rPr>
          <w:sz w:val="20"/>
          <w:szCs w:val="20"/>
          <w:color w:val="auto"/>
        </w:rPr>
      </w:pPr>
    </w:p>
    <w:p>
      <w:pPr>
        <w:sectPr>
          <w:pgSz w:w="11900" w:h="16838" w:orient="portrait"/>
          <w:cols w:equalWidth="0" w:num="2">
            <w:col w:w="1360" w:space="400"/>
            <w:col w:w="7719"/>
          </w:cols>
          <w:pgMar w:left="980" w:top="1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08" w:right="1440" w:bottom="1440" w:gutter="0" w:footer="0" w:header="0"/>
          <w:type w:val="continuous"/>
        </w:sectPr>
      </w:pPr>
    </w:p>
    <w:bookmarkStart w:id="144" w:name="page145"/>
    <w:bookmarkEnd w:id="144"/>
    <w:p>
      <w:pPr>
        <w:jc w:val="both"/>
        <w:ind w:firstLine="648"/>
        <w:spacing w:after="0" w:line="257" w:lineRule="auto"/>
        <w:rPr>
          <w:sz w:val="20"/>
          <w:szCs w:val="20"/>
          <w:color w:val="auto"/>
        </w:rPr>
      </w:pPr>
      <w:r>
        <w:rPr>
          <w:rFonts w:ascii="Arial" w:cs="Arial" w:eastAsia="Arial" w:hAnsi="Arial"/>
          <w:sz w:val="19"/>
          <w:szCs w:val="19"/>
          <w:color w:val="auto"/>
        </w:rPr>
        <w:t>CREDIT AGREEMENT, dated as of August 29, 2022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Westrock Beverage Solutions, LLC, a Delaware limited liability company (f/k/a Westrock Coffee Company,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Westrock Coffee Company, a Delaware corporation (f/k/a Westrock Coffee Holdings, LLC, a Delaware limited liability company) (“</w:t>
      </w:r>
      <w:r>
        <w:rPr>
          <w:rFonts w:ascii="Arial" w:cs="Arial" w:eastAsia="Arial" w:hAnsi="Arial"/>
          <w:sz w:val="19"/>
          <w:szCs w:val="19"/>
          <w:u w:val="single" w:color="auto"/>
          <w:color w:val="auto"/>
        </w:rPr>
        <w:t>Holdings</w:t>
      </w:r>
      <w:r>
        <w:rPr>
          <w:rFonts w:ascii="Arial" w:cs="Arial" w:eastAsia="Arial" w:hAnsi="Arial"/>
          <w:sz w:val="19"/>
          <w:szCs w:val="19"/>
          <w:color w:val="auto"/>
        </w:rPr>
        <w:t>”), Wells Fargo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as collateral agent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and as Swingline Lender (as defined below), Wells Fargo Securities, LLC, as sustainability structuring agent (in such capacity, the “</w:t>
      </w:r>
      <w:r>
        <w:rPr>
          <w:rFonts w:ascii="Arial" w:cs="Arial" w:eastAsia="Arial" w:hAnsi="Arial"/>
          <w:sz w:val="19"/>
          <w:szCs w:val="19"/>
          <w:u w:val="single" w:color="auto"/>
          <w:color w:val="auto"/>
        </w:rPr>
        <w:t>Sustainability Structuring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and each Issuing Bank and Lender (each as defined below) party hereto from time to time.</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Holdings, Origin Merger Sub I, Inc. (“</w:t>
      </w:r>
      <w:r>
        <w:rPr>
          <w:rFonts w:ascii="Arial" w:cs="Arial" w:eastAsia="Arial" w:hAnsi="Arial"/>
          <w:sz w:val="20"/>
          <w:szCs w:val="20"/>
          <w:u w:val="single" w:color="auto"/>
          <w:color w:val="auto"/>
        </w:rPr>
        <w:t>Merger Sub I</w:t>
      </w:r>
      <w:r>
        <w:rPr>
          <w:rFonts w:ascii="Arial" w:cs="Arial" w:eastAsia="Arial" w:hAnsi="Arial"/>
          <w:sz w:val="20"/>
          <w:szCs w:val="20"/>
          <w:color w:val="auto"/>
        </w:rPr>
        <w:t>”), Origin Merger Sub II, LLC (“</w:t>
      </w:r>
      <w:r>
        <w:rPr>
          <w:rFonts w:ascii="Arial" w:cs="Arial" w:eastAsia="Arial" w:hAnsi="Arial"/>
          <w:sz w:val="20"/>
          <w:szCs w:val="20"/>
          <w:u w:val="single" w:color="auto"/>
          <w:color w:val="auto"/>
        </w:rPr>
        <w:t>Merger Sub II</w:t>
      </w:r>
      <w:r>
        <w:rPr>
          <w:rFonts w:ascii="Arial" w:cs="Arial" w:eastAsia="Arial" w:hAnsi="Arial"/>
          <w:sz w:val="20"/>
          <w:szCs w:val="20"/>
          <w:color w:val="auto"/>
        </w:rPr>
        <w:t>” and, together with Merger Sub I, the “</w:t>
      </w:r>
      <w:r>
        <w:rPr>
          <w:rFonts w:ascii="Arial" w:cs="Arial" w:eastAsia="Arial" w:hAnsi="Arial"/>
          <w:sz w:val="20"/>
          <w:szCs w:val="20"/>
          <w:u w:val="single" w:color="auto"/>
          <w:color w:val="auto"/>
        </w:rPr>
        <w:t>Merger Subs</w:t>
      </w:r>
      <w:r>
        <w:rPr>
          <w:rFonts w:ascii="Arial" w:cs="Arial" w:eastAsia="Arial" w:hAnsi="Arial"/>
          <w:sz w:val="20"/>
          <w:szCs w:val="20"/>
          <w:color w:val="auto"/>
        </w:rPr>
        <w:t>”) and Riverview Acquisition Corp. (“</w:t>
      </w:r>
      <w:r>
        <w:rPr>
          <w:rFonts w:ascii="Arial" w:cs="Arial" w:eastAsia="Arial" w:hAnsi="Arial"/>
          <w:sz w:val="20"/>
          <w:szCs w:val="20"/>
          <w:u w:val="single" w:color="auto"/>
          <w:color w:val="auto"/>
        </w:rPr>
        <w:t>RVAC</w:t>
      </w:r>
      <w:r>
        <w:rPr>
          <w:rFonts w:ascii="Arial" w:cs="Arial" w:eastAsia="Arial" w:hAnsi="Arial"/>
          <w:sz w:val="20"/>
          <w:szCs w:val="20"/>
          <w:color w:val="auto"/>
        </w:rPr>
        <w:t>”), have entered into that certain Transaction Agreement (as defined below) pursuant to which, and subject to the terms and conditions set forth therein, (i) Merger Sub I will merge with and into RVAC, with RVAC surviving, and (ii) RVAC will merge with and into Merger Sub II, with Merger Sub II surviving as a wholly owned subsidiary of the Borrower (such mergers, together, the “</w:t>
      </w:r>
      <w:r>
        <w:rPr>
          <w:rFonts w:ascii="Arial" w:cs="Arial" w:eastAsia="Arial" w:hAnsi="Arial"/>
          <w:sz w:val="20"/>
          <w:szCs w:val="20"/>
          <w:u w:val="single" w:color="auto"/>
          <w:color w:val="auto"/>
        </w:rPr>
        <w:t>SPAC Merger</w:t>
      </w:r>
      <w:r>
        <w:rPr>
          <w:rFonts w:ascii="Arial" w:cs="Arial" w:eastAsia="Arial" w:hAnsi="Arial"/>
          <w:sz w:val="20"/>
          <w:szCs w:val="20"/>
          <w:color w:val="auto"/>
        </w:rPr>
        <w:t>”); and</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in connection with the consummation of the transaction contemplated by the Transaction Agreement, the Borrower has requested the Lenders and the Issuing Banks extend credit as set forth herein;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Revolving Credit Facility shall be a sustainability investment-linked revolving credit facility on the terms set forth herein;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the Lenders and the Issuing Banks are willing to extend such credit to the Borrower on the terms and subject to the conditions set forth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Accordingly, the parties hereto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r>
        <w:rPr>
          <w:rFonts w:ascii="Arial" w:cs="Arial" w:eastAsia="Arial" w:hAnsi="Arial"/>
          <w:sz w:val="20"/>
          <w:szCs w:val="20"/>
          <w:i w:val="1"/>
          <w:i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Definitions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specified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shall mean, for any day, a rate per annum equal to the greatest of (a) the Prime Rate in effect on such day, (b) the NYFRB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½ of 1% and (c) the Adjusted Term SOFR Rate for a one month Interest Period as published by two U.S. Government Securities Business Days prior to such day (or if such day is not a Business Day, the immediately preceding Business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45" w:name="page146"/>
    <w:bookmarkEnd w:id="145"/>
    <w:p>
      <w:pPr>
        <w:spacing w:after="0" w:line="309" w:lineRule="auto"/>
        <w:rPr>
          <w:sz w:val="20"/>
          <w:szCs w:val="20"/>
          <w:color w:val="auto"/>
        </w:rPr>
      </w:pPr>
      <w:r>
        <w:rPr>
          <w:rFonts w:ascii="Arial" w:cs="Arial" w:eastAsia="Arial" w:hAnsi="Arial"/>
          <w:sz w:val="16"/>
          <w:szCs w:val="16"/>
          <w:color w:val="auto"/>
        </w:rPr>
        <w:t xml:space="preserve">ABR is being used as an alternate rate of interest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(for the avoidance of doubt, only until the Benchmark Replacement has been determined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then the ABR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w:t>
      </w:r>
    </w:p>
    <w:p>
      <w:pPr>
        <w:spacing w:after="0" w:line="1" w:lineRule="exact"/>
        <w:rPr>
          <w:sz w:val="20"/>
          <w:szCs w:val="20"/>
          <w:color w:val="auto"/>
        </w:rPr>
      </w:pPr>
    </w:p>
    <w:p>
      <w:pPr>
        <w:jc w:val="both"/>
        <w:ind w:firstLine="8"/>
        <w:spacing w:after="0" w:line="241" w:lineRule="auto"/>
        <w:tabs>
          <w:tab w:leader="none" w:pos="316" w:val="left"/>
        </w:tabs>
        <w:numPr>
          <w:ilvl w:val="0"/>
          <w:numId w:val="92"/>
        </w:numPr>
        <w:rPr>
          <w:rFonts w:ascii="Arial" w:cs="Arial" w:eastAsia="Arial" w:hAnsi="Arial"/>
          <w:sz w:val="20"/>
          <w:szCs w:val="20"/>
          <w:u w:val="single" w:color="auto"/>
          <w:color w:val="auto"/>
        </w:rPr>
      </w:pPr>
      <w:r>
        <w:rPr>
          <w:rFonts w:ascii="Arial" w:cs="Arial" w:eastAsia="Arial" w:hAnsi="Arial"/>
          <w:sz w:val="20"/>
          <w:szCs w:val="20"/>
          <w:color w:val="auto"/>
        </w:rPr>
        <w:t xml:space="preserve">above and shall be determined without reference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 For the avoidance of doubt, if the ABR as determined pursuant to the foregoing would be less than zero, such rate shall be deemed to be zero for purposes of this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Borrowing</w:t>
      </w:r>
      <w:r>
        <w:rPr>
          <w:rFonts w:ascii="Arial" w:cs="Arial" w:eastAsia="Arial" w:hAnsi="Arial"/>
          <w:sz w:val="20"/>
          <w:szCs w:val="20"/>
          <w:color w:val="auto"/>
        </w:rPr>
        <w:t>” shall mean a Borrowing comprised of ABR Loans.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w:t>
      </w:r>
      <w:r>
        <w:rPr>
          <w:rFonts w:ascii="Arial" w:cs="Arial" w:eastAsia="Arial" w:hAnsi="Arial"/>
          <w:sz w:val="20"/>
          <w:szCs w:val="20"/>
          <w:color w:val="auto"/>
        </w:rPr>
        <w:t>” shall mean any ABR Term Loan or ABR Revolving Loan.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Revolving Facility Borrowing</w:t>
      </w:r>
      <w:r>
        <w:rPr>
          <w:rFonts w:ascii="Arial" w:cs="Arial" w:eastAsia="Arial" w:hAnsi="Arial"/>
          <w:sz w:val="20"/>
          <w:szCs w:val="20"/>
          <w:color w:val="auto"/>
        </w:rPr>
        <w:t>” shall mean a Borrowing comprised of ABR Revolving Loans.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Revolving Loan</w:t>
      </w:r>
      <w:r>
        <w:rPr>
          <w:rFonts w:ascii="Arial" w:cs="Arial" w:eastAsia="Arial" w:hAnsi="Arial"/>
          <w:sz w:val="20"/>
          <w:szCs w:val="20"/>
          <w:color w:val="auto"/>
        </w:rPr>
        <w:t xml:space="preserve">” shall mean any Revolving Facility Loan bearing interest at a rate determined by reference to the ABR in accordance with the provisions of </w:t>
      </w:r>
      <w:r>
        <w:rPr>
          <w:rFonts w:ascii="Arial" w:cs="Arial" w:eastAsia="Arial" w:hAnsi="Arial"/>
          <w:sz w:val="20"/>
          <w:szCs w:val="20"/>
          <w:u w:val="single" w:color="auto"/>
          <w:color w:val="auto"/>
        </w:rPr>
        <w:t>Article 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Term Loan</w:t>
      </w:r>
      <w:r>
        <w:rPr>
          <w:rFonts w:ascii="Arial" w:cs="Arial" w:eastAsia="Arial" w:hAnsi="Arial"/>
          <w:sz w:val="20"/>
          <w:szCs w:val="20"/>
          <w:color w:val="auto"/>
        </w:rPr>
        <w:t xml:space="preserve">” shall mean any Term Loan bearing interest at a rate determined by reference to the ABR in accordance with the provisions of </w:t>
      </w:r>
      <w:r>
        <w:rPr>
          <w:rFonts w:ascii="Arial" w:cs="Arial" w:eastAsia="Arial" w:hAnsi="Arial"/>
          <w:sz w:val="20"/>
          <w:szCs w:val="20"/>
          <w:u w:val="single" w:color="auto"/>
          <w:color w:val="auto"/>
        </w:rPr>
        <w:t>Article 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shall have the meaning assigned to such term in Article 9 of the Uniform Commercial Code, including all rights to payment for goods sold or leased, or for services rendered.</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shall mean, with respect to any Pro Forma Entity for any period, the amount for such period of Adjusted Consolidated EBITDA of such Pro Forma Entity (determined as if references to the Borrower and the Subsidiaries in the definition of the term “Adjusted Consolidated EBITDA” were references to such Pro Forma Entity and its Subsidiaries which will become Subsidiaries), all as determined on a consolidated basis for such Pro Forma Entity.</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Entity or Business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the definition of the term “Adjusted Consolidated EBITDA.”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EBITDA</w:t>
      </w:r>
      <w:r>
        <w:rPr>
          <w:rFonts w:ascii="Arial" w:cs="Arial" w:eastAsia="Arial" w:hAnsi="Arial"/>
          <w:sz w:val="18"/>
          <w:szCs w:val="18"/>
          <w:color w:val="auto"/>
        </w:rPr>
        <w:t xml:space="preserve">” shall mean, for any period, the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239" w:lineRule="exact"/>
        <w:rPr>
          <w:sz w:val="20"/>
          <w:szCs w:val="20"/>
          <w:color w:val="auto"/>
        </w:rPr>
      </w:pPr>
    </w:p>
    <w:p>
      <w:pPr>
        <w:ind w:left="660" w:firstLine="644"/>
        <w:spacing w:after="0" w:line="260" w:lineRule="auto"/>
        <w:tabs>
          <w:tab w:leader="none" w:pos="1629" w:val="left"/>
        </w:tabs>
        <w:numPr>
          <w:ilvl w:val="0"/>
          <w:numId w:val="93"/>
        </w:numPr>
        <w:rPr>
          <w:rFonts w:ascii="Arial" w:cs="Arial" w:eastAsia="Arial" w:hAnsi="Arial"/>
          <w:sz w:val="20"/>
          <w:szCs w:val="20"/>
          <w:color w:val="auto"/>
        </w:rPr>
      </w:pPr>
      <w:r>
        <w:rPr>
          <w:rFonts w:ascii="Arial" w:cs="Arial" w:eastAsia="Arial" w:hAnsi="Arial"/>
          <w:sz w:val="20"/>
          <w:szCs w:val="20"/>
          <w:color w:val="auto"/>
        </w:rPr>
        <w:t>without duplication and to the extent already deducted (and not added back) in arriving at such Consolidated Net Income, the sum of the following amounts for such period:</w:t>
      </w:r>
    </w:p>
    <w:p>
      <w:pPr>
        <w:spacing w:after="0" w:line="176" w:lineRule="exact"/>
        <w:rPr>
          <w:rFonts w:ascii="Arial" w:cs="Arial" w:eastAsia="Arial" w:hAnsi="Arial"/>
          <w:sz w:val="20"/>
          <w:szCs w:val="20"/>
          <w:color w:val="auto"/>
        </w:rPr>
      </w:pPr>
    </w:p>
    <w:p>
      <w:pPr>
        <w:jc w:val="both"/>
        <w:ind w:left="1300" w:firstLine="652"/>
        <w:spacing w:after="0" w:line="278" w:lineRule="auto"/>
        <w:tabs>
          <w:tab w:leader="none" w:pos="2596"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total interest expense and, to the extent not reflected in such total interest expense, any losses on hedging obligations or other derivative instruments entered into for the purpose of hedging interest rate risk, net of interest income and gains on such hedging obligations or such derivative instruments, and bank and letter of credit fees and costs of surety bonds in connection with financing activities, together with items excluded from the definition of “Consolidated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6" w:name="page147"/>
    <w:bookmarkEnd w:id="146"/>
    <w:p>
      <w:pPr>
        <w:jc w:val="both"/>
        <w:ind w:left="840" w:firstLine="652"/>
        <w:spacing w:after="0" w:line="260" w:lineRule="auto"/>
        <w:tabs>
          <w:tab w:leader="none" w:pos="213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provision for Taxes based on income, profits, revenue or capital, including federal, foreign, state, local and provincial income, franchise, excise, value-added and similar Taxes and foreign withholding Taxes paid or accrued during such period (including in respect of repatriated funds) including penalties and interest related to such Taxes or arising from any Tax examinations and (without duplication) any payments to a Parent Entity pursuant to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in respect of Taxes,</w:t>
      </w:r>
    </w:p>
    <w:p>
      <w:pPr>
        <w:spacing w:after="0" w:line="180" w:lineRule="exact"/>
        <w:rPr>
          <w:rFonts w:ascii="Arial" w:cs="Arial" w:eastAsia="Arial" w:hAnsi="Arial"/>
          <w:sz w:val="19"/>
          <w:szCs w:val="19"/>
          <w:color w:val="auto"/>
        </w:rPr>
      </w:pPr>
    </w:p>
    <w:p>
      <w:pPr>
        <w:jc w:val="both"/>
        <w:ind w:left="840" w:right="20" w:firstLine="1300"/>
        <w:spacing w:after="0" w:line="250" w:lineRule="auto"/>
        <w:tabs>
          <w:tab w:leader="none" w:pos="2784" w:val="left"/>
        </w:tabs>
        <w:numPr>
          <w:ilvl w:val="1"/>
          <w:numId w:val="94"/>
        </w:numPr>
        <w:rPr>
          <w:rFonts w:ascii="Arial" w:cs="Arial" w:eastAsia="Arial" w:hAnsi="Arial"/>
          <w:sz w:val="20"/>
          <w:szCs w:val="20"/>
          <w:color w:val="auto"/>
        </w:rPr>
      </w:pPr>
      <w:r>
        <w:rPr>
          <w:rFonts w:ascii="Arial" w:cs="Arial" w:eastAsia="Arial" w:hAnsi="Arial"/>
          <w:sz w:val="20"/>
          <w:szCs w:val="20"/>
          <w:color w:val="auto"/>
        </w:rPr>
        <w:t>depreciation and amortization (including amortization of Capitalized Software Expenditures, internal labor costs and amortization of deferred financing fees and accelerated and other deferred financing costs, OID or other costs),</w:t>
      </w:r>
    </w:p>
    <w:p>
      <w:pPr>
        <w:spacing w:after="0" w:line="185" w:lineRule="exact"/>
        <w:rPr>
          <w:rFonts w:ascii="Arial" w:cs="Arial" w:eastAsia="Arial" w:hAnsi="Arial"/>
          <w:sz w:val="20"/>
          <w:szCs w:val="20"/>
          <w:color w:val="auto"/>
        </w:rPr>
      </w:pPr>
    </w:p>
    <w:p>
      <w:pPr>
        <w:jc w:val="both"/>
        <w:ind w:left="840" w:firstLine="1300"/>
        <w:spacing w:after="0" w:line="276" w:lineRule="auto"/>
        <w:tabs>
          <w:tab w:leader="none" w:pos="2784" w:val="left"/>
        </w:tabs>
        <w:numPr>
          <w:ilvl w:val="1"/>
          <w:numId w:val="94"/>
        </w:numPr>
        <w:rPr>
          <w:rFonts w:ascii="Arial" w:cs="Arial" w:eastAsia="Arial" w:hAnsi="Arial"/>
          <w:sz w:val="18"/>
          <w:szCs w:val="18"/>
          <w:color w:val="auto"/>
        </w:rPr>
      </w:pPr>
      <w:r>
        <w:rPr>
          <w:rFonts w:ascii="Arial" w:cs="Arial" w:eastAsia="Arial" w:hAnsi="Arial"/>
          <w:sz w:val="18"/>
          <w:szCs w:val="18"/>
          <w:color w:val="auto"/>
        </w:rPr>
        <w:t>other non-cash charges (other than any accrual in respect of bonuses)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charges represent an accrual or reserve for potential cash items in any future period, (A) the Borrower may elect not to add back such non-cash charges in the current period and (B) to the extent the Borrower elects to add back such non-cash charges in the current period, the cash payment in respect thereof in such future period shall be subtracted from Adjusted Consolidated EBITDA to such extent, and excluding amortization of a prepaid cash item that was paid in a prior period),</w:t>
      </w:r>
    </w:p>
    <w:p>
      <w:pPr>
        <w:spacing w:after="0" w:line="165" w:lineRule="exact"/>
        <w:rPr>
          <w:sz w:val="20"/>
          <w:szCs w:val="20"/>
          <w:color w:val="auto"/>
        </w:rPr>
      </w:pPr>
    </w:p>
    <w:p>
      <w:pPr>
        <w:jc w:val="both"/>
        <w:ind w:left="840" w:firstLine="652"/>
        <w:spacing w:after="0" w:line="291" w:lineRule="auto"/>
        <w:tabs>
          <w:tab w:leader="none" w:pos="2136"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amount of any non-controlling interest consisting of income attributable to non-controlling interests of third parties in any non-wholly owned subsidiary deducted (and not added back in such period to Consolidated Net Income) except to the extent of any cash distributions in respect thereof,</w:t>
      </w:r>
    </w:p>
    <w:p>
      <w:pPr>
        <w:spacing w:after="0" w:line="151" w:lineRule="exact"/>
        <w:rPr>
          <w:rFonts w:ascii="Arial" w:cs="Arial" w:eastAsia="Arial" w:hAnsi="Arial"/>
          <w:sz w:val="18"/>
          <w:szCs w:val="18"/>
          <w:color w:val="auto"/>
        </w:rPr>
      </w:pPr>
    </w:p>
    <w:p>
      <w:pPr>
        <w:jc w:val="both"/>
        <w:ind w:left="840" w:firstLine="1300"/>
        <w:spacing w:after="0" w:line="267" w:lineRule="auto"/>
        <w:tabs>
          <w:tab w:leader="none" w:pos="2784" w:val="left"/>
        </w:tabs>
        <w:numPr>
          <w:ilvl w:val="2"/>
          <w:numId w:val="95"/>
        </w:numPr>
        <w:rPr>
          <w:rFonts w:ascii="Arial" w:cs="Arial" w:eastAsia="Arial" w:hAnsi="Arial"/>
          <w:sz w:val="18"/>
          <w:szCs w:val="18"/>
          <w:color w:val="auto"/>
        </w:rPr>
      </w:pPr>
      <w:r>
        <w:rPr>
          <w:rFonts w:ascii="Arial" w:cs="Arial" w:eastAsia="Arial" w:hAnsi="Arial"/>
          <w:sz w:val="18"/>
          <w:szCs w:val="18"/>
          <w:color w:val="auto"/>
        </w:rPr>
        <w:t>(A) the amount of consulting, advisory, or other fees, indemnities or expenses paid pursuant to the Management Services Agreement, (B) the amount of monitoring, consulting and advisory fees, indemnities and related expenses paid or accrued in such period to (or on behalf of) any holder of Equity Interests of any Parent Entity (including any termination fees payable in connection with the early termination of management and monitoring agreements), (C) the amount of payments made to option, phantom equity or profits interest holders of any Parent Entity in connection with, or as a result of, any distribution being made to shareholders of such person or its direct or indirect parent companies, which payments are being made to compensate such option, phantom equity or profits interest holders as though they were shareholders at the time of, and entitled to share in, such distribution, including any cash consideration for any repurchase of equity, in each case to the extent permitted in the Loan Documents and</w:t>
      </w:r>
    </w:p>
    <w:p>
      <w:pPr>
        <w:spacing w:after="0" w:line="8" w:lineRule="exact"/>
        <w:rPr>
          <w:rFonts w:ascii="Arial" w:cs="Arial" w:eastAsia="Arial" w:hAnsi="Arial"/>
          <w:sz w:val="18"/>
          <w:szCs w:val="18"/>
          <w:color w:val="auto"/>
        </w:rPr>
      </w:pPr>
    </w:p>
    <w:p>
      <w:pPr>
        <w:jc w:val="both"/>
        <w:ind w:left="840" w:firstLine="4"/>
        <w:spacing w:after="0" w:line="241" w:lineRule="auto"/>
        <w:tabs>
          <w:tab w:leader="none" w:pos="1197"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the amount of fees, expenses and indemnities paid or accrued to directors, including of any Parent Entity, in the case of the foregoing </w:t>
      </w:r>
      <w:r>
        <w:rPr>
          <w:rFonts w:ascii="Arial" w:cs="Arial" w:eastAsia="Arial" w:hAnsi="Arial"/>
          <w:sz w:val="20"/>
          <w:szCs w:val="20"/>
          <w:u w:val="single" w:color="auto"/>
          <w:color w:val="auto"/>
        </w:rPr>
        <w:t>clauses (B) – (D)</w:t>
      </w:r>
      <w:r>
        <w:rPr>
          <w:rFonts w:ascii="Arial" w:cs="Arial" w:eastAsia="Arial" w:hAnsi="Arial"/>
          <w:sz w:val="20"/>
          <w:szCs w:val="20"/>
          <w:color w:val="auto"/>
        </w:rPr>
        <w:t>, attributable to such Parent Entities’ ownership of the Borrower,</w:t>
      </w:r>
    </w:p>
    <w:p>
      <w:pPr>
        <w:spacing w:after="0" w:line="195" w:lineRule="exact"/>
        <w:rPr>
          <w:rFonts w:ascii="Arial" w:cs="Arial" w:eastAsia="Arial" w:hAnsi="Arial"/>
          <w:sz w:val="20"/>
          <w:szCs w:val="20"/>
          <w:color w:val="auto"/>
        </w:rPr>
      </w:pPr>
    </w:p>
    <w:p>
      <w:pPr>
        <w:ind w:left="840" w:firstLine="1300"/>
        <w:spacing w:after="0" w:line="260" w:lineRule="auto"/>
        <w:tabs>
          <w:tab w:leader="none" w:pos="2783" w:val="left"/>
        </w:tabs>
        <w:numPr>
          <w:ilvl w:val="2"/>
          <w:numId w:val="96"/>
        </w:numPr>
        <w:rPr>
          <w:rFonts w:ascii="Arial" w:cs="Arial" w:eastAsia="Arial" w:hAnsi="Arial"/>
          <w:sz w:val="20"/>
          <w:szCs w:val="20"/>
          <w:color w:val="auto"/>
        </w:rPr>
      </w:pPr>
      <w:r>
        <w:rPr>
          <w:rFonts w:ascii="Arial" w:cs="Arial" w:eastAsia="Arial" w:hAnsi="Arial"/>
          <w:sz w:val="20"/>
          <w:szCs w:val="20"/>
          <w:color w:val="auto"/>
        </w:rPr>
        <w:t>losses or discounts on sales of receivables and related assets in connection with any Qualified Receivables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47" w:name="page148"/>
    <w:bookmarkEnd w:id="147"/>
    <w:p>
      <w:pPr>
        <w:jc w:val="both"/>
        <w:ind w:left="840" w:firstLine="1300"/>
        <w:spacing w:after="0" w:line="263" w:lineRule="auto"/>
        <w:tabs>
          <w:tab w:leader="none" w:pos="2784"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cash receipts (or any netting arrangements resulting in reduced cash expenditures) not included in the calculation of Consolidated Net Income in any period to the extent non-cash gains relating to such income were deducted in the calculation of Adjusted Consolidated EBITDA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below for any previous period and not added back,</w:t>
      </w:r>
    </w:p>
    <w:p>
      <w:pPr>
        <w:spacing w:after="0" w:line="176" w:lineRule="exact"/>
        <w:rPr>
          <w:rFonts w:ascii="Arial" w:cs="Arial" w:eastAsia="Arial" w:hAnsi="Arial"/>
          <w:sz w:val="19"/>
          <w:szCs w:val="19"/>
          <w:color w:val="auto"/>
        </w:rPr>
      </w:pPr>
    </w:p>
    <w:p>
      <w:pPr>
        <w:jc w:val="both"/>
        <w:ind w:left="840" w:firstLine="1300"/>
        <w:spacing w:after="0" w:line="243" w:lineRule="auto"/>
        <w:tabs>
          <w:tab w:leader="none" w:pos="2784" w:val="left"/>
        </w:tabs>
        <w:numPr>
          <w:ilvl w:val="1"/>
          <w:numId w:val="97"/>
        </w:numPr>
        <w:rPr>
          <w:rFonts w:ascii="Arial" w:cs="Arial" w:eastAsia="Arial" w:hAnsi="Arial"/>
          <w:sz w:val="20"/>
          <w:szCs w:val="20"/>
          <w:color w:val="auto"/>
        </w:rPr>
      </w:pPr>
      <w:r>
        <w:rPr>
          <w:rFonts w:ascii="Arial" w:cs="Arial" w:eastAsia="Arial" w:hAnsi="Arial"/>
          <w:sz w:val="20"/>
          <w:szCs w:val="20"/>
          <w:color w:val="auto"/>
        </w:rPr>
        <w:t>any costs or expenses incurred by the Borrower or any Subsidiary pursuant to any management equity plan or stock option or phantom equity plan or any other management or employee benefit plan or agreement, any severance agreement or any stock subscription or shareholder agreement, to the extent that such costs or expenses are non-cash or otherwise funded with cash proceeds contributed to the capital of the Borrower or Net Proceeds of an issuance of Equity Interests of the Borrower (other than Disqualified Stock),</w:t>
      </w:r>
    </w:p>
    <w:p>
      <w:pPr>
        <w:spacing w:after="0" w:line="195" w:lineRule="exact"/>
        <w:rPr>
          <w:rFonts w:ascii="Arial" w:cs="Arial" w:eastAsia="Arial" w:hAnsi="Arial"/>
          <w:sz w:val="20"/>
          <w:szCs w:val="20"/>
          <w:color w:val="auto"/>
        </w:rPr>
      </w:pPr>
    </w:p>
    <w:p>
      <w:pPr>
        <w:jc w:val="both"/>
        <w:ind w:left="840" w:firstLine="1300"/>
        <w:spacing w:after="0" w:line="282" w:lineRule="auto"/>
        <w:tabs>
          <w:tab w:leader="none" w:pos="278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161" w:lineRule="exact"/>
        <w:rPr>
          <w:rFonts w:ascii="Arial" w:cs="Arial" w:eastAsia="Arial" w:hAnsi="Arial"/>
          <w:sz w:val="18"/>
          <w:szCs w:val="18"/>
          <w:color w:val="auto"/>
        </w:rPr>
      </w:pPr>
    </w:p>
    <w:p>
      <w:pPr>
        <w:ind w:left="840" w:firstLine="1300"/>
        <w:spacing w:after="0" w:line="287" w:lineRule="auto"/>
        <w:tabs>
          <w:tab w:leader="none" w:pos="2784" w:val="left"/>
        </w:tabs>
        <w:numPr>
          <w:ilvl w:val="1"/>
          <w:numId w:val="97"/>
        </w:numPr>
        <w:rPr>
          <w:rFonts w:ascii="Arial" w:cs="Arial" w:eastAsia="Arial" w:hAnsi="Arial"/>
          <w:sz w:val="19"/>
          <w:szCs w:val="19"/>
          <w:color w:val="auto"/>
        </w:rPr>
      </w:pPr>
      <w:r>
        <w:rPr>
          <w:rFonts w:ascii="Arial" w:cs="Arial" w:eastAsia="Arial" w:hAnsi="Arial"/>
          <w:sz w:val="19"/>
          <w:szCs w:val="19"/>
          <w:color w:val="auto"/>
        </w:rPr>
        <w:t>any unusual or non-recurring operating expenses directly attributable to the implementation of cost savings initiatives and any accruals or reserves in respect of any expenses,</w:t>
      </w:r>
    </w:p>
    <w:p>
      <w:pPr>
        <w:spacing w:after="0" w:line="152" w:lineRule="exact"/>
        <w:rPr>
          <w:rFonts w:ascii="Arial" w:cs="Arial" w:eastAsia="Arial" w:hAnsi="Arial"/>
          <w:sz w:val="19"/>
          <w:szCs w:val="19"/>
          <w:color w:val="auto"/>
        </w:rPr>
      </w:pPr>
    </w:p>
    <w:p>
      <w:pPr>
        <w:jc w:val="both"/>
        <w:ind w:left="840" w:firstLine="1300"/>
        <w:spacing w:after="0" w:line="256" w:lineRule="auto"/>
        <w:tabs>
          <w:tab w:leader="none" w:pos="2783" w:val="left"/>
        </w:tabs>
        <w:numPr>
          <w:ilvl w:val="1"/>
          <w:numId w:val="97"/>
        </w:numPr>
        <w:rPr>
          <w:rFonts w:ascii="Arial" w:cs="Arial" w:eastAsia="Arial" w:hAnsi="Arial"/>
          <w:sz w:val="19"/>
          <w:szCs w:val="19"/>
          <w:color w:val="auto"/>
        </w:rPr>
      </w:pPr>
      <w:r>
        <w:rPr>
          <w:rFonts w:ascii="Arial" w:cs="Arial" w:eastAsia="Arial" w:hAnsi="Arial"/>
          <w:sz w:val="19"/>
          <w:szCs w:val="19"/>
          <w:color w:val="auto"/>
        </w:rPr>
        <w:t>severance, relocation costs, integration and facilities’ or offices’ opening costs, start-up costs and other business optimization expenses (including related to new product introductions and other strategic or cost saving initiatives) and any costs or expenses related or attributable to the commencement of a New Project and including any related employee hiring or retention costs, restructuring charges, accruals or reserves (including restructuring and integration costs and outstanding payments pursuant to employment agreements related to acquisitions consummated prior to or after the Closing Date and adjustments to existing reserves), whether or not classified as restructuring expense on the consolidated financial statements, signing costs, retention or completion bonuses and other executive recruiting and retention costs,</w:t>
      </w:r>
    </w:p>
    <w:p>
      <w:pPr>
        <w:spacing w:after="0" w:line="184" w:lineRule="exact"/>
        <w:rPr>
          <w:rFonts w:ascii="Arial" w:cs="Arial" w:eastAsia="Arial" w:hAnsi="Arial"/>
          <w:sz w:val="19"/>
          <w:szCs w:val="19"/>
          <w:color w:val="auto"/>
        </w:rPr>
      </w:pPr>
    </w:p>
    <w:p>
      <w:pPr>
        <w:jc w:val="both"/>
        <w:ind w:left="840" w:firstLine="652"/>
        <w:spacing w:after="0" w:line="246" w:lineRule="auto"/>
        <w:tabs>
          <w:tab w:leader="none" w:pos="2136" w:val="left"/>
        </w:tabs>
        <w:numPr>
          <w:ilvl w:val="0"/>
          <w:numId w:val="98"/>
        </w:numPr>
        <w:rPr>
          <w:rFonts w:ascii="Arial" w:cs="Arial" w:eastAsia="Arial" w:hAnsi="Arial"/>
          <w:sz w:val="20"/>
          <w:szCs w:val="20"/>
          <w:color w:val="auto"/>
        </w:rPr>
      </w:pPr>
      <w:r>
        <w:rPr>
          <w:rFonts w:ascii="Arial" w:cs="Arial" w:eastAsia="Arial" w:hAnsi="Arial"/>
          <w:sz w:val="20"/>
          <w:szCs w:val="20"/>
          <w:color w:val="auto"/>
        </w:rPr>
        <w:t>transition costs, costs related to closure/consolidation of facilities or offices, internal costs in respect of strategic initiatives and curtailments or modifications to pension and post-retirement employee benefit plans (including any settlement of pension liabilities and charges resulting from changes in estimates, valuations and judgments thereof),</w:t>
      </w:r>
    </w:p>
    <w:p>
      <w:pPr>
        <w:spacing w:after="0" w:line="191" w:lineRule="exact"/>
        <w:rPr>
          <w:rFonts w:ascii="Arial" w:cs="Arial" w:eastAsia="Arial" w:hAnsi="Arial"/>
          <w:sz w:val="20"/>
          <w:szCs w:val="20"/>
          <w:color w:val="auto"/>
        </w:rPr>
      </w:pPr>
    </w:p>
    <w:p>
      <w:pPr>
        <w:ind w:left="840" w:firstLine="652"/>
        <w:spacing w:after="0" w:line="260" w:lineRule="auto"/>
        <w:tabs>
          <w:tab w:leader="none" w:pos="2136"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expenses reimbursed in cash during such period by non-Affiliate third parties (other than the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48" w:name="page149"/>
    <w:bookmarkEnd w:id="148"/>
    <w:p>
      <w:pPr>
        <w:jc w:val="both"/>
        <w:ind w:left="840" w:firstLine="652"/>
        <w:spacing w:after="0" w:line="243" w:lineRule="auto"/>
        <w:tabs>
          <w:tab w:leader="none" w:pos="2135"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(x) Public Company Costs;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amounts pursuant to this </w:t>
      </w:r>
      <w:r>
        <w:rPr>
          <w:rFonts w:ascii="Arial" w:cs="Arial" w:eastAsia="Arial" w:hAnsi="Arial"/>
          <w:sz w:val="20"/>
          <w:szCs w:val="20"/>
          <w:u w:val="single" w:color="auto"/>
          <w:color w:val="auto"/>
        </w:rPr>
        <w:t>clause (x)</w:t>
      </w:r>
      <w:r>
        <w:rPr>
          <w:rFonts w:ascii="Arial" w:cs="Arial" w:eastAsia="Arial" w:hAnsi="Arial"/>
          <w:sz w:val="20"/>
          <w:szCs w:val="20"/>
          <w:color w:val="auto"/>
        </w:rPr>
        <w:t xml:space="preserve"> shall not exceed $2,500,000 for any relevant Test Period, and (y) related expenses and charges incurred in connection with litigation (including threatened litigation), any investigation or proceeding (or any threatened investigation or proceeding) by a regulatory, governmental or law enforcement body (including any attorney general);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amounts pursuant to this </w:t>
      </w:r>
      <w:r>
        <w:rPr>
          <w:rFonts w:ascii="Arial" w:cs="Arial" w:eastAsia="Arial" w:hAnsi="Arial"/>
          <w:sz w:val="20"/>
          <w:szCs w:val="20"/>
          <w:u w:val="single" w:color="auto"/>
          <w:color w:val="auto"/>
        </w:rPr>
        <w:t>clause (y)</w:t>
      </w:r>
      <w:r>
        <w:rPr>
          <w:rFonts w:ascii="Arial" w:cs="Arial" w:eastAsia="Arial" w:hAnsi="Arial"/>
          <w:sz w:val="20"/>
          <w:szCs w:val="20"/>
          <w:color w:val="auto"/>
        </w:rPr>
        <w:t xml:space="preserve"> shall not exceed $1,000,000 for any relevant Test Period,</w:t>
      </w:r>
    </w:p>
    <w:p>
      <w:pPr>
        <w:spacing w:after="0" w:line="195" w:lineRule="exact"/>
        <w:rPr>
          <w:rFonts w:ascii="Arial" w:cs="Arial" w:eastAsia="Arial" w:hAnsi="Arial"/>
          <w:sz w:val="20"/>
          <w:szCs w:val="20"/>
          <w:color w:val="auto"/>
        </w:rPr>
      </w:pPr>
    </w:p>
    <w:p>
      <w:pPr>
        <w:jc w:val="both"/>
        <w:ind w:left="840" w:firstLine="652"/>
        <w:spacing w:after="0" w:line="272" w:lineRule="auto"/>
        <w:tabs>
          <w:tab w:leader="none" w:pos="21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costs, fees and expenses (including diligence and integration costs) incurred in connection with (x) investments in any Person,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 (y) other transactions that are out of the ordinary course of business of such Person and its Restricted Subsidiaries (in each case of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including transactions considered or proposed but not consummated), including equity issuances, Investments, acquisitions, dispositions, recapitalizations, mergers, option buyouts and the incurrence, modification or repayment of Indebtedness (including all consent fees, premium and other amounts payable in connection therewith),</w:t>
      </w:r>
    </w:p>
    <w:p>
      <w:pPr>
        <w:spacing w:after="0" w:line="170" w:lineRule="exact"/>
        <w:rPr>
          <w:rFonts w:ascii="Arial" w:cs="Arial" w:eastAsia="Arial" w:hAnsi="Arial"/>
          <w:sz w:val="18"/>
          <w:szCs w:val="18"/>
          <w:color w:val="auto"/>
        </w:rPr>
      </w:pPr>
    </w:p>
    <w:p>
      <w:pPr>
        <w:ind w:left="840" w:firstLine="652"/>
        <w:spacing w:after="0" w:line="287" w:lineRule="auto"/>
        <w:tabs>
          <w:tab w:leader="none" w:pos="2135" w:val="left"/>
        </w:tabs>
        <w:numPr>
          <w:ilvl w:val="0"/>
          <w:numId w:val="99"/>
        </w:numPr>
        <w:rPr>
          <w:rFonts w:ascii="Arial" w:cs="Arial" w:eastAsia="Arial" w:hAnsi="Arial"/>
          <w:sz w:val="19"/>
          <w:szCs w:val="19"/>
          <w:color w:val="auto"/>
        </w:rPr>
      </w:pPr>
      <w:r>
        <w:rPr>
          <w:rFonts w:ascii="Arial" w:cs="Arial" w:eastAsia="Arial" w:hAnsi="Arial"/>
          <w:sz w:val="19"/>
          <w:szCs w:val="19"/>
          <w:color w:val="auto"/>
        </w:rPr>
        <w:t>(A) unrealized or realized foreign exchange losses resulting from the impact of foreign currency changes and (B) losses due to fluctuations in currency values and related Tax effects, and</w:t>
      </w:r>
    </w:p>
    <w:p>
      <w:pPr>
        <w:spacing w:after="0" w:line="152" w:lineRule="exact"/>
        <w:rPr>
          <w:rFonts w:ascii="Arial" w:cs="Arial" w:eastAsia="Arial" w:hAnsi="Arial"/>
          <w:sz w:val="19"/>
          <w:szCs w:val="19"/>
          <w:color w:val="auto"/>
        </w:rPr>
      </w:pPr>
    </w:p>
    <w:p>
      <w:pPr>
        <w:jc w:val="both"/>
        <w:ind w:left="840" w:firstLine="652"/>
        <w:spacing w:after="0" w:line="246" w:lineRule="auto"/>
        <w:tabs>
          <w:tab w:leader="none" w:pos="2136" w:val="left"/>
        </w:tabs>
        <w:numPr>
          <w:ilvl w:val="0"/>
          <w:numId w:val="99"/>
        </w:numPr>
        <w:rPr>
          <w:rFonts w:ascii="Arial" w:cs="Arial" w:eastAsia="Arial" w:hAnsi="Arial"/>
          <w:sz w:val="20"/>
          <w:szCs w:val="20"/>
          <w:color w:val="auto"/>
        </w:rPr>
      </w:pPr>
      <w:r>
        <w:rPr>
          <w:rFonts w:ascii="Arial" w:cs="Arial" w:eastAsia="Arial" w:hAnsi="Arial"/>
          <w:sz w:val="20"/>
          <w:szCs w:val="20"/>
          <w:color w:val="auto"/>
        </w:rPr>
        <w:t>other add backs and adjustments, at the election of the Borrower, reflected in a quality of earnings report provided by a “big four” accounting firm or other nationally recognized accounting firm reasonably acceptable to the Administrative Agent with respect to any Permitted Acquisition or other Investment;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plus</w:t>
      </w:r>
    </w:p>
    <w:p>
      <w:pPr>
        <w:spacing w:after="0" w:line="216" w:lineRule="exact"/>
        <w:rPr>
          <w:sz w:val="20"/>
          <w:szCs w:val="20"/>
          <w:color w:val="auto"/>
        </w:rPr>
      </w:pPr>
    </w:p>
    <w:p>
      <w:pPr>
        <w:jc w:val="both"/>
        <w:ind w:left="200" w:firstLine="644"/>
        <w:spacing w:after="0" w:line="271" w:lineRule="auto"/>
        <w:tabs>
          <w:tab w:leader="none" w:pos="14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without duplication, the amount of “run rate” cost savings, operating expense reductions, cost synergies, related to any Specified Transaction and any transaction in connection therewith, any restructuring, cost saving initiative or other initiative, projected by the Borrower in good faith to be realized as a result of actions that have been taken or initiated or are expected to be taken or initiated (in the good-faith determination of the Borrower) within 12 months after the relevant transaction, including any of the foregoing in connection with, or incurred by or on behalf of, any joint venture of the Borrower or any of the Subsidiaries (whether accounted for on the financial statements of any such joint venture or the Borrower) (collectively, “</w:t>
      </w:r>
      <w:r>
        <w:rPr>
          <w:rFonts w:ascii="Arial" w:cs="Arial" w:eastAsia="Arial" w:hAnsi="Arial"/>
          <w:sz w:val="18"/>
          <w:szCs w:val="18"/>
          <w:u w:val="single" w:color="auto"/>
          <w:color w:val="auto"/>
        </w:rPr>
        <w:t>Projected Savings</w:t>
      </w:r>
      <w:r>
        <w:rPr>
          <w:rFonts w:ascii="Arial" w:cs="Arial" w:eastAsia="Arial" w:hAnsi="Arial"/>
          <w:sz w:val="18"/>
          <w:szCs w:val="18"/>
          <w:color w:val="auto"/>
        </w:rPr>
        <w:t xml:space="preserve">”) (which Projected Savings shall be added to Adjusted Consolidated EBITDA until fully realized and calculated on a Pro Forma Basis as though such Projected Savings had been realized on the first day of the relevant period), net of the amount of actual benefits realized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 such Projected Savings are reasonably quantifiable and factually supportable, (B) no Projected Savings shall be added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49" w:name="page150"/>
    <w:bookmarkEnd w:id="149"/>
    <w:p>
      <w:pPr>
        <w:jc w:val="both"/>
        <w:ind w:left="200"/>
        <w:spacing w:after="0" w:line="255" w:lineRule="auto"/>
        <w:rPr>
          <w:sz w:val="20"/>
          <w:szCs w:val="20"/>
          <w:color w:val="auto"/>
        </w:rPr>
      </w:pP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to the extent duplicative of any expenses or charges relating to such Projected Savings above (it being understood and agreed that “run rate” shall mean the full recurring benefit that is associated with any action taken) and (C) the share of any Projected Savings with respect to a joint venture that are to be allocated to the Borrower or any Subsidiaries shall not exceed the total amount thereof for any such joint venture multiplied by the percentage of income of such venture expected to be included in Adjusted Consolidated EBITDA for the relevant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Projected Savings and any Pro Forma Adjustments included in Adjusted Consolidated EBITDA for the relevant Test Period pursuant to the definition of “Pro Forma Basis” shall not exceed (x) 20% of Adjusted Consolidated EBITDA for any relevant Test Period (calculated after giving effect to such capped adjustments) ending on or prior to the date that is 12 months from the Closing Date and (y) 15% for any relevant Test Period ending thereafter;</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less</w:t>
      </w:r>
    </w:p>
    <w:p>
      <w:pPr>
        <w:spacing w:after="0" w:line="216" w:lineRule="exact"/>
        <w:rPr>
          <w:sz w:val="20"/>
          <w:szCs w:val="20"/>
          <w:color w:val="auto"/>
        </w:rPr>
      </w:pPr>
    </w:p>
    <w:p>
      <w:pPr>
        <w:ind w:left="200" w:firstLine="644"/>
        <w:spacing w:after="0" w:line="260" w:lineRule="auto"/>
        <w:tabs>
          <w:tab w:leader="none" w:pos="149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without duplication and to the extent included in arriving at such Consolidated Net Income, the sum of the following amounts for such period:</w:t>
      </w:r>
    </w:p>
    <w:p>
      <w:pPr>
        <w:spacing w:after="0" w:line="176"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1"/>
          <w:numId w:val="101"/>
        </w:numPr>
        <w:rPr>
          <w:rFonts w:ascii="Arial" w:cs="Arial" w:eastAsia="Arial" w:hAnsi="Arial"/>
          <w:sz w:val="20"/>
          <w:szCs w:val="20"/>
          <w:color w:val="auto"/>
        </w:rPr>
      </w:pPr>
      <w:r>
        <w:rPr>
          <w:rFonts w:ascii="Arial" w:cs="Arial" w:eastAsia="Arial" w:hAnsi="Arial"/>
          <w:sz w:val="20"/>
          <w:szCs w:val="20"/>
          <w:color w:val="auto"/>
        </w:rPr>
        <w:t>non-cash gains (excluding any non-cash gain to the extent it represents the reversal of an accrual or reserve for a potential cash item that reduced Consolidated Net Income or Adjusted Consolidated EBITDA in any prior period),</w:t>
      </w:r>
    </w:p>
    <w:p>
      <w:pPr>
        <w:spacing w:after="0" w:line="185"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amount of any non-controlling interest consisting of loss attributable to non-controlling interests of third parties in any non-wholly-owned subsidiary added (and not deducted in such period from Consolidated Net Income), and</w:t>
      </w:r>
    </w:p>
    <w:p>
      <w:pPr>
        <w:spacing w:after="0" w:line="185" w:lineRule="exact"/>
        <w:rPr>
          <w:rFonts w:ascii="Arial" w:cs="Arial" w:eastAsia="Arial" w:hAnsi="Arial"/>
          <w:sz w:val="20"/>
          <w:szCs w:val="20"/>
          <w:color w:val="auto"/>
        </w:rPr>
      </w:pPr>
    </w:p>
    <w:p>
      <w:pPr>
        <w:ind w:left="840" w:firstLine="652"/>
        <w:spacing w:after="0" w:line="287" w:lineRule="auto"/>
        <w:tabs>
          <w:tab w:leader="none" w:pos="213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 unrealized or realized foreign exchange gains resulting from the impact of foreign currency changes and (B) gains due to fluctuations in currency values and related Tax effects,</w:t>
      </w:r>
    </w:p>
    <w:p>
      <w:pPr>
        <w:spacing w:after="0" w:line="152" w:lineRule="exact"/>
        <w:rPr>
          <w:sz w:val="20"/>
          <w:szCs w:val="20"/>
          <w:color w:val="auto"/>
        </w:rPr>
      </w:pPr>
    </w:p>
    <w:p>
      <w:pPr>
        <w:ind w:left="200" w:right="20" w:firstLine="486"/>
        <w:spacing w:after="0" w:line="260" w:lineRule="auto"/>
        <w:rPr>
          <w:sz w:val="20"/>
          <w:szCs w:val="20"/>
          <w:color w:val="auto"/>
        </w:rPr>
      </w:pPr>
      <w:r>
        <w:rPr>
          <w:rFonts w:ascii="Arial" w:cs="Arial" w:eastAsia="Arial" w:hAnsi="Arial"/>
          <w:sz w:val="20"/>
          <w:szCs w:val="20"/>
          <w:color w:val="auto"/>
        </w:rPr>
        <w:t xml:space="preserve">in each case, as determined on a consolidated basis for the Borrower and the Subsidiaries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177" w:lineRule="exact"/>
        <w:rPr>
          <w:sz w:val="20"/>
          <w:szCs w:val="20"/>
          <w:color w:val="auto"/>
        </w:rPr>
      </w:pPr>
    </w:p>
    <w:p>
      <w:pPr>
        <w:jc w:val="both"/>
        <w:ind w:left="200" w:firstLine="644"/>
        <w:spacing w:after="0" w:line="255" w:lineRule="auto"/>
        <w:tabs>
          <w:tab w:leader="none" w:pos="149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there shall be included in determining Adjusted Consolidated EBITDA for any period, without duplication, the Acquired EBITDA of any person, property, business or asset acquired by the Borrower or any Subsidiary during such period (other than any Unrestricted Subsidiary) whether such acquisition occurred before or after the Closing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Arial" w:cs="Arial" w:eastAsia="Arial" w:hAnsi="Arial"/>
          <w:sz w:val="19"/>
          <w:szCs w:val="19"/>
          <w:u w:val="single" w:color="auto"/>
          <w:color w:val="auto"/>
        </w:rPr>
        <w:t>Acquired Entity or Business</w:t>
      </w:r>
      <w:r>
        <w:rPr>
          <w:rFonts w:ascii="Arial" w:cs="Arial" w:eastAsia="Arial" w:hAnsi="Arial"/>
          <w:sz w:val="19"/>
          <w:szCs w:val="19"/>
          <w:color w:val="auto"/>
        </w:rPr>
        <w:t>”), and the Acquired EBITDA of any Unrestricted Subsidiary that is converted into a Restricted Subsidiary during such period (each, a “</w:t>
      </w:r>
      <w:r>
        <w:rPr>
          <w:rFonts w:ascii="Arial" w:cs="Arial" w:eastAsia="Arial" w:hAnsi="Arial"/>
          <w:sz w:val="19"/>
          <w:szCs w:val="19"/>
          <w:u w:val="single" w:color="auto"/>
          <w:color w:val="auto"/>
        </w:rPr>
        <w:t>Converted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Restricted Subsidiary</w:t>
      </w:r>
      <w:r>
        <w:rPr>
          <w:rFonts w:ascii="Arial" w:cs="Arial" w:eastAsia="Arial" w:hAnsi="Arial"/>
          <w:sz w:val="19"/>
          <w:szCs w:val="19"/>
          <w:color w:val="auto"/>
        </w:rPr>
        <w:t>”), in each case based on the Acquired EBITDA of such Pro Forma Entity for such period (including the portion thereof occurring prior to such acquisition or conversion) determined on a historical Pro Forma Basis,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0" w:name="page151"/>
    <w:bookmarkEnd w:id="150"/>
    <w:p>
      <w:pPr>
        <w:jc w:val="both"/>
        <w:ind w:left="660" w:firstLine="644"/>
        <w:spacing w:after="0" w:line="271" w:lineRule="auto"/>
        <w:tabs>
          <w:tab w:leader="none" w:pos="195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there shall be excluded in determining Adjusted Consolidated EBITDA for any period the Disposed EBITDA of any person, property, business or asset (other than any Unrestricted Subsidiary) sold, transferred or otherwise disposed of, closed or classified as discontinued operations by the Borrower or any Subsidiary during such period (but if such operations are classified as discontinued due to the fact that they are subject to an agreement to dispose of, abandon, transfer, close or discontinue such operations, at the Borrower’s election only when and to the extent such operations are actually disposed of) (each such person, property, business or asset so sold, transferred or otherwise disposed of, closed or classified, a “</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and the Disposed EBITDA of any Subsidiary that is converted into an Unrestricted Subsidiary during such period (each, a “</w:t>
      </w:r>
      <w:r>
        <w:rPr>
          <w:rFonts w:ascii="Arial" w:cs="Arial" w:eastAsia="Arial" w:hAnsi="Arial"/>
          <w:sz w:val="18"/>
          <w:szCs w:val="18"/>
          <w:u w:val="single" w:color="auto"/>
          <w:color w:val="auto"/>
        </w:rPr>
        <w:t>Converted Unrestricted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Notwithstanding anything contained in this definition to the contrary, Adjusted Consolidated EBITDA of the Borrower and its Subsidiaries shall be deemed to be: (a) $11,462,000 for the fiscal quarter ended September 30, 2021, (b) $11,544,000 for the fiscal quarter ended December 31, 2021, (c) $10,420,000 for the fiscal quarter ended March 31, 2022 and (d) $12,471,000 for the fiscal quarter ended June 30, 2022, in each case, as adjusted on a Pro Forma Basis.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Term SOFR Rate</w:t>
      </w:r>
      <w:r>
        <w:rPr>
          <w:rFonts w:ascii="Arial" w:cs="Arial" w:eastAsia="Arial" w:hAnsi="Arial"/>
          <w:sz w:val="20"/>
          <w:szCs w:val="20"/>
          <w:color w:val="auto"/>
        </w:rPr>
        <w:t xml:space="preserve">” shall mean, with respect to any Term Benchmark Borrowing for any Interest Period, an interest rate per annum equal to (a) the Term SOFR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(b)(x) in the case of an Interest Period that is one month in duration, 0.10%, (y) in the case of an Interest Period that is three months in duration, 0.15% and (z) in the case of an Interest Period that is six months in duration, 0.25%.</w:t>
      </w:r>
    </w:p>
    <w:p>
      <w:pPr>
        <w:spacing w:after="0" w:line="191" w:lineRule="exact"/>
        <w:rPr>
          <w:sz w:val="20"/>
          <w:szCs w:val="20"/>
          <w:color w:val="auto"/>
        </w:rPr>
      </w:pPr>
    </w:p>
    <w:p>
      <w:pPr>
        <w:jc w:val="both"/>
        <w:ind w:right="20" w:firstLine="73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shall have the meaning assigned to such term in the introductory paragraph of this Agreement, together with its permitted successors and assigns.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 Fees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2.12(c)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shall mean an administrative questionnaire in the form supplied by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shall mean (a) any EEA Financial Institution or (b) any UK Financial Institution.</w:t>
      </w:r>
    </w:p>
    <w:p>
      <w:pPr>
        <w:spacing w:after="0" w:line="22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 Transaction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Debt Fund</w:t>
      </w:r>
      <w:r>
        <w:rPr>
          <w:rFonts w:ascii="Arial" w:cs="Arial" w:eastAsia="Arial" w:hAnsi="Arial"/>
          <w:sz w:val="20"/>
          <w:szCs w:val="20"/>
          <w:color w:val="auto"/>
        </w:rPr>
        <w:t>” shall mean an Affiliated Lender that is a bona fide debt fund primarily engaged in, or that advises funds or other investment vehicles that are engaged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1" w:name="page152"/>
    <w:bookmarkEnd w:id="151"/>
    <w:p>
      <w:pPr>
        <w:jc w:val="both"/>
        <w:spacing w:after="0" w:line="260" w:lineRule="auto"/>
        <w:rPr>
          <w:sz w:val="20"/>
          <w:szCs w:val="20"/>
          <w:color w:val="auto"/>
        </w:rPr>
      </w:pPr>
      <w:r>
        <w:rPr>
          <w:rFonts w:ascii="Arial" w:cs="Arial" w:eastAsia="Arial" w:hAnsi="Arial"/>
          <w:sz w:val="20"/>
          <w:szCs w:val="20"/>
          <w:color w:val="auto"/>
        </w:rPr>
        <w:t>making, purchasing, holding or otherwise investing in commercial loans, bonds or similar extensions of credit or securities in the ordinary course.</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Lender</w:t>
      </w:r>
      <w:r>
        <w:rPr>
          <w:rFonts w:ascii="Arial" w:cs="Arial" w:eastAsia="Arial" w:hAnsi="Arial"/>
          <w:sz w:val="20"/>
          <w:szCs w:val="20"/>
          <w:color w:val="auto"/>
        </w:rPr>
        <w:t>” shall mean, at any time, any Lender that is an Affiliate of Holdings (other than the Borrower or any of its Subsidiaries) at such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Assignment and Acceptance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9.04(f)(iv)</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Lender Cap</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9.04(f)(iii)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shall mean, collectively, the Administrative Agent and the Collateral Agent.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meaning assigned to such term in the introductory paragraph of this Agreement, as may be amended, restated, amended and restated, supplemented or otherwise modified from time to time.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Currency</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9.22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 Borrower Financial Statements</w:t>
      </w:r>
      <w:r>
        <w:rPr>
          <w:rFonts w:ascii="Arial" w:cs="Arial" w:eastAsia="Arial" w:hAnsi="Arial"/>
          <w:sz w:val="19"/>
          <w:szCs w:val="19"/>
          <w:color w:val="auto"/>
        </w:rPr>
        <w:t>” shall mean the audited consolidated and consolidating balance sheets and the related consolidated and consolidating statements of comprehensive income and cash flows of the Borrower and its Restricted Subsidiaries for the fiscal years ended December 31, 2020 and December 31, 2021.</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shall mean the United States Foreign Corrupt Practices Act of 1977, as amended, and the rules and regulations thereunder.</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Commitment Fee</w:t>
      </w:r>
      <w:r>
        <w:rPr>
          <w:rFonts w:ascii="Arial" w:cs="Arial" w:eastAsia="Arial" w:hAnsi="Arial"/>
          <w:sz w:val="20"/>
          <w:szCs w:val="20"/>
          <w:color w:val="auto"/>
        </w:rPr>
        <w:t xml:space="preserve">” shall mean for any day (i) with respect to any Revolving Facility Commitments relating to Initial Revolving Loans, (x) initially, 0.30% per annum and (y) from and after the delivery by the Borrower to the Administrative Agent of the Borrower’s financial statements required to be delivered pursuant to </w:t>
      </w:r>
      <w:r>
        <w:rPr>
          <w:rFonts w:ascii="Arial" w:cs="Arial" w:eastAsia="Arial" w:hAnsi="Arial"/>
          <w:sz w:val="20"/>
          <w:szCs w:val="20"/>
          <w:u w:val="single" w:color="auto"/>
          <w:color w:val="auto"/>
        </w:rPr>
        <w:t>Section 5.04(a)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as applicable, for the first full fiscal quarter of the Borrower completed after the Closing Date, the applicable percentage per annum set forth under the heading “Commitment Fee Rate” in the grid in the definition of “Applicable Margin,” as determined by reference to the Total Net Leverage Ratio set forth in the certificate received by the Administrative Agent pursuant to </w:t>
      </w:r>
      <w:r>
        <w:rPr>
          <w:rFonts w:ascii="Arial" w:cs="Arial" w:eastAsia="Arial" w:hAnsi="Arial"/>
          <w:sz w:val="20"/>
          <w:szCs w:val="20"/>
          <w:u w:val="single" w:color="auto"/>
          <w:color w:val="auto"/>
        </w:rPr>
        <w:t>Section 5.04(c)</w:t>
      </w:r>
      <w:r>
        <w:rPr>
          <w:rFonts w:ascii="Arial" w:cs="Arial" w:eastAsia="Arial" w:hAnsi="Arial"/>
          <w:sz w:val="20"/>
          <w:szCs w:val="20"/>
          <w:color w:val="auto"/>
        </w:rPr>
        <w:t xml:space="preserve"> prior to such day; or (ii) with respect to any Other Revolving Facility Commitments, the “Applicable Commitment Fee” set forth in the applicable Extension Amendment or Refinancing Amendment (as applicable).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shall mean for any day:</w:t>
      </w:r>
    </w:p>
    <w:p>
      <w:pPr>
        <w:spacing w:after="0" w:line="216" w:lineRule="exact"/>
        <w:rPr>
          <w:sz w:val="20"/>
          <w:szCs w:val="20"/>
          <w:color w:val="auto"/>
        </w:rPr>
      </w:pPr>
    </w:p>
    <w:p>
      <w:pPr>
        <w:jc w:val="both"/>
        <w:ind w:left="660" w:firstLine="644"/>
        <w:spacing w:after="0" w:line="260" w:lineRule="auto"/>
        <w:tabs>
          <w:tab w:leader="none" w:pos="158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with respect to any Initial Term Loan or Initial Revolving Loan (other than Swingline Loans), (x) initially, 2.25% per annum in the case of any Term SOFR Rate Loan and 1.25% per annum in the case of any ABR Loan and (y) from and after the delivery by the Borrower to the Administrative Agent of the Borrower’s financial statements required to be delivered pursuant to </w:t>
      </w:r>
      <w:r>
        <w:rPr>
          <w:rFonts w:ascii="Arial" w:cs="Arial" w:eastAsia="Arial" w:hAnsi="Arial"/>
          <w:sz w:val="19"/>
          <w:szCs w:val="19"/>
          <w:u w:val="single" w:color="auto"/>
          <w:color w:val="auto"/>
        </w:rPr>
        <w:t>Section 5.04(a)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applicable, and certificate delivered pursuant to </w:t>
      </w:r>
      <w:r>
        <w:rPr>
          <w:rFonts w:ascii="Arial" w:cs="Arial" w:eastAsia="Arial" w:hAnsi="Arial"/>
          <w:sz w:val="19"/>
          <w:szCs w:val="19"/>
          <w:u w:val="single" w:color="auto"/>
          <w:color w:val="auto"/>
        </w:rPr>
        <w:t>Section 5.04(c)</w:t>
      </w:r>
      <w:r>
        <w:rPr>
          <w:rFonts w:ascii="Arial" w:cs="Arial" w:eastAsia="Arial" w:hAnsi="Arial"/>
          <w:sz w:val="19"/>
          <w:szCs w:val="19"/>
          <w:color w:val="auto"/>
        </w:rPr>
        <w:t>, for the first full fiscal quarter of the Borrower completed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52" w:name="page153"/>
    <w:bookmarkEnd w:id="152"/>
    <w:p>
      <w:pPr>
        <w:jc w:val="both"/>
        <w:ind w:left="660"/>
        <w:spacing w:after="0" w:line="269" w:lineRule="auto"/>
        <w:rPr>
          <w:sz w:val="20"/>
          <w:szCs w:val="20"/>
          <w:color w:val="auto"/>
        </w:rPr>
      </w:pPr>
      <w:r>
        <w:rPr>
          <w:rFonts w:ascii="Arial" w:cs="Arial" w:eastAsia="Arial" w:hAnsi="Arial"/>
          <w:sz w:val="19"/>
          <w:szCs w:val="19"/>
          <w:color w:val="auto"/>
        </w:rPr>
        <w:t xml:space="preserve">the Closing Date, the applicable percentage per annum set forth below under the heading “Adjusted Term SOFR Margin” or “ABR Loan Margin,” as applicable, as determined by reference to the Total Net Leverage Ratio set forth in the certificate received by the Administrative Agent pursuant to </w:t>
      </w:r>
      <w:r>
        <w:rPr>
          <w:rFonts w:ascii="Arial" w:cs="Arial" w:eastAsia="Arial" w:hAnsi="Arial"/>
          <w:sz w:val="19"/>
          <w:szCs w:val="19"/>
          <w:u w:val="single" w:color="auto"/>
          <w:color w:val="auto"/>
        </w:rPr>
        <w:t>Section 5.04(c)</w:t>
      </w:r>
      <w:r>
        <w:rPr>
          <w:rFonts w:ascii="Arial" w:cs="Arial" w:eastAsia="Arial" w:hAnsi="Arial"/>
          <w:sz w:val="19"/>
          <w:szCs w:val="19"/>
          <w:color w:val="auto"/>
        </w:rPr>
        <w:t>;</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34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Pricing Level</w:t>
            </w:r>
          </w:p>
        </w:tc>
        <w:tc>
          <w:tcPr>
            <w:tcW w:w="27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Total Net Leverage Ratio</w:t>
            </w:r>
          </w:p>
        </w:tc>
        <w:tc>
          <w:tcPr>
            <w:tcW w:w="19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Adjusted Term</w:t>
            </w:r>
          </w:p>
        </w:tc>
        <w:tc>
          <w:tcPr>
            <w:tcW w:w="196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5"/>
              </w:rPr>
              <w:t>ABR Loan Margin</w:t>
            </w:r>
          </w:p>
        </w:tc>
        <w:tc>
          <w:tcPr>
            <w:tcW w:w="19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Commitment Fee</w:t>
            </w: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720" w:type="dxa"/>
            <w:vAlign w:val="bottom"/>
            <w:tcBorders>
              <w:right w:val="single" w:sz="8" w:color="auto"/>
            </w:tcBorders>
            <w:vMerge w:val="continue"/>
            <w:shd w:val="clear" w:color="auto" w:fill="D9D9D9"/>
          </w:tcPr>
          <w:p>
            <w:pPr>
              <w:spacing w:after="0"/>
              <w:rPr>
                <w:sz w:val="11"/>
                <w:szCs w:val="11"/>
                <w:color w:val="auto"/>
              </w:rPr>
            </w:pPr>
          </w:p>
        </w:tc>
        <w:tc>
          <w:tcPr>
            <w:tcW w:w="19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SOFR Margin</w:t>
            </w:r>
          </w:p>
        </w:tc>
        <w:tc>
          <w:tcPr>
            <w:tcW w:w="1960" w:type="dxa"/>
            <w:vAlign w:val="bottom"/>
            <w:tcBorders>
              <w:right w:val="single" w:sz="8" w:color="auto"/>
            </w:tcBorders>
            <w:vMerge w:val="continue"/>
            <w:shd w:val="clear" w:color="auto" w:fill="D9D9D9"/>
          </w:tcPr>
          <w:p>
            <w:pPr>
              <w:spacing w:after="0"/>
              <w:rPr>
                <w:sz w:val="11"/>
                <w:szCs w:val="11"/>
                <w:color w:val="auto"/>
              </w:rPr>
            </w:pPr>
          </w:p>
        </w:tc>
        <w:tc>
          <w:tcPr>
            <w:tcW w:w="19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Rate</w:t>
            </w:r>
          </w:p>
        </w:tc>
        <w:tc>
          <w:tcPr>
            <w:tcW w:w="0" w:type="dxa"/>
            <w:vAlign w:val="bottom"/>
          </w:tcPr>
          <w:p>
            <w:pPr>
              <w:spacing w:after="0"/>
              <w:rPr>
                <w:sz w:val="1"/>
                <w:szCs w:val="1"/>
                <w:color w:val="auto"/>
              </w:rPr>
            </w:pPr>
          </w:p>
        </w:tc>
      </w:tr>
      <w:tr>
        <w:trPr>
          <w:trHeight w:val="126"/>
        </w:trPr>
        <w:tc>
          <w:tcPr>
            <w:tcW w:w="134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2720" w:type="dxa"/>
            <w:vAlign w:val="bottom"/>
            <w:tcBorders>
              <w:bottom w:val="single" w:sz="8" w:color="auto"/>
              <w:right w:val="single" w:sz="8" w:color="auto"/>
            </w:tcBorders>
            <w:shd w:val="clear" w:color="auto" w:fill="D9D9D9"/>
          </w:tcPr>
          <w:p>
            <w:pPr>
              <w:spacing w:after="0"/>
              <w:rPr>
                <w:sz w:val="10"/>
                <w:szCs w:val="10"/>
                <w:color w:val="auto"/>
              </w:rPr>
            </w:pPr>
          </w:p>
        </w:tc>
        <w:tc>
          <w:tcPr>
            <w:tcW w:w="19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1960" w:type="dxa"/>
            <w:vAlign w:val="bottom"/>
            <w:tcBorders>
              <w:bottom w:val="single" w:sz="8" w:color="auto"/>
              <w:right w:val="single" w:sz="8" w:color="auto"/>
            </w:tcBorders>
            <w:shd w:val="clear" w:color="auto" w:fill="D9D9D9"/>
          </w:tcPr>
          <w:p>
            <w:pPr>
              <w:spacing w:after="0"/>
              <w:rPr>
                <w:sz w:val="10"/>
                <w:szCs w:val="10"/>
                <w:color w:val="auto"/>
              </w:rPr>
            </w:pPr>
          </w:p>
        </w:tc>
        <w:tc>
          <w:tcPr>
            <w:tcW w:w="196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 3.75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2.50%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0.350%</w:t>
            </w:r>
          </w:p>
        </w:tc>
        <w:tc>
          <w:tcPr>
            <w:tcW w:w="0" w:type="dxa"/>
            <w:vAlign w:val="bottom"/>
          </w:tcPr>
          <w:p>
            <w:pPr>
              <w:spacing w:after="0"/>
              <w:rPr>
                <w:sz w:val="1"/>
                <w:szCs w:val="1"/>
                <w:color w:val="auto"/>
              </w:rPr>
            </w:pPr>
          </w:p>
        </w:tc>
      </w:tr>
      <w:tr>
        <w:trPr>
          <w:trHeight w:val="236"/>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&lt; 3.75 to 1.00 and ≥ 3.00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2.25%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0.300%</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&lt; 3.00 to 1.00 and ≥ 2.00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IV</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&lt; 2.00 to 1.00 and ≥ 1.00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1.75%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0.225%</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&lt; 1.00 to 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0.200%</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660" w:firstLine="644"/>
        <w:spacing w:after="0" w:line="276" w:lineRule="auto"/>
        <w:tabs>
          <w:tab w:leader="none" w:pos="16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with respect to Swingline Loans, (x) initially, 2.75% per annum and (y) from and after the delivery by the Borrower to the Administrative Agent of the Borrower’s financial statements required to be delivered pursuant to </w:t>
      </w:r>
      <w:r>
        <w:rPr>
          <w:rFonts w:ascii="Arial" w:cs="Arial" w:eastAsia="Arial" w:hAnsi="Arial"/>
          <w:sz w:val="18"/>
          <w:szCs w:val="18"/>
          <w:u w:val="single" w:color="auto"/>
          <w:color w:val="auto"/>
        </w:rPr>
        <w:t>Section 5.04(a)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and certificate delivered pursuant to </w:t>
      </w:r>
      <w:r>
        <w:rPr>
          <w:rFonts w:ascii="Arial" w:cs="Arial" w:eastAsia="Arial" w:hAnsi="Arial"/>
          <w:sz w:val="18"/>
          <w:szCs w:val="18"/>
          <w:u w:val="single" w:color="auto"/>
          <w:color w:val="auto"/>
        </w:rPr>
        <w:t>Section 5.04(c)</w:t>
      </w:r>
      <w:r>
        <w:rPr>
          <w:rFonts w:ascii="Arial" w:cs="Arial" w:eastAsia="Arial" w:hAnsi="Arial"/>
          <w:sz w:val="18"/>
          <w:szCs w:val="18"/>
          <w:color w:val="auto"/>
        </w:rPr>
        <w:t xml:space="preserve">, for the first full fiscal quarter of the Borrower completed after the Closing Date, the applicable percentage per annum set forth in the table above under the heading “Adjusted Term SOFR Margin”, as determined by reference to the Total Net Leverage Ratio set forth in the certificate received by the Administrative Agent pursuant to </w:t>
      </w:r>
      <w:r>
        <w:rPr>
          <w:rFonts w:ascii="Arial" w:cs="Arial" w:eastAsia="Arial" w:hAnsi="Arial"/>
          <w:sz w:val="18"/>
          <w:szCs w:val="18"/>
          <w:u w:val="single" w:color="auto"/>
          <w:color w:val="auto"/>
        </w:rPr>
        <w:t>Section 5.04(c)</w:t>
      </w:r>
      <w:r>
        <w:rPr>
          <w:rFonts w:ascii="Arial" w:cs="Arial" w:eastAsia="Arial" w:hAnsi="Arial"/>
          <w:sz w:val="18"/>
          <w:szCs w:val="18"/>
          <w:color w:val="auto"/>
        </w:rPr>
        <w:t xml:space="preserve"> plus 0.50%; and</w:t>
      </w:r>
    </w:p>
    <w:p>
      <w:pPr>
        <w:spacing w:after="0" w:line="164" w:lineRule="exact"/>
        <w:rPr>
          <w:rFonts w:ascii="Arial" w:cs="Arial" w:eastAsia="Arial" w:hAnsi="Arial"/>
          <w:sz w:val="18"/>
          <w:szCs w:val="18"/>
          <w:color w:val="auto"/>
        </w:rPr>
      </w:pPr>
    </w:p>
    <w:p>
      <w:pPr>
        <w:jc w:val="both"/>
        <w:ind w:left="660" w:firstLine="644"/>
        <w:spacing w:after="0" w:line="250" w:lineRule="auto"/>
        <w:tabs>
          <w:tab w:leader="none" w:pos="165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with respect to any Other Term Loan or Other Revolving Loan, the “Applicable Margin” set forth in the Incremental Assumption Agreement, Extension Amendment or Refinancing Amendment (as applicable) relating thereto.</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the foregoing, the Applicable Margin with respect to any Initial Revolving Loan that is a Sustainability Loan shall be (x) the rate set forth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that would have otherwise been in effect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 the Sustainability Margin Adjustment. For the avoidance of doubt, the Commitment Fee Rate shall not be reduced by the Sustainability Margin Adjustment.</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Any increase or decrease in the Applicable Margin or Commitment Fee resulting from a change in the Total Net Leverage Ratio shall become effective as of the first Business Day immediately following the date on which the Borrower is required to deliver the certificate pursuant to </w:t>
      </w:r>
      <w:r>
        <w:rPr>
          <w:rFonts w:ascii="Arial" w:cs="Arial" w:eastAsia="Arial" w:hAnsi="Arial"/>
          <w:sz w:val="18"/>
          <w:szCs w:val="18"/>
          <w:u w:val="single" w:color="auto"/>
          <w:color w:val="auto"/>
        </w:rPr>
        <w:t>Section 5.04(c)</w:t>
      </w:r>
      <w:r>
        <w:rPr>
          <w:rFonts w:ascii="Arial" w:cs="Arial" w:eastAsia="Arial" w:hAnsi="Arial"/>
          <w:sz w:val="18"/>
          <w:szCs w:val="18"/>
          <w:color w:val="auto"/>
        </w:rPr>
        <w:t>. If, as a result of any restatement of or other adjustment to the financial statements of the Borrower or for any other reason, the Borrower or the Lenders determine that (i) the Total Net Leverage Ratio as calculated by the Borrower as of any applicable date was inaccurate and (ii) a proper calculation of the Total Net Leverage Ratio would have resulted in a higher Pricing Level for such period, the Borrower shall immediately and retroactively be obligated to pay to the Administrative Agent for the account of the applicable Lenders or the applicable Issuing Bank,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Issuing Bank), an amount equal to the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53" w:name="page154"/>
    <w:bookmarkEnd w:id="153"/>
    <w:p>
      <w:pPr>
        <w:jc w:val="both"/>
        <w:spacing w:after="0" w:line="259" w:lineRule="auto"/>
        <w:rPr>
          <w:sz w:val="20"/>
          <w:szCs w:val="20"/>
          <w:color w:val="auto"/>
        </w:rPr>
      </w:pPr>
      <w:r>
        <w:rPr>
          <w:rFonts w:ascii="Arial" w:cs="Arial" w:eastAsia="Arial" w:hAnsi="Arial"/>
          <w:sz w:val="19"/>
          <w:szCs w:val="19"/>
          <w:color w:val="auto"/>
        </w:rPr>
        <w:t xml:space="preserve">amount of interest and fees that should have been paid for such period over the amount of interest and fees actually paid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provide a Compliance Certificate when due as required by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for the most recently completed fiscal quarter of the Borrower, the Applicable Margin from the date on which such Compliance Certificate was required to have been delivered shall be based on Pricing Level I until such time as such Compliance Certificate is delivered, at which time the Pricing Level shall be determined by reference to the Total Net Leverage Ratio as of the last day of the most recently completed fiscal quarter of the Borrower.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Parties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8.03(c)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Commercial Bank</w:t>
      </w:r>
      <w:r>
        <w:rPr>
          <w:rFonts w:ascii="Arial" w:cs="Arial" w:eastAsia="Arial" w:hAnsi="Arial"/>
          <w:sz w:val="20"/>
          <w:szCs w:val="20"/>
          <w:color w:val="auto"/>
        </w:rPr>
        <w:t>” shall mean a commercial bank with a consolidated combined capital and surplus of at least $5,000,000,000.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8.03(a)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Foreign Bank</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the definition of the term “Permitted Investments.”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9.04(b)(ii)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shall mean Wells Fargo Securities, LLC, in its capacities as lead arranger and bookrunner.</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w:t>
      </w:r>
      <w:r>
        <w:rPr>
          <w:rFonts w:ascii="Arial" w:cs="Arial" w:eastAsia="Arial" w:hAnsi="Arial"/>
          <w:sz w:val="20"/>
          <w:szCs w:val="20"/>
          <w:color w:val="auto"/>
        </w:rPr>
        <w:t>” shall mean (x) any Disposition (including any sale and lease-back of assets and any mortgage or lease of Real Property) to any person of any asset or assets of the Borrower or any Subsidiary and (y) any sale of any Equity Interests by any Subsidiary to a person other than the Borrower or a Subsidiary.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9.04(b)(i)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Acceptance</w:t>
      </w:r>
      <w:r>
        <w:rPr>
          <w:rFonts w:ascii="Arial" w:cs="Arial" w:eastAsia="Arial" w:hAnsi="Arial"/>
          <w:sz w:val="16"/>
          <w:szCs w:val="16"/>
          <w:color w:val="auto"/>
        </w:rPr>
        <w:t xml:space="preserve">” shall mean an assignment and acceptance entered into by a Lender and an Assignee, and accepted by the Administrative Agent and the Borrower (if required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such other form as shall be approved by the Administrative Agent and reasonably satisfactory to the Borrower.</w:t>
      </w:r>
    </w:p>
    <w:p>
      <w:pPr>
        <w:spacing w:after="0" w:line="1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shall mean the principal amount of Indebtedness (other than any Indebtedness subordinated in right of payment owing by a Receivables Entity to a Receivables Seller or a Receivables Seller to another Receivables Seller in connection with the transfer, sale and/or pledge of Permitted Receivables Facility Assets) which (i) if a Qualified Receivables Facility is structured as a secured lending agreement or other similar agreement, constitutes the principal amount of such Indebtedness or (ii)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Manager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Auction Procedures</w:t>
      </w:r>
      <w:r>
        <w:rPr>
          <w:rFonts w:ascii="Arial" w:cs="Arial" w:eastAsia="Arial" w:hAnsi="Arial"/>
          <w:sz w:val="18"/>
          <w:szCs w:val="18"/>
          <w:color w:val="auto"/>
        </w:rPr>
        <w:t xml:space="preserve">” shall mean auction procedures with respect to Purchase Offers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 Renewal Letter of Credit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Swingline Loans, Swingline Borrowings and Letters of Credit, the date of termination of the Revolving Facility Commitments of such Class.</w:t>
      </w:r>
    </w:p>
    <w:p>
      <w:pPr>
        <w:spacing w:after="0" w:line="194" w:lineRule="exact"/>
        <w:rPr>
          <w:sz w:val="20"/>
          <w:szCs w:val="20"/>
          <w:color w:val="auto"/>
        </w:rPr>
      </w:pPr>
    </w:p>
    <w:p>
      <w:pPr>
        <w:jc w:val="both"/>
        <w:ind w:right="20" w:firstLine="711"/>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shall mean, as at any time of determination, an amount, not less than zero in the aggregate, determined on a cumulative basis, equal to, without duplication:</w:t>
      </w:r>
    </w:p>
    <w:p>
      <w:pPr>
        <w:spacing w:after="0" w:line="177" w:lineRule="exact"/>
        <w:rPr>
          <w:sz w:val="20"/>
          <w:szCs w:val="20"/>
          <w:color w:val="auto"/>
        </w:rPr>
      </w:pPr>
    </w:p>
    <w:p>
      <w:pPr>
        <w:ind w:left="660" w:firstLine="644"/>
        <w:spacing w:after="0" w:line="260" w:lineRule="auto"/>
        <w:tabs>
          <w:tab w:leader="none" w:pos="195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50% of cumulative Consolidated Net Income of the Borrower since the first day of the fiscal quarter of the Borrower during which the Closing Date occurred, </w:t>
      </w:r>
      <w:r>
        <w:rPr>
          <w:rFonts w:ascii="Arial" w:cs="Arial" w:eastAsia="Arial" w:hAnsi="Arial"/>
          <w:sz w:val="20"/>
          <w:szCs w:val="20"/>
          <w:u w:val="single" w:color="auto"/>
          <w:color w:val="auto"/>
        </w:rPr>
        <w:t>plus</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cumulative amounts of all mandatory prepayments declined by Lenders,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Fair Market Value of Investments of the Borrower or any of the Subsidiaries in any Unrestricted Subsidiary made using the Available Amount (not to exceed the amount of such Investments) that has been redesignated as a Restricted Subsidiary or that has been merged or consolidated with or into the Borrower or any of the Subsidiaries, </w:t>
      </w:r>
      <w:r>
        <w:rPr>
          <w:rFonts w:ascii="Arial" w:cs="Arial" w:eastAsia="Arial" w:hAnsi="Arial"/>
          <w:sz w:val="20"/>
          <w:szCs w:val="20"/>
          <w:u w:val="single" w:color="auto"/>
          <w:color w:val="auto"/>
        </w:rPr>
        <w:t>plus</w:t>
      </w:r>
    </w:p>
    <w:p>
      <w:pPr>
        <w:spacing w:after="0" w:line="191" w:lineRule="exact"/>
        <w:rPr>
          <w:rFonts w:ascii="Arial" w:cs="Arial" w:eastAsia="Arial" w:hAnsi="Arial"/>
          <w:sz w:val="20"/>
          <w:szCs w:val="20"/>
          <w:color w:val="auto"/>
        </w:rPr>
      </w:pPr>
    </w:p>
    <w:p>
      <w:pPr>
        <w:jc w:val="both"/>
        <w:ind w:left="660" w:firstLine="644"/>
        <w:spacing w:after="0" w:line="282" w:lineRule="auto"/>
        <w:tabs>
          <w:tab w:leader="none" w:pos="195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Net Proceeds of a sale or other Disposition of any Unrestricted Subsidiary that was designated in reliance on the Available Amount (including the issuance or sale of Equity Interests of an Unrestricted Subsidiary) received by the Borrower or any Subsidiary (not to exceed the amount of Investments of the Borrower or any of the Subsidiaries in such Unrestricted Subsidiary made using the Available Amount), </w:t>
      </w:r>
      <w:r>
        <w:rPr>
          <w:rFonts w:ascii="Arial" w:cs="Arial" w:eastAsia="Arial" w:hAnsi="Arial"/>
          <w:sz w:val="18"/>
          <w:szCs w:val="18"/>
          <w:u w:val="single" w:color="auto"/>
          <w:color w:val="auto"/>
        </w:rPr>
        <w:t>plus</w:t>
      </w:r>
    </w:p>
    <w:p>
      <w:pPr>
        <w:spacing w:after="0" w:line="161" w:lineRule="exact"/>
        <w:rPr>
          <w:rFonts w:ascii="Arial" w:cs="Arial" w:eastAsia="Arial" w:hAnsi="Arial"/>
          <w:sz w:val="18"/>
          <w:szCs w:val="18"/>
          <w:color w:val="auto"/>
        </w:rPr>
      </w:pPr>
    </w:p>
    <w:p>
      <w:pPr>
        <w:jc w:val="both"/>
        <w:ind w:left="660" w:firstLine="644"/>
        <w:spacing w:after="0" w:line="263" w:lineRule="auto"/>
        <w:tabs>
          <w:tab w:leader="none" w:pos="195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to the extent not included in Consolidated Net Income, dividends or other distributions or returns on capital received by the Borrower or any Subsidiary from an Unrestricted Subsidiary that was designated in reliance on the Available Amount (not to exceed the amount of Investments of the Borrower or any of the Subsidiaries in such Unrestricted Subsidiary made using the Available Amount), </w:t>
      </w:r>
      <w:r>
        <w:rPr>
          <w:rFonts w:ascii="Arial" w:cs="Arial" w:eastAsia="Arial" w:hAnsi="Arial"/>
          <w:sz w:val="19"/>
          <w:szCs w:val="19"/>
          <w:u w:val="single" w:color="auto"/>
          <w:color w:val="auto"/>
        </w:rPr>
        <w:t>plus</w:t>
      </w:r>
    </w:p>
    <w:p>
      <w:pPr>
        <w:spacing w:after="0" w:line="176" w:lineRule="exact"/>
        <w:rPr>
          <w:rFonts w:ascii="Arial" w:cs="Arial" w:eastAsia="Arial" w:hAnsi="Arial"/>
          <w:sz w:val="19"/>
          <w:szCs w:val="19"/>
          <w:color w:val="auto"/>
        </w:rPr>
      </w:pPr>
    </w:p>
    <w:p>
      <w:pPr>
        <w:ind w:left="1960" w:hanging="656"/>
        <w:spacing w:after="0"/>
        <w:tabs>
          <w:tab w:leader="none" w:pos="19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Cumulative Qualified Equity Proceeds Amount on such date of determination, </w:t>
      </w:r>
      <w:r>
        <w:rPr>
          <w:rFonts w:ascii="Arial" w:cs="Arial" w:eastAsia="Arial" w:hAnsi="Arial"/>
          <w:sz w:val="20"/>
          <w:szCs w:val="20"/>
          <w:u w:val="single" w:color="auto"/>
          <w:color w:val="auto"/>
        </w:rPr>
        <w:t>minus</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cumulative amount of Investments made with the Available Amount from and after the Closing Date and on or prior to such time (net of any return on such Investments not otherwise included in the Cumulative Qualified Equity Proceeds Amount), </w:t>
      </w:r>
      <w:r>
        <w:rPr>
          <w:rFonts w:ascii="Arial" w:cs="Arial" w:eastAsia="Arial" w:hAnsi="Arial"/>
          <w:sz w:val="20"/>
          <w:szCs w:val="20"/>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155" w:name="page156"/>
    <w:bookmarkEnd w:id="155"/>
    <w:p>
      <w:pPr>
        <w:ind w:left="660" w:firstLine="644"/>
        <w:spacing w:after="0" w:line="260" w:lineRule="auto"/>
        <w:tabs>
          <w:tab w:leader="none" w:pos="195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cumulative amount of Restricted Payments and Junior Debt Restricted Payments made with the Available Amount from and after the Closing Date and on or prior to such time.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xml:space="preserve">” shall mean, as of any date of determination and with respect to the then-current Benchmark,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Unused Commitment</w:t>
      </w:r>
      <w:r>
        <w:rPr>
          <w:rFonts w:ascii="Arial" w:cs="Arial" w:eastAsia="Arial" w:hAnsi="Arial"/>
          <w:sz w:val="19"/>
          <w:szCs w:val="19"/>
          <w:color w:val="auto"/>
        </w:rPr>
        <w:t>”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(excluding the Swingline Exposure) of such Revolving Facility Lender at such time.</w:t>
      </w:r>
    </w:p>
    <w:p>
      <w:pPr>
        <w:spacing w:after="0" w:line="176" w:lineRule="exact"/>
        <w:rPr>
          <w:sz w:val="20"/>
          <w:szCs w:val="20"/>
          <w:color w:val="auto"/>
        </w:rPr>
      </w:pPr>
    </w:p>
    <w:p>
      <w:pPr>
        <w:jc w:val="both"/>
        <w:ind w:right="20" w:firstLine="6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shall mean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shall mean Title 11 of the United States Code entitled “Bankruptcy,” as now or hereafter in effect, and any successor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Plan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9.04(i)(iii)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shall mean, initially, with respect to any Term Benchmark Loan, the Term SOFR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and the related Benchmark Replacement Date have occurred with respect to the Term SOFR Rate or the then-current Benchmark, then “Benchmark” shall mean the applicable Benchmark Replacement to the extent that such Benchmark Replacement has replaced such prior benchmark rate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shall mean, for any Available Tenor, the first alternative set forth in the order below that can be determined by the Administrative Agent for the applicable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6" w:name="page157"/>
    <w:bookmarkEnd w:id="156"/>
    <w:p>
      <w:pPr>
        <w:ind w:left="1960" w:hanging="656"/>
        <w:spacing w:after="0"/>
        <w:tabs>
          <w:tab w:leader="none" w:pos="19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sum of: (a) Daily Simple SOFR and (b) the related Benchmark Replacement Adjustment;</w:t>
      </w:r>
    </w:p>
    <w:p>
      <w:pPr>
        <w:spacing w:after="0" w:line="227" w:lineRule="exact"/>
        <w:rPr>
          <w:rFonts w:ascii="Arial" w:cs="Arial" w:eastAsia="Arial" w:hAnsi="Arial"/>
          <w:sz w:val="19"/>
          <w:szCs w:val="19"/>
          <w:color w:val="auto"/>
        </w:rPr>
      </w:pPr>
    </w:p>
    <w:p>
      <w:pPr>
        <w:jc w:val="both"/>
        <w:ind w:left="660" w:firstLine="644"/>
        <w:spacing w:after="0" w:line="243" w:lineRule="auto"/>
        <w:tabs>
          <w:tab w:leader="none" w:pos="195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syndicated credit facilities denominated in Dollars at such time in the United States and (b) the related Benchmark Replacement Adjustment;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If the Benchmark Replacement as determined pursuant to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above would be less than the Floor, the Benchmark Replacement will be deemed to be the Floor for purposes of this Agreement and the other Loan Documents. Notwithstanding anything herein or in any other Loan Document to the contrary, in determining the Benchmark Replacement, the Administrative Agent will consider in good faith any proposal reasonably requested by the Borrower and not adverse to the Lenders that is intended to prevent the use of the Benchmark Replacement from resulting in a deemed exchange of any Indebtedness hereunder under Section 1001 of the Code.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shall mean, with respect to any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after consultation with the Borrower, in its reasonable discretion is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7" w:name="page158"/>
    <w:bookmarkEnd w:id="157"/>
    <w:p>
      <w:pPr>
        <w:spacing w:after="0" w:line="260" w:lineRule="auto"/>
        <w:rPr>
          <w:sz w:val="20"/>
          <w:szCs w:val="20"/>
          <w:color w:val="auto"/>
        </w:rPr>
      </w:pPr>
      <w:r>
        <w:rPr>
          <w:rFonts w:ascii="Arial" w:cs="Arial" w:eastAsia="Arial" w:hAnsi="Arial"/>
          <w:sz w:val="20"/>
          <w:szCs w:val="20"/>
          <w:color w:val="auto"/>
        </w:rPr>
        <w:t>manner of administration as the Administrative Agent decides in consultation with the Borrower is reasonably necessary in connection with the administration of this Agreement and the other Loan Documents).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shall mean, with respect to any Benchmark, the earliest to occur of the following events with respect to such then-current Benchmark:</w:t>
      </w:r>
    </w:p>
    <w:p>
      <w:pPr>
        <w:spacing w:after="0" w:line="177" w:lineRule="exact"/>
        <w:rPr>
          <w:sz w:val="20"/>
          <w:szCs w:val="20"/>
          <w:color w:val="auto"/>
        </w:rPr>
      </w:pPr>
    </w:p>
    <w:p>
      <w:pPr>
        <w:jc w:val="both"/>
        <w:ind w:left="660" w:firstLine="644"/>
        <w:spacing w:after="0" w:line="263" w:lineRule="auto"/>
        <w:tabs>
          <w:tab w:leader="none" w:pos="195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in the case of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Arial" w:cs="Arial" w:eastAsia="Arial" w:hAnsi="Arial"/>
          <w:sz w:val="19"/>
          <w:szCs w:val="19"/>
          <w:color w:val="auto"/>
        </w:rPr>
      </w:pPr>
    </w:p>
    <w:p>
      <w:pPr>
        <w:jc w:val="both"/>
        <w:ind w:left="660" w:firstLine="644"/>
        <w:spacing w:after="0" w:line="259" w:lineRule="auto"/>
        <w:tabs>
          <w:tab w:leader="none" w:pos="195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in the case of </w:t>
      </w:r>
      <w:r>
        <w:rPr>
          <w:rFonts w:ascii="Arial" w:cs="Arial" w:eastAsia="Arial" w:hAnsi="Arial"/>
          <w:sz w:val="19"/>
          <w:szCs w:val="19"/>
          <w:u w:val="single" w:color="auto"/>
          <w:color w:val="auto"/>
        </w:rPr>
        <w:t>clause (3)</w:t>
      </w:r>
      <w:r>
        <w:rPr>
          <w:rFonts w:ascii="Arial" w:cs="Arial" w:eastAsia="Arial" w:hAnsi="Arial"/>
          <w:sz w:val="19"/>
          <w:szCs w:val="19"/>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non-representativeness will be determined by reference to the most recent statement or publication referenced in such </w:t>
      </w:r>
      <w:r>
        <w:rPr>
          <w:rFonts w:ascii="Arial" w:cs="Arial" w:eastAsia="Arial" w:hAnsi="Arial"/>
          <w:sz w:val="19"/>
          <w:szCs w:val="19"/>
          <w:u w:val="single" w:color="auto"/>
          <w:color w:val="auto"/>
        </w:rPr>
        <w:t>clause (3)</w:t>
      </w:r>
      <w:r>
        <w:rPr>
          <w:rFonts w:ascii="Arial" w:cs="Arial" w:eastAsia="Arial" w:hAnsi="Arial"/>
          <w:sz w:val="19"/>
          <w:szCs w:val="19"/>
          <w:color w:val="auto"/>
        </w:rPr>
        <w:t xml:space="preserve"> and even if any Available Tenor of such Benchmark (or such component thereof) continues to be provided on such date.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w:t>
      </w:r>
      <w:r>
        <w:rPr>
          <w:rFonts w:ascii="Arial" w:cs="Arial" w:eastAsia="Arial" w:hAnsi="Arial"/>
          <w:sz w:val="19"/>
          <w:szCs w:val="19"/>
          <w:color w:val="auto"/>
        </w:rPr>
        <w:t xml:space="preserve"> above with respect to any Benchmark upon the occurrence of the applicable event or events set forth therein with respect to all then-current Available Tenors of such Benchmark (or the published component used in the calculation thereof).</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shall mean, with respect to any Benchmark, the occurrence of one or more of the following events with respect to such then-current Benchmark:</w:t>
      </w:r>
    </w:p>
    <w:p>
      <w:pPr>
        <w:spacing w:after="0" w:line="177" w:lineRule="exact"/>
        <w:rPr>
          <w:sz w:val="20"/>
          <w:szCs w:val="20"/>
          <w:color w:val="auto"/>
        </w:rPr>
      </w:pPr>
    </w:p>
    <w:p>
      <w:pPr>
        <w:jc w:val="both"/>
        <w:ind w:left="660" w:firstLine="644"/>
        <w:spacing w:after="0" w:line="278" w:lineRule="auto"/>
        <w:tabs>
          <w:tab w:leader="none" w:pos="19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that, at the time of such statement or publication, there is no successor administrator that will continue to provide any Available Tenor of such Benchmark (or such component thereof);</w:t>
      </w:r>
    </w:p>
    <w:p>
      <w:pPr>
        <w:spacing w:after="0" w:line="164" w:lineRule="exact"/>
        <w:rPr>
          <w:rFonts w:ascii="Arial" w:cs="Arial" w:eastAsia="Arial" w:hAnsi="Arial"/>
          <w:sz w:val="18"/>
          <w:szCs w:val="18"/>
          <w:color w:val="auto"/>
        </w:rPr>
      </w:pPr>
    </w:p>
    <w:p>
      <w:pPr>
        <w:jc w:val="both"/>
        <w:ind w:left="660" w:firstLine="644"/>
        <w:spacing w:after="0" w:line="260" w:lineRule="auto"/>
        <w:tabs>
          <w:tab w:leader="none" w:pos="195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8" w:name="page159"/>
    <w:bookmarkEnd w:id="158"/>
    <w:p>
      <w:pPr>
        <w:jc w:val="both"/>
        <w:ind w:left="660"/>
        <w:spacing w:after="0" w:line="260" w:lineRule="auto"/>
        <w:rPr>
          <w:sz w:val="20"/>
          <w:szCs w:val="20"/>
          <w:color w:val="auto"/>
        </w:rPr>
      </w:pPr>
      <w:r>
        <w:rPr>
          <w:rFonts w:ascii="Arial" w:cs="Arial" w:eastAsia="Arial" w:hAnsi="Arial"/>
          <w:sz w:val="19"/>
          <w:szCs w:val="19"/>
          <w:color w:val="auto"/>
        </w:rPr>
        <w:t xml:space="preserve">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that at the time of such statement or publication, there is no successor administrator that will continue to provide any Available Tenor of such Benchmark (or such component thereof); or</w:t>
      </w:r>
    </w:p>
    <w:p>
      <w:pPr>
        <w:spacing w:after="0" w:line="180" w:lineRule="exact"/>
        <w:rPr>
          <w:sz w:val="20"/>
          <w:szCs w:val="20"/>
          <w:color w:val="auto"/>
        </w:rPr>
      </w:pPr>
    </w:p>
    <w:p>
      <w:pPr>
        <w:jc w:val="both"/>
        <w:ind w:firstLine="656"/>
        <w:spacing w:after="0" w:line="291" w:lineRule="auto"/>
        <w:tabs>
          <w:tab w:leader="none" w:pos="96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avoidance of doubt, a “Benchmark Transition Event” will be deemed to have occurred with respect to 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Benchmark if a public statement or publication of information set forth above has occurred with respect to each then-current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Available Tenor of such Benchmark (or the published component used in the calculation thereof).</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shall mean, with respect to any Benchmark, the period (if any) (x) beginning at the time that a Benchmark Replacement Date pursuant to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that definition has occurred if, at such time, no Benchmark Replacement has replaced such then-current Benchmark for all purposes hereunder and under any Loan Document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shall mean a certification regarding beneficial ownership as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shall mean 31 CFR § 1010.230.</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shall mean an “affiliate” (as such term is defined under, and interpreted in accordance with, 12 U.S.C. 1841(k)) of such party.</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shall mean the Board of Governors of the Federal Reserve System of the United States of America.</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shall mean, as to any person, the board of directors, the board of managers, the sole manager or other governing body of such person.</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shall mean any fund or investment vehicle that is primarily engaged in making, purchasing, holding or otherwise investing in commercial loans, bonds and other similar extensions of credit in the ordinary course.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9" w:name="page160"/>
    <w:bookmarkEnd w:id="159"/>
    <w:p>
      <w:pPr>
        <w:jc w:val="both"/>
        <w:ind w:firstLine="6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shall have the meaning assigned to such term in the introductory paragraph of this Agreement, together with any permitted successor thereto in accordance with </w:t>
      </w:r>
      <w:r>
        <w:rPr>
          <w:rFonts w:ascii="Arial" w:cs="Arial" w:eastAsia="Arial" w:hAnsi="Arial"/>
          <w:sz w:val="20"/>
          <w:szCs w:val="20"/>
          <w:u w:val="single" w:color="auto"/>
          <w:color w:val="auto"/>
        </w:rPr>
        <w:t>Section 6.05(g)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(n)</w:t>
      </w:r>
      <w:r>
        <w:rPr>
          <w:rFonts w:ascii="Arial" w:cs="Arial" w:eastAsia="Arial" w:hAnsi="Arial"/>
          <w:sz w:val="20"/>
          <w:szCs w:val="20"/>
          <w:color w:val="auto"/>
        </w:rPr>
        <w:t>. “</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9.17</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shall mean a group of Loans of a single Type under a single Facility, and made on a single date and, in the case of Term Benchmark Loans, as to which a single Interest Period is in effect.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Minimum</w:t>
      </w:r>
      <w:r>
        <w:rPr>
          <w:rFonts w:ascii="Arial" w:cs="Arial" w:eastAsia="Arial" w:hAnsi="Arial"/>
          <w:sz w:val="20"/>
          <w:szCs w:val="20"/>
          <w:color w:val="auto"/>
        </w:rPr>
        <w:t>” shall mean (a) in the case of Term Benchmark Loans, $1,000,000, (b) in the case of ABR Loans, $1,000,000 and (c) in the case of Swingline Loans, $500,000 or such other amount agreed to by the Swingline Lender.</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shall mean (a) in the case of Term Benchmark Loans, $500,000, (b) in the case of ABR Loans, $250,000 and (c) in the case of Swingline Loans, $100,000 or such other amount agreed to by the Swingline Lender.</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xml:space="preserve">” shall mean a request by the Borrower in accordance with the terms of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and substantially in the form of </w:t>
      </w:r>
      <w:r>
        <w:rPr>
          <w:rFonts w:ascii="Arial" w:cs="Arial" w:eastAsia="Arial" w:hAnsi="Arial"/>
          <w:sz w:val="20"/>
          <w:szCs w:val="20"/>
          <w:u w:val="single" w:color="auto"/>
          <w:color w:val="auto"/>
        </w:rPr>
        <w:t>Exhibit D-1</w:t>
      </w:r>
      <w:r>
        <w:rPr>
          <w:rFonts w:ascii="Arial" w:cs="Arial" w:eastAsia="Arial" w:hAnsi="Arial"/>
          <w:sz w:val="20"/>
          <w:szCs w:val="20"/>
          <w:color w:val="auto"/>
        </w:rPr>
        <w:t xml:space="preserve"> or another form approved by the Administrative Agent.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any day that is not a Saturday, Sunday or other day on which commercial banks in New York City are authorized or required by law to remain closed.</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xml:space="preserve">” shall mean, at the time any determination thereof is to be made, the amount of the liability in respect of a capital lease that would at such time be required to be capitalized and reflected as a liability on the balance sheet (excluding the footnotes thereto)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all obligations that are or would be characterized as an operating lease as determined in accordance with GAAP as in effect on December 31, 2021 (whether or not such operating lease was in effect on such date) shall continue to be accounted for as an operating lease (and not as a Capitalized Lease Obligation) for purposes of this Agreement regardless of any change in GAAP following December 31, 2021 (or any change in the implementation in GAAP for future periods that are contemplated as of December 31, 2021) that would otherwise require such obligation to be recharacterized as a Capitalized Lease Obligation.</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Software Expenditures</w:t>
      </w:r>
      <w:r>
        <w:rPr>
          <w:rFonts w:ascii="Arial" w:cs="Arial" w:eastAsia="Arial" w:hAnsi="Arial"/>
          <w:sz w:val="19"/>
          <w:szCs w:val="19"/>
          <w:color w:val="auto"/>
        </w:rPr>
        <w:t>” shall mean, for any period, the aggregate of all expenditures (whether paid in cash or accrued as liabilities) by the Borrower and the Subsidiaries during such period in respect of purchased software or internally developed software and software enhancements that, in conformity with GAAP, are or are required to be reflected as capitalized costs on the consolidated balance sheet of the Borrower and the Subsidiaries.</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Collateral Agent and each Issuing Bank shall agree in their sole discretion, other credit support, in each case pursuant to documentation in form and substance reasonably satisfactory to the Collateral Agent and each applicable Issuing Bank. “Cash Collateral” and “Cash Collateralization” shall have a meaning correlative to the foregoing and shall include the proceeds of such cash collateral and other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0" w:name="page161"/>
    <w:bookmarkEnd w:id="160"/>
    <w:p>
      <w:pPr>
        <w:jc w:val="both"/>
        <w:ind w:firstLine="72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shall mean any agreement to provide to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shall mean any person that (i) is (or any Affiliate of any person that is) an Agent, an Arranger or a Lender on the Closing Date (in the case of any Cash Management Agreement in existence on the Closing Date) and that enters into or is a party to a Cash Management Agreement with the Borrower or any of its Subsidiaries, in each case, in its capacity as a party to such Cash Management Agreement or (ii) is (or any Affiliate of any person that is) an Agent, an Arranger or a Lender at the time it enters into a Cash Management Agreement (in the case of any Cash Management Agreement entered into after the Closing Date) with the Borrower or any of its Subsidiaries, in each case, in its capacity as a party to such Cash Management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shall mean a controlled foreign corporation within the meaning of Section 957 of the Code.</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shall mean (a) the adoption of any law, rule or regulation after the Closing Date, (b) any change in law, rule or regulation or in the interpretation or application thereof by any Governmental Authority after the Closing Date or</w:t>
      </w:r>
    </w:p>
    <w:p>
      <w:pPr>
        <w:spacing w:after="0" w:line="1" w:lineRule="exact"/>
        <w:rPr>
          <w:sz w:val="20"/>
          <w:szCs w:val="20"/>
          <w:color w:val="auto"/>
        </w:rPr>
      </w:pPr>
    </w:p>
    <w:p>
      <w:pPr>
        <w:jc w:val="both"/>
        <w:ind w:firstLine="8"/>
        <w:spacing w:after="0" w:line="268" w:lineRule="auto"/>
        <w:tabs>
          <w:tab w:leader="none" w:pos="3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compliance by any Lender (or, for purposes of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by any Lending Office of such Lender or by such Lender’s holding company, if any) with any written request, guideline or directive (whether or not having the force of law) of any Governmental Authority made or issued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the Bank for International Settlements, the Basel Committee on Banking Supervision (or any successor or similar authority) or the United States of America or foreign regulatory authorities, in each case pursuant to Basel III, shall in each case under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above be deemed to be a “Change in Law” but only to the extent it is the general policy of a Lender to impose applicable increased costs or costs in connection with capital adequacy requirements similar to those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generally on other similarly situated borrowers under similar circumstances under agreements permitting such impositions.</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(a) the acquisition of beneficial ownership by any person or group, other than the Permitted Holders (or any parent of Holdings owned directly or indirectly by the Permitted Holders), of Equity Interests representing 40% or more of the aggregate ordinary voting power represented by the issued and outstanding Equity Interests of Holdings and the aggregate ordinary voting power represented by the issued and outstanding Equity Interests of Holdings beneficially owned by such person or group is greater than the aggregate ordinary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1" w:name="page162"/>
    <w:bookmarkEnd w:id="161"/>
    <w:p>
      <w:pPr>
        <w:jc w:val="both"/>
        <w:spacing w:after="0" w:line="260" w:lineRule="auto"/>
        <w:rPr>
          <w:sz w:val="20"/>
          <w:szCs w:val="20"/>
          <w:color w:val="auto"/>
        </w:rPr>
      </w:pPr>
      <w:r>
        <w:rPr>
          <w:rFonts w:ascii="Arial" w:cs="Arial" w:eastAsia="Arial" w:hAnsi="Arial"/>
          <w:sz w:val="19"/>
          <w:szCs w:val="19"/>
          <w:color w:val="auto"/>
        </w:rPr>
        <w:t>power represented by the issued and outstanding Equity Interests of Holdings beneficially owned by the Permitted Holders, unless the Permitted Holders otherwise have the right (pursuant to contract, proxy or otherwise), directly or indirectly, to designate, nominate or appoint (and do so designate, nominate or appoint) directors of Holdings having a majority of the aggregate votes on the Board of Directors of Holdings or (b) the Borrower ceases to be directly or indirectly wholly owned by Holdings (or any successor of Holdings that has become a Guarantor in lieu of Holdings).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For purposes of this definition, including other defined terms used herein in connection with this definition and notwithstanding anything to the contrary in this definition or any provision of Section 13d-3 of the Exchange Act, (i) “beneficial ownership” shall be as defined in Rules 13(d)-3 and 13(d)-5 under the Exchange Act as in effect on the date hereof, (ii) 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 (iii) if any group includes one or more Permitted Holders, the issued and outstanding Equity Interests of the Borrower, directly or indirectly owned by the Permitted Holders that are part of such group shall not be treated as being beneficially owned by such group or any other member of such group for purposes of this definition, (iv)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unless such person or group has the right to control the voting of such Equity Interests and (v) a person or group will not be deemed to beneficially own the Equity Interests of another person as a result of its ownership of Equity Interests or other securities of such other person’s parent (or related contractual rights) unless it owns 50% or more of the aggregate ordinary voting power represented by the issued and outstanding Equity Interests of such person’s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9.09</w:t>
      </w:r>
      <w:r>
        <w:rPr>
          <w:rFonts w:ascii="Arial" w:cs="Arial" w:eastAsia="Arial" w:hAnsi="Arial"/>
          <w:sz w:val="20"/>
          <w:szCs w:val="20"/>
          <w:color w:val="auto"/>
        </w:rPr>
        <w:t>.</w:t>
      </w:r>
    </w:p>
    <w:p>
      <w:pPr>
        <w:spacing w:after="0" w:line="216" w:lineRule="exact"/>
        <w:rPr>
          <w:sz w:val="20"/>
          <w:szCs w:val="20"/>
          <w:color w:val="auto"/>
        </w:rPr>
      </w:pPr>
    </w:p>
    <w:p>
      <w:pPr>
        <w:jc w:val="both"/>
        <w:ind w:firstLine="6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shall mean (a) when used in respect of any Loan or Borrowing, whether such Loan or the Loans comprising such Borrowing are Initial Term Loans, Other Term Loans, Initial Revolving Loans or Other Revolving Loans; and (b) when used in respect of any Commitment, whether such Commitment is in respect of a commitment to make Initial Term Loans, Other Term Loans, Initial Revolving Loans or Other Revolving Loans. Other Term Loans or Other Revolving Loans that have different terms and conditions (together with the Commitments in respect thereof) from the Initial Term Loans or the Initial Revolving Loans, respectively, or from other Other Term Loans or other Other Revolving Loans, as applicable, shall be construed to be in separate and distinct Classes.</w:t>
      </w:r>
    </w:p>
    <w:p>
      <w:pPr>
        <w:spacing w:after="0" w:line="185" w:lineRule="exact"/>
        <w:rPr>
          <w:sz w:val="20"/>
          <w:szCs w:val="20"/>
          <w:color w:val="auto"/>
        </w:rPr>
      </w:pPr>
    </w:p>
    <w:p>
      <w:pPr>
        <w:jc w:val="both"/>
        <w:ind w:right="20" w:firstLine="6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shall mean the first date on which the conditions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9.08</w:t>
      </w:r>
      <w:r>
        <w:rPr>
          <w:rFonts w:ascii="Arial" w:cs="Arial" w:eastAsia="Arial" w:hAnsi="Arial"/>
          <w:sz w:val="20"/>
          <w:szCs w:val="20"/>
          <w:color w:val="auto"/>
        </w:rPr>
        <w:t>), which date occurred on August 29, 2022.</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Investors</w:t>
      </w:r>
      <w:r>
        <w:rPr>
          <w:rFonts w:ascii="Arial" w:cs="Arial" w:eastAsia="Arial" w:hAnsi="Arial"/>
          <w:sz w:val="20"/>
          <w:szCs w:val="20"/>
          <w:color w:val="auto"/>
        </w:rPr>
        <w:t>” shall mean Persons other than the Management Investors providing a portion of the Equity Raise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2" w:name="page163"/>
    <w:bookmarkEnd w:id="162"/>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shall mean the termination of the commitments under the Existing Credit Agreements, the repayment of all outstanding principal and accrued and unpaid interest and fees owing thereunder and the termination of all guarantees and security thereunder.</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 Term SOFR Administrator</w:t>
      </w:r>
      <w:r>
        <w:rPr>
          <w:rFonts w:ascii="Arial" w:cs="Arial" w:eastAsia="Arial" w:hAnsi="Arial"/>
          <w:sz w:val="20"/>
          <w:szCs w:val="20"/>
          <w:color w:val="auto"/>
        </w:rPr>
        <w:t>” shall mean CME Group Benchmark Administration Limited as administrator of Term SOFR (or a successor administrator).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mean all the “Collateral” as defined in any Security Document and shall also include all other property that is subject to any Lien in favor of the Administrative Agent, the Collateral Agent or any Subagent for the benefit of the Secured Parties pursuant to any Security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to the contrary herein or in any Security Document or other Loan Document, in no case shall the Collateral include any Excluded Property.</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shall have the meaning assigned to such term in the introductory paragraph of this Agreement, together with its permitted successors and assigns.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Agreement</w:t>
      </w:r>
      <w:r>
        <w:rPr>
          <w:rFonts w:ascii="Arial" w:cs="Arial" w:eastAsia="Arial" w:hAnsi="Arial"/>
          <w:sz w:val="20"/>
          <w:szCs w:val="20"/>
          <w:color w:val="auto"/>
        </w:rPr>
        <w:t xml:space="preserve">” shall mean the Collateral Agreement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 xml:space="preserve"> dated as of the Closing Date, as may be amended, restated, amended and restated, supplemented or otherwise modified from time to time, among the Borrower, each Guarantor and the Collateral Agent.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and Guarantee Requirement</w:t>
      </w:r>
      <w:r>
        <w:rPr>
          <w:rFonts w:ascii="Arial" w:cs="Arial" w:eastAsia="Arial" w:hAnsi="Arial"/>
          <w:sz w:val="20"/>
          <w:szCs w:val="20"/>
          <w:color w:val="auto"/>
        </w:rPr>
        <w:t xml:space="preserve">” shall mean the requirement that (in each case, subject to the last three paragraphs of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and subject to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(which, for the avoidance of doubt, shall override the applicable clauses of this definition of “Collateral and Guarantee Requirement”)):</w:t>
      </w:r>
    </w:p>
    <w:p>
      <w:pPr>
        <w:spacing w:after="0" w:line="186" w:lineRule="exact"/>
        <w:rPr>
          <w:sz w:val="20"/>
          <w:szCs w:val="20"/>
          <w:color w:val="auto"/>
        </w:rPr>
      </w:pPr>
    </w:p>
    <w:p>
      <w:pPr>
        <w:jc w:val="both"/>
        <w:ind w:left="660" w:firstLine="644"/>
        <w:spacing w:after="0" w:line="250" w:lineRule="auto"/>
        <w:tabs>
          <w:tab w:leader="none" w:pos="195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on the Closing Date, the Collateral Agent shall have received from the Borrower and each Guarantor, a counterpart of the Collateral Agreement and a counterpart of the Guarantee Agreement, in each case duly executed and delivered on behalf of such person;</w:t>
      </w:r>
    </w:p>
    <w:p>
      <w:pPr>
        <w:spacing w:after="0" w:line="185"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on the Closing Date, (i)(x) all outstanding Equity Interests directly owned by the Loan Parties and Holdings, other than Excluded Securities, and (y) all Indebtedness owing to any Loan Party and Holdings, other than Excluded Securities, shall have been pledged or assigned for security purposes pursuant to the Security Documents and (ii) the Collateral Agent shall have received certificates or other instruments (if any) representing such Equity Interests and any notes or other instruments required to be delivered on the Closing Date pursuant to the applicable Security Documents, together with stock powers, note powers or other instruments of transfer with respect thereto (as applicable) endorsed in blank;</w:t>
      </w:r>
    </w:p>
    <w:p>
      <w:pPr>
        <w:spacing w:after="0" w:line="184" w:lineRule="exact"/>
        <w:rPr>
          <w:rFonts w:ascii="Arial" w:cs="Arial" w:eastAsia="Arial" w:hAnsi="Arial"/>
          <w:sz w:val="19"/>
          <w:szCs w:val="19"/>
          <w:color w:val="auto"/>
        </w:rPr>
      </w:pPr>
    </w:p>
    <w:p>
      <w:pPr>
        <w:jc w:val="both"/>
        <w:ind w:left="660" w:firstLine="644"/>
        <w:spacing w:after="0" w:line="342" w:lineRule="auto"/>
        <w:tabs>
          <w:tab w:leader="none" w:pos="195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any person that becomes a Guarantor after the Closing Date, the Collateral Agent shall have received (i) a supplement to the Guarantee Agreement and (ii) supplements to the Collateral Agreement and any other Security Documents, if applicable, in the form specified therefor or otherwise reasonably acceptable to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3" w:name="page164"/>
    <w:bookmarkEnd w:id="163"/>
    <w:p>
      <w:pPr>
        <w:ind w:left="660"/>
        <w:spacing w:after="0"/>
        <w:rPr>
          <w:sz w:val="20"/>
          <w:szCs w:val="20"/>
          <w:color w:val="auto"/>
        </w:rPr>
      </w:pPr>
      <w:r>
        <w:rPr>
          <w:rFonts w:ascii="Arial" w:cs="Arial" w:eastAsia="Arial" w:hAnsi="Arial"/>
          <w:sz w:val="20"/>
          <w:szCs w:val="20"/>
          <w:color w:val="auto"/>
        </w:rPr>
        <w:t>Administrative Agent, in each case, duly executed and delivered on behalf of such Guarantor;</w:t>
      </w:r>
    </w:p>
    <w:p>
      <w:pPr>
        <w:spacing w:after="0" w:line="216" w:lineRule="exact"/>
        <w:rPr>
          <w:sz w:val="20"/>
          <w:szCs w:val="20"/>
          <w:color w:val="auto"/>
        </w:rPr>
      </w:pPr>
    </w:p>
    <w:p>
      <w:pPr>
        <w:jc w:val="both"/>
        <w:ind w:left="660" w:firstLine="644"/>
        <w:spacing w:after="0" w:line="241" w:lineRule="auto"/>
        <w:tabs>
          <w:tab w:leader="none" w:pos="195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after the Closing Date (i) (x) all outstanding Equity Interests of any person that becomes a Guarantor after the Closing Date and that are held by a Loan Party and (y) all Equity Interests directly owned or acquired by a Loan Party after the Closing Date, in each case, other than Excluded Securities, and (z) all Indebtedness owing to any Loan Party, other than Excluded Securities, shall have been pledged or assigned for security purposes pursuant to the Security Documents and (ii) the Collateral Agent shall have received certificates, updated share registers (if applicable and necessary under the laws of any applicable jurisdiction in order to create a perfected security interest in such Equity Interests) or other instruments (if any) representing such Equity Interests and any notes or other instruments required to be delivered pursuant to the applicable Security Documents, together with stock powers, note powers or other instruments of transfer with respect thereto (as applicable) endorsed in blank;</w:t>
      </w:r>
    </w:p>
    <w:p>
      <w:pPr>
        <w:spacing w:after="0" w:line="201" w:lineRule="exact"/>
        <w:rPr>
          <w:rFonts w:ascii="Arial" w:cs="Arial" w:eastAsia="Arial" w:hAnsi="Arial"/>
          <w:sz w:val="20"/>
          <w:szCs w:val="20"/>
          <w:color w:val="auto"/>
        </w:rPr>
      </w:pPr>
    </w:p>
    <w:p>
      <w:pPr>
        <w:jc w:val="both"/>
        <w:ind w:left="660" w:firstLine="644"/>
        <w:spacing w:after="0" w:line="256" w:lineRule="auto"/>
        <w:tabs>
          <w:tab w:leader="none" w:pos="195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w:t>
      </w:r>
    </w:p>
    <w:p>
      <w:pPr>
        <w:spacing w:after="0" w:line="184" w:lineRule="exact"/>
        <w:rPr>
          <w:rFonts w:ascii="Arial" w:cs="Arial" w:eastAsia="Arial" w:hAnsi="Arial"/>
          <w:sz w:val="19"/>
          <w:szCs w:val="19"/>
          <w:color w:val="auto"/>
        </w:rPr>
      </w:pPr>
    </w:p>
    <w:p>
      <w:pPr>
        <w:ind w:left="660" w:firstLine="644"/>
        <w:spacing w:after="0" w:line="260" w:lineRule="auto"/>
        <w:tabs>
          <w:tab w:leader="none" w:pos="195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evidence of the insurance (if any) required by the terms of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hereof shall have been received by the Collateral Agent; and</w:t>
      </w:r>
    </w:p>
    <w:p>
      <w:pPr>
        <w:spacing w:after="0" w:line="176" w:lineRule="exact"/>
        <w:rPr>
          <w:rFonts w:ascii="Arial" w:cs="Arial" w:eastAsia="Arial" w:hAnsi="Arial"/>
          <w:sz w:val="20"/>
          <w:szCs w:val="20"/>
          <w:color w:val="auto"/>
        </w:rPr>
      </w:pPr>
    </w:p>
    <w:p>
      <w:pPr>
        <w:jc w:val="both"/>
        <w:ind w:left="660" w:firstLine="644"/>
        <w:spacing w:after="0" w:line="291" w:lineRule="auto"/>
        <w:tabs>
          <w:tab w:leader="none" w:pos="195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after the Closing Date, the Collateral Agent shall have received (i) such other Security Documents as may be required to be delivered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the Security Documents and (ii) upon reasonable request by the Collateral Agent, evidence of compliance with any other requirements of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Notwithstanding anything to the contrary in this Agreement or in the other Loan Documents, it is understood that to the extent any Collateral (other than Collateral with respect to which a Lien may be perfected by (A) the filing of a Uniform Commercial Code financing statement, (B) delivery and taking possession of stock certificates of the Borrower and its subsidiaries or (C) the filing of a short-form security agreement with the United States Patent and Trademark Office or the United States Copyright Office) is not or cannot be provided or the security interest of the Collateral Agent therein is not or cannot be perfected on the Closing Date (or, as applicable, the closing date of any Incremental Facility) after the use of commercially reasonable efforts by the Borrower to do so and without undue burden and expense, then the provision and/or perfection of the security interest in such Collateral shall not constitute a condition precedent to any Credit Event on the Closing Date (or, as applicable, the closing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4" w:name="page165"/>
    <w:bookmarkEnd w:id="164"/>
    <w:p>
      <w:pPr>
        <w:jc w:val="both"/>
        <w:spacing w:after="0" w:line="250" w:lineRule="auto"/>
        <w:rPr>
          <w:sz w:val="20"/>
          <w:szCs w:val="20"/>
          <w:color w:val="auto"/>
        </w:rPr>
      </w:pPr>
      <w:r>
        <w:rPr>
          <w:rFonts w:ascii="Arial" w:cs="Arial" w:eastAsia="Arial" w:hAnsi="Arial"/>
          <w:sz w:val="20"/>
          <w:szCs w:val="20"/>
          <w:color w:val="auto"/>
        </w:rPr>
        <w:t xml:space="preserve">any Incremental Facility) but, instead, shall be required to be delivered and perfected within 90 days after the Closing Date or such earlier date specified therefor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(subject to extension by the Administrative Agent in its reasonable discretion).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shall mean (a) with respect to any Lender, such Lender’s Revolving Facility Commitment and Term Facility Commitment and (b) with respect to the Swingline Lender, the Swingline Lender’s Swingline Commitment (it being understood that a Swingline Commitment does not increase the Swingline Lender’s Revolving Facility Commitment).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shall mean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w:t>
      </w:r>
      <w:r>
        <w:rPr>
          <w:rFonts w:ascii="Arial" w:cs="Arial" w:eastAsia="Arial" w:hAnsi="Arial"/>
          <w:sz w:val="19"/>
          <w:szCs w:val="19"/>
          <w:color w:val="auto"/>
        </w:rPr>
        <w:t>” shall mean, collectively, any notice, demand, communication, information, document or other material provided by or on behalf of any Loan Party pursuant to any Loan Document or the transactions contemplated therein which is distributed by the Administrative Agent, the Collateral Agent or any Lender by means of electronic communications pursuant to this Section, including through an Approved Electronic Platform.</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shall mean a certificate of the chief financial officer or the treasurer of the Borrower substantially in the form attached as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Debt</w:t>
      </w:r>
      <w:r>
        <w:rPr>
          <w:rFonts w:ascii="Arial" w:cs="Arial" w:eastAsia="Arial" w:hAnsi="Arial"/>
          <w:sz w:val="18"/>
          <w:szCs w:val="18"/>
          <w:color w:val="auto"/>
        </w:rPr>
        <w:t>” shall mean, as of any date of determination, the sum of (without duplication) the principal amount of (x) all Indebtedness for borrowed money of the Borrower and the Subsidiaries and (y) guarantees by the Borrower and the Subsidiaries of Indebtedness for borrowed money, in each case determined on a consolidated basis on such date.</w:t>
      </w:r>
    </w:p>
    <w:p>
      <w:pPr>
        <w:spacing w:after="0" w:line="15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shall mean the sum of (a) cash interest expense (including that attributable to Capitalized Lease Obligations), net of cash interest income, of the Borrower and the Subsidiaries with respect to all outstanding Indebtedness of the Borrower and the Subsidiaries, including all commissions, discounts and other fees and charges owed with respect to letters of credit and bankers’ acceptance financing and net costs under hedging agreements plus</w:t>
      </w:r>
    </w:p>
    <w:p>
      <w:pPr>
        <w:spacing w:after="0" w:line="2" w:lineRule="exact"/>
        <w:rPr>
          <w:sz w:val="20"/>
          <w:szCs w:val="20"/>
          <w:color w:val="auto"/>
        </w:rPr>
      </w:pPr>
    </w:p>
    <w:p>
      <w:pPr>
        <w:jc w:val="both"/>
        <w:ind w:firstLine="8"/>
        <w:spacing w:after="0" w:line="269" w:lineRule="auto"/>
        <w:tabs>
          <w:tab w:leader="none" w:pos="3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non-cash interest expense resulting solely from (i) the amortization of original issue discount from the issuance of Indebtedness of the Borrower and the Subsidiaries at less than par and (ii) pay in kind interest expense of the Borrower and the Subsidiaries, plus (c) the amount of cash dividends or distributions made by the Borrower and the Subsidiaries in respect of preferred Equity Interests (including all Disqualified Stock), but excluding, for the avoidance of doubt, (i) amortization of deferred financing costs, debt issuance costs, commissions, fees and expenses and any other amounts of non-cash interest other than specifically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and other fees and charges (including any interest expense) incurred in connection with any Qualified Receivables Facilities, (v) all non-recurring cash interest expense or “additional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5" w:name="page166"/>
    <w:bookmarkEnd w:id="165"/>
    <w:p>
      <w:pPr>
        <w:jc w:val="both"/>
        <w:spacing w:after="0" w:line="257" w:lineRule="auto"/>
        <w:rPr>
          <w:sz w:val="20"/>
          <w:szCs w:val="20"/>
          <w:color w:val="auto"/>
        </w:rPr>
      </w:pPr>
      <w:r>
        <w:rPr>
          <w:rFonts w:ascii="Arial" w:cs="Arial" w:eastAsia="Arial" w:hAnsi="Arial"/>
          <w:sz w:val="19"/>
          <w:szCs w:val="19"/>
          <w:color w:val="auto"/>
        </w:rPr>
        <w:t>for failure to timely comply with registration rights obligations, (vi) any interest expense attributable to the exercise of appraisal rights and the settlement of any claims or actions (whether actual, contingent or potential) with respect to any Investment, all as calculated on a consolidated basis in accordance with GAAP, (vii) any payments with respect to make-whole premiums or other breakage costs of any Indebtedness, (viii) penalties and interest relating to Taxes, (ix) accretion or accrual of discounted liabilities not constituting Indebtedness, (x) any interest expense attributable to a direct or indirect parent entity resulting from push down accounting and (xi) any expense resulting from the discounting of Indebtedness in connection with the application of recapitalization or purchase accounting.</w:t>
      </w:r>
    </w:p>
    <w:p>
      <w:pPr>
        <w:spacing w:after="0" w:line="18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shall mean, for any period, the net income (loss) of the Borrower and the Subsidiaries for such period determined on a consolidated basis in accordance with GAAP, excluding, without duplication:</w:t>
      </w:r>
    </w:p>
    <w:p>
      <w:pPr>
        <w:spacing w:after="0" w:line="130" w:lineRule="exact"/>
        <w:rPr>
          <w:sz w:val="20"/>
          <w:szCs w:val="20"/>
          <w:color w:val="auto"/>
        </w:rPr>
      </w:pPr>
    </w:p>
    <w:p>
      <w:pPr>
        <w:jc w:val="both"/>
        <w:ind w:left="660" w:right="20" w:firstLine="644"/>
        <w:spacing w:after="0" w:line="291" w:lineRule="auto"/>
        <w:tabs>
          <w:tab w:leader="none" w:pos="19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extraordinary, non-recurring or unusual gains or losses (less all fees and expenses relating thereto) or expenses (other than as described in </w:t>
      </w:r>
      <w:r>
        <w:rPr>
          <w:rFonts w:ascii="Arial" w:cs="Arial" w:eastAsia="Arial" w:hAnsi="Arial"/>
          <w:sz w:val="18"/>
          <w:szCs w:val="18"/>
          <w:u w:val="single" w:color="auto"/>
          <w:color w:val="auto"/>
        </w:rPr>
        <w:t>clause (a)(x)</w:t>
      </w:r>
      <w:r>
        <w:rPr>
          <w:rFonts w:ascii="Arial" w:cs="Arial" w:eastAsia="Arial" w:hAnsi="Arial"/>
          <w:sz w:val="18"/>
          <w:szCs w:val="18"/>
          <w:color w:val="auto"/>
        </w:rPr>
        <w:t xml:space="preserve"> of the definition of “Adjusted Consolidated EBITDA”) (including any such accruals or reserves in respect of any extraordinary, non-recurring or unusual items),</w:t>
      </w:r>
    </w:p>
    <w:p>
      <w:pPr>
        <w:spacing w:after="0" w:line="151" w:lineRule="exact"/>
        <w:rPr>
          <w:rFonts w:ascii="Arial" w:cs="Arial" w:eastAsia="Arial" w:hAnsi="Arial"/>
          <w:sz w:val="18"/>
          <w:szCs w:val="18"/>
          <w:color w:val="auto"/>
        </w:rPr>
      </w:pPr>
    </w:p>
    <w:p>
      <w:pPr>
        <w:ind w:left="660" w:right="20" w:firstLine="644"/>
        <w:spacing w:after="0" w:line="316" w:lineRule="auto"/>
        <w:tabs>
          <w:tab w:leader="none" w:pos="19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and changes as a result of the adoption or modification of accounting policies during such period to the extent included in Consolidated Net Income,</w:t>
      </w:r>
    </w:p>
    <w:p>
      <w:pPr>
        <w:spacing w:after="0" w:line="129" w:lineRule="exact"/>
        <w:rPr>
          <w:rFonts w:ascii="Arial" w:cs="Arial" w:eastAsia="Arial" w:hAnsi="Arial"/>
          <w:sz w:val="18"/>
          <w:szCs w:val="18"/>
          <w:color w:val="auto"/>
        </w:rPr>
      </w:pPr>
    </w:p>
    <w:p>
      <w:pPr>
        <w:ind w:left="1960" w:hanging="656"/>
        <w:spacing w:after="0"/>
        <w:tabs>
          <w:tab w:leader="none" w:pos="19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Transaction Costs,</w:t>
      </w:r>
    </w:p>
    <w:p>
      <w:pPr>
        <w:spacing w:after="0" w:line="215"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the net income for such period of any person that is an Unrestricted Subsidiary and any person that is not a Subsidiary or that is accounted for by the equity method of accounting; </w:t>
      </w:r>
      <w:r>
        <w:rPr>
          <w:rFonts w:ascii="Arial" w:cs="Arial" w:eastAsia="Arial" w:hAnsi="Arial"/>
          <w:sz w:val="20"/>
          <w:szCs w:val="20"/>
          <w:u w:val="single" w:color="auto"/>
          <w:color w:val="auto"/>
        </w:rPr>
        <w:t>provided</w:t>
      </w:r>
      <w:r>
        <w:rPr>
          <w:rFonts w:ascii="Arial" w:cs="Arial" w:eastAsia="Arial" w:hAnsi="Arial"/>
          <w:sz w:val="20"/>
          <w:szCs w:val="20"/>
          <w:color w:val="auto"/>
        </w:rPr>
        <w:t>, that Consolidated Net Income shall be increased by the amount of dividends or distributions or other payments that are actually paid in cash or Permitted Investments (or, if not paid in cash or Permitted Investments, but later converted into cash or Permitted Investments, upon such conversion) by such person to the Borrower or a Subsidiary thereof during such period,</w:t>
      </w:r>
    </w:p>
    <w:p>
      <w:pPr>
        <w:spacing w:after="0" w:line="195" w:lineRule="exact"/>
        <w:rPr>
          <w:rFonts w:ascii="Arial" w:cs="Arial" w:eastAsia="Arial" w:hAnsi="Arial"/>
          <w:sz w:val="20"/>
          <w:szCs w:val="20"/>
          <w:color w:val="auto"/>
        </w:rPr>
      </w:pPr>
    </w:p>
    <w:p>
      <w:pPr>
        <w:jc w:val="both"/>
        <w:ind w:left="660" w:firstLine="644"/>
        <w:spacing w:after="0" w:line="272" w:lineRule="auto"/>
        <w:tabs>
          <w:tab w:leader="none" w:pos="19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fees and expenses (including any transaction or retention bonus or similar payment, any earnout, contingent consideration obligation or purchase price adjustment)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6" w:name="page167"/>
    <w:bookmarkEnd w:id="166"/>
    <w:p>
      <w:pPr>
        <w:ind w:left="200" w:right="20" w:firstLine="644"/>
        <w:spacing w:after="0" w:line="260" w:lineRule="auto"/>
        <w:tabs>
          <w:tab w:leader="none" w:pos="149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income (loss) for such period attributable to the early extinguishment of Indebtedness, hedging agreements or other derivative instruments,</w:t>
      </w:r>
    </w:p>
    <w:p>
      <w:pPr>
        <w:spacing w:after="0" w:line="176" w:lineRule="exact"/>
        <w:rPr>
          <w:rFonts w:ascii="Arial" w:cs="Arial" w:eastAsia="Arial" w:hAnsi="Arial"/>
          <w:sz w:val="20"/>
          <w:szCs w:val="20"/>
          <w:color w:val="auto"/>
        </w:rPr>
      </w:pPr>
    </w:p>
    <w:p>
      <w:pPr>
        <w:jc w:val="both"/>
        <w:ind w:left="200" w:firstLine="644"/>
        <w:spacing w:after="0" w:line="291" w:lineRule="auto"/>
        <w:tabs>
          <w:tab w:leader="none" w:pos="14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as a result of the Transactions or within 12 months after the Closing Date in accordance with GAAP (including any adjustment of estimated payouts on existing earn-outs) or changes as a result of the adoption or modification of accounting policies during such period,</w:t>
      </w:r>
    </w:p>
    <w:p>
      <w:pPr>
        <w:spacing w:after="0" w:line="151" w:lineRule="exact"/>
        <w:rPr>
          <w:rFonts w:ascii="Arial" w:cs="Arial" w:eastAsia="Arial" w:hAnsi="Arial"/>
          <w:sz w:val="18"/>
          <w:szCs w:val="18"/>
          <w:color w:val="auto"/>
        </w:rPr>
      </w:pPr>
    </w:p>
    <w:p>
      <w:pPr>
        <w:ind w:left="1500" w:hanging="656"/>
        <w:spacing w:after="0"/>
        <w:tabs>
          <w:tab w:leader="none" w:pos="15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all Non-Cash Compensation Expenses,</w:t>
      </w:r>
    </w:p>
    <w:p>
      <w:pPr>
        <w:spacing w:after="0" w:line="215" w:lineRule="exact"/>
        <w:rPr>
          <w:rFonts w:ascii="Arial" w:cs="Arial" w:eastAsia="Arial" w:hAnsi="Arial"/>
          <w:sz w:val="20"/>
          <w:szCs w:val="20"/>
          <w:color w:val="auto"/>
        </w:rPr>
      </w:pPr>
    </w:p>
    <w:p>
      <w:pPr>
        <w:ind w:left="1500" w:hanging="656"/>
        <w:spacing w:after="0"/>
        <w:tabs>
          <w:tab w:leader="none" w:pos="15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income (loss) attributable to deferred compensation plans or trusts,</w:t>
      </w:r>
    </w:p>
    <w:p>
      <w:pPr>
        <w:spacing w:after="0" w:line="215"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income (loss) from investments recorded using the equity method of accounting (but including any cash dividends or distributions actually received by the Borrower or any Subsidiary in respect of such investment),</w:t>
      </w:r>
    </w:p>
    <w:p>
      <w:pPr>
        <w:spacing w:after="0" w:line="185" w:lineRule="exact"/>
        <w:rPr>
          <w:rFonts w:ascii="Arial" w:cs="Arial" w:eastAsia="Arial" w:hAnsi="Arial"/>
          <w:sz w:val="20"/>
          <w:szCs w:val="20"/>
          <w:color w:val="auto"/>
        </w:rPr>
      </w:pPr>
    </w:p>
    <w:p>
      <w:pPr>
        <w:jc w:val="both"/>
        <w:ind w:left="200" w:firstLine="644"/>
        <w:spacing w:after="0" w:line="273" w:lineRule="auto"/>
        <w:tabs>
          <w:tab w:leader="none" w:pos="14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gain (loss) on asset sales, disposals or abandonments (other than asset sales, disposals or abandonments in the ordinary course of business) or income (loss) from discontinued operations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to the contrary herein or in any classification under GAAP of any person, business, assets or operations in respect of which a definitive agreement for the disposition, abandonment, transfer, closure or discontinuation of operations thereof has been entered into as discontinued operations, at the Borrower’s option, no pro forma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w:t>
      </w:r>
    </w:p>
    <w:p>
      <w:pPr>
        <w:spacing w:after="0" w:line="168" w:lineRule="exact"/>
        <w:rPr>
          <w:rFonts w:ascii="Arial" w:cs="Arial" w:eastAsia="Arial" w:hAnsi="Arial"/>
          <w:sz w:val="18"/>
          <w:szCs w:val="18"/>
          <w:color w:val="auto"/>
        </w:rPr>
      </w:pPr>
    </w:p>
    <w:p>
      <w:pPr>
        <w:jc w:val="both"/>
        <w:ind w:left="200" w:firstLine="644"/>
        <w:spacing w:after="0" w:line="278" w:lineRule="auto"/>
        <w:tabs>
          <w:tab w:leader="none" w:pos="14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any non-cash gain (loss) attributable to the mark-to-market movement in the valuation of hedging obligations or other derivative instruments pursuant to FASB Accounting Standards Codification 815-Derivatives and Hedging or mark-to-market movement of other financial instruments pursuant to FASB Accounting Standards Codification 825-Financial Instruments in such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any cash payments or receipts relating to transactions realized in a given period shall be taken into account in such period,</w:t>
      </w:r>
    </w:p>
    <w:p>
      <w:pPr>
        <w:spacing w:after="0" w:line="164" w:lineRule="exact"/>
        <w:rPr>
          <w:rFonts w:ascii="Arial" w:cs="Arial" w:eastAsia="Arial" w:hAnsi="Arial"/>
          <w:sz w:val="18"/>
          <w:szCs w:val="18"/>
          <w:color w:val="auto"/>
        </w:rPr>
      </w:pPr>
    </w:p>
    <w:p>
      <w:pPr>
        <w:jc w:val="both"/>
        <w:ind w:left="200" w:firstLine="644"/>
        <w:spacing w:after="0" w:line="250" w:lineRule="auto"/>
        <w:tabs>
          <w:tab w:leader="none" w:pos="149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non-cash gain (loss) related to currency remeasurements of Indebtedness, net loss or gain resulting from hedging agreements for currency exchange, interest rate or commodities risk and revaluations of intercompany balances and other balance sheet items,</w:t>
      </w:r>
    </w:p>
    <w:p>
      <w:pPr>
        <w:spacing w:after="0" w:line="185" w:lineRule="exact"/>
        <w:rPr>
          <w:rFonts w:ascii="Arial" w:cs="Arial" w:eastAsia="Arial" w:hAnsi="Arial"/>
          <w:sz w:val="20"/>
          <w:szCs w:val="20"/>
          <w:color w:val="auto"/>
        </w:rPr>
      </w:pPr>
    </w:p>
    <w:p>
      <w:pPr>
        <w:jc w:val="both"/>
        <w:ind w:left="200" w:firstLine="644"/>
        <w:spacing w:after="0" w:line="328" w:lineRule="auto"/>
        <w:tabs>
          <w:tab w:leader="none" w:pos="149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any non-cash expenses, accruals or reserves related to adjustments to historical Tax exposures or non-cash charges for deferred Tax asset valuation allowances (except to the extent reversing a previously recognized increase to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cash payment in respect thereof in such future period shall be subtracted from Consolidated Net Income for the period in which such cash payment was made,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67" w:name="page168"/>
    <w:bookmarkEnd w:id="167"/>
    <w:p>
      <w:pPr>
        <w:jc w:val="both"/>
        <w:ind w:left="660" w:firstLine="644"/>
        <w:spacing w:after="0" w:line="250" w:lineRule="auto"/>
        <w:tabs>
          <w:tab w:leader="none" w:pos="195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any impairment charge or asset write-off or write-down (other than with respect to Inventory or Accounts but including related to intangible assets (including goodwill), long-lived assets and investments in debt and equity securities),</w:t>
      </w:r>
    </w:p>
    <w:p>
      <w:pPr>
        <w:spacing w:after="0" w:line="185"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one hundred and eighty (180) days and (ii) in fact reimbursed within three hundred and sixty five (365) days of the date of such evidence (with a deduction for any amount so added back to the extent not so reimbursed within three hundred and sixty five (365) days), expenses with respect to liability or casualty events or business interruption shall be excluded, and</w:t>
      </w:r>
    </w:p>
    <w:p>
      <w:pPr>
        <w:spacing w:after="0" w:line="192" w:lineRule="exact"/>
        <w:rPr>
          <w:rFonts w:ascii="Arial" w:cs="Arial" w:eastAsia="Arial" w:hAnsi="Arial"/>
          <w:sz w:val="20"/>
          <w:szCs w:val="20"/>
          <w:color w:val="auto"/>
        </w:rPr>
      </w:pPr>
    </w:p>
    <w:p>
      <w:pPr>
        <w:jc w:val="both"/>
        <w:ind w:left="660" w:firstLine="644"/>
        <w:spacing w:after="0" w:line="271" w:lineRule="auto"/>
        <w:tabs>
          <w:tab w:leader="none" w:pos="195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solely for purposes of calculating the Available Amount, the Consolidated Net Income for such period of any Subsidiary of such person shall be excluded to the extent that the declaration or payment of dividends or similar distributions by such Subsidiary of its Consolidated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w:t>
      </w:r>
      <w:r>
        <w:rPr>
          <w:rFonts w:ascii="Arial" w:cs="Arial" w:eastAsia="Arial" w:hAnsi="Arial"/>
          <w:sz w:val="18"/>
          <w:szCs w:val="18"/>
          <w:u w:val="single" w:color="auto"/>
          <w:color w:val="auto"/>
        </w:rPr>
        <w:t>clause (q)</w:t>
      </w:r>
      <w:r>
        <w:rPr>
          <w:rFonts w:ascii="Arial" w:cs="Arial" w:eastAsia="Arial" w:hAnsi="Arial"/>
          <w:sz w:val="18"/>
          <w:szCs w:val="18"/>
          <w:color w:val="auto"/>
        </w:rPr>
        <w:t>), to the extent not already included therein.</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 pronouncements (including the effects of such adjustments pushed down to the Borrower and the Subsidiaries), as a result of any acquisition or Investment consummated prior to the Closing Date and any Permitted Acquisition or other Investment permitted hereunder or the amortization or write-off of any amounts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extent not already included in Consolidated Net Income, Consolidated Net Income shall include</w:t>
      </w:r>
    </w:p>
    <w:p>
      <w:pPr>
        <w:spacing w:after="0" w:line="39" w:lineRule="exact"/>
        <w:rPr>
          <w:sz w:val="20"/>
          <w:szCs w:val="20"/>
          <w:color w:val="auto"/>
        </w:rPr>
      </w:pPr>
    </w:p>
    <w:p>
      <w:pPr>
        <w:jc w:val="both"/>
        <w:ind w:firstLine="8"/>
        <w:spacing w:after="0" w:line="274" w:lineRule="auto"/>
        <w:tabs>
          <w:tab w:leader="none" w:pos="2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amount of proceeds received or due from business interruption insurance or reimbursement of expenses and charges that are covered by indemnification, insurance and other reimbursement provisions in connection with any acquisition or other Investment or any disposition of any asset permitted hereunder or that occurred prior to the Closing Date (net of any amount so added back in any prior period to the extent not so reimbursed within a two-year period) and (ii) the amount of any cash Tax benefits related to the Tax amortization of intangible assets in such period.</w:t>
      </w:r>
    </w:p>
    <w:p>
      <w:pPr>
        <w:spacing w:after="0" w:line="16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shall mean, as of any date of determination, the total assets of the Borrower and the Subsidiaries, determined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8" w:name="page169"/>
    <w:bookmarkEnd w:id="168"/>
    <w:p>
      <w:pPr>
        <w:jc w:val="both"/>
        <w:spacing w:after="0" w:line="246" w:lineRule="auto"/>
        <w:rPr>
          <w:sz w:val="20"/>
          <w:szCs w:val="20"/>
          <w:color w:val="auto"/>
        </w:rPr>
      </w:pPr>
      <w:r>
        <w:rPr>
          <w:rFonts w:ascii="Arial" w:cs="Arial" w:eastAsia="Arial" w:hAnsi="Arial"/>
          <w:sz w:val="20"/>
          <w:szCs w:val="20"/>
          <w:color w:val="auto"/>
        </w:rPr>
        <w:t xml:space="preserve">but excluding amounts attributable to Investments in Unrestricted Subsidiaries, as set forth on the consolidated balance sheet of the Borrower as of the last day of the Test Period ending immediately prior to such date for which financial statements of the Borrower have been delivered (or were required to be delivered) pursuant to </w:t>
      </w:r>
      <w:r>
        <w:rPr>
          <w:rFonts w:ascii="Arial" w:cs="Arial" w:eastAsia="Arial" w:hAnsi="Arial"/>
          <w:sz w:val="20"/>
          <w:szCs w:val="20"/>
          <w:u w:val="single" w:color="auto"/>
          <w:color w:val="auto"/>
        </w:rPr>
        <w:t>Section 5.04(a)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5.04(b)</w:t>
      </w:r>
      <w:r>
        <w:rPr>
          <w:rFonts w:ascii="Arial" w:cs="Arial" w:eastAsia="Arial" w:hAnsi="Arial"/>
          <w:sz w:val="20"/>
          <w:szCs w:val="20"/>
          <w:color w:val="auto"/>
        </w:rPr>
        <w:t>, as applicable. Consolidated Total Assets shall be determined on a Pro Forma Basis.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Net Debt</w:t>
      </w:r>
      <w:r>
        <w:rPr>
          <w:rFonts w:ascii="Arial" w:cs="Arial" w:eastAsia="Arial" w:hAnsi="Arial"/>
          <w:sz w:val="20"/>
          <w:szCs w:val="20"/>
          <w:color w:val="auto"/>
        </w:rPr>
        <w:t>” shall mean, as of any date of determination, (i) Consolidated Debt on such date less (ii) the Unrestricted Cash Amount on such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Letter of Credit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2.05(k)</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Indebtedness</w:t>
      </w:r>
      <w:r>
        <w:rPr>
          <w:rFonts w:ascii="Arial" w:cs="Arial" w:eastAsia="Arial" w:hAnsi="Arial"/>
          <w:sz w:val="18"/>
          <w:szCs w:val="18"/>
          <w:color w:val="auto"/>
        </w:rPr>
        <w:t>” shall mean Indebtedness of the Borrower or any Subsidiary in an aggregate outstanding principal amount not greater than 100% of the aggregate amount of cash contributions (including such contributions in exchange for Equity Interests in the Borrower, but excluding Specified Equity Contributions) (other than any such cash contributions that have been applied to increase the Available Amount or otherwise applied to increase any basket or exception under this Agreement) made to the equity capital of the Borrower after the Closing Date.</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shall mean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20"/>
          <w:szCs w:val="20"/>
          <w:u w:val="single" w:color="auto"/>
          <w:color w:val="auto"/>
        </w:rPr>
        <w:t>Controls</w:t>
      </w:r>
      <w:r>
        <w:rPr>
          <w:rFonts w:ascii="Arial" w:cs="Arial" w:eastAsia="Arial" w:hAnsi="Arial"/>
          <w:sz w:val="20"/>
          <w:szCs w:val="20"/>
          <w:color w:val="auto"/>
        </w:rPr>
        <w:t>,” “</w:t>
      </w:r>
      <w:r>
        <w:rPr>
          <w:rFonts w:ascii="Arial" w:cs="Arial" w:eastAsia="Arial" w:hAnsi="Arial"/>
          <w:sz w:val="20"/>
          <w:szCs w:val="20"/>
          <w:u w:val="single" w:color="auto"/>
          <w:color w:val="auto"/>
        </w:rPr>
        <w:t>Controlled</w:t>
      </w:r>
      <w:r>
        <w:rPr>
          <w:rFonts w:ascii="Arial" w:cs="Arial" w:eastAsia="Arial" w:hAnsi="Arial"/>
          <w:sz w:val="20"/>
          <w:szCs w:val="20"/>
          <w:color w:val="auto"/>
        </w:rPr>
        <w:t>” and “</w:t>
      </w:r>
      <w:r>
        <w:rPr>
          <w:rFonts w:ascii="Arial" w:cs="Arial" w:eastAsia="Arial" w:hAnsi="Arial"/>
          <w:sz w:val="20"/>
          <w:szCs w:val="20"/>
          <w:u w:val="single" w:color="auto"/>
          <w:color w:val="auto"/>
        </w:rPr>
        <w:t>Controlling</w:t>
      </w:r>
      <w:r>
        <w:rPr>
          <w:rFonts w:ascii="Arial" w:cs="Arial" w:eastAsia="Arial" w:hAnsi="Arial"/>
          <w:sz w:val="20"/>
          <w:szCs w:val="20"/>
          <w:color w:val="auto"/>
        </w:rPr>
        <w:t>” shall have meanings correlative thereto.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Converted Restricted Subsidiary</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the definition of the term “Adjusted Consolidated EBITDA.”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Converted Unrestricted Subsidiary</w:t>
      </w:r>
      <w:r>
        <w:rPr>
          <w:rFonts w:ascii="Arial" w:cs="Arial" w:eastAsia="Arial" w:hAnsi="Arial"/>
          <w:sz w:val="20"/>
          <w:szCs w:val="20"/>
          <w:color w:val="auto"/>
        </w:rPr>
        <w:t xml:space="preserve">” shall have the meaning assigned to such term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in the definition of the term “Adjusted Consolidated EBITDA.”</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Corresponding Tenor</w:t>
      </w:r>
      <w:r>
        <w:rPr>
          <w:rFonts w:ascii="Arial" w:cs="Arial" w:eastAsia="Arial" w:hAnsi="Arial"/>
          <w:sz w:val="20"/>
          <w:szCs w:val="20"/>
          <w:color w:val="auto"/>
        </w:rPr>
        <w:t>” with respect to any Available Tenor shall mean, as applicable, either a tenor (including overnight) or an interest payment period having approximately the same length (disregarding business day adjustment) as such Available Tenor.</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9.24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Event</w:t>
      </w:r>
      <w:r>
        <w:rPr>
          <w:rFonts w:ascii="Arial" w:cs="Arial" w:eastAsia="Arial" w:hAnsi="Arial"/>
          <w:sz w:val="20"/>
          <w:szCs w:val="20"/>
          <w:color w:val="auto"/>
        </w:rPr>
        <w:t>” shall mean each Borrowing (but not, for the avoidance of doubt, the continuation of any Loan or conversion of any Loan from one Type to another) and each issuance, amendment, extension or renewal of a Letter of Credit or increase of the stated amount of a Letter of Credit.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Cumulative Qualified Equity Proceeds Amount</w:t>
      </w:r>
      <w:r>
        <w:rPr>
          <w:rFonts w:ascii="Arial" w:cs="Arial" w:eastAsia="Arial" w:hAnsi="Arial"/>
          <w:sz w:val="20"/>
          <w:szCs w:val="20"/>
          <w:color w:val="auto"/>
        </w:rPr>
        <w:t>” shall mean, at any date of determination, an amount equal to,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9" w:name="page170"/>
    <w:bookmarkEnd w:id="169"/>
    <w:p>
      <w:pPr>
        <w:jc w:val="both"/>
        <w:ind w:left="660" w:firstLine="644"/>
        <w:spacing w:after="0" w:line="274" w:lineRule="auto"/>
        <w:tabs>
          <w:tab w:leader="none" w:pos="195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(determined in a manner consistent with the definition of “Net Proceeds”), including cash and the Fair Market Value of tangible assets other than cash, received by the Borrower after the Closing Date from the issue or sale of its Qualified Equity Interests, including Qualified Equity Interests of the Borrower issued upon conversion of Indebtedness or Disqualified Stock to the extent the Borrower or its Wholly Owned Subsidiaries had received the Net Proceeds of such Indebtedness or Disqualified Stock and the receipt of such proceeds did not increase the amount available for incurrences of Indebtedness, Investments, Restricted Payments or Junior Debt Restricted Payments pursuant to any other provision of this Agreement; </w:t>
      </w:r>
      <w:r>
        <w:rPr>
          <w:rFonts w:ascii="Arial" w:cs="Arial" w:eastAsia="Arial" w:hAnsi="Arial"/>
          <w:sz w:val="18"/>
          <w:szCs w:val="18"/>
          <w:u w:val="single" w:color="auto"/>
          <w:color w:val="auto"/>
        </w:rPr>
        <w:t>plus</w:t>
      </w:r>
    </w:p>
    <w:p>
      <w:pPr>
        <w:spacing w:after="0" w:line="168"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100% of the aggregate amount received by the Borrower or its Wholly Owned Subsidiaries in cash and the Fair Market Value of assets other than cash received by the Borrower or its Wholly Owned Subsidiaries after the Closing Date from (without duplication of amounts):</w:t>
      </w:r>
    </w:p>
    <w:p>
      <w:pPr>
        <w:spacing w:after="0" w:line="185" w:lineRule="exact"/>
        <w:rPr>
          <w:rFonts w:ascii="Arial" w:cs="Arial" w:eastAsia="Arial" w:hAnsi="Arial"/>
          <w:sz w:val="20"/>
          <w:szCs w:val="20"/>
          <w:color w:val="auto"/>
        </w:rPr>
      </w:pPr>
    </w:p>
    <w:p>
      <w:pPr>
        <w:jc w:val="both"/>
        <w:ind w:left="1300" w:firstLine="652"/>
        <w:spacing w:after="0" w:line="243" w:lineRule="auto"/>
        <w:tabs>
          <w:tab w:leader="none" w:pos="2596"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the sale or other disposition (other than to the Borrower or any Subsidiary) of any Investment made by the Borrower and its Subsidiaries and repurchases and redemptions of such Investment from the Borrower and its Subsidiaries by any person (other than the Borrower and its Subsidiaries) to the extent that (x) such Investment was justified as using a portion of the Available Amount pursuant to </w:t>
      </w:r>
      <w:r>
        <w:rPr>
          <w:rFonts w:ascii="Arial" w:cs="Arial" w:eastAsia="Arial" w:hAnsi="Arial"/>
          <w:sz w:val="20"/>
          <w:szCs w:val="20"/>
          <w:u w:val="single" w:color="auto"/>
          <w:color w:val="auto"/>
        </w:rPr>
        <w:t>clause (X)</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6.04(j)</w:t>
      </w:r>
      <w:r>
        <w:rPr>
          <w:rFonts w:ascii="Arial" w:cs="Arial" w:eastAsia="Arial" w:hAnsi="Arial"/>
          <w:sz w:val="20"/>
          <w:szCs w:val="20"/>
          <w:color w:val="auto"/>
        </w:rPr>
        <w:t xml:space="preserve"> and (y) the Net Proceeds thereof are not required to be applied pursuant to </w:t>
      </w:r>
      <w:r>
        <w:rPr>
          <w:rFonts w:ascii="Arial" w:cs="Arial" w:eastAsia="Arial" w:hAnsi="Arial"/>
          <w:sz w:val="20"/>
          <w:szCs w:val="20"/>
          <w:u w:val="single" w:color="auto"/>
          <w:color w:val="auto"/>
        </w:rPr>
        <w:t>Section 2.11(b)</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the sale (other than to the Borrower or a Subsidiary) of the Equity Interests of an Unrestricted Subsidiary to the extent that (x) the designation of such Unrestricted Subsidiary was justified as using a portion of the Available Amount pursuant to </w:t>
      </w:r>
      <w:r>
        <w:rPr>
          <w:rFonts w:ascii="Arial" w:cs="Arial" w:eastAsia="Arial" w:hAnsi="Arial"/>
          <w:sz w:val="20"/>
          <w:szCs w:val="20"/>
          <w:u w:val="single" w:color="auto"/>
          <w:color w:val="auto"/>
        </w:rPr>
        <w:t>clause (X)</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6.04(j)</w:t>
      </w:r>
      <w:r>
        <w:rPr>
          <w:rFonts w:ascii="Arial" w:cs="Arial" w:eastAsia="Arial" w:hAnsi="Arial"/>
          <w:sz w:val="20"/>
          <w:szCs w:val="20"/>
          <w:color w:val="auto"/>
        </w:rPr>
        <w:t xml:space="preserve"> and (y) the Net Proceeds thereof are not required to be applied pursuant to </w:t>
      </w:r>
      <w:r>
        <w:rPr>
          <w:rFonts w:ascii="Arial" w:cs="Arial" w:eastAsia="Arial" w:hAnsi="Arial"/>
          <w:sz w:val="20"/>
          <w:szCs w:val="20"/>
          <w:u w:val="single" w:color="auto"/>
          <w:color w:val="auto"/>
        </w:rPr>
        <w:t>Section 2.11(b)</w:t>
      </w:r>
      <w:r>
        <w:rPr>
          <w:rFonts w:ascii="Arial" w:cs="Arial" w:eastAsia="Arial" w:hAnsi="Arial"/>
          <w:sz w:val="20"/>
          <w:szCs w:val="20"/>
          <w:color w:val="auto"/>
        </w:rPr>
        <w:t>; or</w:t>
      </w:r>
    </w:p>
    <w:p>
      <w:pPr>
        <w:spacing w:after="0" w:line="191" w:lineRule="exact"/>
        <w:rPr>
          <w:rFonts w:ascii="Arial" w:cs="Arial" w:eastAsia="Arial" w:hAnsi="Arial"/>
          <w:sz w:val="20"/>
          <w:szCs w:val="20"/>
          <w:color w:val="auto"/>
        </w:rPr>
      </w:pPr>
    </w:p>
    <w:p>
      <w:pPr>
        <w:jc w:val="both"/>
        <w:ind w:left="1300" w:firstLine="652"/>
        <w:spacing w:after="0" w:line="269" w:lineRule="auto"/>
        <w:tabs>
          <w:tab w:leader="none" w:pos="259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to the extent not included in the calculation of Consolidated Net Income for the relevant period, a distribution, dividend or other payment from an Unrestricted Subsidiary to the extent relating to any portion of the Investment therein made pursuant to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6.04(j)</w:t>
      </w:r>
      <w:r>
        <w:rPr>
          <w:rFonts w:ascii="Arial" w:cs="Arial" w:eastAsia="Arial" w:hAnsi="Arial"/>
          <w:sz w:val="19"/>
          <w:szCs w:val="19"/>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Amount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7.02(a)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Customary Bridge Financings</w:t>
      </w:r>
      <w:r>
        <w:rPr>
          <w:rFonts w:ascii="Arial" w:cs="Arial" w:eastAsia="Arial" w:hAnsi="Arial"/>
          <w:sz w:val="20"/>
          <w:szCs w:val="20"/>
          <w:color w:val="auto"/>
        </w:rPr>
        <w:t>” shall mean any bridge financing so long as the long-term debt into which such bridge financing is to be converted has a final maturity date (after giving effect to automatic rollovers and extensions, if any) no earlier than the Latest Maturity Date.</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shall mean, for any day (a “</w:t>
      </w:r>
      <w:r>
        <w:rPr>
          <w:rFonts w:ascii="Arial" w:cs="Arial" w:eastAsia="Arial" w:hAnsi="Arial"/>
          <w:sz w:val="19"/>
          <w:szCs w:val="19"/>
          <w:u w:val="single" w:color="auto"/>
          <w:color w:val="auto"/>
        </w:rPr>
        <w:t>SOFR Rate Day</w:t>
      </w:r>
      <w:r>
        <w:rPr>
          <w:rFonts w:ascii="Arial" w:cs="Arial" w:eastAsia="Arial" w:hAnsi="Arial"/>
          <w:sz w:val="19"/>
          <w:szCs w:val="19"/>
          <w:color w:val="auto"/>
        </w:rPr>
        <w:t>”), a rate per annum equal to SOFR for the day (such day “</w:t>
      </w:r>
      <w:r>
        <w:rPr>
          <w:rFonts w:ascii="Arial" w:cs="Arial" w:eastAsia="Arial" w:hAnsi="Arial"/>
          <w:sz w:val="19"/>
          <w:szCs w:val="19"/>
          <w:u w:val="single" w:color="auto"/>
          <w:color w:val="auto"/>
        </w:rPr>
        <w:t>SOFR Determination Date</w:t>
      </w:r>
      <w:r>
        <w:rPr>
          <w:rFonts w:ascii="Arial" w:cs="Arial" w:eastAsia="Arial" w:hAnsi="Arial"/>
          <w:sz w:val="19"/>
          <w:szCs w:val="19"/>
          <w:color w:val="auto"/>
        </w:rPr>
        <w:t>”) that is five (5) Business Days prior to (i) if such SOFR Rate Day is a Business Day, such SOFR Rate Day or (ii) if such SOFR Rate Day is not a Business Day, the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0" w:name="page171"/>
    <w:bookmarkEnd w:id="170"/>
    <w:p>
      <w:pPr>
        <w:jc w:val="both"/>
        <w:spacing w:after="0" w:line="260" w:lineRule="auto"/>
        <w:rPr>
          <w:sz w:val="20"/>
          <w:szCs w:val="20"/>
          <w:color w:val="auto"/>
        </w:rPr>
      </w:pPr>
      <w:r>
        <w:rPr>
          <w:rFonts w:ascii="Arial" w:cs="Arial" w:eastAsia="Arial" w:hAnsi="Arial"/>
          <w:sz w:val="20"/>
          <w:szCs w:val="20"/>
          <w:color w:val="auto"/>
        </w:rPr>
        <w:t>avoidance of doubt, if Daily Simple SOFR as determined pursuant to the foregoing would be less than zero, such rate shall be deemed to be zero for purposes of this Agreement.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shall mean the Bankruptcy Code and all other liquidation, conservatorship, bankruptcy, assignment for the benefit of creditors, moratorium, rearrangement, arrangement, receivership, insolvency, reorganization, examination, administration or similar debtor relief laws of the United States of America or other applicable jurisdictions from time to time in effect and affecting the rights of creditors generally.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shall mean any event or condition that upon notice, lapse of time or both would constitute an Event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Default.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252.81, 47.2 or 382.1, as applicable.</w:t>
      </w:r>
    </w:p>
    <w:p>
      <w:pPr>
        <w:spacing w:after="0" w:line="20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shall mean,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any Lender that (a) has failed to (i) fund all or any portion of its Loans within two (2) Business Days of the date such Loans were required to be funded hereunder or (ii) pay to the Administrative Agent, any Issuing Bank, the Swingline Lender or any other Lender any other amount required to be paid by it hereunder (including in respect of its participation in Letters of Credit or Swingline Loan) within two (2) Business Days of the date when due, (b) has notified the Borrower, the Administrative Agent, any Issuing Bank, any Lender or the Swingline Lender in writing that it does not intend or expect to comply with its funding obligations hereunder or generally under other agreements in which it commits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w:t>
      </w:r>
    </w:p>
    <w:p>
      <w:pPr>
        <w:spacing w:after="0" w:line="8" w:lineRule="exact"/>
        <w:rPr>
          <w:sz w:val="20"/>
          <w:szCs w:val="20"/>
          <w:color w:val="auto"/>
        </w:rPr>
      </w:pPr>
    </w:p>
    <w:p>
      <w:pPr>
        <w:jc w:val="both"/>
        <w:ind w:firstLine="8"/>
        <w:spacing w:after="0" w:line="268" w:lineRule="auto"/>
        <w:tabs>
          <w:tab w:leader="none" w:pos="33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taken any action in furtherance of, or indicated its consent to, approval or acquiescence in any such proceeding or appointment, or (iv)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shall be conclusive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1" w:name="page172"/>
    <w:bookmarkEnd w:id="171"/>
    <w:p>
      <w:pPr>
        <w:jc w:val="both"/>
        <w:spacing w:after="0" w:line="316" w:lineRule="auto"/>
        <w:rPr>
          <w:sz w:val="20"/>
          <w:szCs w:val="20"/>
          <w:color w:val="auto"/>
        </w:rPr>
      </w:pPr>
      <w:r>
        <w:rPr>
          <w:rFonts w:ascii="Arial" w:cs="Arial" w:eastAsia="Arial" w:hAnsi="Arial"/>
          <w:sz w:val="18"/>
          <w:szCs w:val="18"/>
          <w:color w:val="auto"/>
        </w:rPr>
        <w:t xml:space="preserve">binding absent manifest error, and such Lender shall be deemed to be a Defaulting Lender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upon delivery of written notice of such determination to the Borrower, each Issuing Bank, the Swingline Lender and each Lender.</w:t>
      </w:r>
    </w:p>
    <w:p>
      <w:pPr>
        <w:spacing w:after="0" w:line="130" w:lineRule="exact"/>
        <w:rPr>
          <w:sz w:val="20"/>
          <w:szCs w:val="20"/>
          <w:color w:val="auto"/>
        </w:rPr>
      </w:pPr>
    </w:p>
    <w:p>
      <w:pPr>
        <w:jc w:val="both"/>
        <w:ind w:firstLine="711"/>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Divided LLC</w:t>
      </w:r>
      <w:r>
        <w:rPr>
          <w:rFonts w:ascii="Arial" w:cs="Arial" w:eastAsia="Arial" w:hAnsi="Arial"/>
          <w:sz w:val="20"/>
          <w:szCs w:val="20"/>
          <w:color w:val="auto"/>
        </w:rPr>
        <w:t>” shall mean any Delaware LLC which has been formed as a consequence of a Delaware LLC Division (excluding any dividing Delaware LLC that survives a Delaware LLC Division).</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w:t>
      </w:r>
      <w:r>
        <w:rPr>
          <w:rFonts w:ascii="Arial" w:cs="Arial" w:eastAsia="Arial" w:hAnsi="Arial"/>
          <w:sz w:val="20"/>
          <w:szCs w:val="20"/>
          <w:color w:val="auto"/>
        </w:rPr>
        <w:t>” shall mean any limited liability company organized or formed under the laws of the State of Delaware.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 Division</w:t>
      </w:r>
      <w:r>
        <w:rPr>
          <w:rFonts w:ascii="Arial" w:cs="Arial" w:eastAsia="Arial" w:hAnsi="Arial"/>
          <w:sz w:val="20"/>
          <w:szCs w:val="20"/>
          <w:color w:val="auto"/>
        </w:rPr>
        <w:t>” shall mean the statutory division of any Delaware LLC into two or more Delaware LLCs pursuant to Section 18-217 of the Delaware Limited Liability Company Act.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Non-Cash Consideration</w:t>
      </w:r>
      <w:r>
        <w:rPr>
          <w:rFonts w:ascii="Arial" w:cs="Arial" w:eastAsia="Arial" w:hAnsi="Arial"/>
          <w:sz w:val="20"/>
          <w:szCs w:val="20"/>
          <w:color w:val="auto"/>
        </w:rPr>
        <w:t>” shall mean the Fair Market Value of non-cash consideration received by the Borrower or any of its Subsidiaries in connection with an Asset Sale that is so designated as Designated Non-Cash Consideration pursuant to a certificate of a Responsible Officer of the Borrower, setting forth such valuation, less the amount of cash or cash equivalents received in connection with a subsequent disposition of such Designated Non-Cash Consideration.</w:t>
      </w:r>
    </w:p>
    <w:p>
      <w:pPr>
        <w:spacing w:after="0" w:line="194" w:lineRule="exact"/>
        <w:rPr>
          <w:sz w:val="20"/>
          <w:szCs w:val="20"/>
          <w:color w:val="auto"/>
        </w:rPr>
      </w:pPr>
    </w:p>
    <w:p>
      <w:pPr>
        <w:jc w:val="both"/>
        <w:ind w:firstLine="72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Dispose</w:t>
      </w:r>
      <w:r>
        <w:rPr>
          <w:rFonts w:ascii="Arial" w:cs="Arial" w:eastAsia="Arial" w:hAnsi="Arial"/>
          <w:sz w:val="20"/>
          <w:szCs w:val="20"/>
          <w:color w:val="auto"/>
        </w:rPr>
        <w:t>” or “</w:t>
      </w:r>
      <w:r>
        <w:rPr>
          <w:rFonts w:ascii="Arial" w:cs="Arial" w:eastAsia="Arial" w:hAnsi="Arial"/>
          <w:sz w:val="20"/>
          <w:szCs w:val="20"/>
          <w:u w:val="single" w:color="auto"/>
          <w:color w:val="auto"/>
        </w:rPr>
        <w:t>Disposed of</w:t>
      </w:r>
      <w:r>
        <w:rPr>
          <w:rFonts w:ascii="Arial" w:cs="Arial" w:eastAsia="Arial" w:hAnsi="Arial"/>
          <w:sz w:val="20"/>
          <w:szCs w:val="20"/>
          <w:color w:val="auto"/>
        </w:rPr>
        <w:t>” shall mean to convey, sell, lease, sell and lease-back, assign, farm-out, transfer or otherwise dispose of any property, business or asset (including to a Delaware Divided LLC pursuant to a Delaware LLC Division). The term “</w:t>
      </w:r>
      <w:r>
        <w:rPr>
          <w:rFonts w:ascii="Arial" w:cs="Arial" w:eastAsia="Arial" w:hAnsi="Arial"/>
          <w:sz w:val="20"/>
          <w:szCs w:val="20"/>
          <w:u w:val="single" w:color="auto"/>
          <w:color w:val="auto"/>
        </w:rPr>
        <w:t>Disposition</w:t>
      </w:r>
      <w:r>
        <w:rPr>
          <w:rFonts w:ascii="Arial" w:cs="Arial" w:eastAsia="Arial" w:hAnsi="Arial"/>
          <w:sz w:val="20"/>
          <w:szCs w:val="20"/>
          <w:color w:val="auto"/>
        </w:rPr>
        <w:t>” shall have a correlative meaning to the foregoing. Notwithstanding anything to the contrary herein, “Dispose”, “Disposed of” and “Disposition” shall be deemed not to include any issuance by the Borrower of any of its Equity Interests to another person.</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shall mean, with respect to any Sold Entity or Business or Converted Unrestricted Subsidiary for any period, the amount for such period of Adjusted Consolidated EBITDA of such Sold Entity or Business or Converted Unrestricted Subsidiary (determined as if references to the Borrower and the Subsidiaries in the definition of the term “Adjusted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w:t>
      </w:r>
      <w:r>
        <w:rPr>
          <w:rFonts w:ascii="Arial" w:cs="Arial" w:eastAsia="Arial" w:hAnsi="Arial"/>
          <w:sz w:val="18"/>
          <w:szCs w:val="18"/>
          <w:color w:val="auto"/>
        </w:rPr>
        <w:t>” shall mean (i) the persons identified as “Disqualified Institutions” in writing to the Arranger by the Borrower on or prior to the Closing Date, (ii) any other person identified by name in writing to the Administrative Agent after the Closing Date to the extent such person is or becomes a competitor of the Borrower or its Subsidiaries and</w:t>
      </w:r>
    </w:p>
    <w:p>
      <w:pPr>
        <w:spacing w:after="0" w:line="1" w:lineRule="exact"/>
        <w:rPr>
          <w:sz w:val="20"/>
          <w:szCs w:val="20"/>
          <w:color w:val="auto"/>
        </w:rPr>
      </w:pPr>
    </w:p>
    <w:p>
      <w:pPr>
        <w:jc w:val="both"/>
        <w:ind w:firstLine="8"/>
        <w:spacing w:after="0" w:line="257" w:lineRule="auto"/>
        <w:tabs>
          <w:tab w:leader="none" w:pos="35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any Affiliate of any person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that is clearly identifiable as such by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“competitor” or an Affiliate of a competitor shall not include any Bona Fide Debt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updates to the list of Disqualified Lenders shall be deemed to retroactively disqualify any parties that have previously acquired an assignment or participation interest in respect of the Loans or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2" w:name="page173"/>
    <w:bookmarkEnd w:id="172"/>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xml:space="preserve">”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the Borrower), pursuant to a sinking fund obligation or otherwise, (b) is redeemable at the option of the holder thereof (other than solely for Qualified Equity Interests of the Borrower), in whole or in part, (c) provides for the scheduled, mandatory payments of dividends in cash, or (d) is or becomes convertible into or exchangeable for Indebtedness or any other Equity Interests that would constitute Disqualified Stock, in the case of each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w:t>
      </w:r>
    </w:p>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that only the portion of the Equity Interests that so mature or are mandatorily redeemable, are so convertible or exchangeable or are so redeemable at the option of the holder thereof prior to such date shall be deemed to be Disqualified Stock). Notwithstanding the foregoing:</w:t>
      </w:r>
    </w:p>
    <w:p>
      <w:pPr>
        <w:spacing w:after="0" w:line="1" w:lineRule="exact"/>
        <w:rPr>
          <w:sz w:val="20"/>
          <w:szCs w:val="20"/>
          <w:color w:val="auto"/>
        </w:rPr>
      </w:pPr>
    </w:p>
    <w:p>
      <w:pPr>
        <w:jc w:val="both"/>
        <w:ind w:firstLine="70"/>
        <w:spacing w:after="0" w:line="271" w:lineRule="auto"/>
        <w:tabs>
          <w:tab w:leader="none" w:pos="3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Equity Interests issued to any employee or consultant or to any plan for the benefit of employees or consultants of the Borrower or the Subsidiaries or by any such plan to such employees or consultants shall not constitute Disqualified Stock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Stock shall not be deemed to be Disqualified Stock. For the avoidance of doubt, in no event shall any preferred stock issued on the Closing Date constitute Disqualified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shall mean lawful money of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shall mean any Subsidiary that is not a Foreign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9.04(i)(iv)</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shall mean (a) any institution established in any EEA Member Country that is subject to the supervision of an EEA Resolution Authority, (b) any entity established in an EEA Member Country that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or (c) any institution established in an EEA Member Country that is a subsidiary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is subject to consolidated supervision with its parent.</w:t>
      </w:r>
    </w:p>
    <w:p>
      <w:pPr>
        <w:spacing w:after="0" w:line="1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shall mean any of the member states of the European Union, Iceland, Liechtenstein, and Norway.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3" w:name="page174"/>
    <w:bookmarkEnd w:id="173"/>
    <w:p>
      <w:pPr>
        <w:jc w:val="both"/>
        <w:ind w:firstLine="73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shall mean ambient and indoor air, surface water and groundwater (including potable water, navigable water and wetlands), the land surface or subsurface strata, natural resources such as flora and fauna, the workplace or as otherwise defined in any Environmental Law.</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shall mean all applicable laws (including common law), rules, regulations, codes, ordinances, orders, binding agreements, decrees or judgments, promulgated or entered into by or with any Governmental Authority, relating to the protection of the Environment, preservation or reclamation of natural resources, the release or threatened release of any Hazardous Materials or, to the extent relating to exposure to Hazardous Materials, the protection of human health or safety.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3.16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(i) any Indebtedness convertible into or exchangeable for any of the foregoing and (ii) any Permitted Call Spread Swap Agreements.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Raise</w:t>
      </w:r>
      <w:r>
        <w:rPr>
          <w:rFonts w:ascii="Arial" w:cs="Arial" w:eastAsia="Arial" w:hAnsi="Arial"/>
          <w:sz w:val="20"/>
          <w:szCs w:val="20"/>
          <w:color w:val="auto"/>
        </w:rPr>
        <w:t>” shall mean the proceeds received by the Borrower from the SPAC Merger or other capital contributions or investments in the equity of the Borrower or a direct or indirect parent of the Borrower.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shall mean the Employee Retirement Income Security Act of 1974, as amended and the rules and regulations promulgated thereunder.</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trade or business (whether or not incorporated) that, together with the Borrower or a Subsidiary, is treated as a single employer under Section 414(b) or (c) of the Code, or, solely for purposes of Section 302 of ERISA and Section 412 of the Code, is treated as a single employer under Section 414 of the Code.</w:t>
      </w:r>
    </w:p>
    <w:p>
      <w:pPr>
        <w:spacing w:after="0" w:line="1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shall mean (a) any Reportable Event or the requirements of Section 4043(b) of ERISA apply with respect to a Plan (other than an event for which the 30 day notice period is waived); (b) with respect to any Plan, the failure to satisfy the minimum funding standard under Section 412 of the Code or Section 302 of ERISA, whether or not waived;</w:t>
      </w:r>
    </w:p>
    <w:p>
      <w:pPr>
        <w:spacing w:after="0" w:line="1" w:lineRule="exact"/>
        <w:rPr>
          <w:sz w:val="20"/>
          <w:szCs w:val="20"/>
          <w:color w:val="auto"/>
        </w:rPr>
      </w:pPr>
    </w:p>
    <w:p>
      <w:pPr>
        <w:jc w:val="both"/>
        <w:ind w:firstLine="8"/>
        <w:spacing w:after="0"/>
        <w:tabs>
          <w:tab w:leader="none" w:pos="28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(e) the incurrence by the Borrower, a Subsidiary or any ERISA Affiliate of any liability under Title IV of ERISA with respect to the termination of any Plan; (f) the receipt by the Borrower, a Subsidiary or any ERISA Affiliate from the PBGC or a plan administrator of any notice relating to an intention to terminate any Plan or to appoint a trustee to administer any Plan under Section 4042 of ERISA; (g) the incurrence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4" w:name="page175"/>
    <w:bookmarkEnd w:id="174"/>
    <w:p>
      <w:pPr>
        <w:jc w:val="both"/>
        <w:spacing w:after="0" w:line="243" w:lineRule="auto"/>
        <w:rPr>
          <w:sz w:val="20"/>
          <w:szCs w:val="20"/>
          <w:color w:val="auto"/>
        </w:rPr>
      </w:pPr>
      <w:r>
        <w:rPr>
          <w:rFonts w:ascii="Arial" w:cs="Arial" w:eastAsia="Arial" w:hAnsi="Arial"/>
          <w:sz w:val="20"/>
          <w:szCs w:val="20"/>
          <w:color w:val="auto"/>
        </w:rPr>
        <w:t>Borrower, a Subsidiary or any ERISA Affiliate of any liability with respect to the withdrawal or partial withdrawal from any Plan or Multiemployer Plan; or (h) the receipt by the Borrower, a Subsidiary or any ERISA Affiliate of any notice, or the receipt by any Multiemployer Plan from the Borrower, a Subsidiary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shall mean the EU Bail-In Legislation Schedule published by the Loan Market Association (or any successor person), as in effect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United States Securities Exchange Act of 1934, as amended from time to time.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Indebtedness</w:t>
      </w:r>
      <w:r>
        <w:rPr>
          <w:rFonts w:ascii="Arial" w:cs="Arial" w:eastAsia="Arial" w:hAnsi="Arial"/>
          <w:sz w:val="20"/>
          <w:szCs w:val="20"/>
          <w:color w:val="auto"/>
        </w:rPr>
        <w:t xml:space="preserve">” shall mean all Indebtedness not incurred in violation of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Property</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Securities</w:t>
      </w:r>
      <w:r>
        <w:rPr>
          <w:rFonts w:ascii="Arial" w:cs="Arial" w:eastAsia="Arial" w:hAnsi="Arial"/>
          <w:sz w:val="20"/>
          <w:szCs w:val="20"/>
          <w:color w:val="auto"/>
        </w:rPr>
        <w:t>” shall mean any of the following:</w:t>
      </w:r>
    </w:p>
    <w:p>
      <w:pPr>
        <w:spacing w:after="0" w:line="216" w:lineRule="exact"/>
        <w:rPr>
          <w:sz w:val="20"/>
          <w:szCs w:val="20"/>
          <w:color w:val="auto"/>
        </w:rPr>
      </w:pPr>
    </w:p>
    <w:p>
      <w:pPr>
        <w:jc w:val="both"/>
        <w:ind w:left="660" w:right="20" w:firstLine="644"/>
        <w:spacing w:after="0" w:line="246" w:lineRule="auto"/>
        <w:tabs>
          <w:tab w:leader="none" w:pos="195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any Equity Interests or Indebtedness with respect to which the Collateral Agent and the Borrower reasonably agree that the cost or other consequences of pledging such Equity Interests or Indebtedness in favor of the Secured Parties under the Security Documents (including Tax consequences) are likely to be excessive in relation to the value to be afforded thereby;</w:t>
      </w:r>
    </w:p>
    <w:p>
      <w:pPr>
        <w:spacing w:after="0" w:line="191" w:lineRule="exact"/>
        <w:rPr>
          <w:rFonts w:ascii="Arial" w:cs="Arial" w:eastAsia="Arial" w:hAnsi="Arial"/>
          <w:sz w:val="20"/>
          <w:szCs w:val="20"/>
          <w:color w:val="auto"/>
        </w:rPr>
      </w:pPr>
    </w:p>
    <w:p>
      <w:pPr>
        <w:jc w:val="both"/>
        <w:ind w:left="660" w:firstLine="644"/>
        <w:spacing w:after="0" w:line="291" w:lineRule="auto"/>
        <w:tabs>
          <w:tab w:leader="none" w:pos="195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Equity Interests or Indebtedness to the extent, and for so long as, the pledge thereof would be prohibited by any Requirement of Law (in each case, except to the extent such prohibition is unenforceable after giving effect to applicable provisions of the Uniform Commercial Code and other applicable law);</w:t>
      </w:r>
    </w:p>
    <w:p>
      <w:pPr>
        <w:spacing w:after="0" w:line="151" w:lineRule="exact"/>
        <w:rPr>
          <w:rFonts w:ascii="Arial" w:cs="Arial" w:eastAsia="Arial" w:hAnsi="Arial"/>
          <w:sz w:val="18"/>
          <w:szCs w:val="18"/>
          <w:color w:val="auto"/>
        </w:rPr>
      </w:pPr>
    </w:p>
    <w:p>
      <w:pPr>
        <w:jc w:val="both"/>
        <w:ind w:left="660" w:firstLine="644"/>
        <w:spacing w:after="0" w:line="255" w:lineRule="auto"/>
        <w:tabs>
          <w:tab w:leader="none" w:pos="195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any Equity Interests of any person that is not the Borrower or a Wholly Owned Subsidiary to the extent (A) that a pledge thereof to secure the Secured Obligations (as defined in the Collateral Agreement) is prohibited by (i) any applicable organizational documents, joint venture agreement, shareholder agreement, or similar agreement or (ii) any other contractual obligation with an unaffiliated third party not in violation of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that was existing on the Closing Date or at the time of the acquisition of such person and was not created in contemplation of such acquisition but, in the case of </w:t>
      </w:r>
      <w:r>
        <w:rPr>
          <w:rFonts w:ascii="Arial" w:cs="Arial" w:eastAsia="Arial" w:hAnsi="Arial"/>
          <w:sz w:val="19"/>
          <w:szCs w:val="19"/>
          <w:u w:val="single" w:color="auto"/>
          <w:color w:val="auto"/>
        </w:rPr>
        <w:t>subclause (A)</w:t>
      </w:r>
      <w:r>
        <w:rPr>
          <w:rFonts w:ascii="Arial" w:cs="Arial" w:eastAsia="Arial" w:hAnsi="Arial"/>
          <w:sz w:val="19"/>
          <w:szCs w:val="19"/>
          <w:color w:val="auto"/>
        </w:rPr>
        <w:t xml:space="preserve">, only to the extent, and for so long as, such prohibition is not terminated or rendered unenforceable or otherwise deemed ineffective by the Uniform Commercial Code or any other Requirement of Law, (B) any organizational documents, joint venture agreement, shareholder agreement, or similar agreement (or other contractual obligation referred to in </w:t>
      </w:r>
      <w:r>
        <w:rPr>
          <w:rFonts w:ascii="Arial" w:cs="Arial" w:eastAsia="Arial" w:hAnsi="Arial"/>
          <w:sz w:val="19"/>
          <w:szCs w:val="19"/>
          <w:u w:val="single" w:color="auto"/>
          <w:color w:val="auto"/>
        </w:rPr>
        <w:t>subclause (A)(ii)</w:t>
      </w:r>
      <w:r>
        <w:rPr>
          <w:rFonts w:ascii="Arial" w:cs="Arial" w:eastAsia="Arial" w:hAnsi="Arial"/>
          <w:sz w:val="19"/>
          <w:szCs w:val="19"/>
          <w:color w:val="auto"/>
        </w:rPr>
        <w:t xml:space="preserve"> above) prohibits such a pledge without the consent of any other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apply if (1) such other party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5" w:name="page176"/>
    <w:bookmarkEnd w:id="175"/>
    <w:p>
      <w:pPr>
        <w:jc w:val="both"/>
        <w:ind w:left="200"/>
        <w:spacing w:after="0" w:line="255" w:lineRule="auto"/>
        <w:rPr>
          <w:sz w:val="20"/>
          <w:szCs w:val="20"/>
          <w:color w:val="auto"/>
        </w:rPr>
      </w:pPr>
      <w:r>
        <w:rPr>
          <w:rFonts w:ascii="Arial" w:cs="Arial" w:eastAsia="Arial" w:hAnsi="Arial"/>
          <w:sz w:val="19"/>
          <w:szCs w:val="19"/>
          <w:color w:val="auto"/>
        </w:rPr>
        <w:t xml:space="preserve">Loan Party or a Wholly Owned Subsidiary or (2) consent has been obtained to consummate such pledge (it being understood that the foregoing shall not be deemed to obligate the Borrower or any Subsidiary to obtain any such consent) and for so long as such organizational documents, joint venture agreement, shareholder agreement or similar agreement (or other contractual obligation referred to in </w:t>
      </w:r>
      <w:r>
        <w:rPr>
          <w:rFonts w:ascii="Arial" w:cs="Arial" w:eastAsia="Arial" w:hAnsi="Arial"/>
          <w:sz w:val="19"/>
          <w:szCs w:val="19"/>
          <w:u w:val="single" w:color="auto"/>
          <w:color w:val="auto"/>
        </w:rPr>
        <w:t>subclause (A)(ii)</w:t>
      </w:r>
      <w:r>
        <w:rPr>
          <w:rFonts w:ascii="Arial" w:cs="Arial" w:eastAsia="Arial" w:hAnsi="Arial"/>
          <w:sz w:val="19"/>
          <w:szCs w:val="19"/>
          <w:color w:val="auto"/>
        </w:rPr>
        <w:t xml:space="preserve"> above) or replacement or renewal thereof is in effect, or (C) a pledge thereof to secure the Secured Obligations (as defined in the Collateral Agreement) would give any other party (other than a Loan Party or a Wholly Owned Subsidiary) to any organizational documents, joint venture agreement, shareholder agreement or similar agreement governing such Equity Interests the right to terminate its obligations thereunder, but only to the extent, and for so long as, such right of termination is not terminated or rendered unenforceable or otherwise deemed ineffective by the Uniform Commercial Code or any other Requirement of Law;</w:t>
      </w:r>
    </w:p>
    <w:p>
      <w:pPr>
        <w:spacing w:after="0" w:line="190" w:lineRule="exact"/>
        <w:rPr>
          <w:sz w:val="20"/>
          <w:szCs w:val="20"/>
          <w:color w:val="auto"/>
        </w:rPr>
      </w:pPr>
    </w:p>
    <w:p>
      <w:pPr>
        <w:jc w:val="both"/>
        <w:ind w:left="200" w:firstLine="644"/>
        <w:spacing w:after="0" w:line="269" w:lineRule="auto"/>
        <w:tabs>
          <w:tab w:leader="none" w:pos="1496"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any Equity Interests of any (A) Unrestricted Subsidiary, (B) Immaterial Subsidiary, (C) special purpose securitization entity, including any Receivables Entity, (D) not-for-profit Subsidiary or (E) captive insurance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not apply to Equity Interests issued by Loan Parties;</w:t>
      </w:r>
    </w:p>
    <w:p>
      <w:pPr>
        <w:spacing w:after="0" w:line="169" w:lineRule="exact"/>
        <w:rPr>
          <w:rFonts w:ascii="Arial" w:cs="Arial" w:eastAsia="Arial" w:hAnsi="Arial"/>
          <w:sz w:val="19"/>
          <w:szCs w:val="19"/>
          <w:color w:val="auto"/>
        </w:rPr>
      </w:pPr>
    </w:p>
    <w:p>
      <w:pPr>
        <w:ind w:left="1500" w:hanging="656"/>
        <w:spacing w:after="0"/>
        <w:tabs>
          <w:tab w:leader="none" w:pos="150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any Margin Stock; and</w:t>
      </w:r>
    </w:p>
    <w:p>
      <w:pPr>
        <w:spacing w:after="0" w:line="215" w:lineRule="exact"/>
        <w:rPr>
          <w:rFonts w:ascii="Arial" w:cs="Arial" w:eastAsia="Arial" w:hAnsi="Arial"/>
          <w:sz w:val="20"/>
          <w:szCs w:val="20"/>
          <w:color w:val="auto"/>
        </w:rPr>
      </w:pPr>
    </w:p>
    <w:p>
      <w:pPr>
        <w:jc w:val="both"/>
        <w:ind w:left="200" w:firstLine="644"/>
        <w:spacing w:after="0" w:line="275" w:lineRule="auto"/>
        <w:tabs>
          <w:tab w:leader="none" w:pos="149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voting Equity Interests (and any other interests constituting “stock entitled to vote” within the meaning of Treasury Regulations Section 1.956-2(c)(2)) in excess of 65% of the total combined voting power in</w:t>
      </w:r>
    </w:p>
    <w:p>
      <w:pPr>
        <w:ind w:left="520" w:hanging="324"/>
        <w:spacing w:after="0"/>
        <w:tabs>
          <w:tab w:leader="none" w:pos="5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Foreign Subsidiary that is a CFC or (B) any FSHCO.</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shall mean any of the following:</w:t>
      </w:r>
    </w:p>
    <w:p>
      <w:pPr>
        <w:spacing w:after="0" w:line="216" w:lineRule="exact"/>
        <w:rPr>
          <w:sz w:val="20"/>
          <w:szCs w:val="20"/>
          <w:color w:val="auto"/>
        </w:rPr>
      </w:pPr>
    </w:p>
    <w:p>
      <w:pPr>
        <w:ind w:left="1500" w:hanging="656"/>
        <w:spacing w:after="0"/>
        <w:tabs>
          <w:tab w:leader="none" w:pos="150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each Immaterial Subsidiary,</w:t>
      </w:r>
    </w:p>
    <w:p>
      <w:pPr>
        <w:spacing w:after="0" w:line="215" w:lineRule="exact"/>
        <w:rPr>
          <w:rFonts w:ascii="Arial" w:cs="Arial" w:eastAsia="Arial" w:hAnsi="Arial"/>
          <w:sz w:val="20"/>
          <w:szCs w:val="20"/>
          <w:color w:val="auto"/>
        </w:rPr>
      </w:pPr>
    </w:p>
    <w:p>
      <w:pPr>
        <w:jc w:val="both"/>
        <w:ind w:left="200" w:firstLine="644"/>
        <w:spacing w:after="0" w:line="276" w:lineRule="auto"/>
        <w:tabs>
          <w:tab w:leader="none" w:pos="149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each Domestic Subsidiary that is not a Wholly Owned Subsidiary (for so long as such Subsidiary remains a non-Wholly 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a Wholly Owned Subsidiary that becomes a non-Wholly Owned Subsidiary after the Closing Date shall not be deemed to be an Excluded Subsidiary if such Wholly Owned Subsidiary became a non-Wholly Owned Subsidiary solely as a result of a Disposition or other transfer of less than all of such Subsidiary’s capital stock, unless such Disposition or other transfer of capital stock is a good faith Disposition to a bona fide unaffiliated third party for Fair Market Value for a bona fide business purpose,</w:t>
      </w:r>
    </w:p>
    <w:p>
      <w:pPr>
        <w:spacing w:after="0" w:line="164" w:lineRule="exact"/>
        <w:rPr>
          <w:rFonts w:ascii="Arial" w:cs="Arial" w:eastAsia="Arial" w:hAnsi="Arial"/>
          <w:sz w:val="18"/>
          <w:szCs w:val="18"/>
          <w:color w:val="auto"/>
        </w:rPr>
      </w:pPr>
    </w:p>
    <w:p>
      <w:pPr>
        <w:jc w:val="both"/>
        <w:ind w:left="200" w:firstLine="644"/>
        <w:spacing w:after="0" w:line="246" w:lineRule="auto"/>
        <w:tabs>
          <w:tab w:leader="none" w:pos="149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each Domestic Subsidiary that is prohibited from Guaranteeing or granting liens to secure the Obligations by any Requirement of Law or that would require consent, approval, license or authorization of a Governmental Authority to Guarantee or grant Liens to secure the Obligations (unless such consent, approval, license or authorization has been received),</w:t>
      </w:r>
    </w:p>
    <w:p>
      <w:pPr>
        <w:spacing w:after="0" w:line="191"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each Domestic Subsidiary that is prohibited by any applicable contractual requirement from Guaranteeing or granting liens to secure the Obligations on the Closing Date or at the time such Subsidiary becomes a Subsidiary not entered into in contemplation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76" w:name="page177"/>
    <w:bookmarkEnd w:id="176"/>
    <w:p>
      <w:pPr>
        <w:ind w:left="660" w:right="20"/>
        <w:spacing w:after="0" w:line="260" w:lineRule="auto"/>
        <w:rPr>
          <w:sz w:val="20"/>
          <w:szCs w:val="20"/>
          <w:color w:val="auto"/>
        </w:rPr>
      </w:pPr>
      <w:r>
        <w:rPr>
          <w:rFonts w:ascii="Arial" w:cs="Arial" w:eastAsia="Arial" w:hAnsi="Arial"/>
          <w:sz w:val="20"/>
          <w:szCs w:val="20"/>
          <w:color w:val="auto"/>
        </w:rPr>
        <w:t xml:space="preserve">thereof and not in violation of </w:t>
      </w:r>
      <w:r>
        <w:rPr>
          <w:rFonts w:ascii="Arial" w:cs="Arial" w:eastAsia="Arial" w:hAnsi="Arial"/>
          <w:sz w:val="20"/>
          <w:szCs w:val="20"/>
          <w:u w:val="single" w:color="auto"/>
          <w:color w:val="auto"/>
        </w:rPr>
        <w:t>Section 6.08(l)</w:t>
      </w:r>
      <w:r>
        <w:rPr>
          <w:rFonts w:ascii="Arial" w:cs="Arial" w:eastAsia="Arial" w:hAnsi="Arial"/>
          <w:sz w:val="20"/>
          <w:szCs w:val="20"/>
          <w:color w:val="auto"/>
        </w:rPr>
        <w:t xml:space="preserve"> (and for so long as such restriction or any replacement or renewal thereof is in effect),</w:t>
      </w:r>
    </w:p>
    <w:p>
      <w:pPr>
        <w:spacing w:after="0" w:line="177" w:lineRule="exact"/>
        <w:rPr>
          <w:sz w:val="20"/>
          <w:szCs w:val="20"/>
          <w:color w:val="auto"/>
        </w:rPr>
      </w:pPr>
    </w:p>
    <w:p>
      <w:pPr>
        <w:ind w:left="1960" w:hanging="656"/>
        <w:spacing w:after="0"/>
        <w:tabs>
          <w:tab w:leader="none" w:pos="19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special purpose securitization entity, including any Receivables Entity,</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Foreign Subsidiary,</w:t>
      </w:r>
    </w:p>
    <w:p>
      <w:pPr>
        <w:spacing w:after="0" w:line="215"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Domestic Subsidiary (i) that is an FSHCO or (ii) that is a Subsidiary of a Foreign Subsidiary of the Borrower that is a CFC,</w:t>
      </w:r>
    </w:p>
    <w:p>
      <w:pPr>
        <w:spacing w:after="0" w:line="176" w:lineRule="exact"/>
        <w:rPr>
          <w:rFonts w:ascii="Arial" w:cs="Arial" w:eastAsia="Arial" w:hAnsi="Arial"/>
          <w:sz w:val="20"/>
          <w:szCs w:val="20"/>
          <w:color w:val="auto"/>
        </w:rPr>
      </w:pPr>
    </w:p>
    <w:p>
      <w:pPr>
        <w:jc w:val="both"/>
        <w:ind w:left="660" w:firstLine="644"/>
        <w:spacing w:after="0" w:line="291" w:lineRule="auto"/>
        <w:tabs>
          <w:tab w:leader="none" w:pos="195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Domestic Subsidiary with respect to which the Administrative Agent and the Borrower reasonably agree that the cost or other consequences (including Tax consequences) of providing a Guarantee of or granting liens to secure the Obligations are likely to be excessive in relation to the value to be afforded thereby,</w:t>
      </w:r>
    </w:p>
    <w:p>
      <w:pPr>
        <w:spacing w:after="0" w:line="151" w:lineRule="exact"/>
        <w:rPr>
          <w:rFonts w:ascii="Arial" w:cs="Arial" w:eastAsia="Arial" w:hAnsi="Arial"/>
          <w:sz w:val="18"/>
          <w:szCs w:val="18"/>
          <w:color w:val="auto"/>
        </w:rPr>
      </w:pPr>
    </w:p>
    <w:p>
      <w:pPr>
        <w:ind w:left="1960" w:hanging="656"/>
        <w:spacing w:after="0"/>
        <w:tabs>
          <w:tab w:leader="none" w:pos="19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each Unrestricted Subsidiary, and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captive insurance Subsidiary and any not-for-profit Subsidiary.</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Administrative Agent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shall mean, with respect to the Administrative Agent, any Lender, any Issuing Bank or any other recipient of any payment to be made by or on account of any obligation of any Loan Party hereunder or under any other Loan Document, (i) Taxes imposed on or measured by such recipient’s overall net income (however denominated, and including, for the avoidance of doubt, franchise and similar Taxes imposed on such recipient in lieu of net income Taxes), or any branch profits or similar Taxes, in each case, imposed by a jurisdiction (including any political subdivision thereof) (a) as a result of such recipient being organized under the laws of, having its principal office in, or in the case of any Lender, having its applicable Lending Office in, such jurisdiction, or (b) that are Other Connection Taxes, (ii) U.S. federal withholding Tax imposed on any payment by or on account of any obligation of any Loan Party hereunder or under any other Loan Document to a Lender (other than to the extent such Lender is an assignee pursuant to a request by the Borrower under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2.19(c)</w:t>
      </w:r>
      <w:r>
        <w:rPr>
          <w:rFonts w:ascii="Arial" w:cs="Arial" w:eastAsia="Arial" w:hAnsi="Arial"/>
          <w:sz w:val="19"/>
          <w:szCs w:val="19"/>
          <w:color w:val="auto"/>
        </w:rPr>
        <w:t>) pursuant to laws in force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7" w:name="page178"/>
    <w:bookmarkEnd w:id="177"/>
    <w:p>
      <w:pPr>
        <w:jc w:val="both"/>
        <w:spacing w:after="0" w:line="243" w:lineRule="auto"/>
        <w:rPr>
          <w:sz w:val="20"/>
          <w:szCs w:val="20"/>
          <w:color w:val="auto"/>
        </w:rPr>
      </w:pPr>
      <w:r>
        <w:rPr>
          <w:rFonts w:ascii="Arial" w:cs="Arial" w:eastAsia="Arial" w:hAnsi="Arial"/>
          <w:sz w:val="20"/>
          <w:szCs w:val="20"/>
          <w:color w:val="auto"/>
        </w:rPr>
        <w:t xml:space="preserve">such Lender becomes a party hereto (or designates a new Lending Office), except to the extent that such Lender (or its assignor, if any) was entitled, immediately prior to the designation of a new Lending Office (or assignment), to receive additional amounts or indemnification payments from any Loan Party with respect to such withholding Tax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(iii) any withholding Tax imposed on any payment by or on account of any obligation of any Loan Party hereunder that is attributable to such recipient’s failure to comply with </w:t>
      </w:r>
      <w:r>
        <w:rPr>
          <w:rFonts w:ascii="Arial" w:cs="Arial" w:eastAsia="Arial" w:hAnsi="Arial"/>
          <w:sz w:val="20"/>
          <w:szCs w:val="20"/>
          <w:u w:val="single" w:color="auto"/>
          <w:color w:val="auto"/>
        </w:rPr>
        <w:t>Section 2.17(d)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2.17(f)</w:t>
      </w:r>
      <w:r>
        <w:rPr>
          <w:rFonts w:ascii="Arial" w:cs="Arial" w:eastAsia="Arial" w:hAnsi="Arial"/>
          <w:sz w:val="20"/>
          <w:szCs w:val="20"/>
          <w:color w:val="auto"/>
        </w:rPr>
        <w:t xml:space="preserve"> or (iv) any Tax imposed under FATCA.</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Agreements</w:t>
      </w:r>
      <w:r>
        <w:rPr>
          <w:rFonts w:ascii="Arial" w:cs="Arial" w:eastAsia="Arial" w:hAnsi="Arial"/>
          <w:sz w:val="20"/>
          <w:szCs w:val="20"/>
          <w:color w:val="auto"/>
        </w:rPr>
        <w:t>” shall mean (i) that certain Loan and Security Agreement, dated as of February 28, 2020, by and among the Borrower, certain guarantors party thereto, Bank of America, N.A., and the other lenders and parties from time to time party thereto and (ii) that certain Loan and Security Agreement, dated as of February 28, 2020, by and among the Borrower, certain guarantors party thereto, TCW Asset Management Company LLC and the other lenders and parties from time to time party thereto.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Revolving Facility Commitment</w:t>
      </w:r>
      <w:r>
        <w:rPr>
          <w:rFonts w:ascii="Arial" w:cs="Arial" w:eastAsia="Arial" w:hAnsi="Arial"/>
          <w:sz w:val="19"/>
          <w:szCs w:val="19"/>
          <w:color w:val="auto"/>
        </w:rPr>
        <w:t xml:space="preserve">” shall have the meaning assigned to such term in </w:t>
      </w:r>
      <w:r>
        <w:rPr>
          <w:rFonts w:ascii="Arial" w:cs="Arial" w:eastAsia="Arial" w:hAnsi="Arial"/>
          <w:sz w:val="19"/>
          <w:szCs w:val="19"/>
          <w:u w:val="single" w:color="auto"/>
          <w:color w:val="auto"/>
        </w:rPr>
        <w:t>Section 2.22(a)</w:t>
      </w:r>
      <w:r>
        <w:rPr>
          <w:rFonts w:ascii="Arial" w:cs="Arial" w:eastAsia="Arial" w:hAnsi="Arial"/>
          <w:sz w:val="19"/>
          <w:szCs w:val="19"/>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Loan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2.22(a)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2.22(a)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2.22(a)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2.22(a)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shall have the meaning assigned to that term in </w:t>
      </w:r>
      <w:r>
        <w:rPr>
          <w:rFonts w:ascii="Arial" w:cs="Arial" w:eastAsia="Arial" w:hAnsi="Arial"/>
          <w:sz w:val="20"/>
          <w:szCs w:val="20"/>
          <w:u w:val="single" w:color="auto"/>
          <w:color w:val="auto"/>
        </w:rPr>
        <w:t>Section 2.22(b)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shall mean the respective facility and commitments utilized in making Loans and credit extensions hereunder, it being understood that, as of the Closing Date, there are two facilities (i.e., the Initial Term Facility and Revolving Facility) and thereafter, the term “Facility” may include any other Class of Commitments and the extensions of credit thereunder.</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with respect to any asset or property, the price (as determined in good faith by the management of the Borrower) that could be negotiated in an arm’s-length transaction between a willing seller and a willing buyer, neither of whom is under undue pressure or compulsion to complete the transaction.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Closing Date (or any amended or successor version that is substantively comparable and not materially more onerous to comply with), or any current or future U.S. Department of Treasury regulations promulgated thereunder or official administrative interpretations thereof and any agreements entered into pursuant to Section 1471(b)(1) of the Code, such Code section as of the Closing Date (or any amended or successor version described above), and any intergovernmental agreements (or any related legislation, rules or official administrative practices) implementing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8" w:name="page179"/>
    <w:bookmarkEnd w:id="178"/>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xml:space="preserve">” shall mean, for any day, the rate calculated by the NYFRB based on such day’s federal funds transactions by depositary institutions, as determined in such manner as the NYFRB shall set forth on the NYFRB’s Website from time to time, and published on the next succeeding Business Day by the NYFRB as the 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Federal Funds Effective Rate as so determined would be less than zero, such rate shall be deemed to be zero for the purposes of this Agreement.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shall mean that certain Fee Letter, dated as of April 4, 2022, by and among the Borrower, the Administrative Agent, Wells Fargo Securities, LLC and the other parties party thereto (as such Fee Letter may be amended, restated, supplemented or otherwise modified).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Fees</w:t>
      </w:r>
      <w:r>
        <w:rPr>
          <w:rFonts w:ascii="Arial" w:cs="Arial" w:eastAsia="Arial" w:hAnsi="Arial"/>
          <w:sz w:val="20"/>
          <w:szCs w:val="20"/>
          <w:color w:val="auto"/>
        </w:rPr>
        <w:t>” shall mean the Commitment Fees, the L/C Participation Fee, the Issuing Bank Fees and the Administrative Agent Fees.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6.09(b)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of any person shall mean the chief financial officer, chief accounting officer, principal accounting officer, treasurer, assistant treasurer, controller or other executive responsible for the financial affairs of such person.</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Secured Net Leverage Ratio</w:t>
      </w:r>
      <w:r>
        <w:rPr>
          <w:rFonts w:ascii="Arial" w:cs="Arial" w:eastAsia="Arial" w:hAnsi="Arial"/>
          <w:sz w:val="19"/>
          <w:szCs w:val="19"/>
          <w:color w:val="auto"/>
        </w:rPr>
        <w:t>” shall mean, as of any date of determination, the ratio of (A) (i) the sum of, without duplication, (x) the aggregate principal amount of any Consolidated Debt of the Borrower and its Restricted Subsidiaries secured by assets of the Borrower or its Restricted Subsidiaries on a first lien basis and (y) the aggregate principal amount of any other Consolidated Debt of the Borrower and its Subsidiaries outstanding as of the last day of such Test Period that is then secured by Liens on the Collateral that are Other First Liens, less (ii) the Unrestricted Cash Amount as of the last day of such Test Period, to (B) Adjusted Consolidated EBITDA for such Test Period, all determined on a consolidated basis in accordance with GAAP.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Amounts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1.07(b)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shall mean the benchmark rate floor, if any, provided in this Agreement initially (as of the execution of this Agreement, the modification, amendment or renewal of this Agreement or otherwise) with respect to the Term SOFR Rate or any Benchmark. For the avoidance of doubt the initial Floor for the Term SOFR Rate or any Benchmark shall be zero.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Disposition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2.11(h)</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shall mean a Lender that is not a U.S. Person.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shall mean any Subsidiary that is incorporated or organized under the laws of any jurisdiction other than the United States of America, any state thereof or the District of Columbia.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Free and Clear Incremental Amount</w:t>
      </w:r>
      <w:r>
        <w:rPr>
          <w:rFonts w:ascii="Arial" w:cs="Arial" w:eastAsia="Arial" w:hAnsi="Arial"/>
          <w:sz w:val="20"/>
          <w:szCs w:val="20"/>
          <w:color w:val="auto"/>
        </w:rPr>
        <w:t>” shall have the meaning assigned to such term in the definition of the term “Incremental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9" w:name="page180"/>
    <w:bookmarkEnd w:id="179"/>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spacing w:after="0" w:line="178" w:lineRule="exact"/>
        <w:rPr>
          <w:sz w:val="20"/>
          <w:szCs w:val="20"/>
          <w:color w:val="auto"/>
        </w:rPr>
      </w:pPr>
    </w:p>
    <w:p>
      <w:pPr>
        <w:jc w:val="both"/>
        <w:ind w:firstLine="71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shall mean any Domestic Subsidiary of the Borrower that owns no material assets other than (a) the Equity Interests (which term shall include, for purposes of this definition of FSHCO, any Indebtedness treated as equity for U.S. federal income tax purposes) (or Equity Interests and Indebtedness) of one or more Foreign Subsidiaries of the Borrower that are CFCs and/or (b) Equity Interests (or Equity Interests and/or Indebtedness) of one or more other FSHCOs.</w:t>
      </w:r>
    </w:p>
    <w:p>
      <w:pPr>
        <w:spacing w:after="0" w:line="161" w:lineRule="exact"/>
        <w:rPr>
          <w:sz w:val="20"/>
          <w:szCs w:val="20"/>
          <w:color w:val="auto"/>
        </w:rPr>
      </w:pPr>
    </w:p>
    <w:p>
      <w:pPr>
        <w:jc w:val="both"/>
        <w:ind w:firstLine="711"/>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shall mean generally accepted accounting principles in effect from time to time in the United States of America, applied on a consistent basis, subject to the provisions of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RP/JDRP Basket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6.06(g)</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shall mean any federal, state, local or foreign court or governmental agency, authority, instrumentality or regulatory or legislative body.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shall mean (a) any obligation, contingent or otherwise, of the guarantor guaranteeing or having the economic effect of guaranteeing any Indebtedness or other monetary obligation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0" w:name="page181"/>
    <w:bookmarkEnd w:id="180"/>
    <w:p>
      <w:pPr>
        <w:jc w:val="both"/>
        <w:spacing w:after="0" w:line="278" w:lineRule="auto"/>
        <w:rPr>
          <w:sz w:val="20"/>
          <w:szCs w:val="20"/>
          <w:color w:val="auto"/>
        </w:rPr>
      </w:pPr>
      <w:r>
        <w:rPr>
          <w:rFonts w:ascii="Arial" w:cs="Arial" w:eastAsia="Arial" w:hAnsi="Arial"/>
          <w:sz w:val="18"/>
          <w:szCs w:val="18"/>
          <w:color w:val="auto"/>
        </w:rPr>
        <w:t xml:space="preserve">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 Agreement</w:t>
      </w:r>
      <w:r>
        <w:rPr>
          <w:rFonts w:ascii="Arial" w:cs="Arial" w:eastAsia="Arial" w:hAnsi="Arial"/>
          <w:sz w:val="20"/>
          <w:szCs w:val="20"/>
          <w:color w:val="auto"/>
        </w:rPr>
        <w:t xml:space="preserve">” shall mean the Guarantee Agreement substantially in the form of </w:t>
      </w:r>
      <w:r>
        <w:rPr>
          <w:rFonts w:ascii="Arial" w:cs="Arial" w:eastAsia="Arial" w:hAnsi="Arial"/>
          <w:sz w:val="20"/>
          <w:szCs w:val="20"/>
          <w:u w:val="single" w:color="auto"/>
          <w:color w:val="auto"/>
        </w:rPr>
        <w:t>Exhibit M</w:t>
      </w:r>
      <w:r>
        <w:rPr>
          <w:rFonts w:ascii="Arial" w:cs="Arial" w:eastAsia="Arial" w:hAnsi="Arial"/>
          <w:sz w:val="20"/>
          <w:szCs w:val="20"/>
          <w:color w:val="auto"/>
        </w:rPr>
        <w:t xml:space="preserve"> dated as of the Closing Date as may be amended, restated, supplemented or otherwise modified from time to time, among the Borrower, each Guarantor and the Administrative Agent.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shall have the meaning assigned to such term in the definition of the term “Guarantee.”</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shall mean (a) the Borrower (only with respect to Obligations of the other Guarantors in respect of Secured Cash Management Agreements, Secured Hedge Agreements and Secured Supplier Receivables Agreements, as applicable), (b) Holdings and (c) each Subsidiary of the Borrower that is a party to the Guarantee Agreement on the Closing Date or becomes a Loan Party pursuant to </w:t>
      </w:r>
      <w:r>
        <w:rPr>
          <w:rFonts w:ascii="Arial" w:cs="Arial" w:eastAsia="Arial" w:hAnsi="Arial"/>
          <w:sz w:val="18"/>
          <w:szCs w:val="18"/>
          <w:u w:val="single" w:color="auto"/>
          <w:color w:val="auto"/>
        </w:rPr>
        <w:t>Section 5.10(c)</w:t>
      </w:r>
      <w:r>
        <w:rPr>
          <w:rFonts w:ascii="Arial" w:cs="Arial" w:eastAsia="Arial" w:hAnsi="Arial"/>
          <w:sz w:val="18"/>
          <w:szCs w:val="18"/>
          <w:color w:val="auto"/>
        </w:rPr>
        <w:t>, whether existing on the Closing Date or established, created or acquired after the Closing Date, unless and until such time as the respective Subsidiary is released from its obligations under the Guarantee Agreement in accordance with the terms and provisions hereof or thereof.</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all pollutants, contaminants, wastes, chemicals, materials, substances and constituents, including explosive or radioactive substances or petroleum byproducts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shall mean any person that (i) is (or any Affiliate of any person that is) an Agent, an Arranger or a Lender on the Closing Date (in the case of any Hedging Agreement in existence on the Closing Date) and that enters into or is a party to a Hedging Agreement with the Borrower or any of its Subsidiaries, in each case, in its capacity as a party to such Hedging Agreement or (ii) is (or any Affiliate of any person that is) an Agent, an Arranger or a Lender at the time it enters into a Hedging Agreement (in the case of any Hedging Agreement entered into after the Closing Date) with the Borrower or any of its Subsidiaries, in each case, in its capacity as a party to such Hedging Agreement.</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Agreement</w:t>
      </w:r>
      <w:r>
        <w:rPr>
          <w:rFonts w:ascii="Arial" w:cs="Arial" w:eastAsia="Arial" w:hAnsi="Arial"/>
          <w:sz w:val="20"/>
          <w:szCs w:val="20"/>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Arial" w:cs="Arial" w:eastAsia="Arial" w:hAnsi="Arial"/>
          <w:sz w:val="20"/>
          <w:szCs w:val="20"/>
          <w:u w:val="single" w:color="auto"/>
          <w:color w:val="auto"/>
        </w:rPr>
        <w:t>provided</w:t>
      </w:r>
      <w:r>
        <w:rPr>
          <w:rFonts w:ascii="Arial" w:cs="Arial" w:eastAsia="Arial" w:hAnsi="Arial"/>
          <w:sz w:val="20"/>
          <w:szCs w:val="20"/>
          <w:color w:val="auto"/>
        </w:rPr>
        <w:t>, that no phantom stock or similar plan providing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1" w:name="page182"/>
    <w:bookmarkEnd w:id="181"/>
    <w:p>
      <w:pPr>
        <w:jc w:val="both"/>
        <w:spacing w:after="0" w:line="260" w:lineRule="auto"/>
        <w:rPr>
          <w:sz w:val="20"/>
          <w:szCs w:val="20"/>
          <w:color w:val="auto"/>
        </w:rPr>
      </w:pPr>
      <w:r>
        <w:rPr>
          <w:rFonts w:ascii="Arial" w:cs="Arial" w:eastAsia="Arial" w:hAnsi="Arial"/>
          <w:sz w:val="20"/>
          <w:szCs w:val="20"/>
          <w:color w:val="auto"/>
        </w:rPr>
        <w:t>payments only on account of services provided by current or former directors, officers, employees or consultants of the Borrower or any of the Subsidiaries shall be a Hedging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w:t>
      </w:r>
      <w:r>
        <w:rPr>
          <w:rFonts w:ascii="Arial" w:cs="Arial" w:eastAsia="Arial" w:hAnsi="Arial"/>
          <w:sz w:val="19"/>
          <w:szCs w:val="19"/>
          <w:color w:val="auto"/>
        </w:rPr>
        <w:t>” shall have the meaning assigned to such term in the introductory paragraph of this Agreement.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xml:space="preserve">” shall mean any Subsidiary that (a) did not, as of the last day of the fiscal quarter of the Borrower most recently ended for which financial statements have been (or were required to be) delivered pursuant to </w:t>
      </w:r>
      <w:r>
        <w:rPr>
          <w:rFonts w:ascii="Arial" w:cs="Arial" w:eastAsia="Arial" w:hAnsi="Arial"/>
          <w:sz w:val="20"/>
          <w:szCs w:val="20"/>
          <w:u w:val="single" w:color="auto"/>
          <w:color w:val="auto"/>
        </w:rPr>
        <w:t>Section 5.04(a)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5.04(b)</w:t>
      </w:r>
      <w:r>
        <w:rPr>
          <w:rFonts w:ascii="Arial" w:cs="Arial" w:eastAsia="Arial" w:hAnsi="Arial"/>
          <w:sz w:val="20"/>
          <w:szCs w:val="20"/>
          <w:color w:val="auto"/>
        </w:rPr>
        <w:t>, as applicable, have assets with a value in excess of 5.0% of the Consolidated Total Assets of the Borrower and the Subsidiaries on a consolidated basis as of such date, and (b) taken together with all such Subsidiaries as of such date, did not have assets with a value in excess of 10.0% of Consolidated Total Assets of the Borrower and the Subsidiaries on a consolidated basis as of such date.</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 Amount</w:t>
      </w:r>
      <w:r>
        <w:rPr>
          <w:rFonts w:ascii="Arial" w:cs="Arial" w:eastAsia="Arial" w:hAnsi="Arial"/>
          <w:sz w:val="20"/>
          <w:szCs w:val="20"/>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the Borrower, the accretion of original issue discount or liquidation preference and increases in the amount of Indebtedness outstanding solely as a result of fluctuations in the exchange rate of currencies.</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Amount</w:t>
      </w:r>
      <w:r>
        <w:rPr>
          <w:rFonts w:ascii="Arial" w:cs="Arial" w:eastAsia="Arial" w:hAnsi="Arial"/>
          <w:sz w:val="18"/>
          <w:szCs w:val="18"/>
          <w:color w:val="auto"/>
        </w:rPr>
        <w:t xml:space="preserve">” shall mean, at any time, (x) the greater of (A) $100,000,000 and (B) 100% of Adjusted Consolidated EBITDA for the most recently ended Test Period as of such time (the amount under this </w:t>
      </w:r>
      <w:r>
        <w:rPr>
          <w:rFonts w:ascii="Arial" w:cs="Arial" w:eastAsia="Arial" w:hAnsi="Arial"/>
          <w:sz w:val="18"/>
          <w:szCs w:val="18"/>
          <w:u w:val="single" w:color="auto"/>
          <w:color w:val="auto"/>
        </w:rPr>
        <w:t>clause (x)</w:t>
      </w:r>
      <w:r>
        <w:rPr>
          <w:rFonts w:ascii="Arial" w:cs="Arial" w:eastAsia="Arial" w:hAnsi="Arial"/>
          <w:sz w:val="18"/>
          <w:szCs w:val="18"/>
          <w:color w:val="auto"/>
        </w:rPr>
        <w:t>, the “</w:t>
      </w:r>
      <w:r>
        <w:rPr>
          <w:rFonts w:ascii="Arial" w:cs="Arial" w:eastAsia="Arial" w:hAnsi="Arial"/>
          <w:sz w:val="18"/>
          <w:szCs w:val="18"/>
          <w:u w:val="single" w:color="auto"/>
          <w:color w:val="auto"/>
        </w:rPr>
        <w:t>Free</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Clear Incremental Amount</w:t>
      </w:r>
      <w:r>
        <w:rPr>
          <w:rFonts w:ascii="Arial" w:cs="Arial" w:eastAsia="Arial" w:hAnsi="Arial"/>
          <w:sz w:val="18"/>
          <w:szCs w:val="18"/>
          <w:color w:val="auto"/>
        </w:rPr>
        <w:t xml:space="preserve">”) after giving effect to the incurrence of such additional amount and the use of proceeds thereof, any acquisition consummated concurrently therewith, and all other related transactions or events (calculated (a) in the event the Borrower is incurring Incremental Revolving Facility Commitments, as if such Incremental Revolving Facility Commitments were fully drawn on the effective date thereof and (b) excluding any cash constituting proceeds of such Incremental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(A) in the case of any Incremental Facility secured by Liens on the Collateral on a pari passu basis with the Facilities, the First Lien Secured Net Leverage Ratio on a Pro Forma Basis does not exceed 2.00 to 1.00, or</w:t>
      </w:r>
    </w:p>
    <w:p>
      <w:pPr>
        <w:spacing w:after="0" w:line="3" w:lineRule="exact"/>
        <w:rPr>
          <w:sz w:val="20"/>
          <w:szCs w:val="20"/>
          <w:color w:val="auto"/>
        </w:rPr>
      </w:pPr>
    </w:p>
    <w:p>
      <w:pPr>
        <w:jc w:val="both"/>
        <w:ind w:firstLine="8"/>
        <w:spacing w:after="0" w:line="268" w:lineRule="auto"/>
        <w:tabs>
          <w:tab w:leader="none" w:pos="3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 the case of any Incremental Facility that is unsecured or is to be secured by the Collateral on a junior basis to the Facilities, the Total Net Leverage Ratio on a Pro Forma Basis does not exceed the greater of (i) 3.00 to 1.00 or (ii) if incurred in connection with financing a Permitted Acquisition or Permitted Investment, the Total Net Leverage Ratio immediately prior to such Permitted Acquisition or Permitted Investment (the amount under this </w:t>
      </w:r>
      <w:r>
        <w:rPr>
          <w:rFonts w:ascii="Arial" w:cs="Arial" w:eastAsia="Arial" w:hAnsi="Arial"/>
          <w:sz w:val="18"/>
          <w:szCs w:val="18"/>
          <w:u w:val="single" w:color="auto"/>
          <w:color w:val="auto"/>
        </w:rPr>
        <w:t>clause (y)</w:t>
      </w:r>
      <w:r>
        <w:rPr>
          <w:rFonts w:ascii="Arial" w:cs="Arial" w:eastAsia="Arial" w:hAnsi="Arial"/>
          <w:sz w:val="18"/>
          <w:szCs w:val="18"/>
          <w:color w:val="auto"/>
        </w:rPr>
        <w:t>, the “</w:t>
      </w:r>
      <w:r>
        <w:rPr>
          <w:rFonts w:ascii="Arial" w:cs="Arial" w:eastAsia="Arial" w:hAnsi="Arial"/>
          <w:sz w:val="18"/>
          <w:szCs w:val="18"/>
          <w:u w:val="single" w:color="auto"/>
          <w:color w:val="auto"/>
        </w:rPr>
        <w:t>Ratio-Based 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an amount equal to all voluntary prepayments and repurchases of Term Loans (including Incremental Term Loans) and voluntary prepayments of Revolving Facility Loans to the extent accompanied by a corresponding reduction in Revolving Facility Commitments, in the case of this </w:t>
      </w:r>
      <w:r>
        <w:rPr>
          <w:rFonts w:ascii="Arial" w:cs="Arial" w:eastAsia="Arial" w:hAnsi="Arial"/>
          <w:sz w:val="18"/>
          <w:szCs w:val="18"/>
          <w:u w:val="single" w:color="auto"/>
          <w:color w:val="auto"/>
        </w:rPr>
        <w:t>clause (z)</w:t>
      </w:r>
      <w:r>
        <w:rPr>
          <w:rFonts w:ascii="Arial" w:cs="Arial" w:eastAsia="Arial" w:hAnsi="Arial"/>
          <w:sz w:val="18"/>
          <w:szCs w:val="18"/>
          <w:color w:val="auto"/>
        </w:rPr>
        <w:t xml:space="preserve"> other than to the extent financed with the proceeds of long-term Indebtedness (the “</w:t>
      </w:r>
      <w:r>
        <w:rPr>
          <w:rFonts w:ascii="Arial" w:cs="Arial" w:eastAsia="Arial" w:hAnsi="Arial"/>
          <w:sz w:val="18"/>
          <w:szCs w:val="18"/>
          <w:u w:val="single" w:color="auto"/>
          <w:color w:val="auto"/>
        </w:rPr>
        <w:t>Prepayment-Based Incremental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Incremental Facilities used to finance a Limited Condition Acquisition,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be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purposes of any Incremental Term Loan Commitments and/or Incremental Revolving Facility Commitments established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(A) the Borrower may select utilization under the Free and Clear Incremental Amount, the Ratio-Based Incremental Amount and the Prepayment-Based Incremental Amount in its sole discretion and in the absence of such selection, the Borrower shall be deemed to have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2" w:name="page183"/>
    <w:bookmarkEnd w:id="182"/>
    <w:p>
      <w:pPr>
        <w:jc w:val="both"/>
        <w:spacing w:after="0" w:line="269" w:lineRule="auto"/>
        <w:rPr>
          <w:sz w:val="20"/>
          <w:szCs w:val="20"/>
          <w:color w:val="auto"/>
        </w:rPr>
      </w:pPr>
      <w:r>
        <w:rPr>
          <w:rFonts w:ascii="Arial" w:cs="Arial" w:eastAsia="Arial" w:hAnsi="Arial"/>
          <w:sz w:val="18"/>
          <w:szCs w:val="18"/>
          <w:color w:val="auto"/>
        </w:rPr>
        <w:t xml:space="preserve">amounts under the Ratio-Based Incremental Amount (to the extent permitted thereby) prior to utilization of the Free and Clear Incremental Amount and the Prepayment-Based Incremental Amount, (B) Incremental Commitments established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may be incurred under the Free and Clear Incremental Amount, the Ratio-Based Incremental Amount and/or the Prepayment-Based Incremental Amount, and proceeds from any such incurrence under the Free and Clear Incremental Amount, the Ratio-Based Incremental Amount and/or the Prepayment-Based Incremental Amount may be utilized in a single transaction by first calculating the incurrence under the Ratio-Based Incremental Amount (without inclusion of any amounts utilized pursuant to the Free and Clear Incremental Amount or the Prepayment-Based Incremental Amount) and then calculating the incurrence under the Prepayment-Based Incremental Amount (without inclusion of any amounts utilized pursuant to the Free and Clear Incremental Amount) and then calculating the incurrence under the Free and Clear Incremental Amount and (C) with respect to any Indebtedness originally incurred under the Free and Clear Incremental Amount or the Prepayment-Based Incremental Amount, if at any time subsequent to such incurrence all or any portion of such Indebtedness would be permitted to be incurred under the Ratio-Based Incremental Amount, all or such portion, as applicable, of such Indebtedness shall automatically be reclassified and deemed as of such time to have been incurred under the Ratio-Based Incremental Amount (which, for the avoidance of doubt, shall have the effect of increasing the remaining availability under the Free and Clear Incremental Amount or the Prepayment-Based Incremental Amount, as applicable, by the amount of such redesignated Indebtedness).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Assumption Agreement</w:t>
      </w:r>
      <w:r>
        <w:rPr>
          <w:rFonts w:ascii="Arial" w:cs="Arial" w:eastAsia="Arial" w:hAnsi="Arial"/>
          <w:sz w:val="20"/>
          <w:szCs w:val="20"/>
          <w:color w:val="auto"/>
        </w:rPr>
        <w:t>” 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w:t>
      </w:r>
      <w:r>
        <w:rPr>
          <w:rFonts w:ascii="Arial" w:cs="Arial" w:eastAsia="Arial" w:hAnsi="Arial"/>
          <w:sz w:val="20"/>
          <w:szCs w:val="20"/>
          <w:color w:val="auto"/>
        </w:rPr>
        <w:t>” shall mean an Incremental Term Loan Commitment or an Incremental Revolving Facility Commitment.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w:t>
      </w:r>
      <w:r>
        <w:rPr>
          <w:rFonts w:ascii="Arial" w:cs="Arial" w:eastAsia="Arial" w:hAnsi="Arial"/>
          <w:sz w:val="19"/>
          <w:szCs w:val="19"/>
          <w:color w:val="auto"/>
        </w:rPr>
        <w:t>” shall mean the Incremental Commitments and the Incremental Loans made thereunder.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w:t>
      </w:r>
      <w:r>
        <w:rPr>
          <w:rFonts w:ascii="Arial" w:cs="Arial" w:eastAsia="Arial" w:hAnsi="Arial"/>
          <w:sz w:val="20"/>
          <w:szCs w:val="20"/>
          <w:color w:val="auto"/>
        </w:rPr>
        <w:t>” shall mean an Incremental Term Loan or an Incremental Revolving Loan.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Facility Commitment</w:t>
      </w:r>
      <w:r>
        <w:rPr>
          <w:rFonts w:ascii="Arial" w:cs="Arial" w:eastAsia="Arial" w:hAnsi="Arial"/>
          <w:sz w:val="20"/>
          <w:szCs w:val="20"/>
          <w:color w:val="auto"/>
        </w:rPr>
        <w:t xml:space="preserve">” shall mean the commitment of any Lender, established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to make Incremental Revolving Loans to the Borrower.</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Facility Lender</w:t>
      </w:r>
      <w:r>
        <w:rPr>
          <w:rFonts w:ascii="Arial" w:cs="Arial" w:eastAsia="Arial" w:hAnsi="Arial"/>
          <w:sz w:val="20"/>
          <w:szCs w:val="20"/>
          <w:color w:val="auto"/>
        </w:rPr>
        <w:t>” shall mean a Lender with an Incremental Revolving Facility Commitment or an outstanding Incremental Revolving Loan.</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Loan</w:t>
      </w:r>
      <w:r>
        <w:rPr>
          <w:rFonts w:ascii="Arial" w:cs="Arial" w:eastAsia="Arial" w:hAnsi="Arial"/>
          <w:sz w:val="20"/>
          <w:szCs w:val="20"/>
          <w:color w:val="auto"/>
        </w:rPr>
        <w:t>” shall mean Revolving Facility Loans made by one or more Revolving Facility Lenders to the Borrower pursuant to an Incremental Revolving Facility Commitment to make additional Initial Revolving Loans.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shall mean a Lender with an Incremental Term Loan Commitment or an outstanding Incremental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3" w:name="page184"/>
    <w:bookmarkEnd w:id="18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xml:space="preserve">” shall mean the commitment of any Lender, established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to make Incremental Term Loans to the Borrower.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shall mean (i) Term Loans made by one or more Lenders to the Borrower pursuant to </w:t>
      </w:r>
      <w:r>
        <w:rPr>
          <w:rFonts w:ascii="Arial" w:cs="Arial" w:eastAsia="Arial" w:hAnsi="Arial"/>
          <w:sz w:val="20"/>
          <w:szCs w:val="20"/>
          <w:u w:val="single" w:color="auto"/>
          <w:color w:val="auto"/>
        </w:rPr>
        <w:t>Section 2.01(c)</w:t>
      </w:r>
      <w:r>
        <w:rPr>
          <w:rFonts w:ascii="Arial" w:cs="Arial" w:eastAsia="Arial" w:hAnsi="Arial"/>
          <w:sz w:val="20"/>
          <w:szCs w:val="20"/>
          <w:color w:val="auto"/>
        </w:rPr>
        <w:t xml:space="preserve"> consisting of additional Initial Term Loans and (ii) to the extent permitted by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and provided for in the relevant Incremental Assumption Agreement, Other Incremental Term Loans.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Incurrence-Based Amounts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1.07(b)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of any person shall mean, without duplication, (a) all obligations of such person for borrowed money, (b) all obligations of such person evidenced by bonds, debentures, notes or similar instruments (except any such obligation with a maturity date of no more than six (6)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 (d) all obligations of such person issued or assumed as the deferred purchase price of property or services (except (i) any such balance that constitutes a trade payable or similar obligation to a trade creditor incurred in the ordinary course of business, (ii) any earn-out obligations until such obligation becomes a liability on the balance sheet of such person in accordance with GAAP if not paid within 60 days after being due and payable and (iii) liabilities accrued in the ordinary course of business) which purchase price is due more than six (6) months after the date of placing the property in service or taking delivery and title thereto, (e) all Guarantees by such person of Indebtedness of others, (f) all Capitalized Lease Obligations of such person, (g) net obligations under any Hedging Agreements (at the agreement value thereof), to the extent the foregoing would appear on a balance sheet of such person as a liability, (h) the principal component of all obligations, contingent or otherwise, of such person as an account party in respect of letters of credit, (i) the principal component of all obligations of such person in respect of bankers’ acceptances, (j) the principal component of all obligations, or liquidation preference, of such person with respect to any Disqualified Stock (but excluding any accrued dividends),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 (l) all Attributable Receivables Indebtedness with respect to a Qualified Receivables Facility. The amount of Indebtedness of any person for purposes of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above shall (unless such Indebtedness has been assumed by such person or is otherwise recourse to such person) be deemed to be equal to the lesser of (A) the aggregate unpaid amount of such Indebtedness and (B) the Fair Market Value of the property encumbered thereby. For all purposes hereof, the Indebtedness of the Borrower and the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 For the avoidance of doubt, and without limitation of the foregoing, Indebtedness convertible into or exchangeable for Equity Interests shall at all times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4" w:name="page185"/>
    <w:bookmarkEnd w:id="184"/>
    <w:p>
      <w:pPr>
        <w:jc w:val="both"/>
        <w:spacing w:after="0" w:line="270" w:lineRule="auto"/>
        <w:rPr>
          <w:sz w:val="20"/>
          <w:szCs w:val="20"/>
          <w:color w:val="auto"/>
        </w:rPr>
      </w:pPr>
      <w:r>
        <w:rPr>
          <w:rFonts w:ascii="Arial" w:cs="Arial" w:eastAsia="Arial" w:hAnsi="Arial"/>
          <w:sz w:val="18"/>
          <w:szCs w:val="18"/>
          <w:color w:val="auto"/>
        </w:rPr>
        <w:t>repurchase, conversion or payment thereof be valued at the full stated principal amount thereof and shall not include any reduction or appreciation in value of the shares and/or cash deliverable upon conversion thereof. Notwithstanding anything in this Agreement to the contrary, Indebtedness shall not include, and shall be calculated without giving effect to, (i) obligations of the Borrower or any Subsidiary pursuant to or arising out of any Permitted Supplier Receivables Sale Program, (ii) deferred or prepaid revenue, (iii) any obligations attributable to the exercise of appraisal rights and the settlement of any claims or actions (whether actual, contingent or potential) with respect thereto, (iv) Indebtedness of any Parent Entity appearing on the balance sheet of the Borrower solely by reason of push down accounting under GAAP, (v) accrued expenses and royalties and (vi)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shall mean all Taxes imposed on or with respect to any payment by or on account of any obligation of any Loan Party hereunder or under any other Loan Document other than (a) Excluded Taxes and (b)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3.14(a)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Revolving Loan</w:t>
      </w:r>
      <w:r>
        <w:rPr>
          <w:rFonts w:ascii="Arial" w:cs="Arial" w:eastAsia="Arial" w:hAnsi="Arial"/>
          <w:sz w:val="20"/>
          <w:szCs w:val="20"/>
          <w:color w:val="auto"/>
        </w:rPr>
        <w:t xml:space="preserve">” shall mean a Revolving Facility Loan made (i) pursuant to the Revolving Facility Commitments in effect on the Closing Date (as the same may be amended from time to time in accordance with this Agreement) or (ii) pursuant to any Incremental Revolving Facility Commitment made on the same terms as (and forming a single Class with) the Revolving Facility Commitments referred to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this definition.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Facility</w:t>
      </w:r>
      <w:r>
        <w:rPr>
          <w:rFonts w:ascii="Arial" w:cs="Arial" w:eastAsia="Arial" w:hAnsi="Arial"/>
          <w:sz w:val="18"/>
          <w:szCs w:val="18"/>
          <w:color w:val="auto"/>
        </w:rPr>
        <w:t>” shall mean the Initial Term Loan Commitment and the Initial Term Loans made hereunder.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Facility Maturity Date</w:t>
      </w:r>
      <w:r>
        <w:rPr>
          <w:rFonts w:ascii="Arial" w:cs="Arial" w:eastAsia="Arial" w:hAnsi="Arial"/>
          <w:sz w:val="20"/>
          <w:szCs w:val="20"/>
          <w:color w:val="auto"/>
        </w:rPr>
        <w:t>” shall mean the fifth anniversary of the Closing Date.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Lender</w:t>
      </w:r>
      <w:r>
        <w:rPr>
          <w:rFonts w:ascii="Arial" w:cs="Arial" w:eastAsia="Arial" w:hAnsi="Arial"/>
          <w:sz w:val="20"/>
          <w:szCs w:val="20"/>
          <w:color w:val="auto"/>
        </w:rPr>
        <w:t xml:space="preserve">” shall mean any Lender that holds an Initial Term Loan Commitment or makes an Initial Term Loan to the Borrower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 Commitment</w:t>
      </w:r>
      <w:r>
        <w:rPr>
          <w:rFonts w:ascii="Arial" w:cs="Arial" w:eastAsia="Arial" w:hAnsi="Arial"/>
          <w:sz w:val="20"/>
          <w:szCs w:val="20"/>
          <w:color w:val="auto"/>
        </w:rPr>
        <w:t xml:space="preserve">” shall mean, as to each Initial Term Lender, its obligation to make Initial Term Loans to the Borrower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in the aggregate principal amount set forth opposite such Initial Term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under the caption “Initial Term Loan Commitment” (or such lesser amount as may be requested by the Borrower). As of the Closing Date, the aggregate amount of the Initial Term Loan Commitment of the Initial Term Lenders is $175,000,000.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 Installment Date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2.10(a)(i)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shall mean all Initial Term Loans made by the Initial Term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5" w:name="page186"/>
    <w:bookmarkEnd w:id="18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has the meaning assigned to such term in the applicable Security Documents.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8.08</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shall mean on any date, the ratio of Adjusted Consolidated EBITDA to Consolidated Interest Expense as of any date of determination.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 Financial Covenant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6.09(b)</w:t>
      </w:r>
      <w:r>
        <w:rPr>
          <w:rFonts w:ascii="Arial" w:cs="Arial" w:eastAsia="Arial" w:hAnsi="Arial"/>
          <w:sz w:val="18"/>
          <w:szCs w:val="18"/>
          <w:color w:val="auto"/>
        </w:rPr>
        <w:t>.</w:t>
      </w:r>
    </w:p>
    <w:p>
      <w:pPr>
        <w:spacing w:after="0" w:line="23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shall mean a request by the Borrower to convert or continue a Borrowing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another form approved by the Administrative Agent.</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shall mean, (a) with respect to any Term SOFR Rate Loan, the last day of each Interest Period applicable thereto, and if such Interest Period extends over three (3) months, at the end of each three (3) month interval during such Interest Period, (b) with respect to any ABR Loan, the last Business Day of each calendar quarter and (c) with respect to any Swingline Loan, the last Business Day of each calendar quarter.</w:t>
      </w:r>
    </w:p>
    <w:p>
      <w:pPr>
        <w:spacing w:after="0" w:line="17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shall mean as to any Term Benchmark Borrowing, (a) the period commencing on the Borrowing date and ending one month, three months or six months thereafter, as selected by the Borrower in its notice of borrowing and</w:t>
      </w:r>
    </w:p>
    <w:p>
      <w:pPr>
        <w:spacing w:after="0" w:line="1" w:lineRule="exact"/>
        <w:rPr>
          <w:sz w:val="20"/>
          <w:szCs w:val="20"/>
          <w:color w:val="auto"/>
        </w:rPr>
      </w:pPr>
    </w:p>
    <w:p>
      <w:pPr>
        <w:jc w:val="both"/>
        <w:ind w:firstLine="8"/>
        <w:spacing w:after="0"/>
        <w:tabs>
          <w:tab w:leader="none" w:pos="2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thereafter, each period commencing on the last day of the next preceding Interest Period and ending one month, three months or six months thereafter, as selected by the Borrower by irrevocable notice to the Administrative Agent not later than 12:00 noon, New York City time on the date that is three Business Days prior to the last day of the then current Interest Period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that all of the foregoing provisions relating to Interest Periods are subject to the following:</w:t>
      </w:r>
    </w:p>
    <w:p>
      <w:pPr>
        <w:spacing w:after="0" w:line="197" w:lineRule="exact"/>
        <w:rPr>
          <w:rFonts w:ascii="Arial" w:cs="Arial" w:eastAsia="Arial" w:hAnsi="Arial"/>
          <w:sz w:val="20"/>
          <w:szCs w:val="20"/>
          <w:color w:val="auto"/>
        </w:rPr>
      </w:pPr>
    </w:p>
    <w:p>
      <w:pPr>
        <w:jc w:val="both"/>
        <w:ind w:left="740" w:firstLine="645"/>
        <w:spacing w:after="0" w:line="260" w:lineRule="auto"/>
        <w:tabs>
          <w:tab w:leader="none" w:pos="1626"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Interest Period for any Revolving Facility Borrowing made on the Closing Date may end on a date agreed to by the Administrative Agent;</w:t>
      </w:r>
    </w:p>
    <w:p>
      <w:pPr>
        <w:spacing w:after="0" w:line="180" w:lineRule="exact"/>
        <w:rPr>
          <w:rFonts w:ascii="Arial" w:cs="Arial" w:eastAsia="Arial" w:hAnsi="Arial"/>
          <w:sz w:val="19"/>
          <w:szCs w:val="19"/>
          <w:color w:val="auto"/>
        </w:rPr>
      </w:pPr>
    </w:p>
    <w:p>
      <w:pPr>
        <w:jc w:val="both"/>
        <w:ind w:left="740" w:firstLine="645"/>
        <w:spacing w:after="0" w:line="291" w:lineRule="auto"/>
        <w:tabs>
          <w:tab w:leader="none" w:pos="169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Interest Period of at least one month’s duration that begins on the last Business Day of a calendar month (or on a day for which there is no numerically corresponding day in the last calendar month of such Interest Period) shall end on the last Business Day of the last calendar month of such Interest Period; and</w:t>
      </w:r>
    </w:p>
    <w:p>
      <w:pPr>
        <w:spacing w:after="0" w:line="151" w:lineRule="exact"/>
        <w:rPr>
          <w:rFonts w:ascii="Arial" w:cs="Arial" w:eastAsia="Arial" w:hAnsi="Arial"/>
          <w:sz w:val="18"/>
          <w:szCs w:val="18"/>
          <w:color w:val="auto"/>
        </w:rPr>
      </w:pPr>
    </w:p>
    <w:p>
      <w:pPr>
        <w:ind w:left="740" w:right="20" w:firstLine="645"/>
        <w:spacing w:after="0" w:line="260" w:lineRule="auto"/>
        <w:tabs>
          <w:tab w:leader="none" w:pos="1747" w:val="left"/>
        </w:tabs>
        <w:numPr>
          <w:ilvl w:val="1"/>
          <w:numId w:val="131"/>
        </w:numPr>
        <w:rPr>
          <w:rFonts w:ascii="Arial" w:cs="Arial" w:eastAsia="Arial" w:hAnsi="Arial"/>
          <w:sz w:val="20"/>
          <w:szCs w:val="20"/>
          <w:color w:val="auto"/>
        </w:rPr>
      </w:pPr>
      <w:r>
        <w:rPr>
          <w:rFonts w:ascii="Arial" w:cs="Arial" w:eastAsia="Arial" w:hAnsi="Arial"/>
          <w:sz w:val="20"/>
          <w:szCs w:val="20"/>
          <w:color w:val="auto"/>
        </w:rPr>
        <w:t xml:space="preserve">no tenor that has been removed from this definition pursuant to </w:t>
      </w:r>
      <w:r>
        <w:rPr>
          <w:rFonts w:ascii="Arial" w:cs="Arial" w:eastAsia="Arial" w:hAnsi="Arial"/>
          <w:sz w:val="20"/>
          <w:szCs w:val="20"/>
          <w:u w:val="single" w:color="auto"/>
          <w:color w:val="auto"/>
        </w:rPr>
        <w:t>Section 2.14(e)</w:t>
      </w:r>
      <w:r>
        <w:rPr>
          <w:rFonts w:ascii="Arial" w:cs="Arial" w:eastAsia="Arial" w:hAnsi="Arial"/>
          <w:sz w:val="20"/>
          <w:szCs w:val="20"/>
          <w:color w:val="auto"/>
        </w:rPr>
        <w:t xml:space="preserve"> shall be available for specification in such borrowing request.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shall have the meaning assigned to such term in Article 9 of the Uniform Commercial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6" w:name="page187"/>
    <w:bookmarkEnd w:id="18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ISDA CDS Definitions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9.08(h)</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xml:space="preserve">” shall mean, as the context may require, (i) Wells Fargo Bank, National Association and (ii) each other Issuing Bank designated pursuant to </w:t>
      </w:r>
      <w:r>
        <w:rPr>
          <w:rFonts w:ascii="Arial" w:cs="Arial" w:eastAsia="Arial" w:hAnsi="Arial"/>
          <w:sz w:val="19"/>
          <w:szCs w:val="19"/>
          <w:u w:val="single" w:color="auto"/>
          <w:color w:val="auto"/>
        </w:rPr>
        <w:t>Section 2.05(l)</w:t>
      </w:r>
      <w:r>
        <w:rPr>
          <w:rFonts w:ascii="Arial" w:cs="Arial" w:eastAsia="Arial" w:hAnsi="Arial"/>
          <w:sz w:val="19"/>
          <w:szCs w:val="19"/>
          <w:color w:val="auto"/>
        </w:rPr>
        <w:t>, in each case in its capacity as an issuer of Letters of Credit hereunder, and its permitted successors in such capacity. An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 Fees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2.12(b)</w:t>
      </w:r>
      <w:r>
        <w:rPr>
          <w:rFonts w:ascii="Arial" w:cs="Arial" w:eastAsia="Arial" w:hAnsi="Arial"/>
          <w:sz w:val="20"/>
          <w:szCs w:val="20"/>
          <w:color w:val="auto"/>
        </w:rPr>
        <w: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9.22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Debt Restricted Payment</w:t>
      </w:r>
      <w:r>
        <w:rPr>
          <w:rFonts w:ascii="Arial" w:cs="Arial" w:eastAsia="Arial" w:hAnsi="Arial"/>
          <w:sz w:val="20"/>
          <w:szCs w:val="20"/>
          <w:color w:val="auto"/>
        </w:rPr>
        <w:t>” shall mean, any payment or other distribution (whether in cash, securities or other property), directly or indirectly made by the Borrower or any of its Subsidiaries, of or in respect of principal of or interest on any Indebtedness (excluding Indebtedness among the Borrower and its Subsidiaries) that is by its terms subordinated in right of payment to the Loan Obligations (each of the foregoing, a “</w:t>
      </w:r>
      <w:r>
        <w:rPr>
          <w:rFonts w:ascii="Arial" w:cs="Arial" w:eastAsia="Arial" w:hAnsi="Arial"/>
          <w:sz w:val="20"/>
          <w:szCs w:val="20"/>
          <w:u w:val="single" w:color="auto"/>
          <w:color w:val="auto"/>
        </w:rPr>
        <w:t>Junior Financing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the following shall not constitute a Junior Debt Restricted Payment:</w:t>
      </w:r>
    </w:p>
    <w:p>
      <w:pPr>
        <w:spacing w:after="0" w:line="194" w:lineRule="exact"/>
        <w:rPr>
          <w:sz w:val="20"/>
          <w:szCs w:val="20"/>
          <w:color w:val="auto"/>
        </w:rPr>
      </w:pPr>
    </w:p>
    <w:p>
      <w:pPr>
        <w:ind w:left="1960" w:hanging="656"/>
        <w:spacing w:after="0"/>
        <w:tabs>
          <w:tab w:leader="none" w:pos="19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Refinancings with any Permitted Refinancing Indebtedness permitted to be incurred under</w:t>
      </w:r>
    </w:p>
    <w:p>
      <w:pPr>
        <w:spacing w:after="0" w:line="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163(i)(1) of the Code, and, to the extent this Agreement is then in effect, principal on the scheduled maturity date of any Junior Financing;</w:t>
      </w:r>
    </w:p>
    <w:p>
      <w:pPr>
        <w:spacing w:after="0" w:line="194" w:lineRule="exact"/>
        <w:rPr>
          <w:rFonts w:ascii="Arial" w:cs="Arial" w:eastAsia="Arial" w:hAnsi="Arial"/>
          <w:sz w:val="20"/>
          <w:szCs w:val="20"/>
          <w:color w:val="auto"/>
        </w:rPr>
      </w:pPr>
    </w:p>
    <w:p>
      <w:pPr>
        <w:jc w:val="both"/>
        <w:ind w:left="660" w:firstLine="644"/>
        <w:spacing w:after="0" w:line="263" w:lineRule="auto"/>
        <w:tabs>
          <w:tab w:leader="none" w:pos="195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payments or distributions in respect of all or any portion of the Junior Financing with the proceeds from the issuance, sale or exchange by the Borrower of Qualified Equity Interests within eighteen (18) months prior thereto;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proceeds are not included in any determination of the Available Amount or otherwise applied to increase any other basket or exception under this Agreement;</w:t>
      </w:r>
    </w:p>
    <w:p>
      <w:pPr>
        <w:spacing w:after="0" w:line="176" w:lineRule="exact"/>
        <w:rPr>
          <w:rFonts w:ascii="Arial" w:cs="Arial" w:eastAsia="Arial" w:hAnsi="Arial"/>
          <w:sz w:val="19"/>
          <w:szCs w:val="19"/>
          <w:color w:val="auto"/>
        </w:rPr>
      </w:pPr>
    </w:p>
    <w:p>
      <w:pPr>
        <w:jc w:val="both"/>
        <w:ind w:left="660" w:firstLine="644"/>
        <w:spacing w:after="0" w:line="246" w:lineRule="auto"/>
        <w:tabs>
          <w:tab w:leader="none" w:pos="195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prepayment, redemption, purchase, defeasance or other satisfaction of any Junior Financing (x) existing at the time a person becomes a Subsidiary or (y) assumed in connection with the acquisition of assets, in each case so long as such Junior Financing was not incurred in contemplation of such person becoming a Subsidiary or such acquisition; or</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conversion of any Junior Financing to Qualified Equity Interests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7" w:name="page188"/>
    <w:bookmarkEnd w:id="18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Financing</w:t>
      </w:r>
      <w:r>
        <w:rPr>
          <w:rFonts w:ascii="Arial" w:cs="Arial" w:eastAsia="Arial" w:hAnsi="Arial"/>
          <w:sz w:val="20"/>
          <w:szCs w:val="20"/>
          <w:color w:val="auto"/>
        </w:rPr>
        <w:t>” shall have the meaning assigned to such term in the definition of the term “Junior Debt Restricted Payment.”</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Liens</w:t>
      </w:r>
      <w:r>
        <w:rPr>
          <w:rFonts w:ascii="Arial" w:cs="Arial" w:eastAsia="Arial" w:hAnsi="Arial"/>
          <w:sz w:val="19"/>
          <w:szCs w:val="19"/>
          <w:color w:val="auto"/>
        </w:rPr>
        <w:t>” shall mean Liens on the Collateral that are junior to the Liens thereon securing the Initial Term Loans (and other Loan Obligations, other than Other Incremental Term Loans and Refinancing Term Loans that rank junior in right of security to the Initial Term Loans) pursuant to a Permitted Junior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 which Permitted Junior Intercreditor Agreement (together with such amendments to the Security Documents and any other Intercreditor Agreements, if any, as are reasonably necessary or advisable (and reasonably acceptable to the Collateral Agent) to give effect to such Liens) shall be entered into in connection with a permitted incurrence of any such Liens (unless a Permitted Junior Intercreditor Agreement and/or Security Documents (as applicable) covering such Liens are already in effect).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Maturity Date</w:t>
      </w:r>
      <w:r>
        <w:rPr>
          <w:rFonts w:ascii="Arial" w:cs="Arial" w:eastAsia="Arial" w:hAnsi="Arial"/>
          <w:sz w:val="19"/>
          <w:szCs w:val="19"/>
          <w:color w:val="auto"/>
        </w:rPr>
        <w:t>” shall mean, at any date of determination, the later of (x) the latest Revolving Facility Maturity Date and (y) the latest Term Facility Maturity Date, in each case, then in effect on such date of determination.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shall mean a payment or disbursement made by an Issuing Bank pursuant to a Letter of Credit.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Participation Fee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2.12(b)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1.07(a)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1.07(a)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shall mean each financial institution listed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(other than any such person that has ceased to be a party hereto pursuant to an Assignment and Acceptance in accordance with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as well as any person that becomes a “Lender” hereunder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2.23</w:t>
      </w:r>
      <w:r>
        <w:rPr>
          <w:rFonts w:ascii="Arial" w:cs="Arial" w:eastAsia="Arial" w:hAnsi="Arial"/>
          <w:sz w:val="19"/>
          <w:szCs w:val="19"/>
          <w:color w:val="auto"/>
        </w:rPr>
        <w:t>. Unless the context clearly indicates otherwise, the term “Lenders” shall include the Swingline Lender.</w:t>
      </w:r>
    </w:p>
    <w:p>
      <w:pPr>
        <w:spacing w:after="0" w:line="17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Presentation</w:t>
      </w:r>
      <w:r>
        <w:rPr>
          <w:rFonts w:ascii="Arial" w:cs="Arial" w:eastAsia="Arial" w:hAnsi="Arial"/>
          <w:sz w:val="20"/>
          <w:szCs w:val="20"/>
          <w:color w:val="auto"/>
        </w:rPr>
        <w:t>” shall mean the lender presentation, dated April 19, 2022, as modified or supplemented prior to the Closing Date.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shall mean, as to any Lender, the applicable branch, office or Affiliate of such Lender designated by such Lender to make Loans.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2.05(a)</w:t>
      </w:r>
      <w:r>
        <w:rPr>
          <w:rFonts w:ascii="Arial" w:cs="Arial" w:eastAsia="Arial" w:hAnsi="Arial"/>
          <w:sz w:val="20"/>
          <w:szCs w:val="20"/>
          <w:color w:val="auto"/>
        </w:rPr>
        <w:t>.</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Commitment</w:t>
      </w:r>
      <w:r>
        <w:rPr>
          <w:rFonts w:ascii="Arial" w:cs="Arial" w:eastAsia="Arial" w:hAnsi="Arial"/>
          <w:sz w:val="20"/>
          <w:szCs w:val="20"/>
          <w:color w:val="auto"/>
        </w:rPr>
        <w:t xml:space="preserve">” shall mean, with respect to each Issuing Bank, the commitment of such Issuing Bank to issue Letters of Credit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Individual Sublimit</w:t>
      </w:r>
      <w:r>
        <w:rPr>
          <w:rFonts w:ascii="Arial" w:cs="Arial" w:eastAsia="Arial" w:hAnsi="Arial"/>
          <w:sz w:val="20"/>
          <w:szCs w:val="20"/>
          <w:color w:val="auto"/>
        </w:rPr>
        <w:t>” shall mean (i) on the Closing Date, with respect to Wells Fargo Bank, National Association, $25,000,000 or (ii) such other amount as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8" w:name="page189"/>
    <w:bookmarkEnd w:id="188"/>
    <w:p>
      <w:pPr>
        <w:jc w:val="both"/>
        <w:spacing w:after="0" w:line="250" w:lineRule="auto"/>
        <w:rPr>
          <w:sz w:val="20"/>
          <w:szCs w:val="20"/>
          <w:color w:val="auto"/>
        </w:rPr>
      </w:pPr>
      <w:r>
        <w:rPr>
          <w:rFonts w:ascii="Arial" w:cs="Arial" w:eastAsia="Arial" w:hAnsi="Arial"/>
          <w:sz w:val="20"/>
          <w:szCs w:val="20"/>
          <w:color w:val="auto"/>
        </w:rPr>
        <w:t xml:space="preserve">agreement pursuant to which such person becomes an Issuing Bank hereunder or, in each case, such larger amount not to exceed the Revolving Facility Commitment as the Administrative Agent and the applicable Issuing Bank may agree, as such amount may be reduced at or prior to such time pursuant to </w:t>
      </w:r>
      <w:r>
        <w:rPr>
          <w:rFonts w:ascii="Arial" w:cs="Arial" w:eastAsia="Arial" w:hAnsi="Arial"/>
          <w:sz w:val="20"/>
          <w:szCs w:val="20"/>
          <w:u w:val="single" w:color="auto"/>
          <w:color w:val="auto"/>
        </w:rPr>
        <w:t>Section 2.08</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shall mean the aggregate Letter of Credit Commitments of the Issuing Banks, in an aggregate amount not to exceed $25,000,000, as such amount may be reduced pursuant to </w:t>
      </w:r>
      <w:r>
        <w:rPr>
          <w:rFonts w:ascii="Arial" w:cs="Arial" w:eastAsia="Arial" w:hAnsi="Arial"/>
          <w:sz w:val="20"/>
          <w:szCs w:val="20"/>
          <w:u w:val="single" w:color="auto"/>
          <w:color w:val="auto"/>
        </w:rPr>
        <w:t>Section 2.08</w:t>
      </w:r>
      <w:r>
        <w:rPr>
          <w:rFonts w:ascii="Arial" w:cs="Arial" w:eastAsia="Arial" w:hAnsi="Arial"/>
          <w:sz w:val="20"/>
          <w:szCs w:val="20"/>
          <w:color w:val="auto"/>
        </w:rPr>
        <w:t>. The Letter of Credit Sublimit is part of, and not in addition to, the Revolving Facility.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Level</w:t>
      </w:r>
      <w:r>
        <w:rPr>
          <w:rFonts w:ascii="Arial" w:cs="Arial" w:eastAsia="Arial" w:hAnsi="Arial"/>
          <w:sz w:val="20"/>
          <w:szCs w:val="20"/>
          <w:color w:val="auto"/>
        </w:rPr>
        <w:t>” shall mean the level (whether I, II, III IV or V) in the table set forth in the definition of “Applicable Margin” that corresponds to an applicable item in any other column in such table. For purposes of comparing Levels, Level I is referred to as the lowest Level and Level V as the highest Level.</w:t>
      </w:r>
    </w:p>
    <w:p>
      <w:pPr>
        <w:spacing w:after="0" w:line="186" w:lineRule="exact"/>
        <w:rPr>
          <w:sz w:val="20"/>
          <w:szCs w:val="20"/>
          <w:color w:val="auto"/>
        </w:rPr>
      </w:pPr>
    </w:p>
    <w:p>
      <w:pPr>
        <w:jc w:val="both"/>
        <w:ind w:firstLine="711"/>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event shall an operating lease or an agreement to sell be deemed to constitute a Lien.</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shall mean any purchase or other acquisition (including by means of a merger, amalgamation or consolidation or otherwise) of, or Investment by one or more of the Borrower and its Subsidiaries (other than intercompany Investments) in, any assets, business or person the consummation of which is not conditioned on the availability of, or on obtaining, financing.</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Limited Condition Transaction</w:t>
      </w:r>
      <w:r>
        <w:rPr>
          <w:rFonts w:ascii="Arial" w:cs="Arial" w:eastAsia="Arial" w:hAnsi="Arial"/>
          <w:sz w:val="19"/>
          <w:szCs w:val="19"/>
          <w:color w:val="auto"/>
        </w:rPr>
        <w:t>” shall mean any (a) Limited Condition Acquisition, (b) redemption, prepayment, purchase, repayment, defeasance or satisfaction and discharge of Indebtedness requiring irrevocable advance notice or any irrevocable offer to purchase Indebtedness that is not subject to obtaining financing or (c) any declaration of a distribution or dividend in respect of, or irrevocable advance notice of, or any irrevocable offer to, purchase, redeem or otherwise acquire or retire for value, any Equity Interests of the Borrower that is not subject to obtaining financing.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shall mean (i) this Agreement, (ii) the Guarantee Agreement, (iii) the Security Documents,</w:t>
      </w:r>
    </w:p>
    <w:p>
      <w:pPr>
        <w:spacing w:after="0" w:line="27" w:lineRule="exact"/>
        <w:rPr>
          <w:sz w:val="20"/>
          <w:szCs w:val="20"/>
          <w:color w:val="auto"/>
        </w:rPr>
      </w:pPr>
    </w:p>
    <w:p>
      <w:pPr>
        <w:ind w:firstLine="8"/>
        <w:spacing w:after="0" w:line="244" w:lineRule="auto"/>
        <w:tabs>
          <w:tab w:leader="none" w:pos="339"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each Incremental Assumption Agreement, (v) each Extension Amendment, (vi) each Refinancing Amendment, (vii) any Intercreditor Agreement and (viii) any Note issued under </w:t>
      </w:r>
      <w:r>
        <w:rPr>
          <w:rFonts w:ascii="Arial" w:cs="Arial" w:eastAsia="Arial" w:hAnsi="Arial"/>
          <w:sz w:val="20"/>
          <w:szCs w:val="20"/>
          <w:u w:val="single" w:color="auto"/>
          <w:color w:val="auto"/>
        </w:rPr>
        <w:t>Section 2.09(e)</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Obligations</w:t>
      </w:r>
      <w:r>
        <w:rPr>
          <w:rFonts w:ascii="Arial" w:cs="Arial" w:eastAsia="Arial" w:hAnsi="Arial"/>
          <w:sz w:val="19"/>
          <w:szCs w:val="19"/>
          <w:color w:val="auto"/>
        </w:rPr>
        <w:t>” shall mean (a) the due and punctual payment by the Borrower of (i) the unpaid principal of and interest, and premium, including Applicable Margin, fees and expenses (including interest, premium, Applicable Margin, fees and expenses accruing during the pendency of any bankruptcy, insolvency, receivership or other similar proceeding, regardless of whether allowed or allowable in such proceeding) on the Loans and Letters of Credit, when and as due, whether at maturity, by acceleration, upon one or more dates set for prepayment or otherwise,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9" w:name="page190"/>
    <w:bookmarkEnd w:id="189"/>
    <w:p>
      <w:pPr>
        <w:jc w:val="both"/>
        <w:spacing w:after="0" w:line="270" w:lineRule="auto"/>
        <w:rPr>
          <w:sz w:val="20"/>
          <w:szCs w:val="20"/>
          <w:color w:val="auto"/>
        </w:rPr>
      </w:pPr>
      <w:r>
        <w:rPr>
          <w:rFonts w:ascii="Arial" w:cs="Arial" w:eastAsia="Arial" w:hAnsi="Arial"/>
          <w:sz w:val="18"/>
          <w:szCs w:val="18"/>
          <w:color w:val="auto"/>
        </w:rPr>
        <w:t>each payment required to be made by the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proceeding, regardless of whether allowed or allowable in such proceeding) and obligations to provide Cash Collateral and</w:t>
      </w:r>
    </w:p>
    <w:p>
      <w:pPr>
        <w:spacing w:after="0" w:line="3" w:lineRule="exact"/>
        <w:rPr>
          <w:sz w:val="20"/>
          <w:szCs w:val="20"/>
          <w:color w:val="auto"/>
        </w:rPr>
      </w:pPr>
    </w:p>
    <w:p>
      <w:pPr>
        <w:jc w:val="both"/>
        <w:ind w:firstLine="8"/>
        <w:spacing w:after="0" w:line="254" w:lineRule="auto"/>
        <w:tabs>
          <w:tab w:leader="none" w:pos="39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all other monetary obligations of the Borrower owed under or pursuant to this Agreement and each other Loan Document or otherwise in respect of the Loans and Letters of Credit,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obligations of each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shall mean the Borrower and the Guarantors.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shall mean the Term Loans, the Revolving Facility Loans and the Swingline Loans.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Local Time</w:t>
      </w:r>
      <w:r>
        <w:rPr>
          <w:rFonts w:ascii="Arial" w:cs="Arial" w:eastAsia="Arial" w:hAnsi="Arial"/>
          <w:sz w:val="20"/>
          <w:szCs w:val="20"/>
          <w:color w:val="auto"/>
        </w:rPr>
        <w:t>” shall mean New York City time (daylight or standard, as applicable).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Lenders</w:t>
      </w:r>
      <w:r>
        <w:rPr>
          <w:rFonts w:ascii="Arial" w:cs="Arial" w:eastAsia="Arial" w:hAnsi="Arial"/>
          <w:sz w:val="20"/>
          <w:szCs w:val="20"/>
          <w:color w:val="auto"/>
        </w:rPr>
        <w:t xml:space="preserve">” of any Facility shall mean, at any time, Lenders under such Facility having Loans and unused Commitments representing more than 50% of the sum of all Loans outstanding under such Facility and unused Commitments under such Facility at such time (subject to the last paragraph of </w:t>
      </w:r>
      <w:r>
        <w:rPr>
          <w:rFonts w:ascii="Arial" w:cs="Arial" w:eastAsia="Arial" w:hAnsi="Arial"/>
          <w:sz w:val="20"/>
          <w:szCs w:val="20"/>
          <w:u w:val="single" w:color="auto"/>
          <w:color w:val="auto"/>
        </w:rPr>
        <w:t>Section 9.08(b)</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Management Services Agreement</w:t>
      </w:r>
      <w:r>
        <w:rPr>
          <w:rFonts w:ascii="Arial" w:cs="Arial" w:eastAsia="Arial" w:hAnsi="Arial"/>
          <w:sz w:val="20"/>
          <w:szCs w:val="20"/>
          <w:color w:val="auto"/>
        </w:rPr>
        <w:t>” shall mean the Management Services Agreement, dated February 28, 2020 between the Borrower and Westrock Group, LLC, as in effect on the Closing Date.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Management Investors</w:t>
      </w:r>
      <w:r>
        <w:rPr>
          <w:rFonts w:ascii="Arial" w:cs="Arial" w:eastAsia="Arial" w:hAnsi="Arial"/>
          <w:sz w:val="20"/>
          <w:szCs w:val="20"/>
          <w:color w:val="auto"/>
        </w:rPr>
        <w:t>” shall mean the directors, officers, partners, members and employees of any Parent Entity, the Borrower and/or any of their respective subsidiaries who are (directly or indirectly through one or more investment vehicles) holders of Equity Interests in the Borrower or any Parent Entity.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shall have the meaning assigned to such term in Regulation U.</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shall mean any material adverse effect on (a) the business or financial condition of the Borrower and the Subsidiaries, taken as a whole or (b) the rights and remedies of the Administrative Agent and the Lenders under the Loan Documents.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xml:space="preserve">” shall mean Indebtedness (other than Loans and Letters of Credit) of any one or more of the Borrower or any Subsidiary in an aggregate outstanding principal amount exceeding the greater of (x) $7,000,000 and (y) 10% of Adjusted Consolidated EBITDA for the most recently ended Test Period as of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any Qualified Receivables Facility be considered Material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0" w:name="page191"/>
    <w:bookmarkEnd w:id="190"/>
    <w:p>
      <w:pPr>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shall mean intellectual property that is (x) material to the business or operations of the Borrower and its Restricted Subsidiaries taken as a whole (as reasonably determined in good faith by the Borrower) and</w:t>
      </w:r>
    </w:p>
    <w:p>
      <w:pPr>
        <w:spacing w:after="0" w:line="1" w:lineRule="exact"/>
        <w:rPr>
          <w:sz w:val="20"/>
          <w:szCs w:val="20"/>
          <w:color w:val="auto"/>
        </w:rPr>
      </w:pPr>
    </w:p>
    <w:p>
      <w:pPr>
        <w:ind w:right="20" w:firstLine="8"/>
        <w:spacing w:after="0" w:line="244" w:lineRule="auto"/>
        <w:tabs>
          <w:tab w:leader="none" w:pos="3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transferred to an Unrestricted Subsidiary in a transaction the principal purpose of which is to incur structurally senior debt secured by such intellectual property.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shall mean any Subsidiary, other than an Immaterial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9.09</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 I</w:t>
      </w:r>
      <w:r>
        <w:rPr>
          <w:rFonts w:ascii="Arial" w:cs="Arial" w:eastAsia="Arial" w:hAnsi="Arial"/>
          <w:sz w:val="20"/>
          <w:szCs w:val="20"/>
          <w:color w:val="auto"/>
        </w:rPr>
        <w:t>” shall have the meaning assigned to such term in the first recitals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 II</w:t>
      </w:r>
      <w:r>
        <w:rPr>
          <w:rFonts w:ascii="Arial" w:cs="Arial" w:eastAsia="Arial" w:hAnsi="Arial"/>
          <w:sz w:val="20"/>
          <w:szCs w:val="20"/>
          <w:color w:val="auto"/>
        </w:rPr>
        <w:t>” shall have the meaning assigned to such term in the first recitals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Subs</w:t>
      </w:r>
      <w:r>
        <w:rPr>
          <w:rFonts w:ascii="Arial" w:cs="Arial" w:eastAsia="Arial" w:hAnsi="Arial"/>
          <w:sz w:val="20"/>
          <w:szCs w:val="20"/>
          <w:color w:val="auto"/>
        </w:rPr>
        <w:t>” shall have the meaning assigned to such term in the first recitals hereto.</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L/C Collateral Amount</w:t>
      </w:r>
      <w:r>
        <w:rPr>
          <w:rFonts w:ascii="Arial" w:cs="Arial" w:eastAsia="Arial" w:hAnsi="Arial"/>
          <w:sz w:val="20"/>
          <w:szCs w:val="20"/>
          <w:color w:val="auto"/>
        </w:rPr>
        <w:t>” 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Issuing Banks in their sole discretion.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shall mean Moody’s Investors Service, Inc. or any successor thereto.</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mean a multiemployer plan as defined in Section 4001(a)(3) of ERISA to which the Borrower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Negative-Pledge Real Property</w:t>
      </w:r>
      <w:r>
        <w:rPr>
          <w:rFonts w:ascii="Arial" w:cs="Arial" w:eastAsia="Arial" w:hAnsi="Arial"/>
          <w:sz w:val="20"/>
          <w:szCs w:val="20"/>
          <w:color w:val="auto"/>
        </w:rPr>
        <w:t>” shall mean any fee-owned real property of any Loan Party with a Fair Market Value in excess of $5,000,000.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Proceeds</w:t>
      </w:r>
      <w:r>
        <w:rPr>
          <w:rFonts w:ascii="Arial" w:cs="Arial" w:eastAsia="Arial" w:hAnsi="Arial"/>
          <w:sz w:val="20"/>
          <w:szCs w:val="20"/>
          <w:color w:val="auto"/>
        </w:rPr>
        <w:t>” shall mean:</w:t>
      </w:r>
    </w:p>
    <w:p>
      <w:pPr>
        <w:spacing w:after="0" w:line="216" w:lineRule="exact"/>
        <w:rPr>
          <w:sz w:val="20"/>
          <w:szCs w:val="20"/>
          <w:color w:val="auto"/>
        </w:rPr>
      </w:pPr>
    </w:p>
    <w:p>
      <w:pPr>
        <w:jc w:val="both"/>
        <w:ind w:left="660" w:firstLine="644"/>
        <w:spacing w:after="0" w:line="268" w:lineRule="auto"/>
        <w:tabs>
          <w:tab w:leader="none" w:pos="195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100% of the cash proceeds actually received by the Borrower or any Subsidiary (including any cash payments received by way of deferred payment of principal pursuant to a note or installment receivable or purchase price adjustment receivable or otherwise, but only as and when received) from any Asset Sale under </w:t>
      </w:r>
      <w:r>
        <w:rPr>
          <w:rFonts w:ascii="Arial" w:cs="Arial" w:eastAsia="Arial" w:hAnsi="Arial"/>
          <w:sz w:val="18"/>
          <w:szCs w:val="18"/>
          <w:u w:val="single" w:color="auto"/>
          <w:color w:val="auto"/>
        </w:rPr>
        <w:t>Section 6.05(d)</w:t>
      </w:r>
      <w:r>
        <w:rPr>
          <w:rFonts w:ascii="Arial" w:cs="Arial" w:eastAsia="Arial" w:hAnsi="Arial"/>
          <w:sz w:val="18"/>
          <w:szCs w:val="18"/>
          <w:color w:val="auto"/>
        </w:rPr>
        <w:t xml:space="preserve"> (except for any Permitted Sale Lease-Back Transaction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definition thereof) or </w:t>
      </w:r>
      <w:r>
        <w:rPr>
          <w:rFonts w:ascii="Arial" w:cs="Arial" w:eastAsia="Arial" w:hAnsi="Arial"/>
          <w:sz w:val="18"/>
          <w:szCs w:val="18"/>
          <w:u w:val="single" w:color="auto"/>
          <w:color w:val="auto"/>
        </w:rPr>
        <w:t>Section 6.05(g)</w:t>
      </w:r>
      <w:r>
        <w:rPr>
          <w:rFonts w:ascii="Arial" w:cs="Arial" w:eastAsia="Arial" w:hAnsi="Arial"/>
          <w:sz w:val="18"/>
          <w:szCs w:val="18"/>
          <w:color w:val="auto"/>
        </w:rPr>
        <w:t>,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spacing w:after="0" w:line="4" w:lineRule="exact"/>
        <w:rPr>
          <w:rFonts w:ascii="Arial" w:cs="Arial" w:eastAsia="Arial" w:hAnsi="Arial"/>
          <w:sz w:val="18"/>
          <w:szCs w:val="18"/>
          <w:color w:val="auto"/>
        </w:rPr>
      </w:pPr>
    </w:p>
    <w:p>
      <w:pPr>
        <w:jc w:val="both"/>
        <w:ind w:left="660" w:hanging="4"/>
        <w:spacing w:after="0" w:line="241" w:lineRule="auto"/>
        <w:tabs>
          <w:tab w:leader="none" w:pos="96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required payments of Indebtedness (other than Indebtedness incurred under the Loan Documents or Other First Lien Debt) and required payments of other obligations relating to the applicable asset to the extent such Indebtedness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1" w:name="page192"/>
    <w:bookmarkEnd w:id="191"/>
    <w:p>
      <w:pPr>
        <w:jc w:val="both"/>
        <w:ind w:left="200"/>
        <w:spacing w:after="0" w:line="266" w:lineRule="auto"/>
        <w:rPr>
          <w:sz w:val="20"/>
          <w:szCs w:val="20"/>
          <w:color w:val="auto"/>
        </w:rPr>
      </w:pPr>
      <w:r>
        <w:rPr>
          <w:rFonts w:ascii="Arial" w:cs="Arial" w:eastAsia="Arial" w:hAnsi="Arial"/>
          <w:sz w:val="18"/>
          <w:szCs w:val="18"/>
          <w:color w:val="auto"/>
        </w:rPr>
        <w:t xml:space="preserve">obligations are secured by a Lien permitted hereunder (other than pursuant to the Loan Documents, Other First Lien Debt and other than obligations secured by a Junior Lien), (iii) repayments, redemptions or repurchases of Other First Lien Debt (limited to its proportionate share of such prepayment, redemption or repurchase, based on the amount of such then outstanding debt as a percentage of all then outstanding Indebtedness incurred under the Loan Documents (other than Other Incremental Term Loans and Refinancing Term Loans that rank junior in right of security with the Initial Term Loans) and Other First Lien Debt), (iv) Taxes paid or payable (in the good faith determination of the Borrower) as a result thereof, and (v) the amount of any reasonable reserve established in accordance with GAAP against any adjustment to the sale price or any liabilities (other than any Taxes deducted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(x) related to any of the applicable assets and (y) retained by the Borrower or any of the Subsidiaries including pension and other post-employment benefit liabilities and liabilities related to environmental matters or against any indemnification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the amount of any reduction of such reserve (other than in connection with a payment in respect of any such liability), prior to the date occurring twelve (12) months after the date of the respective Asset Sale, shall be deemed to be cash proceeds of such Asset Sale occurring on the date of such reduction and (2) the amount of any such reserve that is maintained as of the date occurring twelve (12) months after the date of the applicable Asset Sale shall be deemed to be Net Proceeds from such Asset Sale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Borrower shall deliver a certificate of a Responsible Officer of the Borrower to the Administrative Agent promptly following receipt of any such proceeds setting forth the Borrower’s intention to use any portion of such proceeds, within twelve (12) months of such receipt, to acquire, maintain, develop, construct, improve, upgrade or repair assets useful in the business of the Borrower and the Subsidiaries or to make Permitted Acquisitions and other Investments permitted hereunder (excluding Permitted Investments or intercompany Investments in Subsidiaries) or to reimburse the cost of any of the foregoing incurred on or after the date on which the Asset Sale giving rise to such proceeds was contractually committed (other than inventory), such portion of such proceeds shall not constitute Net Proceeds except to the extent not, within twelve</w:t>
      </w:r>
    </w:p>
    <w:p>
      <w:pPr>
        <w:spacing w:after="0" w:line="18" w:lineRule="exact"/>
        <w:rPr>
          <w:sz w:val="20"/>
          <w:szCs w:val="20"/>
          <w:color w:val="auto"/>
        </w:rPr>
      </w:pPr>
    </w:p>
    <w:p>
      <w:pPr>
        <w:jc w:val="both"/>
        <w:ind w:left="200" w:hanging="4"/>
        <w:spacing w:after="0" w:line="269" w:lineRule="auto"/>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months of such receipt, so used or contractually committed to be so used (it being understood that if any portion of such proceeds are not so used within such twelve (12)-month period but within such twelve (12)-month period are contractually committed to be used, then such remaining portion if not so used within six (6) months following the end of such twelve (12)-month period shall constitute Net Proceeds as of such date without giving effect to this proviso);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(x) no net cash proceeds calculated in accordance with the foregoing realized in a single transaction or series of related transactions shall constitute Net Proceeds under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unless such net cash proceeds shall exceed $1,000,000 for such single or series of related transactions and (y) no net cash proceeds shall constitute Net Proceeds under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in any fiscal year until the aggregate amount of all such net cash proceeds in such fiscal year shall exceed $5,000,000 (and thereafter only net cash proceeds in excess of such amount shall constitute Net Proceeds under this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200" w:firstLine="644"/>
        <w:spacing w:after="0" w:line="246" w:lineRule="auto"/>
        <w:tabs>
          <w:tab w:leader="none" w:pos="1496" w:val="left"/>
        </w:tabs>
        <w:numPr>
          <w:ilvl w:val="1"/>
          <w:numId w:val="138"/>
        </w:numPr>
        <w:rPr>
          <w:rFonts w:ascii="Arial" w:cs="Arial" w:eastAsia="Arial" w:hAnsi="Arial"/>
          <w:sz w:val="20"/>
          <w:szCs w:val="20"/>
          <w:color w:val="auto"/>
        </w:rPr>
      </w:pPr>
      <w:r>
        <w:rPr>
          <w:rFonts w:ascii="Arial" w:cs="Arial" w:eastAsia="Arial" w:hAnsi="Arial"/>
          <w:sz w:val="20"/>
          <w:szCs w:val="20"/>
          <w:color w:val="auto"/>
        </w:rPr>
        <w:t>100% of the cash proceeds actually received by the Borrower or any Subsidiary (including casualty insurance settlements and condemnation awards, but only as and when received) from any Recovery Event, net of (i) attorneys’ fees, accountants’ fees, investment banking fees, transfer Taxes, deed or mortgage recording Taxes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92" w:name="page193"/>
    <w:bookmarkEnd w:id="192"/>
    <w:p>
      <w:pPr>
        <w:jc w:val="both"/>
        <w:ind w:left="660"/>
        <w:spacing w:after="0" w:line="267" w:lineRule="auto"/>
        <w:rPr>
          <w:sz w:val="20"/>
          <w:szCs w:val="20"/>
          <w:color w:val="auto"/>
        </w:rPr>
      </w:pPr>
      <w:r>
        <w:rPr>
          <w:rFonts w:ascii="Arial" w:cs="Arial" w:eastAsia="Arial" w:hAnsi="Arial"/>
          <w:sz w:val="18"/>
          <w:szCs w:val="18"/>
          <w:color w:val="auto"/>
        </w:rPr>
        <w:t xml:space="preserve">asset, other customary expenses and brokerage, consultant and other customary fees actually incurred in connection therewith, (ii)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 (iii) repayments, redemptions or repurchases of Other First Lien Debt (limited to its proportionate share of such prepayment, redemption or repurchase based on the amount of such then outstanding debt as a percentage of all then outstanding Indebtedness incurred under the Loan Documents (other than Other Incremental Term Loans and Refinancing Term Loans that rank junior in right of security with the Initial Term Loans) and Other First Lien Debt, and (iv) Taxes paid or payable (in the good faith determination of the Borrower) as a result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shall deliver a certificate of a Responsible Officer of the Borrower to the Administrative Agent promptly following receipt of any such proceeds setting forth the Borrower’s intention to use any portion of such proceeds, within eighteen (18) months of such receipt, to acquire, maintain, develop, construct, improve, upgrade or repair assets useful in the business of the Borrower and the Subsidiaries or to make Permitted Acquisitions and other Investments permitted hereunder (excluding Permitted Investments or intercompany Investments in Subsidiaries) or to reimburse the cost of any of the foregoing incurred on or after the date on which the Recovery Event giving rise to such proceeds was contractually committed (other than inventory, except to the extent the proceeds of such Recovery Event are received in respect of inventory), such portion of such proceeds shall not constitute Net Proceeds except to the extent not, within eighteen (18) months of such receipt, so used or contractually committed to be so used (it being understood that if any portion of such proceeds are not so used within such eighteen (18)-month period but within such eighteen (18)-month period are contractually committed to be used, then such remaining portion if not so used within one hundred and eighty (180) days following the end of such eighteen (18)-month period shall constitute Net Proceeds as of such date without giving effect to this proviso);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(x) no net cash proceeds calculated in accordance with the foregoing realized in a single transaction or series of related transactions shall constitute Net Proceeds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unless such net cash proceeds shall exceed $1,000,000 for such single or series of related transactions and (y) no net cash proceeds shall constitute Net Proceeds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in any fiscal year until the aggregate amount of all such net cash proceeds in such fiscal year shall exceed $5,000,000 (and thereafter only net cash proceeds in excess of such amount shall constitute Net Proceeds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and</w:t>
      </w:r>
    </w:p>
    <w:p>
      <w:pPr>
        <w:spacing w:after="0" w:line="194" w:lineRule="exact"/>
        <w:rPr>
          <w:sz w:val="20"/>
          <w:szCs w:val="20"/>
          <w:color w:val="auto"/>
        </w:rPr>
      </w:pPr>
    </w:p>
    <w:p>
      <w:pPr>
        <w:jc w:val="both"/>
        <w:ind w:left="660" w:firstLine="644"/>
        <w:spacing w:after="0" w:line="246" w:lineRule="auto"/>
        <w:tabs>
          <w:tab w:leader="none" w:pos="195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100% of the cash proceeds from the incurrence, issuance or sale by the Borrower or any Subsidiary of any Indebtedness (other than Excluded Indebtedness, except for Refinancing Notes and Refinancing Term Loans), net of all fees (including investment banking fees), commissions, costs and other expenses, in each case incurred in connection with such issuance or sale.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Short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9.08(h)</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Project</w:t>
      </w:r>
      <w:r>
        <w:rPr>
          <w:rFonts w:ascii="Arial" w:cs="Arial" w:eastAsia="Arial" w:hAnsi="Arial"/>
          <w:sz w:val="20"/>
          <w:szCs w:val="20"/>
          <w:color w:val="auto"/>
        </w:rPr>
        <w:t>” shall mean (a) each facility, office or business unit which is either a new facility, office or business unit or an expansion, relocation, remodeling or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6" w:right="999" w:bottom="1440" w:gutter="0" w:footer="0" w:header="0"/>
        </w:sectPr>
      </w:pPr>
    </w:p>
    <w:bookmarkStart w:id="193" w:name="page194"/>
    <w:bookmarkEnd w:id="193"/>
    <w:p>
      <w:pPr>
        <w:jc w:val="both"/>
        <w:spacing w:after="0" w:line="282" w:lineRule="auto"/>
        <w:rPr>
          <w:sz w:val="20"/>
          <w:szCs w:val="20"/>
          <w:color w:val="auto"/>
        </w:rPr>
      </w:pPr>
      <w:r>
        <w:rPr>
          <w:rFonts w:ascii="Arial" w:cs="Arial" w:eastAsia="Arial" w:hAnsi="Arial"/>
          <w:sz w:val="18"/>
          <w:szCs w:val="18"/>
          <w:color w:val="auto"/>
        </w:rPr>
        <w:t>modernization of an existing facility, office or business unit owned by the Borrower or the Subsidiaries which in fact commences operations and (b) each creation (in one or a series of related transactions) of a business unit, product line or information technology offering to the extent such business unit commences operations or such product line or information technology is offered or each expansion (in one or a series of related transactions) of business into a new market.</w:t>
      </w:r>
    </w:p>
    <w:p>
      <w:pPr>
        <w:spacing w:after="0" w:line="161"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shall mean any non-cash expenses and costs that result from the issuance of stock-based awards, partnership interest-based awards and similar incentive based compensation awards or arrangements.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Non-Defaulting Lender</w:t>
      </w:r>
      <w:r>
        <w:rPr>
          <w:rFonts w:ascii="Arial" w:cs="Arial" w:eastAsia="Arial" w:hAnsi="Arial"/>
          <w:sz w:val="19"/>
          <w:szCs w:val="19"/>
          <w:color w:val="auto"/>
        </w:rPr>
        <w:t>” shall mean, at any time, each Lender that is not a Defaulting Lender at such time.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2.09(e)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shall mean the Federal Reserve Bank of New York.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shall mean, for any day, the greater of (a) the Federal Funds Effective Rate in effect on such day and</w:t>
      </w:r>
    </w:p>
    <w:p>
      <w:pPr>
        <w:spacing w:after="0" w:line="39" w:lineRule="exact"/>
        <w:rPr>
          <w:sz w:val="20"/>
          <w:szCs w:val="20"/>
          <w:color w:val="auto"/>
        </w:rPr>
      </w:pPr>
    </w:p>
    <w:p>
      <w:pPr>
        <w:jc w:val="both"/>
        <w:ind w:firstLine="8"/>
        <w:spacing w:after="0" w:line="274" w:lineRule="auto"/>
        <w:tabs>
          <w:tab w:leader="none" w:pos="29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“NYFRB Rate” shall mean the rate for a federal funds transaction quoted at 11:00 a.m. on such day received by the Administrative Agent from a federal funds broker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shall mean the website of the NYFRB at http://www.newyorkfed.org, or any successor source.</w:t>
      </w:r>
    </w:p>
    <w:p>
      <w:pPr>
        <w:spacing w:after="0" w:line="239" w:lineRule="exact"/>
        <w:rPr>
          <w:sz w:val="20"/>
          <w:szCs w:val="20"/>
          <w:color w:val="auto"/>
        </w:rPr>
      </w:pPr>
    </w:p>
    <w:p>
      <w:pPr>
        <w:jc w:val="both"/>
        <w:ind w:firstLine="6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shall mean, collectively, (a) the Loan Obligations, (b) obligations of the Borrower or any Subsidiary in respect of any Secured Cash Management Agreement, (c) obligations of any Loan Party in respect of any Secured Hedge Agreement (including, in each case, monetary obligations incurred during the pendency of any bankruptcy, insolvency, receivership or other similar proceeding, regardless of whether allowed or allowable in such proceeding) and (d) obligations of any Loan Party in respect of any Secured Supplier Receivables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OECD</w:t>
      </w:r>
      <w:r>
        <w:rPr>
          <w:rFonts w:ascii="Arial" w:cs="Arial" w:eastAsia="Arial" w:hAnsi="Arial"/>
          <w:sz w:val="20"/>
          <w:szCs w:val="20"/>
          <w:color w:val="auto"/>
        </w:rPr>
        <w:t>” shall mean the Organisation for Economic Co-operation and Development.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shall mean the Office of Foreign Assets Control of the U.S. Department of the Treasury.</w:t>
      </w:r>
    </w:p>
    <w:p>
      <w:pPr>
        <w:spacing w:after="0" w:line="21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shall mean, with respect to the Administrative Agent, any Lender, any Issuing Bank or any other recipient of any payment to be made by or on account of any obligation of any Loan Party hereunder or under any other Loan Document, Taxes imposed as a result of a present or former connection between such recipient and the jurisdiction imposing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4" w:name="page195"/>
    <w:bookmarkEnd w:id="194"/>
    <w:p>
      <w:pPr>
        <w:jc w:val="both"/>
        <w:spacing w:after="0" w:line="246" w:lineRule="auto"/>
        <w:rPr>
          <w:sz w:val="20"/>
          <w:szCs w:val="20"/>
          <w:color w:val="auto"/>
        </w:rPr>
      </w:pPr>
      <w:r>
        <w:rPr>
          <w:rFonts w:ascii="Arial" w:cs="Arial" w:eastAsia="Arial" w:hAnsi="Arial"/>
          <w:sz w:val="20"/>
          <w:szCs w:val="20"/>
          <w:color w:val="auto"/>
        </w:rPr>
        <w:t>such Tax (other than connections arising from such recipient having executed, delivered, become a party to, performed its obligations under, received payments under, received or perfected a security interest under, or engaged in any other transaction pursuant to or enforced any Loan or Loan Document, or sold or assigned an interest in any Loan or Loan Document).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First Lien Debt</w:t>
      </w:r>
      <w:r>
        <w:rPr>
          <w:rFonts w:ascii="Arial" w:cs="Arial" w:eastAsia="Arial" w:hAnsi="Arial"/>
          <w:sz w:val="20"/>
          <w:szCs w:val="20"/>
          <w:color w:val="auto"/>
        </w:rPr>
        <w:t>” shall mean obligations secured by Other First Liens.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Liens</w:t>
      </w:r>
      <w:r>
        <w:rPr>
          <w:rFonts w:ascii="Arial" w:cs="Arial" w:eastAsia="Arial" w:hAnsi="Arial"/>
          <w:sz w:val="18"/>
          <w:szCs w:val="18"/>
          <w:color w:val="auto"/>
        </w:rPr>
        <w:t>” shall mean Liens on the Collateral that are equal and ratable with the Liens thereon securing the Initial Term Loans (and other Loan Obligations that are secured by Liens on the Collateral ranking equally and ratably with the Initial Term Loans) pursuant to a Permitted First Lien Intercreditor Agreement, which Permitted First Lien Intercreditor Agreement (together with such amendments to the Security Documents and any other Intercreditor Agreements, if any, as are reasonably necessary or advisable (and reasonably acceptable to the Collateral Agent) to give effect to such Liens) shall be entered into in connection with a permitted incurrence of any such Liens (unless a Permitted First Lien Intercreditor Agreement and/or Security Documents (as applicable) covering such Liens are already in effect).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Incremental Term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2.21(a)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Facility Commitments</w:t>
      </w:r>
      <w:r>
        <w:rPr>
          <w:rFonts w:ascii="Arial" w:cs="Arial" w:eastAsia="Arial" w:hAnsi="Arial"/>
          <w:sz w:val="20"/>
          <w:szCs w:val="20"/>
          <w:color w:val="auto"/>
        </w:rPr>
        <w:t>” shall mean, collectively, (a) Extended Revolving Facility Commitments to make Extended Revolving Loans and (b) Replacement Revolving Facility Commitments.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shall mean, collectively, (a) Extended Revolving Loans and (b) Replacement Revolving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shall mean all present or future stamp or documentary Taxes or any other excise, intangible, mortgage recording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except any such Taxes that are Other Connection Taxes imposed with respect to an assignment (other than an assignment pursuant to a request by the Borrower under </w:t>
      </w:r>
      <w:r>
        <w:rPr>
          <w:rFonts w:ascii="Arial" w:cs="Arial" w:eastAsia="Arial" w:hAnsi="Arial"/>
          <w:sz w:val="20"/>
          <w:szCs w:val="20"/>
          <w:u w:val="single" w:color="auto"/>
          <w:color w:val="auto"/>
        </w:rPr>
        <w:t>Section 2.19(b)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2.19(c))</w:t>
      </w:r>
      <w:r>
        <w:rPr>
          <w:rFonts w:ascii="Arial" w:cs="Arial" w:eastAsia="Arial" w:hAnsi="Arial"/>
          <w:sz w:val="20"/>
          <w:szCs w:val="20"/>
          <w:color w:val="auto"/>
        </w:rPr>
        <w: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Term Facilities</w:t>
      </w:r>
      <w:r>
        <w:rPr>
          <w:rFonts w:ascii="Arial" w:cs="Arial" w:eastAsia="Arial" w:hAnsi="Arial"/>
          <w:sz w:val="16"/>
          <w:szCs w:val="16"/>
          <w:color w:val="auto"/>
        </w:rPr>
        <w:t>” shall mean the Other Term Loan Commitments and the Other Term Loans made thereunder.</w:t>
      </w:r>
    </w:p>
    <w:p>
      <w:pPr>
        <w:spacing w:after="0" w:line="154" w:lineRule="exact"/>
        <w:rPr>
          <w:sz w:val="20"/>
          <w:szCs w:val="20"/>
          <w:color w:val="auto"/>
        </w:rPr>
      </w:pPr>
    </w:p>
    <w:p>
      <w:pPr>
        <w:jc w:val="both"/>
        <w:ind w:right="20" w:firstLine="6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Loan Commitments</w:t>
      </w:r>
      <w:r>
        <w:rPr>
          <w:rFonts w:ascii="Arial" w:cs="Arial" w:eastAsia="Arial" w:hAnsi="Arial"/>
          <w:sz w:val="20"/>
          <w:szCs w:val="20"/>
          <w:color w:val="auto"/>
        </w:rPr>
        <w:t>” shall mean, collectively, (a) Incremental Commitments and (b) commitments to make Refinancing Term Loans.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Loan Installment Date</w:t>
      </w:r>
      <w:r>
        <w:rPr>
          <w:rFonts w:ascii="Arial" w:cs="Arial" w:eastAsia="Arial" w:hAnsi="Arial"/>
          <w:sz w:val="20"/>
          <w:szCs w:val="20"/>
          <w:color w:val="auto"/>
        </w:rPr>
        <w:t xml:space="preserve">” shall have, with respect to any Class of Other Term Loans established pursuant to an Incremental Assumption Agreement, an Extension Amendment or a Refinancing Amendment, the meaning assigned to such term in </w:t>
      </w:r>
      <w:r>
        <w:rPr>
          <w:rFonts w:ascii="Arial" w:cs="Arial" w:eastAsia="Arial" w:hAnsi="Arial"/>
          <w:sz w:val="20"/>
          <w:szCs w:val="20"/>
          <w:u w:val="single" w:color="auto"/>
          <w:color w:val="auto"/>
        </w:rPr>
        <w:t>Section 2.10(a)(ii)</w:t>
      </w:r>
      <w:r>
        <w:rPr>
          <w:rFonts w:ascii="Arial" w:cs="Arial" w:eastAsia="Arial" w:hAnsi="Arial"/>
          <w:sz w:val="20"/>
          <w:szCs w:val="20"/>
          <w:color w:val="auto"/>
        </w:rPr>
        <w:t>.</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Loans</w:t>
      </w:r>
      <w:r>
        <w:rPr>
          <w:rFonts w:ascii="Arial" w:cs="Arial" w:eastAsia="Arial" w:hAnsi="Arial"/>
          <w:sz w:val="20"/>
          <w:szCs w:val="20"/>
          <w:color w:val="auto"/>
        </w:rPr>
        <w:t>” shall mean, collectively, (a) Incremental Loans made in respect of Incremental Commitments, (b) Extended Term Loans and (c) Refinancing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5" w:name="page196"/>
    <w:bookmarkEnd w:id="195"/>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shall mean, for any day, with respect to any amount, the rate comprised of both overnight federal funds and overnight eurodollar transactions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shall have the meaning assigned to such term in the definition of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Entity</w:t>
      </w:r>
      <w:r>
        <w:rPr>
          <w:rFonts w:ascii="Arial" w:cs="Arial" w:eastAsia="Arial" w:hAnsi="Arial"/>
          <w:sz w:val="20"/>
          <w:szCs w:val="20"/>
          <w:color w:val="auto"/>
        </w:rPr>
        <w:t>” shall mean any person that is a direct or indirect parent of the Borrower.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9.04(c)(i)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9.04(c)(ii)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8.06(c)(i)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8.06(c)(ii)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shall mean the Pension Benefit Guaranty Corporation referred to and defined in ERISA.</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shall mean the Perfection Certificate with respect to the Borrower and the other Loan Parties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or such other form as is reasonably satisfactory to the Administrative Agent.</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shall mean any acquisition by the Borrower or any of its Subsidiaries of all or a portion of the assets or business of, or all or a portion of the Equity Interests not previously held by the Borrower and its Subsidiaries in, or merger, consolidation or amalgamation with, a person or business unit or division or line of business of a person (or any subsequent investment made in a person or business unit or division or line of business previously acquired in a Permitted Acquisition), if (i) subject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no Event of Default under </w:t>
      </w:r>
      <w:r>
        <w:rPr>
          <w:rFonts w:ascii="Arial" w:cs="Arial" w:eastAsia="Arial" w:hAnsi="Arial"/>
          <w:sz w:val="18"/>
          <w:szCs w:val="18"/>
          <w:u w:val="single" w:color="auto"/>
          <w:color w:val="auto"/>
        </w:rPr>
        <w:t>Sections 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in respect of the Borrower shall have occurred and be continuing immediately after giving effect thereto or would result therefrom; (ii) to the extent required by </w:t>
      </w:r>
      <w:r>
        <w:rPr>
          <w:rFonts w:ascii="Arial" w:cs="Arial" w:eastAsia="Arial" w:hAnsi="Arial"/>
          <w:sz w:val="18"/>
          <w:szCs w:val="18"/>
          <w:u w:val="single" w:color="auto"/>
          <w:color w:val="auto"/>
        </w:rPr>
        <w:t>Section 5.10</w:t>
      </w:r>
      <w:r>
        <w:rPr>
          <w:rFonts w:ascii="Arial" w:cs="Arial" w:eastAsia="Arial" w:hAnsi="Arial"/>
          <w:sz w:val="18"/>
          <w:szCs w:val="18"/>
          <w:color w:val="auto"/>
        </w:rPr>
        <w:t>, any person acquired in such acquisition shall be merged into a Loan Party or become following the consummation of such acquisition a Guarantor; (iii) the aggregate amount of all Permitted Acquisitions by the Borrower or Guarantors (other than Holdings) of Restricted Subsidiaries that are not Guarantors shall not exceed the greater of $25,000,000 and 30% of Adjusted Consolidated EBITDA for the most recently ended Test Period as of such time; and (iv) the Borrower shall be in pro forma compliance with the Financial Covenants.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Call Spread Swap Agreements</w:t>
      </w:r>
      <w:r>
        <w:rPr>
          <w:rFonts w:ascii="Arial" w:cs="Arial" w:eastAsia="Arial" w:hAnsi="Arial"/>
          <w:sz w:val="19"/>
          <w:szCs w:val="19"/>
          <w:color w:val="auto"/>
        </w:rPr>
        <w:t>” shall mean (a) a Swap Contract pursuant to which a person acquires a call or a capped call option requiring the counterparty thereto to deliver to such person shares of common stock of person (or other Equity Interests, securities, property or assets following a merger event or other event or circumstance resulting in the common stock of such person generally being converted into, or exchanged for, other Equity Interests, securities, property or assets), the cash value thereof or a combination thereof from time to time upon exercise of such option and (b) if entered into by such person in connection with any Swap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6" w:name="page197"/>
    <w:bookmarkEnd w:id="196"/>
    <w:p>
      <w:pPr>
        <w:jc w:val="both"/>
        <w:spacing w:after="0" w:line="273" w:lineRule="auto"/>
        <w:rPr>
          <w:sz w:val="20"/>
          <w:szCs w:val="20"/>
          <w:color w:val="auto"/>
        </w:rPr>
      </w:pPr>
      <w:r>
        <w:rPr>
          <w:rFonts w:ascii="Arial" w:cs="Arial" w:eastAsia="Arial" w:hAnsi="Arial"/>
          <w:sz w:val="18"/>
          <w:szCs w:val="18"/>
          <w:color w:val="auto"/>
        </w:rPr>
        <w:t xml:space="preserve">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 Swap Contract pursuant to which such person issues to the counterparty thereto warrants or other rights to acquire common stock of such person (or other Equity Interests, securities, property or assets following a merger event or other event or circumstance resulting in the common stock of such person generally being converted into, or exchanged for, other Equity Interests, securities, property or assets), whether such warrant or other right is settled in shares (or such other Equity Interests, securities, property or assets), cash or a combination thereof, in each case entered into by such person in connection with the issuance of Permitted Convertible Notes;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terms, conditions and covenants of each such Swap Contract shall be customary or more favorable than customary for Swap Contracts of such type (as determined by the Borrower in good faith).</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Convertible Notes</w:t>
      </w:r>
      <w:r>
        <w:rPr>
          <w:rFonts w:ascii="Arial" w:cs="Arial" w:eastAsia="Arial" w:hAnsi="Arial"/>
          <w:sz w:val="19"/>
          <w:szCs w:val="19"/>
          <w:color w:val="auto"/>
        </w:rPr>
        <w:t xml:space="preserve">” shall mean any notes issued by Borrower or any Parent Entity that are convertible into common stock of the Borrower or any Parent Entity (or other Equity Interests, securities, property or assets following a merger event or other event or circumstance resulting in the common stock of the Borrower or any Parent Entity generally being converted into, or exchanged for, other Equity Interests, securities, property or assets), cash (the amount of such cash being determined by reference to the price of such common stock or such other Equity Interests, securities, property or assets), or any combination of any of the foregoing, and cash in lieu of fractional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issuance of such notes is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85" w:lineRule="exact"/>
        <w:rPr>
          <w:sz w:val="20"/>
          <w:szCs w:val="20"/>
          <w:color w:val="auto"/>
        </w:rPr>
      </w:pPr>
    </w:p>
    <w:p>
      <w:pPr>
        <w:jc w:val="both"/>
        <w:ind w:firstLine="73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Debt</w:t>
      </w:r>
      <w:r>
        <w:rPr>
          <w:rFonts w:ascii="Arial" w:cs="Arial" w:eastAsia="Arial" w:hAnsi="Arial"/>
          <w:sz w:val="19"/>
          <w:szCs w:val="19"/>
          <w:color w:val="auto"/>
        </w:rPr>
        <w:t xml:space="preserve">” shall mean Indebtedness for borrowed money incurred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(i) any such Permitted Debt, if secured by the Collateral, shall be subject to an Intercreditor Agreement reasonably satisfactory to the Administrative Agent; and (ii) such Permitted Debt (other than (x) Permitted Incremental Term Loans and (y) Customary Bridge Financings) shall not mature prior to the date that is the Latest Maturity Date existing at the time of such incurrence, and the Weighted Average Life to Maturity of any such Permitted Debt (other than Customary Bridge Financings) shall be no shorter than the remaining Weighted Average Life to Maturity of the Loans with the Latest Maturity Date at the time of such incurrence.</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First Lien Intercreditor Agreement</w:t>
      </w:r>
      <w:r>
        <w:rPr>
          <w:rFonts w:ascii="Arial" w:cs="Arial" w:eastAsia="Arial" w:hAnsi="Arial"/>
          <w:sz w:val="18"/>
          <w:szCs w:val="18"/>
          <w:color w:val="auto"/>
        </w:rPr>
        <w:t>” shall mean, with respect to any Liens on Collateral that are intended to be equal and ratable with the Liens securing the Initial Term Loans (and other Loan Obligations that are secured by Liens on the Collateral ranking equally and ratably with the Liens securing the Initial Term Loans), one or more intercreditor agreements, each of which shall be in form and substance reasonably satisfactory to the Collateral Agent.</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w:t>
      </w:r>
      <w:r>
        <w:rPr>
          <w:rFonts w:ascii="Arial" w:cs="Arial" w:eastAsia="Arial" w:hAnsi="Arial"/>
          <w:sz w:val="18"/>
          <w:szCs w:val="18"/>
          <w:color w:val="auto"/>
        </w:rPr>
        <w:t xml:space="preserve">” shall mean (a) Closing Date Investors, (b) the Management Investors, (c) their Permitted Transferees and (d) any group of which the persons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are members and any other member of such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persons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without giving effect to the existence of such group or any other group, collectively own, directly or indirectly, Voting Equity Interests in such person representing a majority of the aggregate votes entitled to vote for the election of directors of such person having a majority of the aggregate votes on the Board of Directors of such person owned by such group.</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Incremental Term Loans</w:t>
      </w:r>
      <w:r>
        <w:rPr>
          <w:rFonts w:ascii="Arial" w:cs="Arial" w:eastAsia="Arial" w:hAnsi="Arial"/>
          <w:sz w:val="20"/>
          <w:szCs w:val="20"/>
          <w:color w:val="auto"/>
        </w:rPr>
        <w:t>” shall mean (x) any Incremental Term Loans incurred as additional Term Loans with terms identical to a then-existing Class of Term Loans, (y)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7" w:name="page198"/>
    <w:bookmarkEnd w:id="197"/>
    <w:p>
      <w:pPr>
        <w:jc w:val="both"/>
        <w:spacing w:after="0" w:line="269" w:lineRule="auto"/>
        <w:rPr>
          <w:sz w:val="20"/>
          <w:szCs w:val="20"/>
          <w:color w:val="auto"/>
        </w:rPr>
      </w:pPr>
      <w:r>
        <w:rPr>
          <w:rFonts w:ascii="Arial" w:cs="Arial" w:eastAsia="Arial" w:hAnsi="Arial"/>
          <w:sz w:val="19"/>
          <w:szCs w:val="19"/>
          <w:color w:val="auto"/>
        </w:rPr>
        <w:t>Other Incremental Term Loans with amortization in excess of 1.0% per year that are designated as such in the applicable Incremental Assumption Agreement, and (z) any Incremental Term Loans that are primarily syndicated to regulated banks in the primary syndication thereof (as reasonably determined by the Borrower in good faith).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shall mean:</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readily marketable obligations issued or directly and fully guaranteed or insured by the United States of America, any member of the European Union or, in the case of Foreign Subsidiaries or foreign operations, any country that is a member of the OECD, or in each case any agency or instrumentality thereof, with maturities not exceeding two years from the date of acquisition thereof;</w:t>
      </w:r>
    </w:p>
    <w:p>
      <w:pPr>
        <w:spacing w:after="0" w:line="191" w:lineRule="exact"/>
        <w:rPr>
          <w:rFonts w:ascii="Arial" w:cs="Arial" w:eastAsia="Arial" w:hAnsi="Arial"/>
          <w:sz w:val="20"/>
          <w:szCs w:val="20"/>
          <w:color w:val="auto"/>
        </w:rPr>
      </w:pPr>
    </w:p>
    <w:p>
      <w:pPr>
        <w:jc w:val="both"/>
        <w:ind w:left="660" w:firstLine="644"/>
        <w:spacing w:after="0" w:line="270" w:lineRule="auto"/>
        <w:tabs>
          <w:tab w:leader="none" w:pos="195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 time deposits with, or certificates of deposit, money market deposits or banker’s acceptances and other bank deposits of, any commercial bank or (ii) overnight federal funds transactions that are issued or sold by any bank or its holding company or by a commercial banking institution that (A)(1)(x) is a Lender or (y)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(2) issues (or the parent of which issues) commercial paper rated as described in </w:t>
      </w:r>
      <w:r>
        <w:rPr>
          <w:rFonts w:ascii="Arial" w:cs="Arial" w:eastAsia="Arial" w:hAnsi="Arial"/>
          <w:sz w:val="18"/>
          <w:szCs w:val="18"/>
          <w:u w:val="single" w:color="auto"/>
          <w:color w:val="auto"/>
        </w:rPr>
        <w:t>clause (d)(i)</w:t>
      </w:r>
      <w:r>
        <w:rPr>
          <w:rFonts w:ascii="Arial" w:cs="Arial" w:eastAsia="Arial" w:hAnsi="Arial"/>
          <w:sz w:val="18"/>
          <w:szCs w:val="18"/>
          <w:color w:val="auto"/>
        </w:rPr>
        <w:t xml:space="preserve"> of this definition and (3) has combined capital and surplus of at least $250,000,000 or (B) a non-U.S. commercial banking institution organized under the laws of any country (I) that has a combined capital and surplus of at least $100,000,000 (or the dollar equivalent as of the date of determination, as determined by the Borrower) or (II) whose short-term commercial paper rating from S&amp;P is at least A-2 or the equivalent thereof or from Moody’s is at least P-2 or the equivalent thereof, in each case with maturities of not more than one year from the date of acquisition thereof;</w:t>
      </w:r>
    </w:p>
    <w:p>
      <w:pPr>
        <w:spacing w:after="0" w:line="175" w:lineRule="exact"/>
        <w:rPr>
          <w:rFonts w:ascii="Arial" w:cs="Arial" w:eastAsia="Arial" w:hAnsi="Arial"/>
          <w:sz w:val="18"/>
          <w:szCs w:val="18"/>
          <w:color w:val="auto"/>
        </w:rPr>
      </w:pPr>
    </w:p>
    <w:p>
      <w:pPr>
        <w:ind w:left="660" w:firstLine="644"/>
        <w:spacing w:after="0" w:line="260" w:lineRule="auto"/>
        <w:tabs>
          <w:tab w:leader="none" w:pos="195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repurchase obligations for underlying securities of the types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entered into with a bank meeting the qualifications described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w:t>
      </w:r>
    </w:p>
    <w:p>
      <w:pPr>
        <w:spacing w:after="0" w:line="176"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 commercial paper, and variable or fixed rate notes, maturing not more than two years after the date of acquisition thereof, issued by any person organized under the laws of any state of the United States of America with a rating at the time as of which any investment therein is made of P-1 (or higher) according to Moody’s, or A-1 (or higher) according to S&amp;P (or such similar equivalent rating or higher by at least one nationally recognized statistical rating organization (as defined in Rule 436 under the Securities Act)) or (ii) Tax exempt variable rate commercial paper, Tax-exempt adjustable rate option tender bonds and other Tax-exempt bonds or notes issued by municipalities in the United States of America, having a short term rating of at least MIG-1 or VMIG-1 or SP-1 or a long term rating of at least AA by S&amp;P or Aa2 by Moody’s;</w:t>
      </w:r>
    </w:p>
    <w:p>
      <w:pPr>
        <w:spacing w:after="0" w:line="180"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securities with maturities of two years or less from the date of acquisition, issued or fully guaranteed by any state, commonwealth or territory of the United States of America, or by any political subdivision or taxing authority thereof, or by any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8" w:name="page199"/>
    <w:bookmarkEnd w:id="198"/>
    <w:p>
      <w:pPr>
        <w:jc w:val="both"/>
        <w:ind w:left="200"/>
        <w:spacing w:after="0" w:line="250" w:lineRule="auto"/>
        <w:rPr>
          <w:sz w:val="20"/>
          <w:szCs w:val="20"/>
          <w:color w:val="auto"/>
        </w:rPr>
      </w:pPr>
      <w:r>
        <w:rPr>
          <w:rFonts w:ascii="Arial" w:cs="Arial" w:eastAsia="Arial" w:hAnsi="Arial"/>
          <w:sz w:val="20"/>
          <w:szCs w:val="20"/>
          <w:color w:val="auto"/>
        </w:rPr>
        <w:t>or any asset backed securities of such maturity, in each case rated at least investment grade by S&amp;P or by Moody’s (or such similar equivalent rating or higher by at least one nationally recognized statistical rating organization (as defined in Rule 436 under the Securities Act));</w:t>
      </w:r>
    </w:p>
    <w:p>
      <w:pPr>
        <w:spacing w:after="0" w:line="186" w:lineRule="exact"/>
        <w:rPr>
          <w:sz w:val="20"/>
          <w:szCs w:val="20"/>
          <w:color w:val="auto"/>
        </w:rPr>
      </w:pPr>
    </w:p>
    <w:p>
      <w:pPr>
        <w:jc w:val="both"/>
        <w:ind w:left="200" w:firstLine="644"/>
        <w:spacing w:after="0" w:line="246" w:lineRule="auto"/>
        <w:tabs>
          <w:tab w:leader="none" w:pos="149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(i) shares of mutual funds whose investment guidelines restrict 90% of such funds’ investments to those satisfying the provisions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(l)</w:t>
      </w:r>
      <w:r>
        <w:rPr>
          <w:rFonts w:ascii="Arial" w:cs="Arial" w:eastAsia="Arial" w:hAnsi="Arial"/>
          <w:sz w:val="20"/>
          <w:szCs w:val="20"/>
          <w:color w:val="auto"/>
        </w:rPr>
        <w:t>; and (ii) investments with average maturities of 24 months or less from the date of acquisition in mutual funds rated AAA (or the equivalent thereof) or better by S&amp;P or Aaa3 (or the equivalent thereof) or better by Moody’s;</w:t>
      </w:r>
    </w:p>
    <w:p>
      <w:pPr>
        <w:spacing w:after="0" w:line="191" w:lineRule="exact"/>
        <w:rPr>
          <w:rFonts w:ascii="Arial" w:cs="Arial" w:eastAsia="Arial" w:hAnsi="Arial"/>
          <w:sz w:val="20"/>
          <w:szCs w:val="20"/>
          <w:color w:val="auto"/>
        </w:rPr>
      </w:pPr>
    </w:p>
    <w:p>
      <w:pPr>
        <w:jc w:val="both"/>
        <w:ind w:left="200" w:firstLine="644"/>
        <w:spacing w:after="0" w:line="246" w:lineRule="auto"/>
        <w:tabs>
          <w:tab w:leader="none" w:pos="149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Investments, classified in accordance with GAAP as current assets of the Borrower or any of its Subsidiaries, in money market investment programs that are (i) registered under the Investment Company Act of 1940, (ii) rated AA by S&amp;P or Aa2 by Moody’s or (iii) administered by financial institutions having capital of at least $250,000,000;</w:t>
      </w:r>
    </w:p>
    <w:p>
      <w:pPr>
        <w:spacing w:after="0" w:line="191" w:lineRule="exact"/>
        <w:rPr>
          <w:rFonts w:ascii="Arial" w:cs="Arial" w:eastAsia="Arial" w:hAnsi="Arial"/>
          <w:sz w:val="20"/>
          <w:szCs w:val="20"/>
          <w:color w:val="auto"/>
        </w:rPr>
      </w:pPr>
    </w:p>
    <w:p>
      <w:pPr>
        <w:jc w:val="both"/>
        <w:ind w:left="200" w:firstLine="644"/>
        <w:spacing w:after="0" w:line="291" w:lineRule="auto"/>
        <w:tabs>
          <w:tab w:leader="none" w:pos="14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time deposit accounts, certificates of deposit, money market deposits, banker’s acceptances and other bank deposits in an aggregate face amount not in excess of 0.5% of the total assets of the Borrower and the Subsidiaries, on a consolidated basis, as of the end of the Borrower’s most recently completed fiscal year;</w:t>
      </w:r>
    </w:p>
    <w:p>
      <w:pPr>
        <w:spacing w:after="0" w:line="151" w:lineRule="exact"/>
        <w:rPr>
          <w:rFonts w:ascii="Arial" w:cs="Arial" w:eastAsia="Arial" w:hAnsi="Arial"/>
          <w:sz w:val="18"/>
          <w:szCs w:val="18"/>
          <w:color w:val="auto"/>
        </w:rPr>
      </w:pPr>
    </w:p>
    <w:p>
      <w:pPr>
        <w:jc w:val="both"/>
        <w:ind w:left="200" w:firstLine="644"/>
        <w:spacing w:after="0" w:line="271" w:lineRule="auto"/>
        <w:tabs>
          <w:tab w:leader="none" w:pos="14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with respect to any Foreign Subsidiary or foreign operations: (i) readily marketable obligations issued by the national government of the country in which such Foreign Subsidiary maintains its chief executive office or such Foreign Subsidiary or foreign operations conduct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OECD, in each case maturing within two years after the date of investment therein, (ii) certificates of deposit of, bankers acceptances of, or time deposits with, any commercial bank which is organized and existing under the laws of the country in which such Foreign Subsidiary maintains its chief executive office or such Foreign Subsidiary or foreign operations conduct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country is a member of the OECD, and whose short-term commercial paper rating from S&amp;P is at least A-2 or the equivalent thereof or from Moody’s is at least P-2 or the equivalent thereof (any such bank being an “</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and in each case with maturities of not more than two years from the date of acquisition and (iii) the equivalent of demand deposit accounts which are maintained with an Approved Foreign Bank;</w:t>
      </w:r>
    </w:p>
    <w:p>
      <w:pPr>
        <w:spacing w:after="0" w:line="169" w:lineRule="exact"/>
        <w:rPr>
          <w:rFonts w:ascii="Arial" w:cs="Arial" w:eastAsia="Arial" w:hAnsi="Arial"/>
          <w:sz w:val="18"/>
          <w:szCs w:val="18"/>
          <w:color w:val="auto"/>
        </w:rPr>
      </w:pPr>
    </w:p>
    <w:p>
      <w:pPr>
        <w:jc w:val="both"/>
        <w:ind w:left="200" w:firstLine="644"/>
        <w:spacing w:after="0" w:line="244" w:lineRule="auto"/>
        <w:tabs>
          <w:tab w:leader="none" w:pos="149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instruments equivalent to those referred to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(i)</w:t>
      </w:r>
      <w:r>
        <w:rPr>
          <w:rFonts w:ascii="Arial" w:cs="Arial" w:eastAsia="Arial" w:hAnsi="Arial"/>
          <w:sz w:val="20"/>
          <w:szCs w:val="20"/>
          <w:color w:val="auto"/>
        </w:rPr>
        <w:t xml:space="preserve">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the Borrower or any Subsidiary organized in such jurisdiction;</w:t>
      </w:r>
    </w:p>
    <w:p>
      <w:pPr>
        <w:spacing w:after="0" w:line="194" w:lineRule="exact"/>
        <w:rPr>
          <w:rFonts w:ascii="Arial" w:cs="Arial" w:eastAsia="Arial" w:hAnsi="Arial"/>
          <w:sz w:val="20"/>
          <w:szCs w:val="20"/>
          <w:color w:val="auto"/>
        </w:rPr>
      </w:pPr>
    </w:p>
    <w:p>
      <w:pPr>
        <w:ind w:left="200" w:firstLine="644"/>
        <w:spacing w:after="0" w:line="260" w:lineRule="auto"/>
        <w:tabs>
          <w:tab w:leader="none" w:pos="149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Dollars, euro, sterling, Australian dollars, Swiss francs, Canadian dollars, yuan or such other currencies held by it from time to time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99" w:name="page200"/>
    <w:bookmarkEnd w:id="199"/>
    <w:p>
      <w:pPr>
        <w:ind w:left="660" w:right="20" w:firstLine="644"/>
        <w:spacing w:after="0" w:line="260" w:lineRule="auto"/>
        <w:tabs>
          <w:tab w:leader="none" w:pos="195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other financial instruments or investments as agreed by the Borrower and the Administrative Agent from time to time.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Junior Intercreditor Agreement</w:t>
      </w:r>
      <w:r>
        <w:rPr>
          <w:rFonts w:ascii="Arial" w:cs="Arial" w:eastAsia="Arial" w:hAnsi="Arial"/>
          <w:sz w:val="20"/>
          <w:szCs w:val="20"/>
          <w:color w:val="auto"/>
        </w:rPr>
        <w:t xml:space="preserve">” shall mean, with respect to any Liens on Collateral that are intended to be junior to any Liens securing the Initial Term Loans (and other Loan Obligations that are secured by Liens on the Collateral ranking equally and ratably with the Liens securing the Initial Term Loans) (including, for the avoidance of doubt, Junior Liens pursuant to </w:t>
      </w:r>
      <w:r>
        <w:rPr>
          <w:rFonts w:ascii="Arial" w:cs="Arial" w:eastAsia="Arial" w:hAnsi="Arial"/>
          <w:sz w:val="20"/>
          <w:szCs w:val="20"/>
          <w:u w:val="single" w:color="auto"/>
          <w:color w:val="auto"/>
        </w:rPr>
        <w:t>Section 2.21(b)(ii)</w:t>
      </w:r>
      <w:r>
        <w:rPr>
          <w:rFonts w:ascii="Arial" w:cs="Arial" w:eastAsia="Arial" w:hAnsi="Arial"/>
          <w:sz w:val="20"/>
          <w:szCs w:val="20"/>
          <w:color w:val="auto"/>
        </w:rPr>
        <w:t>), one or more intercreditor agreements, each of which shall be in form and substance reasonably satisfactory to the Collateral Agent.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Receivables Facility Assets</w:t>
      </w:r>
      <w:r>
        <w:rPr>
          <w:rFonts w:ascii="Arial" w:cs="Arial" w:eastAsia="Arial" w:hAnsi="Arial"/>
          <w:sz w:val="19"/>
          <w:szCs w:val="19"/>
          <w:color w:val="auto"/>
        </w:rPr>
        <w:t>” shall mean Receivables Assets (whether now existing or arising in the future) of the Borrower and its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Facility Documents</w:t>
      </w:r>
      <w:r>
        <w:rPr>
          <w:rFonts w:ascii="Arial" w:cs="Arial" w:eastAsia="Arial" w:hAnsi="Arial"/>
          <w:sz w:val="18"/>
          <w:szCs w:val="18"/>
          <w:color w:val="auto"/>
        </w:rPr>
        <w:t>” shall mean each of the documents and agreements entered into in connection with any Qualified Receivables Facility, including all documents and agreements relating to the sale of receivables, the issuance, funding and/or purchase of certificates and purchased interests or the incurrence of loans, as applicable, in each case as such documents and agreements may be amended, modified, supplemented, refinanced or replaced from time to time so long as the relevant Qualified Receivables Facility would still meet the requirements of the definition thereof after giving effect to such amendment, modification, supplement, refinancing or replacement.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lock-boxes, deposit accounts, records in respect of Receivables Assets and collections in respect of Receivables Assets).</w:t>
      </w:r>
    </w:p>
    <w:p>
      <w:pPr>
        <w:spacing w:after="0" w:line="16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shall mean any Indebtedness issued in exchange for, or the net proceeds of which are used to extend, refinance, renew, replace, defease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the Indebtedness being Refinanced (or previous refinancings thereof constituting Permitted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principal amount (or accreted value, if applicable) of such Permitted Refinancing Indebtedness does not exceed the principal amount (or accreted value, if applicable) of the Indebtedness so Refinanced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unpaid accrued interest and premium (including tender premiums) thereon and underwriting discounts, defeasance costs, fees, commissions and expenses) related thereto (including fees, costs and expenses associated with the repayment of the Indebtedness being so Refinanced),</w:t>
      </w:r>
    </w:p>
    <w:p>
      <w:pPr>
        <w:spacing w:after="0" w:line="2" w:lineRule="exact"/>
        <w:rPr>
          <w:sz w:val="20"/>
          <w:szCs w:val="20"/>
          <w:color w:val="auto"/>
        </w:rPr>
      </w:pPr>
    </w:p>
    <w:p>
      <w:pPr>
        <w:ind w:firstLine="8"/>
        <w:spacing w:after="0" w:line="244" w:lineRule="auto"/>
        <w:tabs>
          <w:tab w:leader="none" w:pos="29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except with respect to </w:t>
      </w:r>
      <w:r>
        <w:rPr>
          <w:rFonts w:ascii="Arial" w:cs="Arial" w:eastAsia="Arial" w:hAnsi="Arial"/>
          <w:sz w:val="20"/>
          <w:szCs w:val="20"/>
          <w:u w:val="single" w:color="auto"/>
          <w:color w:val="auto"/>
        </w:rPr>
        <w:t>Section 6.01(i)</w:t>
      </w:r>
      <w:r>
        <w:rPr>
          <w:rFonts w:ascii="Arial" w:cs="Arial" w:eastAsia="Arial" w:hAnsi="Arial"/>
          <w:sz w:val="20"/>
          <w:szCs w:val="20"/>
          <w:color w:val="auto"/>
        </w:rPr>
        <w:t>, (i) the final maturity date of such Permitted Refinancing Indebtedness is on or after the earlier of (x) the final maturity date of the Indebtedness being Refinanced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0" w:name="page201"/>
    <w:bookmarkEnd w:id="200"/>
    <w:p>
      <w:pPr>
        <w:jc w:val="both"/>
        <w:ind w:firstLine="8"/>
        <w:spacing w:after="0" w:line="304" w:lineRule="auto"/>
        <w:tabs>
          <w:tab w:leader="none" w:pos="28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the 91st day following the Latest Maturity Date in effect at the time of incurrence thereof and (ii) the Weighted Average Life to Maturity of such Permitted Refinancing Indebtedness is greater than or equal to the lesser of (x) the Weighted Average Life to Maturity of the Indebtedness being Refinanced and (y) 91 days after the Weighted Average Life to Maturity of the Class of Term Loans then outstanding with the greatest remaining Weighted Average Life to Maturity, (c) if the Indebtedness being Refinanced is by its terms subordinated in right of payment to any Loan Obligations, such Permitted Refinancing Indebtedness shall be subordinated in right of payment to such Loan Obligations on terms in the aggregate not materially less favorable to the applicable Lenders as those contained in the documentation governing the Indebtedness being Refinanced (as determined by the Borrower in good faith), (d) no Permitted Refinancing Indebtedness shall have any borrower which is different than the borrower of the Indebtedness being so Refinanced or have guarantors that are not (or would not have been required to become) guarantors with respect to the Indebtedness being so Refinanced (except that one or more Loan Parties may be added as additional guarantors),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(as determined by the Borrower in good faith) and (f) if the Indebtedness being Refinanced was subject to a Permitted First Lien Intercreditor Agreement or a Permitted Junior Intercreditor Agreement, and if the respective Permitted Refinancing Indebtedness is to be secured by the Collateral, the Permitted Refinancing Indebtedness shall likewise be subject to a Permitted First Lien Intercreditor Agreement or a Permitted Junior Intercreditor Agreement, as applicable.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Sale Lease-Back Transaction</w:t>
      </w:r>
      <w:r>
        <w:rPr>
          <w:rFonts w:ascii="Arial" w:cs="Arial" w:eastAsia="Arial" w:hAnsi="Arial"/>
          <w:sz w:val="20"/>
          <w:szCs w:val="20"/>
          <w:color w:val="auto"/>
        </w:rPr>
        <w:t xml:space="preserve">” shall mean (i) any sale and lease-back transaction entered into prior to the Closing Date, (ii) any other sale and lease-back transaction, the proceeds of which do not constitute Net Proceeds pursuant to the proviso of the definition thereof and (iii) any other sale and lease-back transaction, the proceeds of which shall constitute Net Proceeds; </w:t>
      </w:r>
      <w:r>
        <w:rPr>
          <w:rFonts w:ascii="Arial" w:cs="Arial" w:eastAsia="Arial" w:hAnsi="Arial"/>
          <w:sz w:val="20"/>
          <w:szCs w:val="20"/>
          <w:u w:val="single" w:color="auto"/>
          <w:color w:val="auto"/>
        </w:rPr>
        <w:t>provided</w:t>
      </w:r>
      <w:r>
        <w:rPr>
          <w:rFonts w:ascii="Arial" w:cs="Arial" w:eastAsia="Arial" w:hAnsi="Arial"/>
          <w:sz w:val="20"/>
          <w:szCs w:val="20"/>
          <w:color w:val="auto"/>
        </w:rPr>
        <w:t>, that the proceeds of any sale and lease-back transaction related to Negative-Pledge Real Property shall constitute Net Proceeds.</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Supplier Receivables Sale Program</w:t>
      </w:r>
      <w:r>
        <w:rPr>
          <w:rFonts w:ascii="Arial" w:cs="Arial" w:eastAsia="Arial" w:hAnsi="Arial"/>
          <w:sz w:val="18"/>
          <w:szCs w:val="18"/>
          <w:color w:val="auto"/>
        </w:rPr>
        <w:t>” shall mean any supply chain financing or structured accounts payable program or similar arrangement that is entered into in the ordinary course between a supplier and a financial institution and provides for the transfer, sale or pledge by the supplier of accounts payable by the Borrower to such supplier.</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Transferees</w:t>
      </w:r>
      <w:r>
        <w:rPr>
          <w:rFonts w:ascii="Arial" w:cs="Arial" w:eastAsia="Arial" w:hAnsi="Arial"/>
          <w:sz w:val="20"/>
          <w:szCs w:val="20"/>
          <w:color w:val="auto"/>
        </w:rPr>
        <w:t>” shall mean, with respect to any person that is a natural person (and any Permitted Transferee of such person), (a) such person’s Immediate Family Members, including his or her spouse, ex-spouse, children, step-children and their respective lineal descendants and (b) without duplication with any of the foregoing, such person’s heirs, legatees, executors and/or administrators upon the death of such person and any other person who was an Affiliate of such person upon the death of such person and who, upon such death, directly or indirectly owned Equity Interests in the Borrower.</w:t>
      </w:r>
    </w:p>
    <w:p>
      <w:pPr>
        <w:spacing w:after="0" w:line="1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1" w:name="page202"/>
    <w:bookmarkEnd w:id="201"/>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shall mean any employee pension benefit plan (other than a Multiemployer Plan) that is (i) subject to the provisions of Title IV of ERISA or Section 412 of the Code or Section 302 of ERISA and (ii) in respect of which the Borrower, any Subsidiary or any ERISA Affiliate is (or, if such plan were terminated, would under Section 4069 of ERISA be deemed to be) an “employer” as defined in Section 3(5) of ERISA.</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Collateral</w:t>
      </w:r>
      <w:r>
        <w:rPr>
          <w:rFonts w:ascii="Arial" w:cs="Arial" w:eastAsia="Arial" w:hAnsi="Arial"/>
          <w:sz w:val="20"/>
          <w:szCs w:val="20"/>
          <w:color w:val="auto"/>
        </w:rPr>
        <w:t>” shall have the meaning assigned to such term in the Collateral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Prepayment-Based Incremental Amount</w:t>
      </w:r>
      <w:r>
        <w:rPr>
          <w:rFonts w:ascii="Arial" w:cs="Arial" w:eastAsia="Arial" w:hAnsi="Arial"/>
          <w:sz w:val="20"/>
          <w:szCs w:val="20"/>
          <w:color w:val="auto"/>
        </w:rPr>
        <w:t>” shall have the meaning assigned to such term in the definition of the term “Incremental Amount.”</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Pricing Level</w:t>
      </w:r>
      <w:r>
        <w:rPr>
          <w:rFonts w:ascii="Arial" w:cs="Arial" w:eastAsia="Arial" w:hAnsi="Arial"/>
          <w:sz w:val="19"/>
          <w:szCs w:val="19"/>
          <w:color w:val="auto"/>
        </w:rPr>
        <w:t>” shall mean, with respect to the Applicable Margin, at any date, the Level in the table set forth in the definition of “Applicable Margin” that corresponds to the then current Level of the Total Net Leverage Ratio.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primary obligor</w:t>
      </w:r>
      <w:r>
        <w:rPr>
          <w:rFonts w:ascii="Arial" w:cs="Arial" w:eastAsia="Arial" w:hAnsi="Arial"/>
          <w:sz w:val="20"/>
          <w:szCs w:val="20"/>
          <w:color w:val="auto"/>
        </w:rPr>
        <w:t>” shall have the meaning assigned to such term in the definition of the term “Guarantee.”</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Adjustments</w:t>
      </w:r>
      <w:r>
        <w:rPr>
          <w:rFonts w:ascii="Arial" w:cs="Arial" w:eastAsia="Arial" w:hAnsi="Arial"/>
          <w:sz w:val="18"/>
          <w:szCs w:val="18"/>
          <w:color w:val="auto"/>
        </w:rPr>
        <w:t>” shall have the meaning assigned to such term in the definition of the term “Pro Forma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Basis.”</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Arial" w:cs="Arial" w:eastAsia="Arial" w:hAnsi="Arial"/>
          <w:sz w:val="18"/>
          <w:szCs w:val="18"/>
          <w:u w:val="single" w:color="auto"/>
          <w:color w:val="auto"/>
        </w:rPr>
        <w:t>Reference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(i) any Asset Sale and any asset acquisition, Investment (or series of related Investments), merger, amalgamation, consolidation (including the Transactions) (or any similar transaction or transactions), any dividend, distribution or other similar payment, in each case in excess of $10,000,000, (ii) any operational changes or restructurings of the business of the Borrower or any of its Subsidiaries that the Borrower or any of its Subsidiaries has determined to make and/or made during or subsequent to the Reference Period (including in connection with an Asset Sale or asset acquisition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and which are expected to have a continuing impact and are factually supportable, which would include cost savings resulting from head count reduction, closure of facilities and other operational changes and other cost savings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at the Borrower’s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2" w:name="page203"/>
    <w:bookmarkEnd w:id="202"/>
    <w:p>
      <w:pPr>
        <w:jc w:val="both"/>
        <w:spacing w:after="0" w:line="270" w:lineRule="auto"/>
        <w:rPr>
          <w:sz w:val="20"/>
          <w:szCs w:val="20"/>
          <w:color w:val="auto"/>
        </w:rPr>
      </w:pPr>
      <w:r>
        <w:rPr>
          <w:rFonts w:ascii="Arial" w:cs="Arial" w:eastAsia="Arial" w:hAnsi="Arial"/>
          <w:sz w:val="18"/>
          <w:szCs w:val="18"/>
          <w:color w:val="auto"/>
        </w:rPr>
        <w:t>notwithstanding any classification under GAAP of any Person, property, business or asset as discontinued operations, no pro forma effect shall be given to any discontinued operations (and the income or loss attributable to such Person, property, business or asset shall not be excluded for any purposes hereunder) until such disposition shall have been consummated, (iii) the designation of any Subsidiary as an Unrestricted Subsidiary or of any Unrestricted Subsidiary as a Subsidiary and</w:t>
      </w:r>
    </w:p>
    <w:p>
      <w:pPr>
        <w:spacing w:after="0" w:line="3" w:lineRule="exact"/>
        <w:rPr>
          <w:sz w:val="20"/>
          <w:szCs w:val="20"/>
          <w:color w:val="auto"/>
        </w:rPr>
      </w:pPr>
    </w:p>
    <w:p>
      <w:pPr>
        <w:jc w:val="both"/>
        <w:ind w:firstLine="8"/>
        <w:spacing w:after="0" w:line="241" w:lineRule="auto"/>
        <w:tabs>
          <w:tab w:leader="none" w:pos="3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any incurrence, repayment, repurchase or redemption of Indebtedness (or any issuance, repurchase or redemption of Disqualified Stock or preferred stock), other than fluctuations in revolving borrowings in the ordinary course of business (and not resulting from a transaction as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Pro forma calculations made pursuant to the definition of this term “Pro Forma Basis” shall be determined in good faith by a Responsible Officer of the Borrower. Any such pro forma calculation may include adjustments to reflect operating expense reductions, other operating improvements, cost synergies or such operational changes or restructurings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immediately preceding paragraph (collectively, the “</w:t>
      </w:r>
      <w:r>
        <w:rPr>
          <w:rFonts w:ascii="Arial" w:cs="Arial" w:eastAsia="Arial" w:hAnsi="Arial"/>
          <w:sz w:val="18"/>
          <w:szCs w:val="18"/>
          <w:u w:val="single" w:color="auto"/>
          <w:color w:val="auto"/>
        </w:rPr>
        <w:t>Pro Forma Adjustments</w:t>
      </w:r>
      <w:r>
        <w:rPr>
          <w:rFonts w:ascii="Arial" w:cs="Arial" w:eastAsia="Arial" w:hAnsi="Arial"/>
          <w:sz w:val="18"/>
          <w:szCs w:val="18"/>
          <w:color w:val="auto"/>
        </w:rPr>
        <w:t xml:space="preserve">”) that are (a) reasonably quantifiable, factually supportable and projected by the Borrower in good faith to result from actions that have been taken or initiated or are expected to be taken (in the good faith determination of the Borrower) in connection with the Transactions or any other pro forma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amount shall be included in any pro forma calculations made pursuant to the definition of this term “Pro Forma Basis” to the extent duplicative of any amounts that are otherwise included in computing Adjusted Consolidated EBITDA for such Reference Period and (y) such Pro Forma Adjustments, together with any Projected Savings included in Adjusted Consolidated EBITDA for such Reference Period pursuant to the definition of “Adjusted Consolidated EBITDA”, shall not exceed (x) 20% of Adjusted Consolidated EBITDA for any relevant Test Period (calculated after giving effect to such capped adjustments) ending on or prior to the date that is twelve (12) months from the Closing Date and (y) 15% for any relevant Test Period ending thereafter. The Borrower shall deliver to the Administrative Agent for any such determination made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in the first paragraph of this definition, in each case in excess of $10,000,000 a certificate of a Responsible Officer of the Borrower setting forth such demonstrable or additional operating expense reductions and other operating improvements, or cost synergies and information and calculations supporting them in reasonable detail.</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twelve (12) months).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to the extent the outstandings thereunder are reasonably expected to increase as a result of any transactions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the first paragraph of this definition of “Pro Forma Basis” which occurred during the respective period or thereafter and on or prior to the date of determination. Interest on Indebtedness that may optionally be determined at an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3" w:name="page204"/>
    <w:bookmarkEnd w:id="203"/>
    <w:p>
      <w:pPr>
        <w:jc w:val="both"/>
        <w:spacing w:after="0" w:line="250" w:lineRule="auto"/>
        <w:rPr>
          <w:sz w:val="20"/>
          <w:szCs w:val="20"/>
          <w:color w:val="auto"/>
        </w:rPr>
      </w:pPr>
      <w:r>
        <w:rPr>
          <w:rFonts w:ascii="Arial" w:cs="Arial" w:eastAsia="Arial" w:hAnsi="Arial"/>
          <w:sz w:val="20"/>
          <w:szCs w:val="20"/>
          <w:color w:val="auto"/>
        </w:rPr>
        <w:t>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Notwithstanding the foregoing, when calculating the Consolidated Total Net Leverage Ratio for purposes of (i) the Applicable Rate, (ii) the Applicable Commitment Fee and (iii) determining actual compliance (and not pro forma compliance or compliance on a pro forma basis) with the Financial Covenant, any transaction and any related pro forma adjustment contemplated in this definition of “Pro Forma Basis” (and corresponding provisions of the definition of Adjusted Consolidated EBITDA) that occurred subsequent to the end of the applicable four quarter period shall not be given pro forma effect.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Entity</w:t>
      </w:r>
      <w:r>
        <w:rPr>
          <w:rFonts w:ascii="Arial" w:cs="Arial" w:eastAsia="Arial" w:hAnsi="Arial"/>
          <w:sz w:val="20"/>
          <w:szCs w:val="20"/>
          <w:color w:val="auto"/>
        </w:rPr>
        <w:t>” shall mean any Acquired Entity or Business or any Converted Restricted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Extension Offers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Projected Savings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the definition of the term “Adjusted Consolidated EBITDA.”</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shall mean the projections of the Borrower and its Subsidiaries included in the Lender Presentation and any other projections and any other forward-looking statements (including statements with respect to booked business) of such entities furnished to the Lenders or the Administrative Agent by or on behalf of the Borrower or any of its Subsidiaries prior to the Closing Date.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Protected Person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9.05(b)(i)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shall mean a prohibited transaction class exemption issued by the U.S. Department of Labor, as any such exemption may be amended from time to time.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shall mean costs relating to compliance with the provisions of the Exchange Act (and any similar Requirement of Law under any other applicable jurisdiction), as applicable to companies with equity or debt securities held by the public, the rules of national securities exchange companies with listed equity or debt securities, directors’ or managers’ and employees’ compensation, fees and expense reimbursement, costs relating to investor relations, shareholder meetings and reports to shareholders or debtholders, directors’ and officers’ insurance and other executive costs, legal and other professional fees, listing fees and other costs associated with being a public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Offer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4" w:name="page205"/>
    <w:bookmarkEnd w:id="20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9.24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shall mean any Equity Interest other than Disqualified Stock.</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Receivables Facility</w:t>
      </w:r>
      <w:r>
        <w:rPr>
          <w:rFonts w:ascii="Arial" w:cs="Arial" w:eastAsia="Arial" w:hAnsi="Arial"/>
          <w:sz w:val="18"/>
          <w:szCs w:val="18"/>
          <w:color w:val="auto"/>
        </w:rPr>
        <w:t xml:space="preserve">” shall mean a receivables or factoring facility or facilities created under the Permitted Receivables Facility Documents and which is designated as a “Qualified Receivables Facility” (as provided below), providing for the transfer, sale and/or pledge by the Borrower and/or one or more other Receivables Sellers of Permitted Receivables Facility Assets (thereby providing financing to the Borrower and/or the Receivables Sellers) to (i)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(ii) a bank or other financial institution, which shall finance, directly or indirectly, the Qualified Receivables Facility, so long as, in the case of each of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(ii)</w:t>
      </w:r>
      <w:r>
        <w:rPr>
          <w:rFonts w:ascii="Arial" w:cs="Arial" w:eastAsia="Arial" w:hAnsi="Arial"/>
          <w:sz w:val="18"/>
          <w:szCs w:val="18"/>
          <w:color w:val="auto"/>
        </w:rPr>
        <w:t>, no portion of the Indebtedness or any other obligations (contingent or otherwise) under such receivables facility or facilities (x) is guaranteed by the Borrower or any Subsidiary other than the Receivable Entity (excluding guarantees of obligations pursuant to Standard Securitization Undertakings), (y) is recourse to or obligates the Borrower or any other Subsidiary other than the Receivable Entity in any way (other than pursuant to Standard Securitization Undertakings) or (z) subjects any property or asset (other than Permitted Receivables Facility Assets, Permitted Receivables Related Assets or the Equity Interests of any Receivables Entity) of the Borrower or any other Subsidiary (other than a Receivables Entity), directly or indirectly, contingently or otherwise, to the satisfaction thereof (other than pursuant to Standard Securitization Undertakings). Any such designation shall be evidenced to the Administrative Agent by filing with the Administrative Agent a certificate signed by a Financial Officer of the Borrower certifying that, to the best of such officer’s knowledge and belief after consultation with counsel, such designation complied with the foregoing conditions.</w:t>
      </w:r>
    </w:p>
    <w:p>
      <w:pPr>
        <w:spacing w:after="0" w:line="171" w:lineRule="exact"/>
        <w:rPr>
          <w:sz w:val="20"/>
          <w:szCs w:val="20"/>
          <w:color w:val="auto"/>
        </w:rPr>
      </w:pPr>
    </w:p>
    <w:p>
      <w:pPr>
        <w:jc w:val="both"/>
        <w:ind w:firstLine="6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Borrower Financial Statements</w:t>
      </w:r>
      <w:r>
        <w:rPr>
          <w:rFonts w:ascii="Arial" w:cs="Arial" w:eastAsia="Arial" w:hAnsi="Arial"/>
          <w:sz w:val="18"/>
          <w:szCs w:val="18"/>
          <w:color w:val="auto"/>
        </w:rPr>
        <w:t>” shall mean the unaudited consolidated and consolidating balance sheets and related consolidated and consolidating statements of comprehensive income and cash flows of the Borrower and its Restricted Subsidiaries for the fiscal quarter ended March 31, 2022, and the fiscal quarter ended June 30, 2022.</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w:t>
      </w:r>
      <w:r>
        <w:rPr>
          <w:rFonts w:ascii="Arial" w:cs="Arial" w:eastAsia="Arial" w:hAnsi="Arial"/>
          <w:sz w:val="20"/>
          <w:szCs w:val="20"/>
          <w:color w:val="auto"/>
        </w:rPr>
        <w:t>” shall have the meaning assigned to such term in the definition of the term “Type.”</w:t>
      </w:r>
    </w:p>
    <w:p>
      <w:pPr>
        <w:spacing w:after="0" w:line="216" w:lineRule="exact"/>
        <w:rPr>
          <w:sz w:val="20"/>
          <w:szCs w:val="20"/>
          <w:color w:val="auto"/>
        </w:rPr>
      </w:pPr>
    </w:p>
    <w:p>
      <w:pPr>
        <w:jc w:val="both"/>
        <w:ind w:right="20" w:firstLine="724"/>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Ratio-Based Incremental Amount</w:t>
      </w:r>
      <w:r>
        <w:rPr>
          <w:rFonts w:ascii="Arial" w:cs="Arial" w:eastAsia="Arial" w:hAnsi="Arial"/>
          <w:sz w:val="20"/>
          <w:szCs w:val="20"/>
          <w:color w:val="auto"/>
        </w:rPr>
        <w:t>” shall have the meaning assigned to such term in the definition of the term “Incremental Amount.”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Property</w:t>
      </w:r>
      <w:r>
        <w:rPr>
          <w:rFonts w:ascii="Arial" w:cs="Arial" w:eastAsia="Arial" w:hAnsi="Arial"/>
          <w:sz w:val="19"/>
          <w:szCs w:val="19"/>
          <w:color w:val="auto"/>
        </w:rPr>
        <w:t>” shall mean, collectively, all right, title and interest (including any leasehold estate) in and to any and all parcels of or interests in real property owned in fee or leased by any Loan Party, whether by lease, license or other means, together with, in each case, all easements, hereditaments and appurtenances relating thereto, all improvements and appurtenant fixtures and equipment, incidental to the ownership, lease or operation thereof.</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Reallocated RP/JDRP Amount</w:t>
      </w:r>
      <w:r>
        <w:rPr>
          <w:rFonts w:ascii="Arial" w:cs="Arial" w:eastAsia="Arial" w:hAnsi="Arial"/>
          <w:sz w:val="20"/>
          <w:szCs w:val="20"/>
          <w:color w:val="auto"/>
        </w:rPr>
        <w:t xml:space="preserve">” shall mean the aggregate amount of unutilized Restricted Payments capacity under </w:t>
      </w:r>
      <w:r>
        <w:rPr>
          <w:rFonts w:ascii="Arial" w:cs="Arial" w:eastAsia="Arial" w:hAnsi="Arial"/>
          <w:sz w:val="20"/>
          <w:szCs w:val="20"/>
          <w:u w:val="single" w:color="auto"/>
          <w:color w:val="auto"/>
        </w:rPr>
        <w:t>Section 6.06(g)</w:t>
      </w:r>
      <w:r>
        <w:rPr>
          <w:rFonts w:ascii="Arial" w:cs="Arial" w:eastAsia="Arial" w:hAnsi="Arial"/>
          <w:sz w:val="20"/>
          <w:szCs w:val="20"/>
          <w:color w:val="auto"/>
        </w:rPr>
        <w:t xml:space="preserve"> that the Borrower has elected to reallocate to </w:t>
      </w:r>
      <w:r>
        <w:rPr>
          <w:rFonts w:ascii="Arial" w:cs="Arial" w:eastAsia="Arial" w:hAnsi="Arial"/>
          <w:sz w:val="20"/>
          <w:szCs w:val="20"/>
          <w:u w:val="single" w:color="auto"/>
          <w:color w:val="auto"/>
        </w:rPr>
        <w:t>Section 6.04(t)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5" w:name="page206"/>
    <w:bookmarkEnd w:id="205"/>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shall mean (a) any right to payment (including accounts receivable) created by or arising from sales of goods, lease of goods or the rendition of services rendered no matter how evidenced whether or not earned by performance (whether constituting accounts, general intangibles, chattel paper or otherwise) and (b) all collateral securing such right to payment, all contracts and contract rights, guarantees or other obligations in respect of such right to payment, all records with respect to such right to payment and any other assets customarily transferred together with accounts receivable in connection with a non-recourse accounts receivable factoring arrangement.</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Entity</w:t>
      </w:r>
      <w:r>
        <w:rPr>
          <w:rFonts w:ascii="Arial" w:cs="Arial" w:eastAsia="Arial" w:hAnsi="Arial"/>
          <w:sz w:val="18"/>
          <w:szCs w:val="18"/>
          <w:color w:val="auto"/>
        </w:rPr>
        <w:t>” shall mean any direct or indirect Wholly Owned Subsidiary of the Borrower which engages in no activities other than in connection with the financing of accounts receivable of the Receivables Sellers and which is designated (as provided below) as a “Receivables Entity” (a) with which neither the Borrower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(as determined by the Borrower in good faith) and</w:t>
      </w:r>
    </w:p>
    <w:p>
      <w:pPr>
        <w:spacing w:after="0" w:line="5" w:lineRule="exact"/>
        <w:rPr>
          <w:sz w:val="20"/>
          <w:szCs w:val="20"/>
          <w:color w:val="auto"/>
        </w:rPr>
      </w:pPr>
    </w:p>
    <w:p>
      <w:pPr>
        <w:jc w:val="both"/>
        <w:ind w:firstLine="8"/>
        <w:spacing w:after="0" w:line="256" w:lineRule="auto"/>
        <w:tabs>
          <w:tab w:leader="none" w:pos="28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to which neither the Borrower nor any other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Seller</w:t>
      </w:r>
      <w:r>
        <w:rPr>
          <w:rFonts w:ascii="Arial" w:cs="Arial" w:eastAsia="Arial" w:hAnsi="Arial"/>
          <w:sz w:val="20"/>
          <w:szCs w:val="20"/>
          <w:color w:val="auto"/>
        </w:rPr>
        <w:t>” shall mean the Borrower or those Subsidiaries that are from time to time party to the Permitted Receivables Facility Documents (other than any Receivables Entity).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Recovery Event</w:t>
      </w:r>
      <w:r>
        <w:rPr>
          <w:rFonts w:ascii="Arial" w:cs="Arial" w:eastAsia="Arial" w:hAnsi="Arial"/>
          <w:sz w:val="20"/>
          <w:szCs w:val="20"/>
          <w:color w:val="auto"/>
        </w:rPr>
        <w:t>” shall mean any event that gives rise to the receipt by the Borrower or any of its Subsidiaries of any insurance proceeds or condemnation awards in respect of any equipment, fixed assets or Real Property (including any improvements thereon).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Period</w:t>
      </w:r>
      <w:r>
        <w:rPr>
          <w:rFonts w:ascii="Arial" w:cs="Arial" w:eastAsia="Arial" w:hAnsi="Arial"/>
          <w:sz w:val="18"/>
          <w:szCs w:val="18"/>
          <w:color w:val="auto"/>
        </w:rPr>
        <w:t>” shall have the meaning assigned to such term in the definition of the term “Pro Forma Basis.”</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shall mean (1) if such Benchmark is the Term SOFR Rate, 5:00 a.m. (Chicago time) on the day that is two Business Days preceding the date of such setting or (2) if such Benchmark is not the Term SOFR Rate, the time determined by the Administrative Agent in its reasonable discretion.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shall have the meaning assigned to such term in the definition of the term “Permitted Refinancing Indebtedness,” and “</w:t>
      </w:r>
      <w:r>
        <w:rPr>
          <w:rFonts w:ascii="Arial" w:cs="Arial" w:eastAsia="Arial" w:hAnsi="Arial"/>
          <w:sz w:val="20"/>
          <w:szCs w:val="20"/>
          <w:u w:val="single" w:color="auto"/>
          <w:color w:val="auto"/>
        </w:rPr>
        <w:t>Refinanced</w:t>
      </w:r>
      <w:r>
        <w:rPr>
          <w:rFonts w:ascii="Arial" w:cs="Arial" w:eastAsia="Arial" w:hAnsi="Arial"/>
          <w:sz w:val="20"/>
          <w:szCs w:val="20"/>
          <w:color w:val="auto"/>
        </w:rPr>
        <w:t>” and “</w:t>
      </w:r>
      <w:r>
        <w:rPr>
          <w:rFonts w:ascii="Arial" w:cs="Arial" w:eastAsia="Arial" w:hAnsi="Arial"/>
          <w:sz w:val="20"/>
          <w:szCs w:val="20"/>
          <w:u w:val="single" w:color="auto"/>
          <w:color w:val="auto"/>
        </w:rPr>
        <w:t>Refinancing</w:t>
      </w:r>
      <w:r>
        <w:rPr>
          <w:rFonts w:ascii="Arial" w:cs="Arial" w:eastAsia="Arial" w:hAnsi="Arial"/>
          <w:sz w:val="20"/>
          <w:szCs w:val="20"/>
          <w:color w:val="auto"/>
        </w:rPr>
        <w:t>” shall have meanings correlative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Refinanced Term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9.08(b)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2.23(e)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6" w:name="page207"/>
    <w:bookmarkEnd w:id="20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Effective Date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2.23(a)</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Notes</w:t>
      </w:r>
      <w:r>
        <w:rPr>
          <w:rFonts w:ascii="Arial" w:cs="Arial" w:eastAsia="Arial" w:hAnsi="Arial"/>
          <w:sz w:val="18"/>
          <w:szCs w:val="18"/>
          <w:color w:val="auto"/>
        </w:rPr>
        <w:t xml:space="preserve">” shall mean any secured or unsecured notes or loans issued by the Borrower or any Guarantor (whether under an indenture, a credit agreement or otherwise) and the Indebtedness represented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 w:lineRule="exact"/>
        <w:rPr>
          <w:sz w:val="20"/>
          <w:szCs w:val="20"/>
          <w:color w:val="auto"/>
        </w:rPr>
      </w:pPr>
    </w:p>
    <w:p>
      <w:pPr>
        <w:jc w:val="both"/>
        <w:ind w:firstLine="8"/>
        <w:spacing w:after="0" w:line="267" w:lineRule="auto"/>
        <w:tabs>
          <w:tab w:leader="none" w:pos="2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100% of the Net Proceeds of such Refinancing Notes are used to permanently reduce Loans and/or replace Commitments substantially simultaneously with the issuance thereof; (b) the principal amount (or accreted value, if applicable) of such Refinancing Notes does not exceed the principal amount (or accreted value, if applicable) of the aggregate portion of the Loans so reduced and/or Commitments so replaced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unpaid accrued interest and premium (including tender premiums) thereon and underwriting discounts, defeasance costs, fees, commissions and expenses); (c) the final maturity date of such Refinancing Notes is on or after the Term Facility Maturity Date or the Revolving Facility Maturity Date, as applicable of the Term Loans so reduced or the Revolving Facility Commitments so replaced; (d) the Weighted Average Life to Maturity of such Refinancing Notes is greater than or equal to the Weighted Average Life to Maturity of the Term Loans so repaid or the Revolving Facility Commitments so replaced; (e) the terms of such Refinancing Notes do not provide for any scheduled repayment, mandatory redemption or sinking fund obligations prior to the Term Facility Maturity Date of the Term Loans so reduced or the Revolving Facility Maturity Date of the Revolving Facility Commitments so replaced, as applicable (other than (x) in the case of notes, customary offers to repurchase or mandatory prepayment provisions upon a change of control, asset sale or event of loss and customary acceleration rights after an event of default and (y) in the case of loans, customary amortization and mandatory and voluntary prepayment provisions which are, when taken as a whole, consistent in all material respects with, or not materially less favorable to the Borrower and its Subsidiaries than, those applicable to the Initial Term Loans and/or Revolving Facility Commitments, as the case may be, with such Indebtedness to provide that any such mandatory prepayments as a result of asset sales, events of loss, or excess cash flow shall be allocated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 less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or solely with respect to Indebtedness being refinanced that participates on a greater than </w:t>
      </w:r>
      <w:r>
        <w:rPr>
          <w:rFonts w:ascii="Arial" w:cs="Arial" w:eastAsia="Arial" w:hAnsi="Arial"/>
          <w:sz w:val="18"/>
          <w:szCs w:val="18"/>
          <w:u w:val="single" w:color="auto"/>
          <w:color w:val="auto"/>
        </w:rPr>
        <w:t>pro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rata</w:t>
      </w:r>
      <w:r>
        <w:rPr>
          <w:rFonts w:ascii="Arial" w:cs="Arial" w:eastAsia="Arial" w:hAnsi="Arial"/>
          <w:sz w:val="18"/>
          <w:szCs w:val="18"/>
          <w:color w:val="auto"/>
        </w:rPr>
        <w:t xml:space="preserve"> basis as compared to any other Class of Term Loans, a greater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(but only to the same extent that such refinanced Indebtedness participates on a greater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as compared to any other Class of Term Loans) than the Loans outstanding pursuant to this Agreement); (f) there shall be no obligor with respect thereto that is not a Loan Party; (g) if such Refinancing Notes are secured by an asset of any Subsidiary, any Unrestricted Subsidiary or any Affiliate of the foregoing, the security agreements relating to such assets shall not extend to any assets not constituting Collateral and shall be no more favorable to the secured party or parties, taken as a whole (determined by the Borrower in good faith) than the Security Documents (with such differences as are reasonably satisfactory to the Administrative Agent); (h) if such Refinancing Notes are secured, such Refinancing Notes shall be secured by all or a portion of the Collateral, but shall not be secured by any assets of the Borrower or its Subsidiaries other than the Collateral; (i) Refinancing Notes that are secured by Collateral shall be subject to the provisions of a Permitted First Lien Intercreditor Agreement or a Permitted Junior Intercreditor Agreement, as applicable (and in any event shall be subject to a Permitted Junior Intercreditor Agreement if the Indebtedness being Refinanced is secured on a junior lien basis to any of the Obligations);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w:t>
      </w:r>
      <w:r>
        <w:rPr>
          <w:rFonts w:ascii="Arial" w:cs="Arial" w:eastAsia="Arial" w:hAnsi="Arial"/>
          <w:sz w:val="18"/>
          <w:szCs w:val="18"/>
          <w:u w:val="single" w:color="auto"/>
          <w:color w:val="auto"/>
        </w:rPr>
        <w:t>clause (j)</w:t>
      </w:r>
      <w:r>
        <w:rPr>
          <w:rFonts w:ascii="Arial" w:cs="Arial" w:eastAsia="Arial" w:hAnsi="Arial"/>
          <w:sz w:val="18"/>
          <w:szCs w:val="18"/>
          <w:color w:val="auto"/>
        </w:rPr>
        <w:t>) taken as a whole shall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7" w:name="page208"/>
    <w:bookmarkEnd w:id="207"/>
    <w:p>
      <w:pPr>
        <w:jc w:val="both"/>
        <w:spacing w:after="0" w:line="260" w:lineRule="auto"/>
        <w:rPr>
          <w:sz w:val="20"/>
          <w:szCs w:val="20"/>
          <w:color w:val="auto"/>
        </w:rPr>
      </w:pPr>
      <w:r>
        <w:rPr>
          <w:rFonts w:ascii="Arial" w:cs="Arial" w:eastAsia="Arial" w:hAnsi="Arial"/>
          <w:sz w:val="19"/>
          <w:szCs w:val="19"/>
          <w:color w:val="auto"/>
        </w:rPr>
        <w:t>determined by the Borrower in good faith) be substantially similar to, or not materially less favorable to the Borrower and its Subsidiaries than, the terms, taken as a whole, applicable to the Term Loans so reduced or the Revolving Facility Commitments so replaced (except to the extent such other terms apply solely to any period after the Latest Maturity Date, the Borrower elects to add such more restrictive terms for the benefit of the Initial Term Loans and the Revolving Facility, or such other terms are otherwise reasonably acceptable to the Administrative Agent).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2.23(a)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Refunding Capital Stock</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6.06(l)</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Regulated Bank</w:t>
      </w:r>
      <w:r>
        <w:rPr>
          <w:rFonts w:ascii="Arial" w:cs="Arial" w:eastAsia="Arial" w:hAnsi="Arial"/>
          <w:sz w:val="19"/>
          <w:szCs w:val="19"/>
          <w:color w:val="auto"/>
        </w:rPr>
        <w:t xml:space="preserve">” shall mean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of the Federal Reserve System under 12 CFR part 211; (iv) a non-U.S. branch of a foreign bank managed and controlled by a U.S. branch referred to in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or (v) any other U.S. or non-U.S. depository institution or any branch, agency or similar office thereof supervised by a bank regulatory authority in any jurisdiction.</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shall mean Regulation T of the Board as from time to time in effect and all official rulings and interpretations thereunder or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shall mean Regulation U of the Board as from time to time in effect and all official rulings and interpretations thereunder or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shall mean Regulation X of the Board as from time to time in effect and all official rulings and interpretations thereunder or thereof.</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shall mean, with respect to any Lender that is a fund that invests in bank or commercial loans and similar extensions of credit, any other fund that invests in bank or commercial loans and similar extensions of credit and is administered or managed by (a) such Lender, (b) an Affiliate of such Lender or (c) an entity (or an Affiliate of such entity) that administers or manages such Lender.</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shall mean, with respect to any specified person, such person’s controlled and controlling Affiliates and the respective directors, trustees, officers, employees, agents, advisors and members of such person and such person’s controlled and controlling Affiliates.</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mean any spilling, leaking, seepage, pumping, pouring, emitting, emptying, discharging, injecting, escaping, leaching, dumping, disposing, depositing, emanating or migrating in, into, onto or through the Environment.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8" w:name="page209"/>
    <w:bookmarkEnd w:id="208"/>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shall mean the Federal Reserve Board and/or the NYFRB, the CME Term SOFR Administrator, as applicable, or a committee officially endorsed or convened by the Federal Reserve Board and/or the NYFRB or, in each case, any successor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Revolving Facilities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2.23(c)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 Commitments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2.23(c)</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Revolving Facility Effective Date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2.23(c)</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Revolving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2.23(c)</w:t>
      </w:r>
      <w:r>
        <w:rPr>
          <w:rFonts w:ascii="Arial" w:cs="Arial" w:eastAsia="Arial" w:hAnsi="Arial"/>
          <w:sz w:val="20"/>
          <w:szCs w:val="20"/>
          <w:color w:val="auto"/>
        </w:rPr>
        <w:t>.</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Term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9.08(b)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shall mean, at any time, Lenders having outstanding Term Loans and Revolving Facility Commitments (or, if the Revolving Facility Commitments have terminated, Revolving Facility Credit Exposure) that, taken together, represent more than 50% of the sum of (x) all Term Loans and (y) all Revolving Facility Commitments (or, if the Revolving Facility Commitments have terminated, Revolving Facility Credit Exposure) outstanding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Loans, Revolving Facility Commitments and Revolving Facility Credit Exposure, of any Defaulting Lender shall be disregarded in determining Required Lenders at any time.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Facility Lenders</w:t>
      </w:r>
      <w:r>
        <w:rPr>
          <w:rFonts w:ascii="Arial" w:cs="Arial" w:eastAsia="Arial" w:hAnsi="Arial"/>
          <w:sz w:val="19"/>
          <w:szCs w:val="19"/>
          <w:color w:val="auto"/>
        </w:rPr>
        <w:t xml:space="preserve">” shall mean, at any time, Revolving Facility Lenders having outstanding Revolving Facility Commitments (or if the Revolving Facility Commitments have terminated, Revolving Facility Credit Exposure) that, taken together, represent more than 50% of all Revolving Facility Commitments (or, if the Revolving Facility Commitments have terminated, Revolving Facility Credit Exposure at such time) outstanding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Revolving Facility Commitments and Revolving Facility Credit Exposure of any Defaulting Lender shall be disregarded in determining Required Revolving Facility Lenders at any time.</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Term Lenders</w:t>
      </w:r>
      <w:r>
        <w:rPr>
          <w:rFonts w:ascii="Arial" w:cs="Arial" w:eastAsia="Arial" w:hAnsi="Arial"/>
          <w:sz w:val="20"/>
          <w:szCs w:val="20"/>
          <w:color w:val="auto"/>
        </w:rPr>
        <w:t xml:space="preserve">” shall mean, at any time, Term Lenders having outstanding Term Loans that, taken together, represent more than 50% of all Term Loans outstanding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that the Term Loans of any Defaulting Lender shall be disregarded in determining Required Term Lenders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9" w:name="page210"/>
    <w:bookmarkEnd w:id="209"/>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shall mean, as to any person, any law, treaty, rule, regulation, statute, order, ordinance, decree, judgment, consent decree, writ, injunction, settlement agreement, official administrative pronouncement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shall mean an EEA Resolution Authority or, with respect to any UK Financial Institution, a UK Resolution Authority.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of any person shall mean any manager,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shall have the meaning assigned to such term in </w:t>
      </w:r>
      <w:r>
        <w:rPr>
          <w:rFonts w:ascii="Arial" w:cs="Arial" w:eastAsia="Arial" w:hAnsi="Arial"/>
          <w:sz w:val="19"/>
          <w:szCs w:val="19"/>
          <w:u w:val="single" w:color="auto"/>
          <w:color w:val="auto"/>
        </w:rPr>
        <w:t>Section 6.06</w:t>
      </w:r>
      <w:r>
        <w:rPr>
          <w:rFonts w:ascii="Arial" w:cs="Arial" w:eastAsia="Arial" w:hAnsi="Arial"/>
          <w:sz w:val="19"/>
          <w:szCs w:val="19"/>
          <w:color w:val="auto"/>
        </w:rPr>
        <w:t>. The amount of any Restricted Payment made other than in the form of cash or cash equivalents shall be the Fair Market Value thereof.</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shall mean any Subsidiary other than an Unrestricted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Retired Capital Stock</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6.06(l)</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xml:space="preserve">” shall mean the Revolving Facility Commitments of any Class and the extensions of credit made hereunder by the Revolving Facility Lenders of such Class and, for purposes of </w:t>
      </w:r>
      <w:r>
        <w:rPr>
          <w:rFonts w:ascii="Arial" w:cs="Arial" w:eastAsia="Arial" w:hAnsi="Arial"/>
          <w:sz w:val="20"/>
          <w:szCs w:val="20"/>
          <w:u w:val="single" w:color="auto"/>
          <w:color w:val="auto"/>
        </w:rPr>
        <w:t>Section 9.08(b)</w:t>
      </w:r>
      <w:r>
        <w:rPr>
          <w:rFonts w:ascii="Arial" w:cs="Arial" w:eastAsia="Arial" w:hAnsi="Arial"/>
          <w:sz w:val="20"/>
          <w:szCs w:val="20"/>
          <w:color w:val="auto"/>
        </w:rPr>
        <w:t>, shall refer to all such Revolving Facility Commitments as a single Class.</w:t>
      </w:r>
    </w:p>
    <w:p>
      <w:pPr>
        <w:spacing w:after="0" w:line="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Borrowing</w:t>
      </w:r>
      <w:r>
        <w:rPr>
          <w:rFonts w:ascii="Arial" w:cs="Arial" w:eastAsia="Arial" w:hAnsi="Arial"/>
          <w:sz w:val="20"/>
          <w:szCs w:val="20"/>
          <w:color w:val="auto"/>
        </w:rPr>
        <w:t>” shall mean a Borrowing comprised of Revolving Facility Loans of the same Class and currency.</w:t>
      </w:r>
    </w:p>
    <w:p>
      <w:pPr>
        <w:spacing w:after="0" w:line="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Facility Commitment</w:t>
      </w:r>
      <w:r>
        <w:rPr>
          <w:rFonts w:ascii="Arial" w:cs="Arial" w:eastAsia="Arial" w:hAnsi="Arial"/>
          <w:sz w:val="19"/>
          <w:szCs w:val="19"/>
          <w:color w:val="auto"/>
        </w:rPr>
        <w:t xml:space="preserve">” shall mean, with respect to each Revolving Facility Lender, the commitment of such Revolving Facility Lender to make Revolving Facility Loans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expressed as an amount representing the maximum aggregate permitted amount of such Revolving Facility Lender’s Revolving Facility Credit Exposure hereunder, as such commitment may be (a) reduced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(b) reduced or increased from time to time pursuant to assignments by or to such Lender under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(c) increased, extended or replaced as provided under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t>
      </w:r>
      <w:r>
        <w:rPr>
          <w:rFonts w:ascii="Arial" w:cs="Arial" w:eastAsia="Arial" w:hAnsi="Arial"/>
          <w:sz w:val="19"/>
          <w:szCs w:val="19"/>
          <w:u w:val="single" w:color="auto"/>
          <w:color w:val="auto"/>
        </w:rPr>
        <w:t>2.22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The initial amount of each Lender’s Revolving Facility Commitment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or in the Assignment and Acceptance, Incremental Assumption Agreement, Extension Amendment or Refinancing Amendment pursuant to which such Lender shall have assumed its Revolving Facility Commitment, as applicable. The aggregate amount of the Lenders’ Revolving Facility Commitments on the Closing Date is $175,000,000. On the Closing Date, there is only one Class of Revolving Facility Commitments. After the Closing Date, additional Classes of Revolving Facility Commitments may be added or created pursuant to Extension Amendments or Refinancing Amendments.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0" w:name="page211"/>
    <w:bookmarkEnd w:id="210"/>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Facility Credit Exposure</w:t>
      </w:r>
      <w:r>
        <w:rPr>
          <w:rFonts w:ascii="Arial" w:cs="Arial" w:eastAsia="Arial" w:hAnsi="Arial"/>
          <w:sz w:val="19"/>
          <w:szCs w:val="19"/>
          <w:color w:val="auto"/>
        </w:rPr>
        <w:t xml:space="preserve">” shall mean, at any time with respect to any Class of Revolving Facility Commitments, the sum of (a) the aggregate principal amount of the Revolving Facility Loans of such Class outstanding at such time, (b) the Swingline Exposure applicable to such Class at such time and (c) the Revolving L/C Exposure applicable to such Class at such time minus, for the purpose of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only,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spacing w:after="0" w:line="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Lender</w:t>
      </w:r>
      <w:r>
        <w:rPr>
          <w:rFonts w:ascii="Arial" w:cs="Arial" w:eastAsia="Arial" w:hAnsi="Arial"/>
          <w:sz w:val="20"/>
          <w:szCs w:val="20"/>
          <w:color w:val="auto"/>
        </w:rPr>
        <w:t>” shall mean a Lender (including an Incremental Revolving Facility Lender, and a Lender providing Extended Revolving Facility Commitments or Replacement Revolving Facility Commitments) with a Revolving Facility Commitment or with outstanding Revolving Facility Loans.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Facility Loan</w:t>
      </w:r>
      <w:r>
        <w:rPr>
          <w:rFonts w:ascii="Arial" w:cs="Arial" w:eastAsia="Arial" w:hAnsi="Arial"/>
          <w:sz w:val="19"/>
          <w:szCs w:val="19"/>
          <w:color w:val="auto"/>
        </w:rPr>
        <w:t xml:space="preserve">” shall mean a Loan made by a Revolving Facility Lender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Unless the context otherwise requires, the term “Revolving Facility Loans” shall include the Other Revolving Loans. The term “Revolving Facility Loans” shall include Standard Revolving Loans and Sustainability Loans, as applicable.</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Maturity Date</w:t>
      </w:r>
      <w:r>
        <w:rPr>
          <w:rFonts w:ascii="Arial" w:cs="Arial" w:eastAsia="Arial" w:hAnsi="Arial"/>
          <w:sz w:val="20"/>
          <w:szCs w:val="20"/>
          <w:color w:val="auto"/>
        </w:rPr>
        <w:t>” shall mean, as the context may require, (a) with respect to the Revolving Facility in effect on the Closing Date, the fifth anniversary of the Closing Date and (b) with respect to any other Classes of Revolving Facility Commitments, the maturity dates specified therefor in the applicable Extension Amendment or Refinancing Amendment.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Facility Percentage</w:t>
      </w:r>
      <w:r>
        <w:rPr>
          <w:rFonts w:ascii="Arial" w:cs="Arial" w:eastAsia="Arial" w:hAnsi="Arial"/>
          <w:sz w:val="19"/>
          <w:szCs w:val="19"/>
          <w:color w:val="auto"/>
        </w:rPr>
        <w:t xml:space="preserve">”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Termination Event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2.05(k)</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L/C Exposure</w:t>
      </w:r>
      <w:r>
        <w:rPr>
          <w:rFonts w:ascii="Arial" w:cs="Arial" w:eastAsia="Arial" w:hAnsi="Arial"/>
          <w:sz w:val="18"/>
          <w:szCs w:val="18"/>
          <w:color w:val="auto"/>
        </w:rPr>
        <w:t>” of any Class shall mean at any time the sum of (a) the aggregate undrawn amount of all Letters of Credit applicable to such Class outstanding at such time and (b) the aggregate principal amount of all L/C Disbursements applicable to such Class that have not yet been reimbursed at such time. The Revolving L/C Exposure of any Class of any Revolving Facility Lender at any time shall mean its applicable Revolving Facility Percentage of the aggregate Revolving L/C Exposure applicable to such Class at such time. For all purposes of this Agreement, if on any date of determination a Letter of Credit has expired by its terms but any amount may still be drawn thereunder by reason of the operation of Rule 3.14 of the International Standard Practices, International Chamber of Commerce No. 590, such Letter of Credit shall be deemed to be “outstanding” in the amount so remaining available to be drawn. Unless otherwise specified herein, the amount of a Letter of Credit at any time shall be deemed to be the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6" w:right="999" w:bottom="1440" w:gutter="0" w:footer="0" w:header="0"/>
        </w:sectPr>
      </w:pPr>
    </w:p>
    <w:bookmarkStart w:id="211" w:name="page212"/>
    <w:bookmarkEnd w:id="211"/>
    <w:p>
      <w:pPr>
        <w:jc w:val="both"/>
        <w:spacing w:after="0" w:line="282" w:lineRule="auto"/>
        <w:rPr>
          <w:sz w:val="20"/>
          <w:szCs w:val="20"/>
          <w:color w:val="auto"/>
        </w:rPr>
      </w:pPr>
      <w:r>
        <w:rPr>
          <w:rFonts w:ascii="Arial" w:cs="Arial" w:eastAsia="Arial" w:hAnsi="Arial"/>
          <w:sz w:val="18"/>
          <w:szCs w:val="18"/>
          <w:color w:val="auto"/>
        </w:rPr>
        <w:t xml:space="preserve">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RVAC</w:t>
      </w:r>
      <w:r>
        <w:rPr>
          <w:rFonts w:ascii="Arial" w:cs="Arial" w:eastAsia="Arial" w:hAnsi="Arial"/>
          <w:sz w:val="20"/>
          <w:szCs w:val="20"/>
          <w:color w:val="auto"/>
        </w:rPr>
        <w:t>” shall have the meaning assigned to such term in the first recitals hereto.</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shall mean Standard &amp; Poor’s Financial Services LLC, a subsidiary of The McGraw Hill Companies, Inc. or any successor thereto.</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shall mean, at any time, a country, region or territory which is itself the subject or target of any Sanctions (on the Closing Date, Crimea, Cuba, Iran, North Korea, Russia, the so-called Donetsk People’s Republic, the so-called Luhansk People’s Republic and Syria).</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xml:space="preserve">” shall mean, at any time, (a) any person listed in any Sanctions-related list of designated persons maintained by OFAC, the U.S. Department of State, the United Nations Security Council, the European Union, any European Union member state, Her Majesty’s Treasury of the United Kingdom, (b) any person operating, organized or resident in a Sanctioned Country or (c) any person owned or controlled by any such person or persons described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shall mean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shall mean the Securities and Exchange Commission or any successor thereto.</w:t>
      </w:r>
    </w:p>
    <w:p>
      <w:pPr>
        <w:spacing w:after="0" w:line="216" w:lineRule="exact"/>
        <w:rPr>
          <w:sz w:val="20"/>
          <w:szCs w:val="20"/>
          <w:color w:val="auto"/>
        </w:rPr>
      </w:pPr>
    </w:p>
    <w:p>
      <w:pPr>
        <w:jc w:val="both"/>
        <w:ind w:firstLine="6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shall mean any Cash Management Agreement that is entered into by and between the Borrower or any Subsidiary and any Cash Management Bank, including any such Cash Management Agreement that is in effect on the Closing Date, unless when entered into such Cash Management Agreement is designated in writing by the Borrower and such Cash Management Bank to the Administrative Agent to not be included as a Secured Cash Management Agreement.</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shall mean any Hedging Agreement that is entered into by and between any Loan Party and any Hedge Bank, including any such Hedging Agreement that is in effect on the Closing Date, unless when entered into such Hedging Agreement is designated in writing by the Borrower and such Hedge Bank to the Administrative Agent to not be included as a Secured Hedge Agreement. Notwithstanding the foregoing, for all purposes of the Loan Documents, any Guarantee of, or grant of any Lien to secure, any obligations in respect of a Secured Hedge Agreement by a Guarantor shall not include any Excluded Swap Obligations with respect to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2" w:name="page213"/>
    <w:bookmarkEnd w:id="212"/>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shall mean, collectively, the Administrative Agent, the Collateral Agent, each Lender, each Issuing Bank, each Swingline Lender or each Hedge Bank that is party to any Secured Hedge Agreement, each Cash Management Bank that is party to any Secured Cash Management Agreement, each Supplier Receivables Bank that is party to any Secured Supplier Receivables Agreement and each Subagent appointed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by the Administrative Agent with respect to matters relating to the Loan Documents or by the Collateral Agent with respect to matters relating to any Security Document.</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Supplier Receivables Agreement</w:t>
      </w:r>
      <w:r>
        <w:rPr>
          <w:rFonts w:ascii="Arial" w:cs="Arial" w:eastAsia="Arial" w:hAnsi="Arial"/>
          <w:sz w:val="20"/>
          <w:szCs w:val="20"/>
          <w:color w:val="auto"/>
        </w:rPr>
        <w:t>” shall mean any agreement related to a Permitted Supplier Receivables Sale Program entered into with a Supplier Receivables Bank.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shall mean the Securities Act of 1933, as amended.</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xml:space="preserve">” shall mean the Collateral Agreement, each Notice of Grant of Security Interest in Intellectual Property (as defined in the Collateral Agreement), and each other security agreement, pledge agreement or other instruments or documents executed and delivered pursuant to the foregoing or entered into or delivered after the Closing Date to the extent required by this Agreement or any other Loan Document, including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shall mean (i) any business the majority of whose revenues are derived from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shall mean, with respect to any Business Day, a rate equal to the secured overnight financing rate as administered by the SOFR Administrator.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w:t>
      </w:r>
      <w:r>
        <w:rPr>
          <w:rFonts w:ascii="Arial" w:cs="Arial" w:eastAsia="Arial" w:hAnsi="Arial"/>
          <w:sz w:val="19"/>
          <w:szCs w:val="19"/>
          <w:color w:val="auto"/>
        </w:rPr>
        <w:t>” shall mean the NYFRB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Determination Date</w:t>
      </w:r>
      <w:r>
        <w:rPr>
          <w:rFonts w:ascii="Arial" w:cs="Arial" w:eastAsia="Arial" w:hAnsi="Arial"/>
          <w:sz w:val="19"/>
          <w:szCs w:val="19"/>
          <w:color w:val="auto"/>
        </w:rPr>
        <w:t>” shall have the meaning assigned to such term in the definition of “Daily Simple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SOFR.”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Rate Day</w:t>
      </w:r>
      <w:r>
        <w:rPr>
          <w:rFonts w:ascii="Arial" w:cs="Arial" w:eastAsia="Arial" w:hAnsi="Arial"/>
          <w:sz w:val="19"/>
          <w:szCs w:val="19"/>
          <w:color w:val="auto"/>
        </w:rPr>
        <w:t>” shall have the meaning assigned to such term in the definition of “Daily Simple SOFR.”</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Sold Entity or Business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of the definition of the term “Adjusted Consolidated EBITDA.”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SPAC Merger</w:t>
      </w:r>
      <w:r>
        <w:rPr>
          <w:rFonts w:ascii="Arial" w:cs="Arial" w:eastAsia="Arial" w:hAnsi="Arial"/>
          <w:sz w:val="20"/>
          <w:szCs w:val="20"/>
          <w:color w:val="auto"/>
        </w:rPr>
        <w:t>” shall have the meaning assigned to such term in the first recitals hereto.</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Equity Contribution</w:t>
      </w:r>
      <w:r>
        <w:rPr>
          <w:rFonts w:ascii="Arial" w:cs="Arial" w:eastAsia="Arial" w:hAnsi="Arial"/>
          <w:sz w:val="20"/>
          <w:szCs w:val="20"/>
          <w:color w:val="auto"/>
        </w:rPr>
        <w:t xml:space="preserve">” shall mean any cash common equity contribution in the Borrower during the relevant fiscal quarter or on or prior to the day that is fifteen (15) Business Days after the day on which financial statements are required to be delivered pursuant to </w:t>
      </w:r>
      <w:r>
        <w:rPr>
          <w:rFonts w:ascii="Arial" w:cs="Arial" w:eastAsia="Arial" w:hAnsi="Arial"/>
          <w:sz w:val="20"/>
          <w:szCs w:val="20"/>
          <w:u w:val="single" w:color="auto"/>
          <w:color w:val="auto"/>
        </w:rPr>
        <w:t>Section 5.04(a)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5.04(b)</w:t>
      </w:r>
      <w:r>
        <w:rPr>
          <w:rFonts w:ascii="Arial" w:cs="Arial" w:eastAsia="Arial" w:hAnsi="Arial"/>
          <w:sz w:val="20"/>
          <w:szCs w:val="20"/>
          <w:color w:val="auto"/>
        </w:rPr>
        <w:t xml:space="preserve"> for such fiscal quarter, which will, at the request of the Borrower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3" w:name="page214"/>
    <w:bookmarkEnd w:id="213"/>
    <w:p>
      <w:pPr>
        <w:jc w:val="both"/>
        <w:spacing w:after="0" w:line="255" w:lineRule="auto"/>
        <w:rPr>
          <w:sz w:val="20"/>
          <w:szCs w:val="20"/>
          <w:color w:val="auto"/>
        </w:rPr>
      </w:pPr>
      <w:r>
        <w:rPr>
          <w:rFonts w:ascii="Arial" w:cs="Arial" w:eastAsia="Arial" w:hAnsi="Arial"/>
          <w:sz w:val="19"/>
          <w:szCs w:val="19"/>
          <w:color w:val="auto"/>
        </w:rPr>
        <w:t xml:space="preserve">written notice to the Administrative Agent of the intention to make such Specified Equity Contribution, be included in the calculation of Adjusted Consolidated EBITDA for purposes of determining compliance with the Financial Covenants for the applicable fiscal quarter and applicable subsequent periods that include such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that (a) in each consecutive four fiscal quarter period, there will be a period of two (2) fiscal quarters in which no Specified Equity Contribution is made, and only five (5) Specified Equity Contributions may be made during the term of the Facilities, (b) the amount of any Specified Equity Contribution will not exceed the amount required to cause the Borrower to be in compliance with such Financial Covenants, (c) all Specified Equity Contributions will be disregarded for purposes of determining the availability of any baskets with respect to the covenants contained herein and for purposes of netting calculations and (d) there shall be no reduction in Indebtedness pursuant to a “cash netting” provision with the proceeds of any Specified Equity Contribution for purposes of determining compliance with the Financials Covenants for the fiscal quarter for which such Specified Equity Contribution was made.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xml:space="preserve">” shall mean those representations and warranties with respect to the Borrower and the Guarantors set forth in (A) </w:t>
      </w:r>
      <w:r>
        <w:rPr>
          <w:rFonts w:ascii="Arial" w:cs="Arial" w:eastAsia="Arial" w:hAnsi="Arial"/>
          <w:sz w:val="19"/>
          <w:szCs w:val="19"/>
          <w:u w:val="single" w:color="auto"/>
          <w:color w:val="auto"/>
        </w:rPr>
        <w:t>Sections 3.01(a)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3.01(d)</w:t>
      </w:r>
      <w:r>
        <w:rPr>
          <w:rFonts w:ascii="Arial" w:cs="Arial" w:eastAsia="Arial" w:hAnsi="Arial"/>
          <w:sz w:val="19"/>
          <w:szCs w:val="19"/>
          <w:color w:val="auto"/>
        </w:rPr>
        <w:t xml:space="preserve"> (limited to the Loan Documents), </w:t>
      </w:r>
      <w:r>
        <w:rPr>
          <w:rFonts w:ascii="Arial" w:cs="Arial" w:eastAsia="Arial" w:hAnsi="Arial"/>
          <w:sz w:val="19"/>
          <w:szCs w:val="19"/>
          <w:u w:val="single" w:color="auto"/>
          <w:color w:val="auto"/>
        </w:rPr>
        <w:t>3.02(a)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3.02(b)(i)(B)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(B) </w:t>
      </w:r>
      <w:r>
        <w:rPr>
          <w:rFonts w:ascii="Arial" w:cs="Arial" w:eastAsia="Arial" w:hAnsi="Arial"/>
          <w:sz w:val="19"/>
          <w:szCs w:val="19"/>
          <w:u w:val="single" w:color="auto"/>
          <w:color w:val="auto"/>
        </w:rPr>
        <w:t>Sections 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3.11</w:t>
      </w:r>
      <w:r>
        <w:rPr>
          <w:rFonts w:ascii="Arial" w:cs="Arial" w:eastAsia="Arial" w:hAnsi="Arial"/>
          <w:sz w:val="19"/>
          <w:szCs w:val="19"/>
          <w:color w:val="auto"/>
        </w:rPr>
        <w:t xml:space="preserve">, </w:t>
      </w:r>
      <w:r>
        <w:rPr>
          <w:rFonts w:ascii="Arial" w:cs="Arial" w:eastAsia="Arial" w:hAnsi="Arial"/>
          <w:sz w:val="19"/>
          <w:szCs w:val="19"/>
          <w:u w:val="single" w:color="auto"/>
          <w:color w:val="auto"/>
        </w:rPr>
        <w:t>3.17</w:t>
      </w:r>
      <w:r>
        <w:rPr>
          <w:rFonts w:ascii="Arial" w:cs="Arial" w:eastAsia="Arial" w:hAnsi="Arial"/>
          <w:sz w:val="19"/>
          <w:szCs w:val="19"/>
          <w:color w:val="auto"/>
        </w:rPr>
        <w:t xml:space="preserve"> (subject to the limitations set forth in the last paragraph of the definition of “Collateral and Guarantee Requirement”) and </w:t>
      </w:r>
      <w:r>
        <w:rPr>
          <w:rFonts w:ascii="Arial" w:cs="Arial" w:eastAsia="Arial" w:hAnsi="Arial"/>
          <w:sz w:val="19"/>
          <w:szCs w:val="19"/>
          <w:u w:val="single" w:color="auto"/>
          <w:color w:val="auto"/>
        </w:rPr>
        <w:t>3.18</w:t>
      </w:r>
      <w:r>
        <w:rPr>
          <w:rFonts w:ascii="Arial" w:cs="Arial" w:eastAsia="Arial" w:hAnsi="Arial"/>
          <w:sz w:val="19"/>
          <w:szCs w:val="19"/>
          <w:color w:val="auto"/>
        </w:rPr>
        <w:t xml:space="preserve">, and (C) </w:t>
      </w:r>
      <w:r>
        <w:rPr>
          <w:rFonts w:ascii="Arial" w:cs="Arial" w:eastAsia="Arial" w:hAnsi="Arial"/>
          <w:sz w:val="19"/>
          <w:szCs w:val="19"/>
          <w:u w:val="single" w:color="auto"/>
          <w:color w:val="auto"/>
        </w:rPr>
        <w:t>Section 3.22</w:t>
      </w:r>
      <w:r>
        <w:rPr>
          <w:rFonts w:ascii="Arial" w:cs="Arial" w:eastAsia="Arial" w:hAnsi="Arial"/>
          <w:sz w:val="19"/>
          <w:szCs w:val="19"/>
          <w:color w:val="auto"/>
        </w:rPr>
        <w:t xml:space="preserve"> and the second sentence of </w:t>
      </w:r>
      <w:r>
        <w:rPr>
          <w:rFonts w:ascii="Arial" w:cs="Arial" w:eastAsia="Arial" w:hAnsi="Arial"/>
          <w:sz w:val="19"/>
          <w:szCs w:val="19"/>
          <w:u w:val="single" w:color="auto"/>
          <w:color w:val="auto"/>
        </w:rPr>
        <w:t>Section 3.23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Specified Representations applicable to any Incremental Facility or Other Term Loans shall be as agreed by the Lenders participating in such Incremental Facility or Other Term Loans, as applicable.</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w:t>
      </w:r>
      <w:r>
        <w:rPr>
          <w:rFonts w:ascii="Arial" w:cs="Arial" w:eastAsia="Arial" w:hAnsi="Arial"/>
          <w:sz w:val="20"/>
          <w:szCs w:val="20"/>
          <w:color w:val="auto"/>
        </w:rPr>
        <w:t>” shall mean, with respect to any period, any Investment, Disposition, incurrence or repayment of Indebtedness, Restricted Payment, subsidiary designation or other event or occurrence that by the terms of the Loan Documents requires pro forma compliance with a test or covenant hereunder or requires such test or covenant to be calculated on a “Pro Forma Basis.”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Revolving Loan</w:t>
      </w:r>
      <w:r>
        <w:rPr>
          <w:rFonts w:ascii="Arial" w:cs="Arial" w:eastAsia="Arial" w:hAnsi="Arial"/>
          <w:sz w:val="20"/>
          <w:szCs w:val="20"/>
          <w:color w:val="auto"/>
        </w:rPr>
        <w:t>” shall mean a Revolving Facility Loan other than a Sustainability Loan.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Securitization Undertakings</w:t>
      </w:r>
      <w:r>
        <w:rPr>
          <w:rFonts w:ascii="Arial" w:cs="Arial" w:eastAsia="Arial" w:hAnsi="Arial"/>
          <w:sz w:val="20"/>
          <w:szCs w:val="20"/>
          <w:color w:val="auto"/>
        </w:rPr>
        <w:t>” shall mean representations, warranties, covenants and indemnities entered into by the Borrower or any Subsidiary thereof in connection with a Qualified Receivables Facility which are reasonably customary (as determined in good faith by the Borrower) in an accounts receivable financing transaction in the commercial paper, term securitization or structured lending market.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Standby Letters of Credit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Step-Up Election</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6.09(a)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Subagent</w:t>
      </w:r>
      <w:r>
        <w:rPr>
          <w:rFonts w:ascii="Arial" w:cs="Arial" w:eastAsia="Arial" w:hAnsi="Arial"/>
          <w:sz w:val="20"/>
          <w:szCs w:val="20"/>
          <w:color w:val="auto"/>
        </w:rPr>
        <w:t>” shall mean any trustee, co-trustee, collateral co-agent, collateral subagent or attorneys in-fact appointed by an Agent with respect to all or any part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4" w:name="page215"/>
    <w:bookmarkEnd w:id="214"/>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any person (referred to in this definition as the “</w:t>
      </w:r>
      <w:r>
        <w:rPr>
          <w:rFonts w:ascii="Arial" w:cs="Arial" w:eastAsia="Arial" w:hAnsi="Arial"/>
          <w:sz w:val="18"/>
          <w:szCs w:val="18"/>
          <w:u w:val="single" w:color="auto"/>
          <w:color w:val="auto"/>
        </w:rPr>
        <w:t>parent</w:t>
      </w:r>
      <w:r>
        <w:rPr>
          <w:rFonts w:ascii="Arial" w:cs="Arial" w:eastAsia="Arial" w:hAnsi="Arial"/>
          <w:sz w:val="18"/>
          <w:szCs w:val="18"/>
          <w:color w:val="auto"/>
        </w:rPr>
        <w:t>”), any corporation, limited liability company,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w:t>
      </w:r>
    </w:p>
    <w:p>
      <w:pPr>
        <w:spacing w:after="0" w:line="3" w:lineRule="exact"/>
        <w:rPr>
          <w:sz w:val="20"/>
          <w:szCs w:val="20"/>
          <w:color w:val="auto"/>
        </w:rPr>
      </w:pPr>
    </w:p>
    <w:p>
      <w:pPr>
        <w:ind w:right="20" w:firstLine="8"/>
        <w:spacing w:after="0" w:line="244" w:lineRule="auto"/>
        <w:tabs>
          <w:tab w:leader="none" w:pos="302"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that is, at the time any determination is made, otherwise Controlled, by the parent or one or more subsidiaries of the parent or by the parent and one or more subsidiaries of the parent.</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 and any reference to Subsidiary hereunder shall refer to a Restricted Subsidiary unless such Subsidiary is expressly referred to as an Unrestricted Subsidiary.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Redesignation</w:t>
      </w:r>
      <w:r>
        <w:rPr>
          <w:rFonts w:ascii="Arial" w:cs="Arial" w:eastAsia="Arial" w:hAnsi="Arial"/>
          <w:sz w:val="18"/>
          <w:szCs w:val="18"/>
          <w:color w:val="auto"/>
        </w:rPr>
        <w:t>” shall have the meaning provided in the definition of the term “Unrestricted Subsidiary.”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Borrower</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6.05(n)</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Supplier Receivables Bank</w:t>
      </w:r>
      <w:r>
        <w:rPr>
          <w:rFonts w:ascii="Arial" w:cs="Arial" w:eastAsia="Arial" w:hAnsi="Arial"/>
          <w:sz w:val="16"/>
          <w:szCs w:val="16"/>
          <w:color w:val="auto"/>
        </w:rPr>
        <w:t>” shall mean any person that (i) is (or any Affiliate of any person that is) an Agent, an Arranger or a Lender on the Closing Date (in the case of any Secured Supplier Receivables Agreement in existence on the Closing Date) and that enters into or is a party to a Secured Supplier Receivables Agreement with the Borrower or any of its Subsidiaries, in each case, in its capacity as a party to such Secured Supplier Receivables Agreement or (ii) is (or any Affiliate of any person that is) an Agent, an Arranger or a Lender at the time it enters into a Secured Supplier Receivables Agreement (in the case of any Secured Supplier Receivables Agreement entered into after the Closing Date) with the Borrower or any of its Subsidiaries, in each case, in its capacity as a party to such Secured Supplier Receivables Agreement.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9.24</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Financing Framework</w:t>
      </w:r>
      <w:r>
        <w:rPr>
          <w:rFonts w:ascii="Arial" w:cs="Arial" w:eastAsia="Arial" w:hAnsi="Arial"/>
          <w:sz w:val="20"/>
          <w:szCs w:val="20"/>
          <w:color w:val="auto"/>
        </w:rPr>
        <w:t xml:space="preserve">” shall mean the terms set forth in </w:t>
      </w:r>
      <w:r>
        <w:rPr>
          <w:rFonts w:ascii="Arial" w:cs="Arial" w:eastAsia="Arial" w:hAnsi="Arial"/>
          <w:sz w:val="20"/>
          <w:szCs w:val="20"/>
          <w:u w:val="single" w:color="auto"/>
          <w:color w:val="auto"/>
        </w:rPr>
        <w:t>Schedule 1.01(b)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Sustainability Loan</w:t>
      </w:r>
      <w:r>
        <w:rPr>
          <w:rFonts w:ascii="Arial" w:cs="Arial" w:eastAsia="Arial" w:hAnsi="Arial"/>
          <w:sz w:val="19"/>
          <w:szCs w:val="19"/>
          <w:color w:val="auto"/>
        </w:rPr>
        <w:t>” shall mean any Revolving Facility Loan requested by the Borrower in compliance with the Sustainability Financing Framework and meeting the Sustainability Use of Proceeds Investment Criteria.</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Loan Report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Schedule 1.01(b)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Margin Adjustment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Schedule 1.01(b)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Structuring Agent</w:t>
      </w:r>
      <w:r>
        <w:rPr>
          <w:rFonts w:ascii="Arial" w:cs="Arial" w:eastAsia="Arial" w:hAnsi="Arial"/>
          <w:sz w:val="20"/>
          <w:szCs w:val="20"/>
          <w:color w:val="auto"/>
        </w:rPr>
        <w:t>” shall have the meaning assigned to such term in the introductory paragraph of this Agreement, together with its permitted successors and assigns.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Sustainability Use of Proceeds Investment Criteria</w:t>
      </w:r>
      <w:r>
        <w:rPr>
          <w:rFonts w:ascii="Arial" w:cs="Arial" w:eastAsia="Arial" w:hAnsi="Arial"/>
          <w:sz w:val="19"/>
          <w:szCs w:val="19"/>
          <w:color w:val="auto"/>
        </w:rPr>
        <w:t xml:space="preserve">” shall have the meaning set forth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5" w:name="page216"/>
    <w:bookmarkEnd w:id="215"/>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Sweep Arrangement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2.04(b)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Borrowing</w:t>
      </w:r>
      <w:r>
        <w:rPr>
          <w:rFonts w:ascii="Arial" w:cs="Arial" w:eastAsia="Arial" w:hAnsi="Arial"/>
          <w:sz w:val="20"/>
          <w:szCs w:val="20"/>
          <w:color w:val="auto"/>
        </w:rPr>
        <w:t>” shall mean a Borrowing comprised of Swingline Loans.</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Borrowing Request</w:t>
      </w:r>
      <w:r>
        <w:rPr>
          <w:rFonts w:ascii="Arial" w:cs="Arial" w:eastAsia="Arial" w:hAnsi="Arial"/>
          <w:sz w:val="20"/>
          <w:szCs w:val="20"/>
          <w:color w:val="auto"/>
        </w:rPr>
        <w:t xml:space="preserve">” shall mean a request by the Borrower substantially in the form of </w:t>
      </w:r>
      <w:r>
        <w:rPr>
          <w:rFonts w:ascii="Arial" w:cs="Arial" w:eastAsia="Arial" w:hAnsi="Arial"/>
          <w:sz w:val="20"/>
          <w:szCs w:val="20"/>
          <w:u w:val="single" w:color="auto"/>
          <w:color w:val="auto"/>
        </w:rPr>
        <w:t>Exhibit D-3</w:t>
      </w:r>
      <w:r>
        <w:rPr>
          <w:rFonts w:ascii="Arial" w:cs="Arial" w:eastAsia="Arial" w:hAnsi="Arial"/>
          <w:sz w:val="20"/>
          <w:szCs w:val="20"/>
          <w:color w:val="auto"/>
        </w:rPr>
        <w:t xml:space="preserve"> or such other form as shall be approved by the Swingline Lender.</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xml:space="preserve">” shall mean, the commitment of the Swingline Lender to make Swingline Loans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 The aggregate amount of the Swingline Commitments is $25,000,000. The Swingline Commitment is part of, and not in addition to, the Revolving Facility Commitments.</w:t>
      </w:r>
    </w:p>
    <w:p>
      <w:pPr>
        <w:spacing w:after="0" w:line="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Exposure</w:t>
      </w:r>
      <w:r>
        <w:rPr>
          <w:rFonts w:ascii="Arial" w:cs="Arial" w:eastAsia="Arial" w:hAnsi="Arial"/>
          <w:sz w:val="20"/>
          <w:szCs w:val="20"/>
          <w:color w:val="auto"/>
        </w:rPr>
        <w:t>” shall mean at any time the aggregate principal amount of all outstanding Swingline Borrowings at such time. The Swingline Exposure of any Revolving Facility Lender at any time shall mean its applicable Revolving Facility Percentage of the aggregate Swingline Exposure at such time.</w:t>
      </w:r>
    </w:p>
    <w:p>
      <w:pPr>
        <w:spacing w:after="0" w:line="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shall mean Wells Fargo Bank, National Association, in its capacity as a lender of Swingline Loans hereunder and its permitted successors and assigns. The Swingline Lender may, in its discretion, arrange for one or more Swingline Loans to be made by Affiliates of the Swingline Lender, in which case the term “Swingline Lender” shall include any such Affiliate with respect to Swingline Loans made by such Affiliate.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Loans</w:t>
      </w:r>
      <w:r>
        <w:rPr>
          <w:rFonts w:ascii="Arial" w:cs="Arial" w:eastAsia="Arial" w:hAnsi="Arial"/>
          <w:sz w:val="20"/>
          <w:szCs w:val="20"/>
          <w:color w:val="auto"/>
        </w:rPr>
        <w:t xml:space="preserve">” shall mean the swingline loans made to the Borrower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shall mean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6" w:name="page217"/>
    <w:bookmarkEnd w:id="216"/>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w:t>
      </w:r>
      <w:r>
        <w:rPr>
          <w:rFonts w:ascii="Arial" w:cs="Arial" w:eastAsia="Arial" w:hAnsi="Arial"/>
          <w:sz w:val="20"/>
          <w:szCs w:val="20"/>
          <w:color w:val="auto"/>
        </w:rPr>
        <w:t>” shall mean the Initial Term Facility and/or any or all of the Other Term Facilities.</w:t>
      </w:r>
    </w:p>
    <w:p>
      <w:pPr>
        <w:spacing w:after="0" w:line="1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 Commitment</w:t>
      </w:r>
      <w:r>
        <w:rPr>
          <w:rFonts w:ascii="Arial" w:cs="Arial" w:eastAsia="Arial" w:hAnsi="Arial"/>
          <w:sz w:val="20"/>
          <w:szCs w:val="20"/>
          <w:color w:val="auto"/>
        </w:rPr>
        <w:t>” shall mean the commitment of a Term Lender to make Term Loans, including the Term Facility Commitment and/or Other Term Loans.</w:t>
      </w:r>
    </w:p>
    <w:p>
      <w:pPr>
        <w:spacing w:after="0" w:line="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 Maturity Date</w:t>
      </w:r>
      <w:r>
        <w:rPr>
          <w:rFonts w:ascii="Arial" w:cs="Arial" w:eastAsia="Arial" w:hAnsi="Arial"/>
          <w:sz w:val="18"/>
          <w:szCs w:val="18"/>
          <w:color w:val="auto"/>
        </w:rPr>
        <w:t>” shall mean, as the context may require, (a) with respect to the Initial Term Loans, the Initial Term Facility Maturity Date and (b) with respect to any other Class of Term Loans, the maturity dates specified therefor in the applicable Incremental Assumption Agreement, Extension Amendment or Refinancing Amendment.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shall mean, at any time, any Lender that holds Term Facility Commitments or Term Loans at such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Installment Date</w:t>
      </w:r>
      <w:r>
        <w:rPr>
          <w:rFonts w:ascii="Arial" w:cs="Arial" w:eastAsia="Arial" w:hAnsi="Arial"/>
          <w:sz w:val="20"/>
          <w:szCs w:val="20"/>
          <w:color w:val="auto"/>
        </w:rPr>
        <w:t>” shall mean any Initial Term Loan Installment Date or any Other Term Loan Installment Date.</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shall mean the Initial Term Loans, any Incremental Term Loans in the form of additional Term Loans made by the Incremental Term Lenders to the Borrower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and any Other Term Loans.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Rate</w:t>
      </w:r>
      <w:r>
        <w:rPr>
          <w:rFonts w:ascii="Arial" w:cs="Arial" w:eastAsia="Arial" w:hAnsi="Arial"/>
          <w:sz w:val="20"/>
          <w:szCs w:val="20"/>
          <w:color w:val="auto"/>
        </w:rPr>
        <w:t xml:space="preserve">” shall mean, with respect to any Term Benchmark Borrowing for any Interest Period, the Term SOFR Reference Rate at approximately 5:00 a.m., Chicago time, two U.S. Government Securities Business Days prior to the commencement of such Interest Period, as such rate is published by the CME Term SOFR Administrator;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Term SOFR Rate as so determined would be less than the Floor, such rate shall be deemed equal to the Floor for the purposes of this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Rate Loan</w:t>
      </w:r>
      <w:r>
        <w:rPr>
          <w:rFonts w:ascii="Arial" w:cs="Arial" w:eastAsia="Arial" w:hAnsi="Arial"/>
          <w:sz w:val="20"/>
          <w:szCs w:val="20"/>
          <w:color w:val="auto"/>
        </w:rPr>
        <w:t>” shall mean a Loan bearing interest based upon the Term SOFR Rate.</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shall mean, for any day and time (such day, the “</w:t>
      </w:r>
      <w:r>
        <w:rPr>
          <w:rFonts w:ascii="Arial" w:cs="Arial" w:eastAsia="Arial" w:hAnsi="Arial"/>
          <w:sz w:val="20"/>
          <w:szCs w:val="20"/>
          <w:u w:val="single" w:color="auto"/>
          <w:color w:val="auto"/>
        </w:rPr>
        <w:t>Term SOFR Determination Day</w:t>
      </w:r>
      <w:r>
        <w:rPr>
          <w:rFonts w:ascii="Arial" w:cs="Arial" w:eastAsia="Arial" w:hAnsi="Arial"/>
          <w:sz w:val="20"/>
          <w:szCs w:val="20"/>
          <w:color w:val="auto"/>
        </w:rPr>
        <w:t>”), with respect to any Term Benchmark Borrowing for any Interest Period, the rate per annum determined by the Administrative Agent as the forward-looking term rate based on SOFR. If by 5:00 pm (New York City time) on such Term SOFR Determination Day, the “Term SOFR Reference Rate” for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7" w:name="page218"/>
    <w:bookmarkEnd w:id="217"/>
    <w:p>
      <w:pPr>
        <w:jc w:val="both"/>
        <w:spacing w:after="0" w:line="260" w:lineRule="auto"/>
        <w:rPr>
          <w:sz w:val="20"/>
          <w:szCs w:val="20"/>
          <w:color w:val="auto"/>
        </w:rPr>
      </w:pPr>
      <w:r>
        <w:rPr>
          <w:rFonts w:ascii="Arial" w:cs="Arial" w:eastAsia="Arial" w:hAnsi="Arial"/>
          <w:sz w:val="20"/>
          <w:szCs w:val="20"/>
          <w:color w:val="auto"/>
        </w:rPr>
        <w:t>Term SOFR Administrator, so long as such first preceding Business Day is not more than five (5) Business Days prior to such Term SOFR Determination Day.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xml:space="preserve">” shall mean the date on which (a) all Commitments shall have been terminated, (b) the principal of and interest on each Loan, all Fees, all other expenses or amounts payable under any Loan Document and all other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w:t>
      </w:r>
      <w:r>
        <w:rPr>
          <w:rFonts w:ascii="Arial" w:cs="Arial" w:eastAsia="Arial" w:hAnsi="Arial"/>
          <w:sz w:val="19"/>
          <w:szCs w:val="19"/>
          <w:u w:val="single" w:color="auto"/>
          <w:color w:val="auto"/>
        </w:rPr>
        <w:t>Section 2.05(k)</w:t>
      </w:r>
      <w:r>
        <w:rPr>
          <w:rFonts w:ascii="Arial" w:cs="Arial" w:eastAsia="Arial" w:hAnsi="Arial"/>
          <w:sz w:val="19"/>
          <w:szCs w:val="19"/>
          <w:color w:val="auto"/>
        </w:rPr>
        <w:t>) have been cancelled or have expired and all amounts drawn or paid thereunder have been reimbursed in full in cash.</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Test Period</w:t>
      </w:r>
      <w:r>
        <w:rPr>
          <w:rFonts w:ascii="Arial" w:cs="Arial" w:eastAsia="Arial" w:hAnsi="Arial"/>
          <w:sz w:val="19"/>
          <w:szCs w:val="19"/>
          <w:color w:val="auto"/>
        </w:rPr>
        <w:t xml:space="preserve">” shall mean, on any date of determination, the period of four consecutive fiscal quarters of the Borrower then most recently ended (taken as one accounting period) for which financial statements have been (or were required to be) delivered pursuant to </w:t>
      </w:r>
      <w:r>
        <w:rPr>
          <w:rFonts w:ascii="Arial" w:cs="Arial" w:eastAsia="Arial" w:hAnsi="Arial"/>
          <w:sz w:val="19"/>
          <w:szCs w:val="19"/>
          <w:u w:val="single" w:color="auto"/>
          <w:color w:val="auto"/>
        </w:rPr>
        <w:t>Section 5.04(a)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the first date financial statements have been delivered pursuant to </w:t>
      </w:r>
      <w:r>
        <w:rPr>
          <w:rFonts w:ascii="Arial" w:cs="Arial" w:eastAsia="Arial" w:hAnsi="Arial"/>
          <w:sz w:val="19"/>
          <w:szCs w:val="19"/>
          <w:u w:val="single" w:color="auto"/>
          <w:color w:val="auto"/>
        </w:rPr>
        <w:t>Section 5.04(a)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5.04(b)</w:t>
      </w:r>
      <w:r>
        <w:rPr>
          <w:rFonts w:ascii="Arial" w:cs="Arial" w:eastAsia="Arial" w:hAnsi="Arial"/>
          <w:sz w:val="19"/>
          <w:szCs w:val="19"/>
          <w:color w:val="auto"/>
        </w:rPr>
        <w:t>, the Test Period in effect shall be the most recently ended full four fiscal quarter period prior to the Closing Date for which financial statements would have been required to be delivered hereunder had the Closing Date occurred prior to the end of such period.</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Funds</w:t>
      </w:r>
      <w:r>
        <w:rPr>
          <w:rFonts w:ascii="Arial" w:cs="Arial" w:eastAsia="Arial" w:hAnsi="Arial"/>
          <w:sz w:val="18"/>
          <w:szCs w:val="18"/>
          <w:color w:val="auto"/>
        </w:rPr>
        <w:t>” shall mean any accounts or funds, or any portion thereof, received by the Borrower or any of its Subsidiaries as agent on behalf of third parties (other than Loan Parties) in accordance with a written agreement that imposes a duty upon the Borrower or one or more of its Subsidiaries to collect and remit those funds to such third parties.</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shall mean, as of any date of determination, the ratio of (a) Consolidated Total Net Debt outstanding as of the last day of the Test Period most recently ended as of such date to (b) Adjusted Consolidated EBITDA for such Test Period, all determined on a consolidated basis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 Financial Covenant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6.09(a)</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Date</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9.04(i)(i)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Letters of Credit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Agreement</w:t>
      </w:r>
      <w:r>
        <w:rPr>
          <w:rFonts w:ascii="Arial" w:cs="Arial" w:eastAsia="Arial" w:hAnsi="Arial"/>
          <w:sz w:val="19"/>
          <w:szCs w:val="19"/>
          <w:color w:val="auto"/>
        </w:rPr>
        <w:t>” shall mean that Transaction Agreement, dated as of April 4, 2022, by and among Holdings, Merger Sub I, Merger Sub II and RVAC (including, but not limited to, all schedules and exhibits thereto).</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Costs</w:t>
      </w:r>
      <w:r>
        <w:rPr>
          <w:rFonts w:ascii="Arial" w:cs="Arial" w:eastAsia="Arial" w:hAnsi="Arial"/>
          <w:sz w:val="20"/>
          <w:szCs w:val="20"/>
          <w:color w:val="auto"/>
        </w:rPr>
        <w:t>” shall mean any fees or expenses incurred or paid by any holder of Equity Interests in any Parent Entity, the Borrower or any Subsidiary in connection with the Transactions, this Agreement and any other Loan Documents and the Transactions contemplated hereby and thereby.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Documents</w:t>
      </w:r>
      <w:r>
        <w:rPr>
          <w:rFonts w:ascii="Arial" w:cs="Arial" w:eastAsia="Arial" w:hAnsi="Arial"/>
          <w:sz w:val="20"/>
          <w:szCs w:val="20"/>
          <w:color w:val="auto"/>
        </w:rPr>
        <w:t>” shall mean the Transaction Agreement and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8" w:name="page219"/>
    <w:bookmarkEnd w:id="218"/>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shall mean, collectively (a) the consummation of the SPAC Merger, (b) the Closing Date Refinancing; (c) the incurrence of the Initial Term Loans; (d) the other transactions to occur pursuant to or in connection with the Transaction Documents; and (e) the payment of all fees and expenses to be paid and owing in connection with the foregoing (including the Transaction Costs).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shall mean, when used in respect of any Loan or Borrowing, the Rate by reference to which interest on such Loan or on the Loans comprising such Borrowing is determined. For purposes hereof, the term “</w:t>
      </w:r>
      <w:r>
        <w:rPr>
          <w:rFonts w:ascii="Arial" w:cs="Arial" w:eastAsia="Arial" w:hAnsi="Arial"/>
          <w:sz w:val="20"/>
          <w:szCs w:val="20"/>
          <w:u w:val="single" w:color="auto"/>
          <w:color w:val="auto"/>
        </w:rPr>
        <w:t>Rate</w:t>
      </w:r>
      <w:r>
        <w:rPr>
          <w:rFonts w:ascii="Arial" w:cs="Arial" w:eastAsia="Arial" w:hAnsi="Arial"/>
          <w:sz w:val="20"/>
          <w:szCs w:val="20"/>
          <w:color w:val="auto"/>
        </w:rPr>
        <w:t>” shall include the applicable Term Benchmark and the ABR.</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shall mean the applicable Benchmark Replacement excluding the related Benchmark Replacement Adjustment.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shall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Unpaid Amount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6.06(n)</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2.05(e)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Cash Amount</w:t>
      </w:r>
      <w:r>
        <w:rPr>
          <w:rFonts w:ascii="Arial" w:cs="Arial" w:eastAsia="Arial" w:hAnsi="Arial"/>
          <w:sz w:val="20"/>
          <w:szCs w:val="20"/>
          <w:color w:val="auto"/>
        </w:rPr>
        <w:t xml:space="preserve">” shall mean, on any date, the amount of cash or Permitted Investments of the Borrower or any of its Subsidiaries that would not appear as “restricted” on a consolidated balance sheet of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Unrestricted Cash Amount shall not be deemed to be greater than (A) for the first 24 months following the Closing Date, the greater of (i) the excess of the Unrestricted Cash Amount (calculated without regard to this proviso) over $20 million and (ii) 100% of Adjusted Consolidated EBITDA for the most recently ended Test Period as of such time and (B) thereafter, 100% of Adjusted Consolidated EBITDA for the most recently ended Test Period as of such time.</w:t>
      </w:r>
    </w:p>
    <w:p>
      <w:pPr>
        <w:spacing w:after="0" w:line="19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shall mean (1) any Subsidiary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(2) any Subsidiary of the Borrower, whether now owned or acquired or created after the Closing Date, that is designated on or after the Closing Date by the Borrower as an Unrestricted Subsidiary hereunder by written notice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shall only be permitted to so designate a new Unrestricted Subsidiary on or after the Closing Date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9" w:name="page220"/>
    <w:bookmarkEnd w:id="219"/>
    <w:p>
      <w:pPr>
        <w:jc w:val="right"/>
        <w:ind w:firstLine="8"/>
        <w:spacing w:after="0" w:line="266" w:lineRule="auto"/>
        <w:tabs>
          <w:tab w:leader="none" w:pos="28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or would result therefrom, (b) immediately after giving effect to such designation, the Borrower shall be in pro forma compliance with the Financial Covenants as of the last day of the then most recently ended Test Period, (c) all Investments in such Unrestricted Subsidiary at the time of designation (as contemplated by the immediately following sentence) are permitted in accordance with the relevant requirements of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(d) such Subsidiary being designated as an “Unrestricted Subsidiary” shall also, concurrently with such designation and thereafter, constitute an “unrestricted subsidiary” under any Material Indebtedness issued or incurred on or after the Closing Date and (e) if such designation is on the Closing Date, the designation shall not occur until the conditions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and the funding of the Initial Term Loans has occurred; and (3) any subsidiary of an Unrestricted Subsidiary (unless transferred to such Unrestricted Subsidiary or any of its subsidiaries by the Borrower or one or more of its Subsidiaries after the date of the designation of the parent entity as an “Unrestricted Subsidiary” hereunder, in which case the subsidiary so transferred would be required to be independently designated in accordance with the preceding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The designation of any Subsidiary as an Unrestricted Subsidiary shall constitute an Investment by the Borrower (or its Subsidiaries) therein at the date of designation in an amount equal to the Fair Market Value of the Borrower’s (or its Subsidiaries’) Investments therein, which shall be required to be permitted on such date in accordance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not as an Investment permitted thereby in a Subsidiary). The Borrower may designate  any  Unrestricted  Subsidiary  to  be  a  Subsidiary  for  purposes  of  this  Agreement  (each,  a  “</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Redesignation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other than with respect to Unrestricted Subsidiaries designated on the Closing Date, (i) no Default or Event of Default has occurred and is continuing or would result therefrom (after giving effect to the provisions of the immediately succeeding sentence), (ii) immediately after giving effect to such redesignation, the Borrower shall be in pro forma compliance with the Financial Covenants as of the last day of the most recently ended Test Period and (iii) the Borrower shall have delivered to the Administrative Agent an officer’s certificate executed by a Responsible Officer of the Borrower, certifying to the best of such officer’s knowledge, compliance with the requirements of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The designation of any Unrestricted Subsidiary as a Subsidiary on or after the Closing Date shall constitute (i) the incurrence at the time of designation of any Investment, Indebtedness or Liens of such Subsidiary existing at such time and</w:t>
      </w:r>
    </w:p>
    <w:p>
      <w:pPr>
        <w:spacing w:after="0" w:line="18" w:lineRule="exact"/>
        <w:rPr>
          <w:rFonts w:ascii="Arial" w:cs="Arial" w:eastAsia="Arial" w:hAnsi="Arial"/>
          <w:sz w:val="18"/>
          <w:szCs w:val="18"/>
          <w:color w:val="auto"/>
        </w:rPr>
      </w:pPr>
    </w:p>
    <w:p>
      <w:pPr>
        <w:jc w:val="both"/>
        <w:ind w:firstLine="8"/>
        <w:spacing w:after="0" w:line="241" w:lineRule="auto"/>
        <w:tabs>
          <w:tab w:leader="none" w:pos="32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w:t>
      </w:r>
    </w:p>
    <w:p>
      <w:pPr>
        <w:spacing w:after="0" w:line="19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9.24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0" w:name="page221"/>
    <w:bookmarkEnd w:id="22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xml:space="preserve">” shall have the meaning assigned to such term in </w:t>
      </w:r>
      <w:r>
        <w:rPr>
          <w:rFonts w:ascii="Arial" w:cs="Arial" w:eastAsia="Arial" w:hAnsi="Arial"/>
          <w:sz w:val="19"/>
          <w:szCs w:val="19"/>
          <w:u w:val="single" w:color="auto"/>
          <w:color w:val="auto"/>
        </w:rPr>
        <w:t>Section 2.17(d)(ii)(A)(3)</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shall mean the Uniting and Strengthening America by Providing Appropriate Tools Required to Intercept and Obstruct Terrorism Act of 2001 (Title III of Pub. L. No. 107 56 (signed into law October 26, 2001)).</w:t>
      </w:r>
    </w:p>
    <w:p>
      <w:pPr>
        <w:spacing w:after="0" w:line="1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Equity Interests</w:t>
      </w:r>
      <w:r>
        <w:rPr>
          <w:rFonts w:ascii="Arial" w:cs="Arial" w:eastAsia="Arial" w:hAnsi="Arial"/>
          <w:sz w:val="18"/>
          <w:szCs w:val="18"/>
          <w:color w:val="auto"/>
        </w:rPr>
        <w:t>” shall mean Equity Interests that are entitled to vote generally for the election of directors to the Board of Directors of the issuer thereof. Shares of preferred stock that have the right to elect one or more directors to the Board of Directors of the issuer thereof only upon the occurrence of a breach or default by such issuer thereunder shall not be considered Voting Equity Interests as long as the directors that may be elected to the Board of Directors of the issuer upon the occurrence of such a breach or default represent a minority of the aggregate voting power of all directors of Board of Directors of the issuer. The percentage of Voting Equity Interests of any issuer thereof beneficially owned by a person shall be determined by reference to the percentage of the aggregate voting power of all Voting Equity Interests of such issuer that are represented by the Voting Equity Interests beneficially owned by such person.</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Domestic Subsidiary</w:t>
      </w:r>
      <w:r>
        <w:rPr>
          <w:rFonts w:ascii="Arial" w:cs="Arial" w:eastAsia="Arial" w:hAnsi="Arial"/>
          <w:sz w:val="18"/>
          <w:szCs w:val="18"/>
          <w:color w:val="auto"/>
        </w:rPr>
        <w:t>” shall mean a Wholly Owned Subsidiary that is also a Domestic Subsidiary.</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“Wholly Owned Subsidiary” shall mean a Subsidiary of the Borrower that is a Wholly Owned Subsidiary of the Borrower.</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1" w:name="page222"/>
    <w:bookmarkEnd w:id="221"/>
    <w:p>
      <w:pPr>
        <w:jc w:val="both"/>
        <w:spacing w:after="0" w:line="250" w:lineRule="auto"/>
        <w:rPr>
          <w:sz w:val="20"/>
          <w:szCs w:val="20"/>
          <w:color w:val="auto"/>
        </w:rPr>
      </w:pPr>
      <w:r>
        <w:rPr>
          <w:rFonts w:ascii="Arial" w:cs="Arial" w:eastAsia="Arial" w:hAnsi="Arial"/>
          <w:sz w:val="20"/>
          <w:szCs w:val="20"/>
          <w:color w:val="auto"/>
        </w:rPr>
        <w:t>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Terms Generally; GAAP</w:t>
      </w:r>
      <w:r>
        <w:rPr>
          <w:rFonts w:ascii="Arial" w:cs="Arial" w:eastAsia="Arial" w:hAnsi="Arial"/>
          <w:sz w:val="18"/>
          <w:szCs w:val="18"/>
          <w:color w:val="auto"/>
        </w:rPr>
        <w:t xml:space="preserve">. The definitions set forth or referred to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Except as otherwise expressly provided herein, any reference in this Agreement to any Loan Document shall mean such document as amended, restated, amended and restated, supplemented or otherwise modified from time to time.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if at any time, any change in GAAP would affect the computation of any financial ratio or requirement in the Loan Documents and the Borrower notifies the Administrative Agent that the Borrower requests an amendment (or if the Administrative Agent notifies the Borrower that the Required Lenders request an amendment), the Administrative Agent, the Lenders and the Borrower shall, at no cost to the Borrower,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Interest Rates; Benchmark Notifications</w:t>
      </w:r>
      <w:r>
        <w:rPr>
          <w:rFonts w:ascii="Arial" w:cs="Arial" w:eastAsia="Arial" w:hAnsi="Arial"/>
          <w:sz w:val="18"/>
          <w:szCs w:val="18"/>
          <w:color w:val="auto"/>
        </w:rPr>
        <w:t xml:space="preserve">. The interest rate on a Loan may be derived from an interest rate benchmark that may be discontinued or is, or may in the future become, the subject of regulatory reform. Upon the occurrence of a Benchmark Transition Event,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provides a mechanism for determining an alternative rate of interest. The Administrative Agent does not warrant or accept any responsibility for, and shall not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2" w:name="page223"/>
    <w:bookmarkEnd w:id="222"/>
    <w:p>
      <w:pPr>
        <w:jc w:val="both"/>
        <w:spacing w:after="0" w:line="269" w:lineRule="auto"/>
        <w:rPr>
          <w:sz w:val="20"/>
          <w:szCs w:val="20"/>
          <w:color w:val="auto"/>
        </w:rPr>
      </w:pPr>
      <w:r>
        <w:rPr>
          <w:rFonts w:ascii="Arial" w:cs="Arial" w:eastAsia="Arial" w:hAnsi="Arial"/>
          <w:sz w:val="18"/>
          <w:szCs w:val="18"/>
          <w:color w:val="auto"/>
        </w:rPr>
        <w:t>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Timing of Payment or Performance</w:t>
      </w:r>
      <w:r>
        <w:rPr>
          <w:rFonts w:ascii="Arial" w:cs="Arial" w:eastAsia="Arial" w:hAnsi="Arial"/>
          <w:sz w:val="20"/>
          <w:szCs w:val="20"/>
          <w:color w:val="auto"/>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herein, all references herein to times of day shall be references to Local Time.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Class (e.g., an “Initial Term Loan”) or by Type (e.g., a “Term Benchmark Loan”) or by Class and Type (e.g., a “Term Benchmark Initial Term Loan”). Borrowings also may be classified and referred to by Class (e.g., an “Initial Term Loan Borrowing”) or by Type (e.g., a “Term Benchmark Borrowing”) or by Class and Type (e.g., an “Term Benchmark Initial Term Loan Borrowing”).</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6"/>
          <w:szCs w:val="16"/>
          <w:u w:val="single" w:color="auto"/>
          <w:color w:val="auto"/>
        </w:rPr>
        <w:t>Certain Conditions, Calculations and Tests</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connection with any action being taken in connection with a Limited Condition Transaction, for purposes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w:t>
      </w:r>
    </w:p>
    <w:p>
      <w:pPr>
        <w:spacing w:after="0" w:line="200" w:lineRule="exact"/>
        <w:rPr>
          <w:sz w:val="20"/>
          <w:szCs w:val="20"/>
          <w:color w:val="auto"/>
        </w:rPr>
      </w:pPr>
    </w:p>
    <w:p>
      <w:pPr>
        <w:jc w:val="both"/>
        <w:ind w:left="660" w:firstLine="644"/>
        <w:spacing w:after="0" w:line="246" w:lineRule="auto"/>
        <w:tabs>
          <w:tab w:leader="none" w:pos="1956" w:val="left"/>
        </w:tabs>
        <w:numPr>
          <w:ilvl w:val="0"/>
          <w:numId w:val="153"/>
        </w:numPr>
        <w:rPr>
          <w:rFonts w:ascii="Arial" w:cs="Arial" w:eastAsia="Arial" w:hAnsi="Arial"/>
          <w:sz w:val="20"/>
          <w:szCs w:val="20"/>
          <w:color w:val="auto"/>
        </w:rPr>
      </w:pPr>
      <w:r>
        <w:rPr>
          <w:rFonts w:ascii="Arial" w:cs="Arial" w:eastAsia="Arial" w:hAnsi="Arial"/>
          <w:sz w:val="20"/>
          <w:szCs w:val="20"/>
          <w:color w:val="auto"/>
        </w:rPr>
        <w:t>determining compliance with any provision of this Agreement which requires the calculation of Adjusted Consolidated EBITDA (including, without limitation, tests measured as a percentage of Adjusted Consolidated EBITDA), the First Lien Secured Net Leverage Ratio, the Total Net Leverage Ratio or the Interest Coverage Ratio (other than for purposes of any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3" w:name="page224"/>
    <w:bookmarkEnd w:id="223"/>
    <w:p>
      <w:pPr>
        <w:ind w:left="660" w:right="20" w:firstLine="644"/>
        <w:spacing w:after="0" w:line="287" w:lineRule="auto"/>
        <w:tabs>
          <w:tab w:leader="none" w:pos="195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determining the accuracy of representations and warranties and/or whether a Default or Event of Default shall have occurred and be continuing (or any subset of Defaults or Events of Default); or</w:t>
      </w:r>
    </w:p>
    <w:p>
      <w:pPr>
        <w:spacing w:after="0" w:line="152"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testing availability under baskets set forth in this Agreement (including, without limitation, baskets measured as a percentage of Adjusted Consolidated EBITDA or by reference to the First Lien Secured Net Leverage Ratio, the Total Net Leverage Ratio or the Interest Coverage Ratio),</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each case, at the option of the Borrower (the Borrower’s election to exercise such option in connection with any Limited Condition Transaction, an “</w:t>
      </w:r>
      <w:r>
        <w:rPr>
          <w:rFonts w:ascii="Arial" w:cs="Arial" w:eastAsia="Arial" w:hAnsi="Arial"/>
          <w:sz w:val="18"/>
          <w:szCs w:val="18"/>
          <w:u w:val="single" w:color="auto"/>
          <w:color w:val="auto"/>
        </w:rPr>
        <w:t>LCT Election</w:t>
      </w:r>
      <w:r>
        <w:rPr>
          <w:rFonts w:ascii="Arial" w:cs="Arial" w:eastAsia="Arial" w:hAnsi="Arial"/>
          <w:sz w:val="18"/>
          <w:szCs w:val="18"/>
          <w:color w:val="auto"/>
        </w:rPr>
        <w:t>”), the date of determination of whether any such action is permitted hereunder shall be deemed to be (i) in the case of a Limited Condition Acquisition, the date of the definitive agreements for such Limited Condition Acquisition are entered into or solely in connection with an acquisition to which the United Kingdom City Code on Takeovers and Mergers (or similar law or regulation) applies, the date on which a “Rule 2.7 announcement” (or similar announcement) of a firm intention to make an offer is published on a regulatory information service in respect of a target of a Limited Condition Transaction, (ii) in the case of any redemption or repayment of Indebtedness requiring irrevocable advance notice or any irrevocable offer to purchase Indebtedness that is not subject to obtaining financing, the date of such irrevocable advance notice or irrevocable offer and (iii) in the case of any declaration of a distribution or dividend in respect of, or irrevocable advance notice of, or any irrevocable offer to, purchase, redeem or otherwise acquire or retire for value any Equity Interests of, the Borrower that is not subject to obtaining financing, the date of such declaration, irrevocable advance notice or irrevocable offer (each, an “</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ended prior to the LCT Test Date, the Borrower could have taken such action on the relevant LCT Test Date in compliance with such test, ratio or basket, calculated on a Pro Forma Basis, then such test, ratio or basket shall be deemed to have been complied with; </w:t>
      </w:r>
      <w:r>
        <w:rPr>
          <w:rFonts w:ascii="Arial" w:cs="Arial" w:eastAsia="Arial" w:hAnsi="Arial"/>
          <w:sz w:val="18"/>
          <w:szCs w:val="18"/>
          <w:u w:val="single" w:color="auto"/>
          <w:color w:val="auto"/>
        </w:rPr>
        <w:t>provided</w:t>
      </w:r>
      <w:r>
        <w:rPr>
          <w:rFonts w:ascii="Arial" w:cs="Arial" w:eastAsia="Arial" w:hAnsi="Arial"/>
          <w:sz w:val="18"/>
          <w:szCs w:val="18"/>
          <w:color w:val="auto"/>
        </w:rPr>
        <w:t>, that, if financial statements for one or more subsequent fiscal quarters shall have become available, the Borrower may, in its sole discretion, redetermine all such tests, ratios or baskets on the basis of such financial statements, in which case, such date of redetermination shall thereafter be deemed to be the applicable LCT Test Date for purposes of such test, ratio or basket. If the Borrower has made an LCT Election and any of the tests, ratios or baskets for which compliance was determined or tested as of the LCT Test Date are subsequently exceeded as a result of fluctuations in any such test, ratio or basket, including due to fluctuations in Adjusted Consolidated EBITDA of the Borrower and its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however, if any ratios improve or baskets increase as a result of such fluctuations, such improved ratios or baskets may be utilized. If the Borrower has made an LCT Election for any Limited Condition Transaction, then in connection with any subsequent calculation of any test, ratio or basket availability (other than the testing of any ratio for purposes of the definition of “Applicable Margin”) on or following the relevant LCT Test Date and prior to the earlier of the date on which such Limited Condition Transaction is consummated or the definitive agreement/announcement for such Limited Condition Transaction is terminated or expires without consummation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4" w:name="page225"/>
    <w:bookmarkEnd w:id="224"/>
    <w:p>
      <w:pPr>
        <w:jc w:val="both"/>
        <w:spacing w:after="0" w:line="269" w:lineRule="auto"/>
        <w:rPr>
          <w:sz w:val="20"/>
          <w:szCs w:val="20"/>
          <w:color w:val="auto"/>
        </w:rPr>
      </w:pPr>
      <w:r>
        <w:rPr>
          <w:rFonts w:ascii="Arial" w:cs="Arial" w:eastAsia="Arial" w:hAnsi="Arial"/>
          <w:sz w:val="19"/>
          <w:szCs w:val="19"/>
          <w:color w:val="auto"/>
        </w:rPr>
        <w:t>Limited Condition Transaction, any such ratio, basket or amount shall be calculated on a Pro Forma Basis assuming such Limited Condition Transaction and other transactions in connection therewith (including any incurrence or discharge of Indebtedness and/or Liens and the use of proceeds thereof) have been consummated.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the Borrower, be deemed satisfied, so long as no Event of Default or Default, as applicable, exists on the LCT Test Date. If the Borrower has exercised its option under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and any Event of Default or Default occurs following the LCT Test Date and prior to the consummation of the applicable transaction, any such Event of Default or Default shall be deemed to not have occurred or be continuing for purposes of determining whether any action being taken in connection with such Limited Condition Transaction is permitted hereunder.</w:t>
      </w:r>
    </w:p>
    <w:p>
      <w:pPr>
        <w:spacing w:after="0" w:line="180" w:lineRule="exact"/>
        <w:rPr>
          <w:sz w:val="20"/>
          <w:szCs w:val="20"/>
          <w:color w:val="auto"/>
        </w:rPr>
      </w:pPr>
    </w:p>
    <w:p>
      <w:pPr>
        <w:jc w:val="both"/>
        <w:ind w:firstLine="656"/>
        <w:spacing w:after="0" w:line="254" w:lineRule="auto"/>
        <w:tabs>
          <w:tab w:leader="none" w:pos="129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Notwithstanding anything to the contrary herein, with respect to any amounts incurred or transactions entered into (or consummated) in reliance on a provision or covenant of this Agreement that does not require compliance with a financial ratio or test (including any First Lien Secured Net Leverage Ratio, Total Net Leverage Ratio and/or Interest Coverage Ratio) (any such amounts, the “</w:t>
      </w:r>
      <w:r>
        <w:rPr>
          <w:rFonts w:ascii="Arial" w:cs="Arial" w:eastAsia="Arial" w:hAnsi="Arial"/>
          <w:sz w:val="19"/>
          <w:szCs w:val="19"/>
          <w:u w:val="single" w:color="auto"/>
          <w:color w:val="auto"/>
        </w:rPr>
        <w:t>Fixed Amounts</w:t>
      </w:r>
      <w:r>
        <w:rPr>
          <w:rFonts w:ascii="Arial" w:cs="Arial" w:eastAsia="Arial" w:hAnsi="Arial"/>
          <w:sz w:val="19"/>
          <w:szCs w:val="19"/>
          <w:color w:val="auto"/>
        </w:rPr>
        <w:t>”) substantially concurrently or in a series of related transactions with any amounts incurred or transactions entered into (or consummated) in reliance on a provision or covenant of this Agreement that does require compliance with any such financial ratio or test (any such amounts, the “</w:t>
      </w:r>
      <w:r>
        <w:rPr>
          <w:rFonts w:ascii="Arial" w:cs="Arial" w:eastAsia="Arial" w:hAnsi="Arial"/>
          <w:sz w:val="19"/>
          <w:szCs w:val="19"/>
          <w:u w:val="single" w:color="auto"/>
          <w:color w:val="auto"/>
        </w:rPr>
        <w:t>Incurrence-Based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Amounts</w:t>
      </w:r>
      <w:r>
        <w:rPr>
          <w:rFonts w:ascii="Arial" w:cs="Arial" w:eastAsia="Arial" w:hAnsi="Arial"/>
          <w:sz w:val="19"/>
          <w:szCs w:val="19"/>
          <w:color w:val="auto"/>
        </w:rPr>
        <w:t>”), it is understood and agreed that (x) the Fixed Amounts (and any cash proceeds thereof) shall be disregarded in the calculation of the financial ratio or test applicable to the Incurrence-Based Amounts in connection with such incurrence and (y) the entire transaction (or series of related transactions) shall be calculated on a Pro Forma Basis (including the use of proceeds of all Indebtedness to be incurred and any repayments, repurchases, redemptions or other retirements of Indebtedness). Notwithstanding anything herein to the contrary, if at any time any applicable ratio or financial test for any category based on an Incurrence-Based Amount permits Indebtedness, Liens, Restricted Payments, Junior Debt Restricted Payments, Asset Sales and Investments, as applicable, previously incurred under a category based on a Fixed Amount, such Indebtedness, Liens, Restricted Payments, Junior Debt Restricted Payments, Asset Sales and Investments, as applicable, shall be deemed to have been automatically reclassified as incurred under such category based on an Incurrence-Based Amount.</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1.08 </w:t>
      </w:r>
      <w:r>
        <w:rPr>
          <w:rFonts w:ascii="Arial" w:cs="Arial" w:eastAsia="Arial" w:hAnsi="Arial"/>
          <w:sz w:val="20"/>
          <w:szCs w:val="20"/>
          <w:u w:val="single" w:color="auto"/>
          <w:color w:val="auto"/>
        </w:rPr>
        <w:t>Effectuation of Transactions</w:t>
      </w:r>
      <w:r>
        <w:rPr>
          <w:rFonts w:ascii="Arial" w:cs="Arial" w:eastAsia="Arial" w:hAnsi="Arial"/>
          <w:sz w:val="20"/>
          <w:szCs w:val="20"/>
          <w:color w:val="auto"/>
        </w:rPr>
        <w:t>. Each of the representations and warranties of the Borrower contained in this Agreement (and all corresponding definitions) are made after giving effect to the Transactions.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Credits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5" w:name="page226"/>
    <w:bookmarkEnd w:id="225"/>
    <w:p>
      <w:pPr>
        <w:ind w:firstLine="656"/>
        <w:spacing w:after="0" w:line="287" w:lineRule="auto"/>
        <w:tabs>
          <w:tab w:leader="none" w:pos="129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each Initial Term Lender agrees to make Initial Term Loans in Dollars to the Borrower on the Closing Date in an aggregate principal amount equal to such Initial Term Lender’s Initial Term Loan Commitment,</w:t>
      </w:r>
    </w:p>
    <w:p>
      <w:pPr>
        <w:spacing w:after="0" w:line="152" w:lineRule="exact"/>
        <w:rPr>
          <w:rFonts w:ascii="Arial" w:cs="Arial" w:eastAsia="Arial" w:hAnsi="Arial"/>
          <w:sz w:val="19"/>
          <w:szCs w:val="19"/>
          <w:color w:val="auto"/>
        </w:rPr>
      </w:pPr>
    </w:p>
    <w:p>
      <w:pPr>
        <w:jc w:val="both"/>
        <w:ind w:firstLine="656"/>
        <w:spacing w:after="0" w:line="257" w:lineRule="auto"/>
        <w:tabs>
          <w:tab w:leader="none" w:pos="129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each Revolving Facility Lender agrees, severally and not jointly, to make Revolving Facility Loans to the Borrower from time to time during the Availability Period in an aggregate principal amount that will not result in (i) such Revolving Facility Lender’s Revolving Facility Credit Exposure of such Class exceeding such Revolving Facility Lender’s Revolving Facility Commitment of such Class or (ii) the Revolving Facility Credit Exposure of such Class exceeding the total Revolving Facility Commitments of such Class. Revolving Facility Loans may be Standard Revolving Loans or Sustainability Loans, as elected by the Borrower. Within the foregoing limits and subject to the terms and conditions set forth herein, the Borrower may borrow, prepay and reborrow Revolving Facility Loans,</w:t>
      </w:r>
    </w:p>
    <w:p>
      <w:pPr>
        <w:spacing w:after="0" w:line="184"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each Lender having an Incremental Commitment agrees, severally and not jointly, subject to the terms and conditions set forth in the applicable Incremental Assumption Agreement, to make Incremental Loans to the Borrower, in an aggregate principal amount not to exceed its Incremental Commitment, and</w:t>
      </w:r>
    </w:p>
    <w:p>
      <w:pPr>
        <w:spacing w:after="0" w:line="185" w:lineRule="exact"/>
        <w:rPr>
          <w:rFonts w:ascii="Arial" w:cs="Arial" w:eastAsia="Arial" w:hAnsi="Arial"/>
          <w:sz w:val="20"/>
          <w:szCs w:val="20"/>
          <w:color w:val="auto"/>
        </w:rPr>
      </w:pPr>
    </w:p>
    <w:p>
      <w:pPr>
        <w:ind w:right="20" w:firstLine="656"/>
        <w:spacing w:after="0" w:line="316" w:lineRule="auto"/>
        <w:tabs>
          <w:tab w:leader="none" w:pos="129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full amount of the Initial Term Loans must be drawn in a single drawing on the Closing Date and amounts of such Initial Term Loans borrowed under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that are repaid or prepaid may not be reborrowed.</w:t>
      </w:r>
    </w:p>
    <w:p>
      <w:pPr>
        <w:spacing w:after="0" w:line="13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2" w:lineRule="auto"/>
        <w:tabs>
          <w:tab w:leader="none" w:pos="129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Each Loan shall be made as part of a Borrowing consisting of Loans under the same Facility and of the same Type made by the Lenders ratably in accordance with their respective Commitments under the applicable Facility (or, in the case of Swingline Loans, in accordance with their respective Swingline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Revolving Facility Loans of any Class shall be made by the Revolving Facility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Commitments of the Lenders are several and no Lender shall be responsible for any other Lender’s failure to make Loans as required.</w:t>
      </w:r>
    </w:p>
    <w:p>
      <w:pPr>
        <w:spacing w:after="0" w:line="196"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each Borrowing (other than a Swingline Borrowing) shall be comprised entirely of ABR Loans or Term Benchmark Loans as the Borrower may request in accordance herewith. Each Borrowing of Initial Revolving Loans shall be comprised entirely of Standard Revolving Loans or Sustainability Loans as the Borrower may request in accordance herewith. Each Swingline Borrowing shall be comprised of the Types of Loans set forth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Each Lender at its option may make any Term Benchmark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that any exercise of such option shall not affect the obligation of the Borrower to repay such Loan in accordance with the terms of this Agreement.</w:t>
      </w:r>
    </w:p>
    <w:p>
      <w:pPr>
        <w:spacing w:after="0" w:line="184" w:lineRule="exact"/>
        <w:rPr>
          <w:rFonts w:ascii="Arial" w:cs="Arial" w:eastAsia="Arial" w:hAnsi="Arial"/>
          <w:sz w:val="19"/>
          <w:szCs w:val="19"/>
          <w:color w:val="auto"/>
        </w:rPr>
      </w:pPr>
    </w:p>
    <w:p>
      <w:pPr>
        <w:ind w:left="1300" w:hanging="644"/>
        <w:spacing w:after="0"/>
        <w:tabs>
          <w:tab w:leader="none" w:pos="13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6" w:name="page227"/>
    <w:bookmarkEnd w:id="226"/>
    <w:p>
      <w:pPr>
        <w:jc w:val="both"/>
        <w:ind w:firstLine="656"/>
        <w:spacing w:after="0" w:line="254" w:lineRule="auto"/>
        <w:tabs>
          <w:tab w:leader="none" w:pos="129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Term Benchmark Borrowing, such Borrowing shall be in an aggregate amount that is an integral multiple of the Borrowing Multiple and not less than the Borrowing Minimum;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Term Benchmark Borrowing under the Revolving Facility may be in an aggregate amount that is equal to the entire unused available balance of the Revolving Facility Commitments or that is required to finance the reimbursement of an L/C Disbursement as contemplated by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At the time that each ABR Revolving Facility Borrowing is made, such Borrowing shall be in an aggregate amount that is an integral multiple of the Borrowing Multiple and not less than the Borrowing Minimum;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Facility Borrowing may be in an aggregate amount that is equal to the entire unused available balance of the Revolving Facility Commitments or that is required to finance the reimbursement of an L/C Disbursement as contemplated by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Each Swingline Borrowing shall be in an amount that is an integral multiple of the Borrowing Multiple and not less than the Borrowing Minimum. Borrowings of more than one Type and Class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shall not be entitled to request any Borrowing that, if made, would result in more than (i) 10 Term Benchmark Borrowings outstanding under all Term Facilities at any time or (ii) 10 Term Benchmark Borrowings outstanding under all Revolving Facilities at any time. Borrowings having different Interest Periods, regardless of whether they commence on the same date, shall be considered separate Borrowings.</w:t>
      </w:r>
    </w:p>
    <w:p>
      <w:pPr>
        <w:spacing w:after="0" w:line="190" w:lineRule="exact"/>
        <w:rPr>
          <w:rFonts w:ascii="Arial" w:cs="Arial" w:eastAsia="Arial" w:hAnsi="Arial"/>
          <w:sz w:val="19"/>
          <w:szCs w:val="19"/>
          <w:color w:val="auto"/>
        </w:rPr>
      </w:pPr>
    </w:p>
    <w:p>
      <w:pPr>
        <w:jc w:val="both"/>
        <w:ind w:firstLine="656"/>
        <w:spacing w:after="0" w:line="269" w:lineRule="auto"/>
        <w:tabs>
          <w:tab w:leader="none" w:pos="129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of any Class if the Interest Period requested with respect thereto would end after the Revolving Facility Maturity Date or Term Facility Maturity Date for such Class, as applicable.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Revolving Facility Borrowing and/or Term Loan Borrowing, the Borrower shall notify the Administrative Agent of such request (a) in the case of a Term Benchmark Borrowing, not later than 12:00 p.m., Local Time, three (3) Business Days before the date of the proposed Borrowing or (b) in the case of an ABR Borrowing, not later than 12:00 p.m., Local Time, on the Business Day of the proposed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request a Term Benchmark Borrowing or ABR Borrowing on the Closing Date, the Borrower shall notify the Administrative Agent of such request no later than 5:00 p.m., Local Time, one (1) Business Day prior to such date (or such later time as the Administrative Agent may agree). Each such Borrowing Request shall be irrevocable (other than in the case of any notice given in respect of the Closing Date, which may be conditioned upon the consummation of the SPAC Merger). Each such Borrowing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0" w:lineRule="exact"/>
        <w:rPr>
          <w:sz w:val="20"/>
          <w:szCs w:val="20"/>
          <w:color w:val="auto"/>
        </w:rPr>
      </w:pPr>
    </w:p>
    <w:p>
      <w:pPr>
        <w:ind w:left="660" w:firstLine="644"/>
        <w:spacing w:after="0" w:line="260" w:lineRule="auto"/>
        <w:tabs>
          <w:tab w:leader="none" w:pos="195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whether such Borrowing is to be a Borrowing of Initial Term Loans, Other Term Loans or Revolving Facility Loans of a particular Class, as applicable;</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whether such Borrowing is to be an ABR Borrowing or a Term Benchmark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7" w:name="page228"/>
    <w:bookmarkEnd w:id="227"/>
    <w:p>
      <w:pPr>
        <w:ind w:left="660" w:firstLine="644"/>
        <w:spacing w:after="0" w:line="260" w:lineRule="auto"/>
        <w:tabs>
          <w:tab w:leader="none" w:pos="195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in the case of a Term Benchmark Borrowing, the initial Interest Period to be applicable thereto, which shall be a period contemplated by the definition of the term “Interest Period”;</w:t>
      </w:r>
    </w:p>
    <w:p>
      <w:pPr>
        <w:spacing w:after="0" w:line="176"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in the case of a Revolving Facility Borrowing, whether such Borrowing is to be for Standard Revolving Loans or Sustainability Loans; and</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location and number of the Borrower’s account to which funds are to be disbursed.</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If no election as to the Type of Borrowing is specified, then the requested Borrowing shall be an ABR Borrowing. If no Interest Period is specified with respect to any requested Term Benchmark Borrowing, then the Borrower shall be deemed to have selected an Interest Period of one (1) month’s duration. In the case of a Revolving Facility Borrowing, if no election is made pursuant to </w:t>
      </w:r>
      <w:r>
        <w:rPr>
          <w:rFonts w:ascii="Arial" w:cs="Arial" w:eastAsia="Arial" w:hAnsi="Arial"/>
          <w:sz w:val="20"/>
          <w:szCs w:val="20"/>
          <w:u w:val="single" w:color="auto"/>
          <w:color w:val="auto"/>
        </w:rPr>
        <w:t>clause (vi)</w:t>
      </w:r>
      <w:r>
        <w:rPr>
          <w:rFonts w:ascii="Arial" w:cs="Arial" w:eastAsia="Arial" w:hAnsi="Arial"/>
          <w:sz w:val="20"/>
          <w:szCs w:val="20"/>
          <w:color w:val="auto"/>
        </w:rPr>
        <w:t xml:space="preserve"> above then the Borrower shall be deemed to have selected Standard Revolving Loans. Promptly following receipt of a Borrowing Request in accordance with this </w:t>
      </w:r>
      <w:r>
        <w:rPr>
          <w:rFonts w:ascii="Arial" w:cs="Arial" w:eastAsia="Arial" w:hAnsi="Arial"/>
          <w:sz w:val="20"/>
          <w:szCs w:val="20"/>
          <w:u w:val="single" w:color="auto"/>
          <w:color w:val="auto"/>
        </w:rPr>
        <w:t>Section 2.03</w:t>
      </w:r>
      <w:r>
        <w:rPr>
          <w:rFonts w:ascii="Arial" w:cs="Arial" w:eastAsia="Arial" w:hAnsi="Arial"/>
          <w:sz w:val="20"/>
          <w:szCs w:val="20"/>
          <w:color w:val="auto"/>
        </w:rPr>
        <w:t>, the Administrative Agent shall advise each applicable Lender of the details thereof and of the amount of such Lender’s Loan to be made as part of the requested Borrowing.</w:t>
      </w:r>
    </w:p>
    <w:p>
      <w:pPr>
        <w:spacing w:after="0" w:line="1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1" w:lineRule="auto"/>
        <w:tabs>
          <w:tab w:leader="none" w:pos="129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the Swingline Lender agrees to make Swingline Loans in Dollars to the Borrower from time to time during the Availability Period, in an aggregate principal amount at any time outstanding that will not result in (i) the aggregate principal amount of outstanding Swingline Loans exceeding the Swingline Commitment, (ii) the aggregate amount of Swingline Loans, Letters of Credit and Revolving Facility Loans outstanding issued by the Swingline Lender exceeding the Swingline Lender’s Revolving Facility Commitment or (iii) the Revolving Facility Credit Exposure of the applicable Class exceeding the total Revolving Facility Commitments of such Class; </w:t>
      </w:r>
      <w:r>
        <w:rPr>
          <w:rFonts w:ascii="Arial" w:cs="Arial" w:eastAsia="Arial" w:hAnsi="Arial"/>
          <w:sz w:val="20"/>
          <w:szCs w:val="20"/>
          <w:u w:val="single" w:color="auto"/>
          <w:color w:val="auto"/>
        </w:rPr>
        <w:t>provided</w:t>
      </w:r>
      <w:r>
        <w:rPr>
          <w:rFonts w:ascii="Arial" w:cs="Arial" w:eastAsia="Arial" w:hAnsi="Arial"/>
          <w:sz w:val="20"/>
          <w:szCs w:val="20"/>
          <w:color w:val="auto"/>
        </w:rPr>
        <w:t>, that the Swingline Lender shall not be required to make a Swingline Loan to refinance an outstanding Swingline Borrowing. Within the foregoing limits and subject to the terms and conditions set forth herein, the Borrower may borrow, prepay and reborrow Swingline Loans. For the avoidance of doubt, Swingline Loans will not be Sustainability Loans.</w:t>
      </w:r>
    </w:p>
    <w:p>
      <w:pPr>
        <w:spacing w:after="0" w:line="201"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To request a Swingline Borrowing, the Borrower shall notify the Administrative Agent and the Swingline Lender of such request by telephone (confirmed by a Swingline Borrowing Request by electronic means if requested by the Administrative Agent or the Swingline Lender), not later than 2:00 p.m., Local Time, on the day of a proposed Swingline Borrowing. Each such notice and Swingline Borrowing Request shall be irrevocable and shall specify (i) the requested date of such Swingline Borrowing (which shall be a Business Day) and (ii) the amount of the requested Swingline Borrowing. The Swingline Lender shall consult with the Administrative Agent as to whether the making of the Swingline Loan is in accordance with the terms of this Agreement prior to the Swingline Lender funding such Swingline Loan. The Swingline Lender and the Borrower shall agree upon the interest rate applicable to such Swingline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agreement cannot be reached prior to 2:00 p.m., Local Time, on the day of such proposed Swingline Loan, then such Swingline Loan shall bear interest at the Daily Simple SOFR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for Term Benchmark Loans plus 0.50%. Any funding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8" w:name="page229"/>
    <w:bookmarkEnd w:id="228"/>
    <w:p>
      <w:pPr>
        <w:jc w:val="both"/>
        <w:spacing w:after="0" w:line="246" w:lineRule="auto"/>
        <w:rPr>
          <w:sz w:val="20"/>
          <w:szCs w:val="20"/>
          <w:color w:val="auto"/>
        </w:rPr>
      </w:pPr>
      <w:r>
        <w:rPr>
          <w:rFonts w:ascii="Arial" w:cs="Arial" w:eastAsia="Arial" w:hAnsi="Arial"/>
          <w:sz w:val="20"/>
          <w:szCs w:val="20"/>
          <w:color w:val="auto"/>
        </w:rPr>
        <w:t xml:space="preserve">Swingline Loan by the Swingline Lender shall be made on the proposed date thereof by wire transfer of immediately available funds by 3:00 p.m., Local Time, to the account of the Borrower identified by the Borrower to the Swingline Lender (or, in the case of a Swingline Borrowing made to finance the reimbursement of an L/C Disbursement as provided in </w:t>
      </w:r>
      <w:r>
        <w:rPr>
          <w:rFonts w:ascii="Arial" w:cs="Arial" w:eastAsia="Arial" w:hAnsi="Arial"/>
          <w:sz w:val="20"/>
          <w:szCs w:val="20"/>
          <w:u w:val="single" w:color="auto"/>
          <w:color w:val="auto"/>
        </w:rPr>
        <w:t>Section 2.05(e)</w:t>
      </w:r>
      <w:r>
        <w:rPr>
          <w:rFonts w:ascii="Arial" w:cs="Arial" w:eastAsia="Arial" w:hAnsi="Arial"/>
          <w:sz w:val="20"/>
          <w:szCs w:val="20"/>
          <w:color w:val="auto"/>
        </w:rPr>
        <w:t>, by remittance to the applicable Issuing Bank).</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Subject to the terms and conditions hereof, the Borrower may borrow, repay and reborrow Swingline Loans hereunder until the Revolving Facility Maturity Date or if earlier, the date of termination of the Swingline Commitment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Notwithstanding any provision herein to the contrary, the Swingline Lender and the Borrower may agree (at the sole discretion of the Borrower) that the Swingline Loans may be automatically drawn and repaid (subject to the limitations set forth herein) pursuant to cash management arrangements between the Borrower and the Swingline Lender (the “</w:t>
      </w:r>
      <w:r>
        <w:rPr>
          <w:rFonts w:ascii="Arial" w:cs="Arial" w:eastAsia="Arial" w:hAnsi="Arial"/>
          <w:sz w:val="18"/>
          <w:szCs w:val="18"/>
          <w:u w:val="single" w:color="auto"/>
          <w:color w:val="auto"/>
        </w:rPr>
        <w:t>Sweep Arrangement</w:t>
      </w:r>
      <w:r>
        <w:rPr>
          <w:rFonts w:ascii="Arial" w:cs="Arial" w:eastAsia="Arial" w:hAnsi="Arial"/>
          <w:sz w:val="18"/>
          <w:szCs w:val="18"/>
          <w:color w:val="auto"/>
        </w:rPr>
        <w:t>”). Principal and interest on Swingline Loans deemed requested pursuant to the Sweep Arrangement shall be paid pursuant to the terms and conditions agreed to between the Borrower and the Swingline Lender (without any deduction, set-off or counterclaim whatsoever). The borrowing and disbursement provisions set forth in Section 2.03 and any other provision hereof with respect to the timing or amount of payments on the Swingline Loans shall not be applicable to Swingline Loans made and prepaid pursuant to the Sweep Arrangement. Unless sooner paid pursuant to the provisions hereof or the provisions of the Sweep Arrangement, the principal amount of the Swingline Loans shall be paid in full, together with accrued interest thereon, on the Revolving Credit Maturity Date.</w:t>
      </w:r>
    </w:p>
    <w:p>
      <w:pPr>
        <w:spacing w:after="0" w:line="176" w:lineRule="exact"/>
        <w:rPr>
          <w:sz w:val="20"/>
          <w:szCs w:val="20"/>
          <w:color w:val="auto"/>
        </w:rPr>
      </w:pPr>
    </w:p>
    <w:p>
      <w:pPr>
        <w:jc w:val="both"/>
        <w:ind w:firstLine="656"/>
        <w:spacing w:after="0" w:line="268" w:lineRule="auto"/>
        <w:tabs>
          <w:tab w:leader="none" w:pos="129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Swingline Lender may, by written notice given to the Administrative Agent not later than 1:00 p.m., Local Time, on any Business Day, require the Revolving Facility Lenders of the applicable Class to acquire participations on such Business Day in all or a portion of the outstanding Swingline Loans made by it.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promptly upon receipt of notice as provided above (and in any event,</w:t>
      </w:r>
    </w:p>
    <w:p>
      <w:pPr>
        <w:spacing w:after="0" w:line="4" w:lineRule="exact"/>
        <w:rPr>
          <w:rFonts w:ascii="Arial" w:cs="Arial" w:eastAsia="Arial" w:hAnsi="Arial"/>
          <w:sz w:val="18"/>
          <w:szCs w:val="18"/>
          <w:color w:val="auto"/>
        </w:rPr>
      </w:pPr>
    </w:p>
    <w:p>
      <w:pPr>
        <w:jc w:val="both"/>
        <w:ind w:firstLine="8"/>
        <w:spacing w:after="0" w:line="268" w:lineRule="auto"/>
        <w:tabs>
          <w:tab w:leader="none" w:pos="2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if such notice is received by 1:00 p.m., Local Time, on a Business Day, then no later than 5:00 p.m. Local Time on such Business Day and (ii) if such notice is received at or after 1:00 p.m., Local Time, on a Business Day, then no later than 10:00 a.m. Local Time on the immediately succeeding Business Day),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is absolute and unconditional and shall not be affected by any circumstance whatsoever, including the occurrence and continuance of a Default or Event of Default or reduction or termination of any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with respect to Loans made by such Revolving Facility Lender (and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9" w:name="page230"/>
    <w:bookmarkEnd w:id="229"/>
    <w:p>
      <w:pPr>
        <w:jc w:val="both"/>
        <w:spacing w:after="0" w:line="255" w:lineRule="auto"/>
        <w:rPr>
          <w:sz w:val="20"/>
          <w:szCs w:val="20"/>
          <w:color w:val="auto"/>
        </w:rPr>
      </w:pPr>
      <w:r>
        <w:rPr>
          <w:rFonts w:ascii="Arial" w:cs="Arial" w:eastAsia="Arial" w:hAnsi="Arial"/>
          <w:sz w:val="19"/>
          <w:szCs w:val="19"/>
          <w:color w:val="auto"/>
        </w:rPr>
        <w:t xml:space="preserve">acquired pursuant to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the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90" w:lineRule="exact"/>
        <w:rPr>
          <w:sz w:val="20"/>
          <w:szCs w:val="20"/>
          <w:color w:val="auto"/>
        </w:rPr>
      </w:pPr>
    </w:p>
    <w:p>
      <w:pPr>
        <w:jc w:val="both"/>
        <w:ind w:firstLine="656"/>
        <w:spacing w:after="0" w:line="244" w:lineRule="auto"/>
        <w:tabs>
          <w:tab w:leader="none" w:pos="129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Notwithstanding anything herein to the contrary, if there at any time exists a Defaulting Lender, unless such Lender’s Fronting Exposure has been reallocated to other Lenders in accordance with </w:t>
      </w:r>
      <w:r>
        <w:rPr>
          <w:rFonts w:ascii="Arial" w:cs="Arial" w:eastAsia="Arial" w:hAnsi="Arial"/>
          <w:sz w:val="20"/>
          <w:szCs w:val="20"/>
          <w:u w:val="single" w:color="auto"/>
          <w:color w:val="auto"/>
        </w:rPr>
        <w:t>Section 2.24(a</w:t>
      </w:r>
      <w:r>
        <w:rPr>
          <w:rFonts w:ascii="Arial" w:cs="Arial" w:eastAsia="Arial" w:hAnsi="Arial"/>
          <w:sz w:val="20"/>
          <w:szCs w:val="20"/>
          <w:color w:val="auto"/>
        </w:rPr>
        <w:t>), before making any Swingline Loans, the Swingline Lender may condition the provision of such Swingline Loans on its entering into arrangements satisfactory to the Swingline Lender with the Borrower or such Defaulting Lender to eliminate the Swingline Lender’s Fronting Exposure.</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8" w:lineRule="auto"/>
        <w:tabs>
          <w:tab w:leader="none" w:pos="1296"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Borrower may request the issuance of one or more letters of credit denominated in Dollars in the form of (x) trade letters of credit in support of trade obligations of the Borrower and its Subsidiaries incurred in the ordinary course of business (such letters of credit issued for such purposes, “</w:t>
      </w:r>
      <w:r>
        <w:rPr>
          <w:rFonts w:ascii="Arial" w:cs="Arial" w:eastAsia="Arial" w:hAnsi="Arial"/>
          <w:sz w:val="18"/>
          <w:szCs w:val="18"/>
          <w:u w:val="single" w:color="auto"/>
          <w:color w:val="auto"/>
        </w:rPr>
        <w:t>Trade Letters of Credit</w:t>
      </w:r>
      <w:r>
        <w:rPr>
          <w:rFonts w:ascii="Arial" w:cs="Arial" w:eastAsia="Arial" w:hAnsi="Arial"/>
          <w:sz w:val="18"/>
          <w:szCs w:val="18"/>
          <w:color w:val="auto"/>
        </w:rPr>
        <w:t>”) and (y) standby letters of credit issued for any other lawful purposes of the Borrower and its Subsidiaries (such letters of credit issued for such purposes, “</w:t>
      </w:r>
      <w:r>
        <w:rPr>
          <w:rFonts w:ascii="Arial" w:cs="Arial" w:eastAsia="Arial" w:hAnsi="Arial"/>
          <w:sz w:val="18"/>
          <w:szCs w:val="18"/>
          <w:u w:val="single" w:color="auto"/>
          <w:color w:val="auto"/>
        </w:rPr>
        <w:t>Standby Letters of Credit</w:t>
      </w:r>
      <w:r>
        <w:rPr>
          <w:rFonts w:ascii="Arial" w:cs="Arial" w:eastAsia="Arial" w:hAnsi="Arial"/>
          <w:sz w:val="18"/>
          <w:szCs w:val="18"/>
          <w:color w:val="auto"/>
        </w:rPr>
        <w:t>”; each such letter of credit issued hereunder, a “</w:t>
      </w:r>
      <w:r>
        <w:rPr>
          <w:rFonts w:ascii="Arial" w:cs="Arial" w:eastAsia="Arial" w:hAnsi="Arial"/>
          <w:sz w:val="18"/>
          <w:szCs w:val="18"/>
          <w:u w:val="single" w:color="auto"/>
          <w:color w:val="auto"/>
        </w:rPr>
        <w:t>Letter of Credit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Letters of Credit</w:t>
      </w:r>
      <w:r>
        <w:rPr>
          <w:rFonts w:ascii="Arial" w:cs="Arial" w:eastAsia="Arial" w:hAnsi="Arial"/>
          <w:sz w:val="18"/>
          <w:szCs w:val="18"/>
          <w:color w:val="auto"/>
        </w:rPr>
        <w:t>”) for its own account or for the account of any Subsidiary (in which case such Letter of Credit shall be deemed issued for the joint and several account of the Borrower and such Subsidiary) in a form reasonably acceptable to the applicable Issuing Bank, at any time and from time to time during the applicable Availability Period and prior to the date that is five (5) Business Days prior to the applicable Revolving Facility Maturity Date.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 Notwithstanding anything herein to the contrary: (x) the Issuing Banks shall have no obligation hereunder to issue, and shall not issue,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and (y) no Issuing Bank shall at any time be obligated to issue any Letter of Credit hereunder if (i) such issuance would violate one or more of the policies and procedures of such Issuing Bank applicable to letters of credit generally or (ii) such Issuing Bank does not as of the issuance date of the requested Letter of Credit issue Letters of Credit in the requested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0" w:name="page231"/>
    <w:bookmarkEnd w:id="230"/>
    <w:p>
      <w:pPr>
        <w:jc w:val="both"/>
        <w:ind w:firstLine="656"/>
        <w:spacing w:after="0" w:line="268" w:lineRule="auto"/>
        <w:tabs>
          <w:tab w:leader="none" w:pos="129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Renewal, Extension; Certain Conditions</w:t>
      </w:r>
      <w:r>
        <w:rPr>
          <w:rFonts w:ascii="Arial" w:cs="Arial" w:eastAsia="Arial" w:hAnsi="Arial"/>
          <w:sz w:val="18"/>
          <w:szCs w:val="18"/>
          <w:color w:val="auto"/>
        </w:rPr>
        <w:t xml:space="preserve">. To request the issuance of a Letter of Credit (or the amendment, renewal (other than an automatic extension in accordance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or extension of an outstanding Letter of Credit), the Borrower shall hand deliver or telecopy (or transmit by electronic communication, if arrangements for doing so have been approved by the applicable Issuing Bank) to the applicable Issuing Bank and the Administrative Agent (at least three (3) Business Days in advance of the requested date of issuance, amendment or extension or such shorter period as the Administrative Agent and the Issuing Bank in their sole discretion may agree) a notice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requesting the issuance of a Letter of Credit, or identifying the Letter of Credit to be amended or extended, and specifying the date of issuance, amendment or extension (which shall be a Business Day), the date on which such Letter of Credit is to expire (which shall comply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the amount of such Letter of Credit, the name and address of the beneficiary thereof, whether such Letter of Credit constitutes a Standby Letter of Credit or a Trade Letter of Credit and such other information as shall be necessary to issue, amend or extend such Letter of Credit. If requested by the applicable Issuing Bank, the Borrower also shall submit a letter of credit application on such Issuing Bank’s standard form and related documents in connection with any request for a Letter of Credit and in connection with any request for a Letter of Credit to be amended, renewed, modified or extended. A Letter of Credit shall be issued, amended or extended only if (and upon issuance, amendment or extension of each Letter of Credit the Borrower shall be deemed to represent and warrant that), after giving effect to such issuance, amendment or extension, (i) the Revolving Facility Credit Exposure shall not exceed the Revolving Facility Commitments, (ii) unless the applicable Issuing Bank otherwise agrees, the stated amount of all outstanding Letters of Credit issued by such Issuing Bank shall not exceed the Letter of Credit Individual Sublimit of such Issuing Bank then in effect, (iii) unless the applicable Issuing Bank otherwise agrees, with respect to such Issuing Bank, the sum of the aggregate face amount of outstanding Letters of Credit issued by such Issuing Bank, when aggregated with the outstanding Revolving Facility Loans and Swingline Loans funded by such Issuing Bank, shall not exceed its Revolving Facility Commitment and (iv) the Revolving L/C Exposure shall not exceed the applicable Letter of Credit Sublimit.</w:t>
      </w:r>
    </w:p>
    <w:p>
      <w:pPr>
        <w:spacing w:after="0" w:line="178" w:lineRule="exact"/>
        <w:rPr>
          <w:rFonts w:ascii="Arial" w:cs="Arial" w:eastAsia="Arial" w:hAnsi="Arial"/>
          <w:sz w:val="18"/>
          <w:szCs w:val="18"/>
          <w:color w:val="auto"/>
        </w:rPr>
      </w:pPr>
    </w:p>
    <w:p>
      <w:pPr>
        <w:jc w:val="both"/>
        <w:ind w:firstLine="656"/>
        <w:spacing w:after="0" w:line="269" w:lineRule="auto"/>
        <w:tabs>
          <w:tab w:leader="none" w:pos="129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one year (unless otherwise mutually agreed upon by the Borrower and the applicable Issuing Bank) after the date of the issuance of such Letter of Credit (or, in the case of any extension thereof, one year (unless otherwise mutually agreed upon by the Borrower and the applicable Issuing Bank) after such renewal or extension) and (ii) the date that is five (5) Business Days prior to the applicable Revolving Facility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provide for automatic renewal or extension thereof for an additional period of up to twelve (12) months (which, in no event, shall extend beyond the date referred to in </w:t>
      </w:r>
      <w:r>
        <w:rPr>
          <w:rFonts w:ascii="Arial" w:cs="Arial" w:eastAsia="Arial" w:hAnsi="Arial"/>
          <w:sz w:val="18"/>
          <w:szCs w:val="18"/>
          <w:u w:val="single" w:color="auto"/>
          <w:color w:val="auto"/>
        </w:rPr>
        <w:t>subclause (ii)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(c)</w:t>
      </w:r>
      <w:r>
        <w:rPr>
          <w:rFonts w:ascii="Arial" w:cs="Arial" w:eastAsia="Arial" w:hAnsi="Arial"/>
          <w:sz w:val="18"/>
          <w:szCs w:val="18"/>
          <w:color w:val="auto"/>
        </w:rPr>
        <w:t>, except to the extent Cash Collateralized or backstopped pursuant to an arrangement reasonably acceptable to the relevant Issuing Bank) so long as such Letter of Credit (any such Letter of Credit, an “</w:t>
      </w:r>
      <w:r>
        <w:rPr>
          <w:rFonts w:ascii="Arial" w:cs="Arial" w:eastAsia="Arial" w:hAnsi="Arial"/>
          <w:sz w:val="18"/>
          <w:szCs w:val="18"/>
          <w:u w:val="single" w:color="auto"/>
          <w:color w:val="auto"/>
        </w:rPr>
        <w:t>Auto Renewal Letter of Credit</w:t>
      </w:r>
      <w:r>
        <w:rPr>
          <w:rFonts w:ascii="Arial" w:cs="Arial" w:eastAsia="Arial" w:hAnsi="Arial"/>
          <w:sz w:val="18"/>
          <w:szCs w:val="18"/>
          <w:color w:val="auto"/>
        </w:rPr>
        <w:t xml:space="preserve">”) permits the Issuing Bank to prevent any such extension at least once in each twelve (12)-month period (commencing with the date of issuance of such Auto Renewal Letter of Credit) by giving prior notice to the beneficiary thereof within a time period during such twelve (12)-month period to be agreed upon at the time such Auto Renewal Letter of Credit is issued;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Issuing Bank consents in its sole discretion, the expiration date on any Letter of Credit may extend beyond the date referred to in </w:t>
      </w:r>
      <w:r>
        <w:rPr>
          <w:rFonts w:ascii="Arial" w:cs="Arial" w:eastAsia="Arial" w:hAnsi="Arial"/>
          <w:sz w:val="18"/>
          <w:szCs w:val="18"/>
          <w:u w:val="single" w:color="auto"/>
          <w:color w:val="auto"/>
        </w:rPr>
        <w:t>subclause (ii)</w:t>
      </w:r>
      <w:r>
        <w:rPr>
          <w:rFonts w:ascii="Arial" w:cs="Arial" w:eastAsia="Arial" w:hAnsi="Arial"/>
          <w:sz w:val="18"/>
          <w:szCs w:val="18"/>
          <w:color w:val="auto"/>
        </w:rPr>
        <w:t xml:space="preserve"> above but the participations of the Lenders with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1" w:name="page232"/>
    <w:bookmarkEnd w:id="231"/>
    <w:p>
      <w:pPr>
        <w:jc w:val="both"/>
        <w:spacing w:after="0" w:line="271" w:lineRule="auto"/>
        <w:rPr>
          <w:sz w:val="20"/>
          <w:szCs w:val="20"/>
          <w:color w:val="auto"/>
        </w:rPr>
      </w:pPr>
      <w:r>
        <w:rPr>
          <w:rFonts w:ascii="Arial" w:cs="Arial" w:eastAsia="Arial" w:hAnsi="Arial"/>
          <w:sz w:val="18"/>
          <w:szCs w:val="18"/>
          <w:color w:val="auto"/>
        </w:rPr>
        <w:t xml:space="preserve">Commitments of the applicable Class shall terminate on the applicable Revolving Facility Maturity Date. If any such Letter of Credit is outstanding or is issued under the Revolving Facility Commitments of any Class after the date that is five (5) Business Days prior to the Revolving Facility Maturity Date for such Class the Borrower shall provide Cash Collateral pursuant to documentation reasonably satisfactory to the Collateral Agent and the relevant Issuing Bank in an amount equal to the face amount of each such Letter of Credit on or prior to the date that is five (5) Business Days prior to such Revolving Facility Maturity Date or, if later, such date of issuance. Unless otherwise directed by the applicable Issuing Bank, the Borrower shall not be required to make a specific request to such Issuing Bank for any such renewal. Once an Auto Renewal Letter of Credit has been issued, the Lenders shall be deemed to have authorized (but may not require) the applicable Issuing Bank to permit the renewal of such Letter of Credit at any time to an expiry date not later than such Revolving Facility Maturity Date (except as otherwise provided in the second proviso to this </w:t>
      </w:r>
      <w:r>
        <w:rPr>
          <w:rFonts w:ascii="Arial" w:cs="Arial" w:eastAsia="Arial" w:hAnsi="Arial"/>
          <w:sz w:val="18"/>
          <w:szCs w:val="18"/>
          <w:u w:val="single" w:color="auto"/>
          <w:color w:val="auto"/>
        </w:rPr>
        <w:t>clause (c)</w:t>
      </w:r>
      <w:r>
        <w:rPr>
          <w:rFonts w:ascii="Arial" w:cs="Arial" w:eastAsia="Arial" w:hAnsi="Arial"/>
          <w:sz w:val="18"/>
          <w:szCs w:val="18"/>
          <w:color w:val="auto"/>
        </w:rPr>
        <w:t>).</w:t>
      </w:r>
    </w:p>
    <w:p>
      <w:pPr>
        <w:spacing w:after="0" w:line="174" w:lineRule="exact"/>
        <w:rPr>
          <w:sz w:val="20"/>
          <w:szCs w:val="20"/>
          <w:color w:val="auto"/>
        </w:rPr>
      </w:pPr>
    </w:p>
    <w:p>
      <w:pPr>
        <w:jc w:val="both"/>
        <w:ind w:firstLine="656"/>
        <w:spacing w:after="0" w:line="269" w:lineRule="auto"/>
        <w:tabs>
          <w:tab w:leader="none" w:pos="129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By the issuance of a Letter of Credit (or an amendment to a Letter of Credit increasing the amount thereof) under the Revolving Facility Commitments of any Class and without any further action on the part of the applicable Issuing Bank or the Revolving Facility Lenders, such Issuing Bank hereby grants to each Revolving Facility Lender under such Class, and each such Revolving Facility Lender hereby acquires from such Issuing Bank, a participation in such Letter of Credit equal to such Revolving Facility Lender’s applicable Revolving Facility Percentage of the aggregate amount available to be drawn under such Letter of Credit. In consideration and in furtherance of the foregoing, each Revolving Facility Lender hereby absolutely and unconditionally agrees to pay to the Administrative Agent, for the account of the applicable Issuing Bank, such Revolving Facility Lender’s applicable Revolving Facility Percentage of each L/C Disbursement made by such Issuing Bank and not reimbursed by the Borrower on the date due as provided in paragraph (e)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or of any reimbursement payment required to be refunded to the Borrower for any reason. Each Revolving Facility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Commitments, and that each such payment shall be made without any offset, abatement, withholding or reduction whatsoever.</w:t>
      </w:r>
    </w:p>
    <w:p>
      <w:pPr>
        <w:spacing w:after="0" w:line="178"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the applicable Issuing Bank shall make any L/C Disbursement in respect of a Letter of Credit, the Borrower shall reimburse such L/C Disbursement by paying to the Administrative Agent an amount equal to such L/C Disbursement not later than 12:00 noon, Local Time, on the day that is one (1) Business Day after notice of such L/C Disbursement is received by the Borrower, together with accrued interest thereon from the date of such L/C Disbursement at the rate applicable to ABR Revolving Loans of the applicable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subject to the conditions to borrowing set forth herein, request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that such payment be financed with an ABR Revolving Facility Borrowing or a Swingline Borrowing of the applicable Class, as applicable, and, to the extent so financed, the Borrower’s obligation to make such payment shall be discharged and replaced by the resulting Borrowing (and with interest owing thereon from the date of the respective L/C Disbursement). If the Borrower fails to reimburse any L/C Disbursement when due, then the Administrative Agent shall promptly notify the applicable Issuing Bank and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2" w:name="page233"/>
    <w:bookmarkEnd w:id="232"/>
    <w:p>
      <w:pPr>
        <w:jc w:val="both"/>
        <w:spacing w:after="0" w:line="254" w:lineRule="auto"/>
        <w:rPr>
          <w:sz w:val="20"/>
          <w:szCs w:val="20"/>
          <w:color w:val="auto"/>
        </w:rPr>
      </w:pPr>
      <w:r>
        <w:rPr>
          <w:rFonts w:ascii="Arial" w:cs="Arial" w:eastAsia="Arial" w:hAnsi="Arial"/>
          <w:sz w:val="19"/>
          <w:szCs w:val="19"/>
          <w:color w:val="auto"/>
        </w:rPr>
        <w:t>applicable Revolving Facility Lender of the applicable L/C Disbursement, the payment then due from the Borrower in respect thereof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in the case of a Revolving Facility Lender, such Lender’s Revolving Facility Percentage thereof. Promptly following receipt of such notice, each Revolving Facility Lender with a Revolving Facility Commitment of the applicable Class shall pay to the Administrative Agent its Revolving Facility Percentage of the Unreimbursed Amount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to the payment obligations of the Revolving Facility Lenders), and the Administrative Agent shall promptly pay to the applicable Issuing Bank the amounts so received by it from the Revolving Facility Lenders. Promptly following receipt by the Administrative Agent of any payment from the Borrower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the Administrative Agent shall distribute such payment to the applicable Issuing Bank or, to the extent that Revolving Facility Lenders have made payments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to reimburse such Issuing Bank, then to such Lenders and such Issuing Bank as their interests may appear. Any payment made by a Revolving Facility Lender pursuant to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to reimburse an Issuing Bank for any L/C Disbursement (other than the funding of an ABR Revolving Loan or a Swingline Borrowing as contemplated above) shall not constitute a Loan and shall not relieve the Borrower of its obligations to reimburse such L/C Disbursement.</w:t>
      </w:r>
    </w:p>
    <w:p>
      <w:pPr>
        <w:spacing w:after="0" w:line="192" w:lineRule="exact"/>
        <w:rPr>
          <w:sz w:val="20"/>
          <w:szCs w:val="20"/>
          <w:color w:val="auto"/>
        </w:rPr>
      </w:pPr>
    </w:p>
    <w:p>
      <w:pPr>
        <w:jc w:val="both"/>
        <w:ind w:firstLine="656"/>
        <w:spacing w:after="0" w:line="241" w:lineRule="auto"/>
        <w:tabs>
          <w:tab w:leader="none" w:pos="1296"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xml:space="preserve">. The Borrower’s obligation to reimburse L/C Disbursements as provided in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Arial" w:cs="Arial" w:eastAsia="Arial" w:hAnsi="Arial"/>
          <w:sz w:val="20"/>
          <w:szCs w:val="20"/>
          <w:u w:val="single" w:color="auto"/>
          <w:color w:val="auto"/>
        </w:rPr>
        <w:t>Section 2.05</w:t>
      </w:r>
      <w:r>
        <w:rPr>
          <w:rFonts w:ascii="Arial" w:cs="Arial" w:eastAsia="Arial" w:hAnsi="Arial"/>
          <w:sz w:val="20"/>
          <w:szCs w:val="20"/>
          <w:color w:val="auto"/>
        </w:rPr>
        <w:t>, constitute a legal or equitable discharge of, or provide a right of set-off against, the Borrower’s obligations hereunder.</w:t>
      </w:r>
    </w:p>
    <w:p>
      <w:pPr>
        <w:spacing w:after="0" w:line="201" w:lineRule="exact"/>
        <w:rPr>
          <w:rFonts w:ascii="Arial" w:cs="Arial" w:eastAsia="Arial" w:hAnsi="Arial"/>
          <w:sz w:val="20"/>
          <w:szCs w:val="20"/>
          <w:color w:val="auto"/>
        </w:rPr>
      </w:pPr>
    </w:p>
    <w:p>
      <w:pPr>
        <w:jc w:val="both"/>
        <w:ind w:firstLine="656"/>
        <w:spacing w:after="0" w:line="276" w:lineRule="auto"/>
        <w:tabs>
          <w:tab w:leader="none" w:pos="129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by telephone (confirmed by electronic means) of any such demand for payment under a Letter of Credit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failure to give or delay in giving such notice shall not relieve the Borrower of its obligations to reimburse such Issuing Bank and the Revolving Facility Lenders with respect to any such L/C Disbursement.</w:t>
      </w:r>
    </w:p>
    <w:p>
      <w:pPr>
        <w:spacing w:after="0" w:line="164"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Issuing Bank shall make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of the applicable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not reimbursed by the Borrower when due pursuant to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2.13(d)</w:t>
      </w:r>
      <w:r>
        <w:rPr>
          <w:rFonts w:ascii="Arial" w:cs="Arial" w:eastAsia="Arial" w:hAnsi="Arial"/>
          <w:sz w:val="19"/>
          <w:szCs w:val="19"/>
          <w:color w:val="auto"/>
        </w:rPr>
        <w:t xml:space="preserve"> shall apply. Interest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3" w:name="page234"/>
    <w:bookmarkEnd w:id="233"/>
    <w:p>
      <w:pPr>
        <w:jc w:val="both"/>
        <w:spacing w:after="0" w:line="269" w:lineRule="auto"/>
        <w:rPr>
          <w:sz w:val="20"/>
          <w:szCs w:val="20"/>
          <w:color w:val="auto"/>
        </w:rPr>
      </w:pPr>
      <w:r>
        <w:rPr>
          <w:rFonts w:ascii="Arial" w:cs="Arial" w:eastAsia="Arial" w:hAnsi="Arial"/>
          <w:sz w:val="19"/>
          <w:szCs w:val="19"/>
          <w:color w:val="auto"/>
        </w:rPr>
        <w:t xml:space="preserve">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shall be for the account of the applicable Issuing Bank, except that interest accrued on and after the date of payment by any Revolving Facility Lender pursuant to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reimburse such Issuing Bank shall be for the account of such Revolving Facility Lender to the extent of such payment.</w:t>
      </w:r>
    </w:p>
    <w:p>
      <w:pPr>
        <w:spacing w:after="0" w:line="170" w:lineRule="exact"/>
        <w:rPr>
          <w:sz w:val="20"/>
          <w:szCs w:val="20"/>
          <w:color w:val="auto"/>
        </w:rPr>
      </w:pPr>
    </w:p>
    <w:p>
      <w:pPr>
        <w:jc w:val="both"/>
        <w:ind w:firstLine="656"/>
        <w:spacing w:after="0" w:line="271" w:lineRule="auto"/>
        <w:tabs>
          <w:tab w:leader="none" w:pos="1296"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Replacement of an Issuing Bank</w:t>
      </w:r>
      <w:r>
        <w:rPr>
          <w:rFonts w:ascii="Arial" w:cs="Arial" w:eastAsia="Arial" w:hAnsi="Arial"/>
          <w:sz w:val="18"/>
          <w:szCs w:val="18"/>
          <w:color w:val="auto"/>
        </w:rPr>
        <w:t xml:space="preserve">. An Issuing Bank may be replaced at any time by written agreement among the Borrower, the Administrative Agent, the replaced Issuing Bank and the successor Issuing Bank. The Administrative Agent shall notify the Revolving Facility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such Issuing Bank under this Agreement with respect to Letters of Credit issued by it prior to such replacement but shall not be required to issue additional Letters of Credit.</w:t>
      </w:r>
    </w:p>
    <w:p>
      <w:pPr>
        <w:spacing w:after="0" w:line="169" w:lineRule="exact"/>
        <w:rPr>
          <w:rFonts w:ascii="Arial" w:cs="Arial" w:eastAsia="Arial" w:hAnsi="Arial"/>
          <w:sz w:val="18"/>
          <w:szCs w:val="18"/>
          <w:color w:val="auto"/>
        </w:rPr>
      </w:pPr>
    </w:p>
    <w:p>
      <w:pPr>
        <w:jc w:val="both"/>
        <w:ind w:firstLine="656"/>
        <w:spacing w:after="0" w:line="275" w:lineRule="auto"/>
        <w:tabs>
          <w:tab w:leader="none" w:pos="1296"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Cash Collateralization Following Certain Events</w:t>
      </w:r>
      <w:r>
        <w:rPr>
          <w:rFonts w:ascii="Arial" w:cs="Arial" w:eastAsia="Arial" w:hAnsi="Arial"/>
          <w:sz w:val="18"/>
          <w:szCs w:val="18"/>
          <w:color w:val="auto"/>
        </w:rPr>
        <w:t xml:space="preserve">. If and when the Borrower is required to Cash Collateralize any Revolving L/C Exposure relating to any outstanding Letters of Credit pursuant to any of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2.11(e)</w:t>
      </w:r>
      <w:r>
        <w:rPr>
          <w:rFonts w:ascii="Arial" w:cs="Arial" w:eastAsia="Arial" w:hAnsi="Arial"/>
          <w:sz w:val="18"/>
          <w:szCs w:val="18"/>
          <w:color w:val="auto"/>
        </w:rPr>
        <w:t xml:space="preserve">, </w:t>
      </w:r>
      <w:r>
        <w:rPr>
          <w:rFonts w:ascii="Arial" w:cs="Arial" w:eastAsia="Arial" w:hAnsi="Arial"/>
          <w:sz w:val="18"/>
          <w:szCs w:val="18"/>
          <w:u w:val="single" w:color="auto"/>
          <w:color w:val="auto"/>
        </w:rPr>
        <w:t>2.24(a)</w:t>
      </w:r>
    </w:p>
    <w:p>
      <w:pPr>
        <w:jc w:val="both"/>
        <w:ind w:firstLine="8"/>
        <w:spacing w:after="0" w:line="267" w:lineRule="auto"/>
        <w:tabs>
          <w:tab w:leader="none" w:pos="300" w:val="left"/>
        </w:tabs>
        <w:numPr>
          <w:ilvl w:val="0"/>
          <w:numId w:val="170"/>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7.01</w:t>
      </w:r>
      <w:r>
        <w:rPr>
          <w:rFonts w:ascii="Arial" w:cs="Arial" w:eastAsia="Arial" w:hAnsi="Arial"/>
          <w:sz w:val="18"/>
          <w:szCs w:val="18"/>
          <w:color w:val="auto"/>
        </w:rPr>
        <w:t xml:space="preserve">, the Borrower shall deposit in an account with or at the direction of the Collateral Agent, in the name of the Collateral Agent and for the benefit of the Revolving Facility Lenders, an amount in cash equal to 102% of the Revolving L/C Exposure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accrued but unpaid interest thereon (or, in the case of </w:t>
      </w:r>
      <w:r>
        <w:rPr>
          <w:rFonts w:ascii="Arial" w:cs="Arial" w:eastAsia="Arial" w:hAnsi="Arial"/>
          <w:sz w:val="18"/>
          <w:szCs w:val="18"/>
          <w:u w:val="single" w:color="auto"/>
          <w:color w:val="auto"/>
        </w:rPr>
        <w:t>Sections 2.11(d)</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2.24(a)(v)</w:t>
      </w:r>
      <w:r>
        <w:rPr>
          <w:rFonts w:ascii="Arial" w:cs="Arial" w:eastAsia="Arial" w:hAnsi="Arial"/>
          <w:sz w:val="18"/>
          <w:szCs w:val="18"/>
          <w:color w:val="auto"/>
        </w:rPr>
        <w:t xml:space="preserve">, the portion thereof required by such Sections). Each deposit of Cash Collateral (x) made pursuant to this paragraph or (y) made by the Administrative Agent pursuant to </w:t>
      </w:r>
      <w:r>
        <w:rPr>
          <w:rFonts w:ascii="Arial" w:cs="Arial" w:eastAsia="Arial" w:hAnsi="Arial"/>
          <w:sz w:val="18"/>
          <w:szCs w:val="18"/>
          <w:u w:val="single" w:color="auto"/>
          <w:color w:val="auto"/>
        </w:rPr>
        <w:t>Section 2.24(a)(ii)</w:t>
      </w:r>
      <w:r>
        <w:rPr>
          <w:rFonts w:ascii="Arial" w:cs="Arial" w:eastAsia="Arial" w:hAnsi="Arial"/>
          <w:sz w:val="18"/>
          <w:szCs w:val="18"/>
          <w:color w:val="auto"/>
        </w:rPr>
        <w:t xml:space="preserve">, in each case, shall be held by the Collateral Agent as collateral for the payment and performance of the obligations of the Borrower under this Agreement. The Collateral Agent shall have exclusive dominion and control, including the exclusive right of withdrawal, over such account and the Borrower hereby grants the Collateral Agent, for the ratable benefit of the Secured Parties, a security interest in such account. Other than any interest earned on the investment of such deposits, which investments shall be made (unless an Event of Default shall be continuing) at the Borrower’s request in Permitted Investments and at the risk and expense of the Borrower, such deposits shall not bear interest. Interest or profits, if any, on such investments shall accumulate in such account. Moneys in such account shall be applied by the Collateral Agent to reimburse each Issuing Bank for L/C Disbursements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Loan Obligations. If the Borrower is required to provide an amount of Cash Collateral hereunder as a result of the occurrence of an Event of Default or the existence of a Defaulting Lender or the occurrence of a limit under </w:t>
      </w:r>
      <w:r>
        <w:rPr>
          <w:rFonts w:ascii="Arial" w:cs="Arial" w:eastAsia="Arial" w:hAnsi="Arial"/>
          <w:sz w:val="18"/>
          <w:szCs w:val="18"/>
          <w:u w:val="single" w:color="auto"/>
          <w:color w:val="auto"/>
        </w:rPr>
        <w:t>Sections 2.11(d)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being exceeded, such amount (to the extent not applied as aforesaid) shall be returned to the Borrower within three (3) Business Days after all Events of Default have been cured or waived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4" w:name="page235"/>
    <w:bookmarkEnd w:id="234"/>
    <w:p>
      <w:pPr>
        <w:ind w:right="20"/>
        <w:spacing w:after="0" w:line="260" w:lineRule="auto"/>
        <w:rPr>
          <w:sz w:val="20"/>
          <w:szCs w:val="20"/>
          <w:color w:val="auto"/>
        </w:rPr>
      </w:pPr>
      <w:r>
        <w:rPr>
          <w:rFonts w:ascii="Arial" w:cs="Arial" w:eastAsia="Arial" w:hAnsi="Arial"/>
          <w:sz w:val="20"/>
          <w:szCs w:val="20"/>
          <w:color w:val="auto"/>
        </w:rPr>
        <w:t xml:space="preserve">termination of the Defaulting Lender status or the limits under </w:t>
      </w:r>
      <w:r>
        <w:rPr>
          <w:rFonts w:ascii="Arial" w:cs="Arial" w:eastAsia="Arial" w:hAnsi="Arial"/>
          <w:sz w:val="20"/>
          <w:szCs w:val="20"/>
          <w:u w:val="single" w:color="auto"/>
          <w:color w:val="auto"/>
        </w:rPr>
        <w:t>Sections 2.11(d)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w:t>
      </w:r>
      <w:r>
        <w:rPr>
          <w:rFonts w:ascii="Arial" w:cs="Arial" w:eastAsia="Arial" w:hAnsi="Arial"/>
          <w:sz w:val="20"/>
          <w:szCs w:val="20"/>
          <w:color w:val="auto"/>
        </w:rPr>
        <w:t xml:space="preserve"> no longer being exceeded, as applicable.</w:t>
      </w:r>
    </w:p>
    <w:p>
      <w:pPr>
        <w:spacing w:after="0" w:line="177" w:lineRule="exact"/>
        <w:rPr>
          <w:sz w:val="20"/>
          <w:szCs w:val="20"/>
          <w:color w:val="auto"/>
        </w:rPr>
      </w:pPr>
    </w:p>
    <w:p>
      <w:pPr>
        <w:jc w:val="both"/>
        <w:ind w:firstLine="656"/>
        <w:spacing w:after="0" w:line="256" w:lineRule="auto"/>
        <w:tabs>
          <w:tab w:leader="none" w:pos="1296"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Cash Collateralization Following Termination of the Revolving Facility</w:t>
      </w:r>
      <w:r>
        <w:rPr>
          <w:rFonts w:ascii="Arial" w:cs="Arial" w:eastAsia="Arial" w:hAnsi="Arial"/>
          <w:sz w:val="19"/>
          <w:szCs w:val="19"/>
          <w:color w:val="auto"/>
        </w:rPr>
        <w:t>. Notwithstanding anything to the contrary herein, in the event of the prepayment in full of all outstanding Revolving Facility Loans and the termination of all Revolving Facility Commitments (a “</w:t>
      </w:r>
      <w:r>
        <w:rPr>
          <w:rFonts w:ascii="Arial" w:cs="Arial" w:eastAsia="Arial" w:hAnsi="Arial"/>
          <w:sz w:val="19"/>
          <w:szCs w:val="19"/>
          <w:u w:val="single" w:color="auto"/>
          <w:color w:val="auto"/>
        </w:rPr>
        <w:t>Revolving Facility Termination Event</w:t>
      </w:r>
      <w:r>
        <w:rPr>
          <w:rFonts w:ascii="Arial" w:cs="Arial" w:eastAsia="Arial" w:hAnsi="Arial"/>
          <w:sz w:val="19"/>
          <w:szCs w:val="19"/>
          <w:color w:val="auto"/>
        </w:rPr>
        <w:t>”) in connection with which the Borrower notifies any one or more Issuing Banks that it intends to maintain one or more Letters of Credit initially issued under this Agreement in effect after the date of such Revolving Facility Termination Event (each, a “</w:t>
      </w:r>
      <w:r>
        <w:rPr>
          <w:rFonts w:ascii="Arial" w:cs="Arial" w:eastAsia="Arial" w:hAnsi="Arial"/>
          <w:sz w:val="19"/>
          <w:szCs w:val="19"/>
          <w:u w:val="single" w:color="auto"/>
          <w:color w:val="auto"/>
        </w:rPr>
        <w:t>Continuing Letter of Credit</w:t>
      </w:r>
      <w:r>
        <w:rPr>
          <w:rFonts w:ascii="Arial" w:cs="Arial" w:eastAsia="Arial" w:hAnsi="Arial"/>
          <w:sz w:val="19"/>
          <w:szCs w:val="19"/>
          <w:color w:val="auto"/>
        </w:rPr>
        <w:t xml:space="preserve">”), then the security interest of the Collateral Agent in the Collateral under the Security Documents may be terminated in accordance with </w:t>
      </w:r>
      <w:r>
        <w:rPr>
          <w:rFonts w:ascii="Arial" w:cs="Arial" w:eastAsia="Arial" w:hAnsi="Arial"/>
          <w:sz w:val="19"/>
          <w:szCs w:val="19"/>
          <w:u w:val="single" w:color="auto"/>
          <w:color w:val="auto"/>
        </w:rPr>
        <w:t>Section 9.18</w:t>
      </w:r>
      <w:r>
        <w:rPr>
          <w:rFonts w:ascii="Arial" w:cs="Arial" w:eastAsia="Arial" w:hAnsi="Arial"/>
          <w:sz w:val="19"/>
          <w:szCs w:val="19"/>
          <w:color w:val="auto"/>
        </w:rPr>
        <w:t xml:space="preserve"> if each such Continuing Letter of Credit is Cash Collateralized (in the same currency in which such Continuing Letter of Credit is denominated) in an amount equal to the Minimum L/C Collateral Amount, which shall be deposited with or at the direction of each such Issuing Bank.</w:t>
      </w:r>
    </w:p>
    <w:p>
      <w:pPr>
        <w:spacing w:after="0" w:line="184" w:lineRule="exact"/>
        <w:rPr>
          <w:rFonts w:ascii="Arial" w:cs="Arial" w:eastAsia="Arial" w:hAnsi="Arial"/>
          <w:sz w:val="19"/>
          <w:szCs w:val="19"/>
          <w:color w:val="auto"/>
        </w:rPr>
      </w:pPr>
    </w:p>
    <w:p>
      <w:pPr>
        <w:jc w:val="both"/>
        <w:ind w:firstLine="656"/>
        <w:spacing w:after="0" w:line="278"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Additional Issuing Banks</w:t>
      </w:r>
      <w:r>
        <w:rPr>
          <w:rFonts w:ascii="Arial" w:cs="Arial" w:eastAsia="Arial" w:hAnsi="Arial"/>
          <w:sz w:val="18"/>
          <w:szCs w:val="18"/>
          <w:color w:val="auto"/>
        </w:rPr>
        <w:t>. From time to time, the Borrower may by notice to the Administrative Agent designate any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the Issuing Banks and the Swingline Lender (which approval shall not be unreasonably withheld) and shall thereafter be an Issuing Bank hereunder for all purposes.</w:t>
      </w:r>
    </w:p>
    <w:p>
      <w:pPr>
        <w:spacing w:after="0" w:line="164" w:lineRule="exact"/>
        <w:rPr>
          <w:rFonts w:ascii="Arial" w:cs="Arial" w:eastAsia="Arial" w:hAnsi="Arial"/>
          <w:sz w:val="18"/>
          <w:szCs w:val="18"/>
          <w:color w:val="auto"/>
        </w:rPr>
      </w:pPr>
    </w:p>
    <w:p>
      <w:pPr>
        <w:jc w:val="both"/>
        <w:ind w:firstLine="656"/>
        <w:spacing w:after="0" w:line="270" w:lineRule="auto"/>
        <w:tabs>
          <w:tab w:leader="none" w:pos="129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Unless otherwise requested by the Administrative Agent, each Issuing Bank (other than the Administrative Agent or its Affiliates) shall (i) provide to the Administrative Agent copies of any notice received from the Borrower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no later than the next Business Day after receipt thereof and (ii) report in writing to the Administrative Agent (A)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L/C Disbursement, the date of such L/C Disbursement and the amount of such L/C Disbursement and (C) on any other Business Day, such other information with respect to the outstanding Letters of Credit issued by such Issuing Bank as the Administrative Agent shall reasonably request.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0" w:lineRule="auto"/>
        <w:tabs>
          <w:tab w:leader="none" w:pos="129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1:00 p.m., Local Time,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The Administrative Agent will make such Loans available to the Borrower by promptly crediting the amounts so received, in like funds, to an account of the Borrower as specified in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5" w:name="page236"/>
    <w:bookmarkEnd w:id="235"/>
    <w:p>
      <w:pPr>
        <w:jc w:val="both"/>
        <w:spacing w:after="0" w:line="316" w:lineRule="auto"/>
        <w:rPr>
          <w:sz w:val="20"/>
          <w:szCs w:val="20"/>
          <w:color w:val="auto"/>
        </w:rPr>
      </w:pPr>
      <w:r>
        <w:rPr>
          <w:rFonts w:ascii="Arial" w:cs="Arial" w:eastAsia="Arial" w:hAnsi="Arial"/>
          <w:sz w:val="18"/>
          <w:szCs w:val="18"/>
          <w:color w:val="auto"/>
        </w:rPr>
        <w:t xml:space="preserve">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Borrowings made to finance the reimbursement of an L/C Disbursement and reimbursements as provided in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shall be remitted by the Administrative Agent to the applicable Issuing Bank.</w:t>
      </w:r>
    </w:p>
    <w:p>
      <w:pPr>
        <w:spacing w:after="0" w:line="130" w:lineRule="exact"/>
        <w:rPr>
          <w:sz w:val="20"/>
          <w:szCs w:val="20"/>
          <w:color w:val="auto"/>
        </w:rPr>
      </w:pPr>
    </w:p>
    <w:p>
      <w:pPr>
        <w:jc w:val="both"/>
        <w:ind w:firstLine="656"/>
        <w:spacing w:after="0" w:line="270" w:lineRule="auto"/>
        <w:tabs>
          <w:tab w:leader="none" w:pos="12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amount with interest thereon, for each day from and including the date such amount is made available to the Borrower to but excluding the date of payment to the Administrative Agent, at (i) in the case of a payment to be made by such Lender, the greater of (A) the NYFRB Rate and (B) a rate determined by the Administrative Agent in accordance with banking industry rules on interbank compensation or (ii) in the case of a payment to be made by the Borrower, the interest rate then applicable to ABR Loans. If such Lender pays such amount to the Administrative Agent, then such amount shall constitute such Lender’s Loan included in such Borrowing. The foregoing shall be without prejudice to any claim the Borrower may have against a Lender that shall have failed to make such payment to the Administrative Agent.</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5" w:lineRule="auto"/>
        <w:tabs>
          <w:tab w:leader="none" w:pos="129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Each Borrowing initially shall be of the Type, and under the applicable Class,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Standard Revolving Loans may not be converted to Sustainability Loans or vice versa.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shall not apply to Swingline Loans, which may not be converted or continued. Notwithstanding any other provision of this </w:t>
      </w:r>
      <w:r>
        <w:rPr>
          <w:rFonts w:ascii="Arial" w:cs="Arial" w:eastAsia="Arial" w:hAnsi="Arial"/>
          <w:sz w:val="19"/>
          <w:szCs w:val="19"/>
          <w:u w:val="single" w:color="auto"/>
          <w:color w:val="auto"/>
        </w:rPr>
        <w:t>Section 2.07</w:t>
      </w:r>
      <w:r>
        <w:rPr>
          <w:rFonts w:ascii="Arial" w:cs="Arial" w:eastAsia="Arial" w:hAnsi="Arial"/>
          <w:sz w:val="19"/>
          <w:szCs w:val="19"/>
          <w:color w:val="auto"/>
        </w:rPr>
        <w:t>, the Borrower shall not be permitted to change the Class of any Borrowing.</w:t>
      </w:r>
    </w:p>
    <w:p>
      <w:pPr>
        <w:spacing w:after="0" w:line="189" w:lineRule="exact"/>
        <w:rPr>
          <w:rFonts w:ascii="Arial" w:cs="Arial" w:eastAsia="Arial" w:hAnsi="Arial"/>
          <w:sz w:val="19"/>
          <w:szCs w:val="19"/>
          <w:color w:val="auto"/>
        </w:rPr>
      </w:pPr>
    </w:p>
    <w:p>
      <w:pPr>
        <w:jc w:val="both"/>
        <w:ind w:firstLine="656"/>
        <w:spacing w:after="0" w:line="242" w:lineRule="auto"/>
        <w:tabs>
          <w:tab w:leader="none" w:pos="129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To make an election pursuant to this </w:t>
      </w:r>
      <w:r>
        <w:rPr>
          <w:rFonts w:ascii="Arial" w:cs="Arial" w:eastAsia="Arial" w:hAnsi="Arial"/>
          <w:sz w:val="20"/>
          <w:szCs w:val="20"/>
          <w:u w:val="single" w:color="auto"/>
          <w:color w:val="auto"/>
        </w:rPr>
        <w:t>Section 2.07</w:t>
      </w:r>
      <w:r>
        <w:rPr>
          <w:rFonts w:ascii="Arial" w:cs="Arial" w:eastAsia="Arial" w:hAnsi="Arial"/>
          <w:sz w:val="20"/>
          <w:szCs w:val="20"/>
          <w:color w:val="auto"/>
        </w:rPr>
        <w:t xml:space="preserve">, the Borrower shall notify the Administrative Agent of such election by delivery of a written Interest Election Request signed by the Borrower by the time that a Borrowing Request would be required under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if the Borrower were requesting a Borrowing of the Type and Class resulting from such election to be made on the effective date of such election. Each such Interest Election Request shall be irrevocable. Notwithstanding any contrary provision herein, this </w:t>
      </w:r>
      <w:r>
        <w:rPr>
          <w:rFonts w:ascii="Arial" w:cs="Arial" w:eastAsia="Arial" w:hAnsi="Arial"/>
          <w:sz w:val="20"/>
          <w:szCs w:val="20"/>
          <w:u w:val="single" w:color="auto"/>
          <w:color w:val="auto"/>
        </w:rPr>
        <w:t>Section 2.07</w:t>
      </w:r>
      <w:r>
        <w:rPr>
          <w:rFonts w:ascii="Arial" w:cs="Arial" w:eastAsia="Arial" w:hAnsi="Arial"/>
          <w:sz w:val="20"/>
          <w:szCs w:val="20"/>
          <w:color w:val="auto"/>
        </w:rPr>
        <w:t xml:space="preserve"> shall not be construed to permit the Borrower to (i) elect an Interest Period for Term Benchmark Loans that, in either case, does not comply with </w:t>
      </w:r>
      <w:r>
        <w:rPr>
          <w:rFonts w:ascii="Arial" w:cs="Arial" w:eastAsia="Arial" w:hAnsi="Arial"/>
          <w:sz w:val="20"/>
          <w:szCs w:val="20"/>
          <w:u w:val="single" w:color="auto"/>
          <w:color w:val="auto"/>
        </w:rPr>
        <w:t>Section 2.02(d)</w:t>
      </w:r>
      <w:r>
        <w:rPr>
          <w:rFonts w:ascii="Arial" w:cs="Arial" w:eastAsia="Arial" w:hAnsi="Arial"/>
          <w:sz w:val="20"/>
          <w:szCs w:val="20"/>
          <w:color w:val="auto"/>
        </w:rPr>
        <w:t xml:space="preserve"> or (ii) convert any Borrowing to a Borrowing of a Type not available under the Class of Commitments or Loans pursuant to which such Borrowing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6" w:name="page237"/>
    <w:bookmarkEnd w:id="236"/>
    <w:p>
      <w:pPr>
        <w:ind w:left="1300" w:hanging="644"/>
        <w:spacing w:after="0"/>
        <w:tabs>
          <w:tab w:leader="none" w:pos="13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Each Interest Election Request shall specify the following information in compliance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left="660" w:firstLine="644"/>
        <w:spacing w:after="0" w:line="246" w:lineRule="auto"/>
        <w:tabs>
          <w:tab w:leader="none" w:pos="1956" w:val="left"/>
        </w:tabs>
        <w:numPr>
          <w:ilvl w:val="1"/>
          <w:numId w:val="175"/>
        </w:numPr>
        <w:rPr>
          <w:rFonts w:ascii="Arial" w:cs="Arial" w:eastAsia="Arial" w:hAnsi="Arial"/>
          <w:sz w:val="20"/>
          <w:szCs w:val="20"/>
          <w:color w:val="auto"/>
        </w:rPr>
      </w:pPr>
      <w:r>
        <w:rPr>
          <w:rFonts w:ascii="Arial" w:cs="Arial" w:eastAsia="Arial" w:hAnsi="Arial"/>
          <w:sz w:val="20"/>
          <w:szCs w:val="20"/>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20"/>
          <w:szCs w:val="20"/>
          <w:u w:val="single" w:color="auto"/>
          <w:color w:val="auto"/>
        </w:rPr>
        <w:t>subclauses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below shall be specified for each resulting Borrowing);</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Business Day;</w:t>
      </w:r>
    </w:p>
    <w:p>
      <w:pPr>
        <w:spacing w:after="0" w:line="199" w:lineRule="exact"/>
        <w:rPr>
          <w:rFonts w:ascii="Arial" w:cs="Arial" w:eastAsia="Arial" w:hAnsi="Arial"/>
          <w:sz w:val="18"/>
          <w:szCs w:val="18"/>
          <w:color w:val="auto"/>
        </w:rPr>
      </w:pPr>
    </w:p>
    <w:p>
      <w:pPr>
        <w:ind w:left="1960" w:hanging="656"/>
        <w:spacing w:after="0"/>
        <w:tabs>
          <w:tab w:leader="none" w:pos="19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Term Benchmark Borrowing; and</w:t>
      </w:r>
    </w:p>
    <w:p>
      <w:pPr>
        <w:spacing w:after="0" w:line="238"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1"/>
          <w:numId w:val="175"/>
        </w:numPr>
        <w:rPr>
          <w:rFonts w:ascii="Arial" w:cs="Arial" w:eastAsia="Arial" w:hAnsi="Arial"/>
          <w:sz w:val="20"/>
          <w:szCs w:val="20"/>
          <w:color w:val="auto"/>
        </w:rPr>
      </w:pPr>
      <w:r>
        <w:rPr>
          <w:rFonts w:ascii="Arial" w:cs="Arial" w:eastAsia="Arial" w:hAnsi="Arial"/>
          <w:sz w:val="20"/>
          <w:szCs w:val="20"/>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If any such Interest Election Request requests a Term Benchmark Borrowing but does not specify an Interest Period, then the Borrower shall be deemed to have selected an Interest Period of one (1)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w:t>
      </w:r>
      <w:r>
        <w:rPr>
          <w:rFonts w:ascii="Arial" w:cs="Arial" w:eastAsia="Arial" w:hAnsi="Arial"/>
          <w:sz w:val="19"/>
          <w:szCs w:val="19"/>
          <w:u w:val="single" w:color="auto"/>
          <w:color w:val="auto"/>
        </w:rPr>
        <w:t>Section 2.02(d)</w:t>
      </w:r>
      <w:r>
        <w:rPr>
          <w:rFonts w:ascii="Arial" w:cs="Arial" w:eastAsia="Arial" w:hAnsi="Arial"/>
          <w:sz w:val="19"/>
          <w:szCs w:val="19"/>
          <w:color w:val="auto"/>
        </w:rPr>
        <w:t xml:space="preserve"> regarding the maximum number of Borrowings of the relevant Type.</w:t>
      </w:r>
    </w:p>
    <w:p>
      <w:pPr>
        <w:spacing w:after="0" w:line="180" w:lineRule="exact"/>
        <w:rPr>
          <w:sz w:val="20"/>
          <w:szCs w:val="20"/>
          <w:color w:val="auto"/>
        </w:rPr>
      </w:pPr>
    </w:p>
    <w:p>
      <w:pPr>
        <w:jc w:val="both"/>
        <w:ind w:firstLine="656"/>
        <w:spacing w:after="0" w:line="250" w:lineRule="auto"/>
        <w:tabs>
          <w:tab w:leader="none" w:pos="129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185"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as applicable, with an Interest Period of one (1) month’s duration.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denominated in Dollars.</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3" w:lineRule="auto"/>
        <w:tabs>
          <w:tab w:leader="none" w:pos="129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Unless previously terminated, the Revolving Facility Commitments of each Class shall automatically and permanently terminate on the applicable Revolving Facility Maturity Date for such Class. On the Closing Date (after giving effect to the funding of the requested amount of Initial Term Loans by the Initial Term Lenders), the Initial Term Loan Commitments of the Initial Term Lenders will automatically and permanently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7" w:name="page238"/>
    <w:bookmarkEnd w:id="237"/>
    <w:p>
      <w:pPr>
        <w:jc w:val="both"/>
        <w:ind w:firstLine="656"/>
        <w:spacing w:after="0" w:line="273" w:lineRule="auto"/>
        <w:tabs>
          <w:tab w:leader="none" w:pos="12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Revolving Facility Commitments of any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Facility Commitments of any Class shall be in an amount that is an integral multiple of $5,000,000 and not less than $10,000,000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any Cash Collateralization of Letters of Credit in accordance with </w:t>
      </w:r>
      <w:r>
        <w:rPr>
          <w:rFonts w:ascii="Arial" w:cs="Arial" w:eastAsia="Arial" w:hAnsi="Arial"/>
          <w:sz w:val="18"/>
          <w:szCs w:val="18"/>
          <w:u w:val="single" w:color="auto"/>
          <w:color w:val="auto"/>
        </w:rPr>
        <w:t>Section 2.05(j)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as applicable, the Revolving Facility Credit Exposure of such Class (excluding any Cash Collateralized Letter of Credit, to the extent so Cash Collateralized) would exceed the total Revolving Facility Commitments of such Class.</w:t>
      </w:r>
    </w:p>
    <w:p>
      <w:pPr>
        <w:spacing w:after="0" w:line="168" w:lineRule="exact"/>
        <w:rPr>
          <w:rFonts w:ascii="Arial" w:cs="Arial" w:eastAsia="Arial" w:hAnsi="Arial"/>
          <w:sz w:val="18"/>
          <w:szCs w:val="18"/>
          <w:color w:val="auto"/>
        </w:rPr>
      </w:pPr>
    </w:p>
    <w:p>
      <w:pPr>
        <w:jc w:val="both"/>
        <w:ind w:firstLine="656"/>
        <w:spacing w:after="0" w:line="271" w:lineRule="auto"/>
        <w:tabs>
          <w:tab w:leader="none" w:pos="12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Revolving Facility Commitments of any Class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 of termination or 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or waived by the Borrower. Any termination or reduction of the Commitments shall be permanent. Each reduction of the Commitments of any Class shall be made ratably among the Lenders in accordance with their respective Commitments of such Class.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9" w:lineRule="auto"/>
        <w:tabs>
          <w:tab w:leader="none" w:pos="1296" w:val="left"/>
        </w:tabs>
        <w:numPr>
          <w:ilvl w:val="1"/>
          <w:numId w:val="179"/>
        </w:numPr>
        <w:rPr>
          <w:rFonts w:ascii="Arial" w:cs="Arial" w:eastAsia="Arial" w:hAnsi="Arial"/>
          <w:sz w:val="19"/>
          <w:szCs w:val="19"/>
          <w:color w:val="auto"/>
        </w:rPr>
      </w:pPr>
      <w:r>
        <w:rPr>
          <w:rFonts w:ascii="Arial" w:cs="Arial" w:eastAsia="Arial" w:hAnsi="Arial"/>
          <w:sz w:val="19"/>
          <w:szCs w:val="19"/>
          <w:color w:val="auto"/>
        </w:rPr>
        <w:t xml:space="preserve">The Borrower hereby unconditionally promises to pay (i) to the Administrative Agent for the account of each Revolving Facility Lender the then unpaid principal amount of each Revolving Facility Loan on the Revolving Facility Maturity Date applicable to such Revolving Facility Loans, (ii) to the Administrative Agent for the account of each Term Lender the then unpaid principal amount of each Term Loan of such Term Lender as provided in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(iii) to the Swingline Lender the then unpaid principal amount of each Swingline Loan applicable to any Class of Revolving Facility Commitments on the Revolving Facility Maturity Date for such Class.</w:t>
      </w:r>
    </w:p>
    <w:p>
      <w:pPr>
        <w:spacing w:after="0" w:line="178" w:lineRule="exact"/>
        <w:rPr>
          <w:rFonts w:ascii="Arial" w:cs="Arial" w:eastAsia="Arial" w:hAnsi="Arial"/>
          <w:sz w:val="19"/>
          <w:szCs w:val="19"/>
          <w:color w:val="auto"/>
        </w:rPr>
      </w:pPr>
    </w:p>
    <w:p>
      <w:pPr>
        <w:jc w:val="both"/>
        <w:ind w:right="20" w:firstLine="656"/>
        <w:spacing w:after="0" w:line="250" w:lineRule="auto"/>
        <w:tabs>
          <w:tab w:leader="none" w:pos="129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5" w:lineRule="exact"/>
        <w:rPr>
          <w:rFonts w:ascii="Arial" w:cs="Arial" w:eastAsia="Arial" w:hAnsi="Arial"/>
          <w:sz w:val="20"/>
          <w:szCs w:val="20"/>
          <w:color w:val="auto"/>
        </w:rPr>
      </w:pPr>
    </w:p>
    <w:p>
      <w:pPr>
        <w:jc w:val="both"/>
        <w:ind w:firstLine="656"/>
        <w:spacing w:after="0" w:line="272" w:lineRule="auto"/>
        <w:tabs>
          <w:tab w:leader="none" w:pos="129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Borrower to each Lender hereunder and</w:t>
      </w:r>
    </w:p>
    <w:p>
      <w:pPr>
        <w:ind w:right="20" w:firstLine="8"/>
        <w:spacing w:after="0" w:line="244" w:lineRule="auto"/>
        <w:tabs>
          <w:tab w:leader="none" w:pos="36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amount received by the Administrative Agent hereunder for the account of the Lenders and each Lender’s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8" w:name="page239"/>
    <w:bookmarkEnd w:id="238"/>
    <w:p>
      <w:pPr>
        <w:jc w:val="both"/>
        <w:ind w:firstLine="656"/>
        <w:spacing w:after="0" w:line="263" w:lineRule="auto"/>
        <w:tabs>
          <w:tab w:leader="none" w:pos="129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shall be </w:t>
      </w:r>
      <w:r>
        <w:rPr>
          <w:rFonts w:ascii="Arial" w:cs="Arial" w:eastAsia="Arial" w:hAnsi="Arial"/>
          <w:sz w:val="19"/>
          <w:szCs w:val="19"/>
          <w:u w:val="single" w:color="auto"/>
          <w:color w:val="auto"/>
        </w:rPr>
        <w:t>prima</w:t>
      </w:r>
      <w:r>
        <w:rPr>
          <w:rFonts w:ascii="Arial" w:cs="Arial" w:eastAsia="Arial" w:hAnsi="Arial"/>
          <w:sz w:val="19"/>
          <w:szCs w:val="19"/>
          <w:color w:val="auto"/>
        </w:rPr>
        <w:t xml:space="preserve"> </w:t>
      </w:r>
      <w:r>
        <w:rPr>
          <w:rFonts w:ascii="Arial" w:cs="Arial" w:eastAsia="Arial" w:hAnsi="Arial"/>
          <w:sz w:val="19"/>
          <w:szCs w:val="19"/>
          <w:u w:val="single" w:color="auto"/>
          <w:color w:val="auto"/>
        </w:rPr>
        <w:t>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of any Lender or the Administrative Agent to maintain such accounts or any error therein shall not in any manner affect the obligation of the Borrower to repay the Loans in accordance with the terms of this Agreement.</w:t>
      </w:r>
    </w:p>
    <w:p>
      <w:pPr>
        <w:spacing w:after="0" w:line="176" w:lineRule="exact"/>
        <w:rPr>
          <w:rFonts w:ascii="Arial" w:cs="Arial" w:eastAsia="Arial" w:hAnsi="Arial"/>
          <w:sz w:val="19"/>
          <w:szCs w:val="19"/>
          <w:color w:val="auto"/>
        </w:rPr>
      </w:pPr>
    </w:p>
    <w:p>
      <w:pPr>
        <w:jc w:val="both"/>
        <w:ind w:firstLine="656"/>
        <w:spacing w:after="0" w:line="274" w:lineRule="auto"/>
        <w:tabs>
          <w:tab w:leader="none" w:pos="129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Lender may request that Loans made by it be evidenced by a promissory note (a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In such event, the 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or in another form approved by such Lender, the Administrative Agent and the Borrower in their sole discretion. Thereafter, unless otherwise agreed to by the applicable Lender, the Loans evidenced by such promissory note and interest thereon shall at all times (including after assignment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be represented by one or more promissory notes in such form payable to the payee named therein (or, if requested by such payee, to such payee and its registered assigns).</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Repayment of Term Loans and Revolving Facility Loans</w:t>
      </w:r>
      <w:r>
        <w:rPr>
          <w:rFonts w:ascii="Arial" w:cs="Arial" w:eastAsia="Arial" w:hAnsi="Arial"/>
          <w:sz w:val="18"/>
          <w:szCs w:val="18"/>
          <w:color w:val="auto"/>
        </w:rPr>
        <w:t>.</w:t>
      </w:r>
    </w:p>
    <w:p>
      <w:pPr>
        <w:spacing w:after="0" w:line="216"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Subject to the other clauses of this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and to </w:t>
      </w:r>
      <w:r>
        <w:rPr>
          <w:rFonts w:ascii="Arial" w:cs="Arial" w:eastAsia="Arial" w:hAnsi="Arial"/>
          <w:sz w:val="20"/>
          <w:szCs w:val="20"/>
          <w:u w:val="single" w:color="auto"/>
          <w:color w:val="auto"/>
        </w:rPr>
        <w:t>Section 9.08(e)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1"/>
          <w:numId w:val="182"/>
        </w:numPr>
        <w:rPr>
          <w:rFonts w:ascii="Arial" w:cs="Arial" w:eastAsia="Arial" w:hAnsi="Arial"/>
          <w:sz w:val="19"/>
          <w:szCs w:val="19"/>
          <w:color w:val="auto"/>
        </w:rPr>
      </w:pPr>
      <w:r>
        <w:rPr>
          <w:rFonts w:ascii="Arial" w:cs="Arial" w:eastAsia="Arial" w:hAnsi="Arial"/>
          <w:sz w:val="19"/>
          <w:szCs w:val="19"/>
          <w:color w:val="auto"/>
        </w:rPr>
        <w:t>the Borrower shall repay principal of outstanding Initial Term Loans on the last day of each March, June, September and December of each year (commencing on December 31, 2022) and on the Initial Term Facility Maturity Date or, if any such date is not a Business Day, on the immediately preceding Business Day (each such date being referred to as an “</w:t>
      </w:r>
      <w:r>
        <w:rPr>
          <w:rFonts w:ascii="Arial" w:cs="Arial" w:eastAsia="Arial" w:hAnsi="Arial"/>
          <w:sz w:val="19"/>
          <w:szCs w:val="19"/>
          <w:u w:val="single" w:color="auto"/>
          <w:color w:val="auto"/>
        </w:rPr>
        <w:t>Initial Term Loan Installment Date</w:t>
      </w:r>
      <w:r>
        <w:rPr>
          <w:rFonts w:ascii="Arial" w:cs="Arial" w:eastAsia="Arial" w:hAnsi="Arial"/>
          <w:sz w:val="19"/>
          <w:szCs w:val="19"/>
          <w:color w:val="auto"/>
        </w:rPr>
        <w:t>”), in an aggregate principal amount of such Initial Term Loans equal to (A) in the case of any Initial Term Loan Installment Date prior to the Initial Term Facility Maturity Date, (i) for the first Initial Term Loan Installment Date through the twelfth Initial Term Loan Installment Date, 1.25% of the aggregate principal amount of the Initial Term Loans incurred on the Closing Date, (ii) for the thirteenth Initial Term Loan Installment Date through the sixteenth Initial Term Loan Installment Date, 1.875% of the aggregate principal amount of the Initial Term Loans incurred on the Closing Date and (iii) for the seventeenth Initial Term Loan Installment Date through the twentieth Initial Term Loan Installment Date, 2.5% of the aggregate principal amount of the Initial Term Loans incurred on the Closing Date and (B) in the case of such payment due on the Initial Term Facility Maturity Date, an amount equal to the then unpaid principal amount of such Initial Term Loans outstanding;</w:t>
      </w:r>
    </w:p>
    <w:p>
      <w:pPr>
        <w:spacing w:after="0" w:line="181" w:lineRule="exact"/>
        <w:rPr>
          <w:rFonts w:ascii="Arial" w:cs="Arial" w:eastAsia="Arial" w:hAnsi="Arial"/>
          <w:sz w:val="19"/>
          <w:szCs w:val="19"/>
          <w:color w:val="auto"/>
        </w:rPr>
      </w:pPr>
    </w:p>
    <w:p>
      <w:pPr>
        <w:jc w:val="both"/>
        <w:ind w:left="660" w:firstLine="644"/>
        <w:spacing w:after="0" w:line="244" w:lineRule="auto"/>
        <w:tabs>
          <w:tab w:leader="none" w:pos="1956" w:val="left"/>
        </w:tabs>
        <w:numPr>
          <w:ilvl w:val="1"/>
          <w:numId w:val="182"/>
        </w:numPr>
        <w:rPr>
          <w:rFonts w:ascii="Arial" w:cs="Arial" w:eastAsia="Arial" w:hAnsi="Arial"/>
          <w:sz w:val="20"/>
          <w:szCs w:val="20"/>
          <w:color w:val="auto"/>
        </w:rPr>
      </w:pPr>
      <w:r>
        <w:rPr>
          <w:rFonts w:ascii="Arial" w:cs="Arial" w:eastAsia="Arial" w:hAnsi="Arial"/>
          <w:sz w:val="20"/>
          <w:szCs w:val="20"/>
          <w:color w:val="auto"/>
        </w:rPr>
        <w:t>in the event that any Other Term Loans (for the avoidance of doubt, other than Initial Term Loans) are made, the Borrower shall repay such Other Term Loans (for the avoidance of doubt, other than Initial Term Loans) on the dates and in the amounts set forth in the related Incremental Assumption Agreement, Extension Amendment or Refinancing Amendment (each such date being referred to as an “</w:t>
      </w:r>
      <w:r>
        <w:rPr>
          <w:rFonts w:ascii="Arial" w:cs="Arial" w:eastAsia="Arial" w:hAnsi="Arial"/>
          <w:sz w:val="20"/>
          <w:szCs w:val="20"/>
          <w:u w:val="single" w:color="auto"/>
          <w:color w:val="auto"/>
        </w:rPr>
        <w:t>Other Term Loan Installment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and</w:t>
      </w:r>
    </w:p>
    <w:p>
      <w:pPr>
        <w:spacing w:after="0" w:line="194" w:lineRule="exact"/>
        <w:rPr>
          <w:rFonts w:ascii="Arial" w:cs="Arial" w:eastAsia="Arial" w:hAnsi="Arial"/>
          <w:sz w:val="20"/>
          <w:szCs w:val="20"/>
          <w:color w:val="auto"/>
        </w:rPr>
      </w:pPr>
    </w:p>
    <w:p>
      <w:pPr>
        <w:ind w:left="660" w:right="20" w:firstLine="644"/>
        <w:spacing w:after="0" w:line="260" w:lineRule="auto"/>
        <w:tabs>
          <w:tab w:leader="none" w:pos="1956" w:val="left"/>
        </w:tabs>
        <w:numPr>
          <w:ilvl w:val="1"/>
          <w:numId w:val="182"/>
        </w:numPr>
        <w:rPr>
          <w:rFonts w:ascii="Arial" w:cs="Arial" w:eastAsia="Arial" w:hAnsi="Arial"/>
          <w:sz w:val="20"/>
          <w:szCs w:val="20"/>
          <w:color w:val="auto"/>
        </w:rPr>
      </w:pPr>
      <w:r>
        <w:rPr>
          <w:rFonts w:ascii="Arial" w:cs="Arial" w:eastAsia="Arial" w:hAnsi="Arial"/>
          <w:sz w:val="20"/>
          <w:szCs w:val="20"/>
          <w:color w:val="auto"/>
        </w:rPr>
        <w:t>to the extent not previously paid, all outstanding Loans shall be due and payable on the applicable Term Facility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39" w:name="page240"/>
    <w:bookmarkEnd w:id="239"/>
    <w:p>
      <w:pPr>
        <w:ind w:firstLine="656"/>
        <w:spacing w:after="0" w:line="260" w:lineRule="auto"/>
        <w:tabs>
          <w:tab w:leader="none" w:pos="129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To the extent not previously paid, all outstanding Revolving Facility Loans and Swingline Loans shall be due and payable on the applicable Revolving Facility Maturity Date.</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Any mandatory prepayment of Term Loans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shall be applied so that the aggregate amount of such prepayment is allocated among the Initial Term Loans and the Other Term Loans, if any,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based on the aggregate principal amount of outstanding Initial Term Loans and Other Term Loans, if any, to reduce amounts due on the succeeding Term Loan Installment Dates for such Classes, as applicable, in reverse order of maturity thereof or as the Borrower may otherwise direct with the approval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application to Term Loans outstanding within any respective Class of Loans, (x) with respect to mandatory prepayments of Term Loans pursuant to </w:t>
      </w:r>
      <w:r>
        <w:rPr>
          <w:rFonts w:ascii="Arial" w:cs="Arial" w:eastAsia="Arial" w:hAnsi="Arial"/>
          <w:sz w:val="18"/>
          <w:szCs w:val="18"/>
          <w:u w:val="single" w:color="auto"/>
          <w:color w:val="auto"/>
        </w:rPr>
        <w:t>Section 2.11(b)(1)</w:t>
      </w:r>
      <w:r>
        <w:rPr>
          <w:rFonts w:ascii="Arial" w:cs="Arial" w:eastAsia="Arial" w:hAnsi="Arial"/>
          <w:sz w:val="18"/>
          <w:szCs w:val="18"/>
          <w:color w:val="auto"/>
        </w:rPr>
        <w:t xml:space="preserve">, any Class of Other Term Loans may receive less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(so long as the amount by which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exceeds the amount actually applied to such Class is applied to repay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the outstanding Initial Term Loans and any other Classes of then outstanding Other Term Loans), in each case to the extent the respective Class receiving less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has consented thereto, and (y) the Borrower shall allocate any repayments pursuant to </w:t>
      </w:r>
      <w:r>
        <w:rPr>
          <w:rFonts w:ascii="Arial" w:cs="Arial" w:eastAsia="Arial" w:hAnsi="Arial"/>
          <w:sz w:val="18"/>
          <w:szCs w:val="18"/>
          <w:u w:val="single" w:color="auto"/>
          <w:color w:val="auto"/>
        </w:rPr>
        <w:t>Section 2.11(b)(2)</w:t>
      </w:r>
      <w:r>
        <w:rPr>
          <w:rFonts w:ascii="Arial" w:cs="Arial" w:eastAsia="Arial" w:hAnsi="Arial"/>
          <w:sz w:val="18"/>
          <w:szCs w:val="18"/>
          <w:color w:val="auto"/>
        </w:rPr>
        <w:t xml:space="preserve"> to repay the respective Class or Classes being refinanced, as provided in such </w:t>
      </w:r>
      <w:r>
        <w:rPr>
          <w:rFonts w:ascii="Arial" w:cs="Arial" w:eastAsia="Arial" w:hAnsi="Arial"/>
          <w:sz w:val="18"/>
          <w:szCs w:val="18"/>
          <w:u w:val="single" w:color="auto"/>
          <w:color w:val="auto"/>
        </w:rPr>
        <w:t>Section 2.11(b)(2)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if all Term Loans have been repaid, such prepayments shall be applied to the Revolving Facility Loans (or, if none are then outstanding, to Cash Collateralize Letters of Credit), without a reduction of the Revolving Facility Commitments. Any optional prepayments of the Term Loans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shall be applied to the remaining installments of the Term Loans under the applicable Class or Classes in direct order of maturity thereof or as the Borrower may otherwise direct.</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Prior to any prepayment of any Loan under any Facility hereunder, the Borrower shall select the Borrowing or Borrowings under the applicable Facility to be prepaid and shall notify the Administrative Agent (and, in the case of prepayment of a Swingline Loan, the Swingline Lender) by telephone (confirmed by electronic means) or by electronic means of such selection not later than 2:00 p.m., Local Time, (i) in the case of an ABR Borrowing or any Swingline Loan, on the scheduled date of such prepayment, and (ii) in the case of a Term Benchmark Borrowing, at least three (3) Business Days before the scheduled date of such prepayment (or, in each case, such shorter period acceptable to the Administrative Agent. Each such notice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prepayment may state that such notice is conditioned upon the effectiveness of other credit facilities, indentures or similar agreements or other transactions, in which case such notice may be revoked by the Borrower (by notice to the Administrative Agent (and the Swingline Lender, if applicable)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the respective Revolving Facility Credit Exposures of the Revolving Facility Lenders of such Class at the time of such repayment) and (y) in all other cases, shall be applied ratably to the Loans included in the repaid Borrowing. All repayments of Loans shall be accompanied by (1) accrued interest on the amount repaid to the extent required by </w:t>
      </w:r>
      <w:r>
        <w:rPr>
          <w:rFonts w:ascii="Arial" w:cs="Arial" w:eastAsia="Arial" w:hAnsi="Arial"/>
          <w:sz w:val="19"/>
          <w:szCs w:val="19"/>
          <w:u w:val="single" w:color="auto"/>
          <w:color w:val="auto"/>
        </w:rPr>
        <w:t>Section 2.13(e)</w:t>
      </w:r>
      <w:r>
        <w:rPr>
          <w:rFonts w:ascii="Arial" w:cs="Arial" w:eastAsia="Arial" w:hAnsi="Arial"/>
          <w:sz w:val="19"/>
          <w:szCs w:val="19"/>
          <w:color w:val="auto"/>
        </w:rPr>
        <w:t xml:space="preserve"> and (2) break funding payments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188" w:lineRule="exact"/>
        <w:rPr>
          <w:sz w:val="20"/>
          <w:szCs w:val="20"/>
          <w:color w:val="auto"/>
        </w:rPr>
      </w:pPr>
    </w:p>
    <w:p>
      <w:pPr>
        <w:ind w:firstLine="656"/>
        <w:spacing w:after="0" w:line="260" w:lineRule="auto"/>
        <w:tabs>
          <w:tab w:leader="none" w:pos="129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The Borrower shall notify the Administrative Agent in writing of any mandatory prepayment of the applicable Term Loans required to be made pursuant to </w:t>
      </w:r>
      <w:r>
        <w:rPr>
          <w:rFonts w:ascii="Arial" w:cs="Arial" w:eastAsia="Arial" w:hAnsi="Arial"/>
          <w:sz w:val="20"/>
          <w:szCs w:val="20"/>
          <w:u w:val="single" w:color="auto"/>
          <w:color w:val="auto"/>
        </w:rPr>
        <w:t>Section 2.11(b)(1)</w:t>
      </w:r>
      <w:r>
        <w:rPr>
          <w:rFonts w:ascii="Arial" w:cs="Arial" w:eastAsia="Arial" w:hAnsi="Arial"/>
          <w:sz w:val="20"/>
          <w:szCs w:val="20"/>
          <w:color w:val="auto"/>
        </w:rPr>
        <w:t xml:space="preserv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0" w:name="page241"/>
    <w:bookmarkEnd w:id="240"/>
    <w:p>
      <w:pPr>
        <w:jc w:val="both"/>
        <w:spacing w:after="0" w:line="282" w:lineRule="auto"/>
        <w:rPr>
          <w:sz w:val="20"/>
          <w:szCs w:val="20"/>
          <w:color w:val="auto"/>
        </w:rPr>
      </w:pPr>
      <w:r>
        <w:rPr>
          <w:rFonts w:ascii="Arial" w:cs="Arial" w:eastAsia="Arial" w:hAnsi="Arial"/>
          <w:sz w:val="18"/>
          <w:szCs w:val="18"/>
          <w:color w:val="auto"/>
        </w:rPr>
        <w:t xml:space="preserve">least four (4) Business Days prior to the date of such prepayment. Each such notice shall specify the date of such prepayment and provide a reasonably detailed calculation of the amount of such prepayment. The Administrative Agent will promptly notify each applicable Term Lender of the contents of any such prepayment notice and of such Term Lender’s ratable portion of such prepayment (based on such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each relevant Class of the Loans).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43" w:lineRule="auto"/>
        <w:tabs>
          <w:tab w:leader="none" w:pos="129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The Borrower shall have the right at any time and from time to time to prepay any Loan in whole or in part, without premium or penalty (but subject to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in an aggregate principal amount that is an integral multiple of the Borrowing Multiple and not less than the Borrowing Minimum or, if less, the amount outstanding, subject to prior notice in accordance with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2.11(a)</w:t>
      </w:r>
      <w:r>
        <w:rPr>
          <w:rFonts w:ascii="Arial" w:cs="Arial" w:eastAsia="Arial" w:hAnsi="Arial"/>
          <w:sz w:val="20"/>
          <w:szCs w:val="20"/>
          <w:color w:val="auto"/>
        </w:rPr>
        <w:t xml:space="preserve"> shall permit any prepayment of Loans on a Facility by Facility basis and on a non-</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across Facilities (but not within a single Facility), in each case, as selected by the Borrower in its sole discretion.</w:t>
      </w:r>
    </w:p>
    <w:p>
      <w:pPr>
        <w:spacing w:after="0" w:line="195" w:lineRule="exact"/>
        <w:rPr>
          <w:rFonts w:ascii="Arial" w:cs="Arial" w:eastAsia="Arial" w:hAnsi="Arial"/>
          <w:sz w:val="20"/>
          <w:szCs w:val="20"/>
          <w:color w:val="auto"/>
        </w:rPr>
      </w:pPr>
    </w:p>
    <w:p>
      <w:pPr>
        <w:jc w:val="both"/>
        <w:ind w:firstLine="656"/>
        <w:spacing w:after="0" w:line="256" w:lineRule="auto"/>
        <w:tabs>
          <w:tab w:leader="none" w:pos="129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Beginning on the Closing Date, the Borrower shall apply (1) 100% of all Net Proceeds (other than Net Proceeds of the kind described in the following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within five (5) Business Days after receipt thereof to prepay Term Loans in accordance with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(2)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and/or Revolving Facility Commitments are issued or incurred, to prepay Term Loans and/or Revolving Facility Commitments in accordance with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and the definition of “Refinancing Notes” (as applicable).</w:t>
      </w:r>
    </w:p>
    <w:p>
      <w:pPr>
        <w:spacing w:after="0" w:line="184" w:lineRule="exact"/>
        <w:rPr>
          <w:rFonts w:ascii="Arial" w:cs="Arial" w:eastAsia="Arial" w:hAnsi="Arial"/>
          <w:sz w:val="19"/>
          <w:szCs w:val="19"/>
          <w:color w:val="auto"/>
        </w:rPr>
      </w:pPr>
    </w:p>
    <w:p>
      <w:pPr>
        <w:ind w:left="1300" w:hanging="644"/>
        <w:spacing w:after="0"/>
        <w:tabs>
          <w:tab w:leader="none" w:pos="13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In the event that the aggregate amount of Revolving Facility Credit Exposure of any Class exceeds the total Revolving Facility Commitments of such Class, the Borrower shall prepay Revolving Facility Borrowings and/or Swingline Borrowings of such Class (or, if no such Borrowings are outstanding, provide Cash Collateral in respect of outstanding Letters of Credit pursuant to </w:t>
      </w:r>
      <w:r>
        <w:rPr>
          <w:rFonts w:ascii="Arial" w:cs="Arial" w:eastAsia="Arial" w:hAnsi="Arial"/>
          <w:sz w:val="19"/>
          <w:szCs w:val="19"/>
          <w:u w:val="single" w:color="auto"/>
          <w:color w:val="auto"/>
        </w:rPr>
        <w:t>Section 2.05(j)</w:t>
      </w:r>
      <w:r>
        <w:rPr>
          <w:rFonts w:ascii="Arial" w:cs="Arial" w:eastAsia="Arial" w:hAnsi="Arial"/>
          <w:sz w:val="19"/>
          <w:szCs w:val="19"/>
          <w:color w:val="auto"/>
        </w:rPr>
        <w:t>) in an aggregate amount equal to such excess.</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In the event that the aggregate amount of Revolving L/C Exposure of any Class exceeds the total Revolving Facility Commitments of such Class, the Borrower shall provide Cash Collateral in respect of outstanding Letters of Credit pursuant to </w:t>
      </w:r>
      <w:r>
        <w:rPr>
          <w:rFonts w:ascii="Arial" w:cs="Arial" w:eastAsia="Arial" w:hAnsi="Arial"/>
          <w:sz w:val="20"/>
          <w:szCs w:val="20"/>
          <w:u w:val="single" w:color="auto"/>
          <w:color w:val="auto"/>
        </w:rPr>
        <w:t>Section 2.05(j)</w:t>
      </w:r>
      <w:r>
        <w:rPr>
          <w:rFonts w:ascii="Arial" w:cs="Arial" w:eastAsia="Arial" w:hAnsi="Arial"/>
          <w:sz w:val="20"/>
          <w:szCs w:val="20"/>
          <w:color w:val="auto"/>
        </w:rPr>
        <w:t xml:space="preserve"> in an aggregate amount equal to such excess.</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35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 connection with any prepayment of any Loan of any Lender hereunder that would otherwise occur from the proceeds of new Loans being funded hereunder on the date of such prepayment, if agreed to by the Borrower and such Lender in a writing provided to the Administrative Agent, the portion of the existing Loan of such Lender that would otherwise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1" w:name="page242"/>
    <w:bookmarkEnd w:id="241"/>
    <w:p>
      <w:pPr>
        <w:spacing w:after="0" w:line="260" w:lineRule="auto"/>
        <w:rPr>
          <w:sz w:val="20"/>
          <w:szCs w:val="20"/>
          <w:color w:val="auto"/>
        </w:rPr>
      </w:pPr>
      <w:r>
        <w:rPr>
          <w:rFonts w:ascii="Arial" w:cs="Arial" w:eastAsia="Arial" w:hAnsi="Arial"/>
          <w:sz w:val="20"/>
          <w:szCs w:val="20"/>
          <w:color w:val="auto"/>
        </w:rPr>
        <w:t>prepaid on such date may instead be converted on a “cashless roll” basis into a like principal amount of the new Loans being funded on such date.</w:t>
      </w:r>
    </w:p>
    <w:p>
      <w:pPr>
        <w:spacing w:after="0" w:line="177" w:lineRule="exact"/>
        <w:rPr>
          <w:sz w:val="20"/>
          <w:szCs w:val="20"/>
          <w:color w:val="auto"/>
        </w:rPr>
      </w:pPr>
    </w:p>
    <w:p>
      <w:pPr>
        <w:jc w:val="both"/>
        <w:ind w:right="20" w:firstLine="656"/>
        <w:spacing w:after="0" w:line="275" w:lineRule="auto"/>
        <w:tabs>
          <w:tab w:leader="none" w:pos="129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Notwithstanding any other provisions of this Agreement, (i) to the extent that the repatriation to the United States of any or all of the Net Proceeds of any Asset Sale by a Foreign Subsidiary (a “</w:t>
      </w:r>
      <w:r>
        <w:rPr>
          <w:rFonts w:ascii="Arial" w:cs="Arial" w:eastAsia="Arial" w:hAnsi="Arial"/>
          <w:sz w:val="18"/>
          <w:szCs w:val="18"/>
          <w:u w:val="single" w:color="auto"/>
          <w:color w:val="auto"/>
        </w:rPr>
        <w:t>Foreign Disposition</w:t>
      </w:r>
      <w:r>
        <w:rPr>
          <w:rFonts w:ascii="Arial" w:cs="Arial" w:eastAsia="Arial" w:hAnsi="Arial"/>
          <w:sz w:val="18"/>
          <w:szCs w:val="18"/>
          <w:color w:val="auto"/>
        </w:rPr>
        <w:t>”) is or would be</w:t>
      </w:r>
    </w:p>
    <w:p>
      <w:pPr>
        <w:jc w:val="both"/>
        <w:ind w:firstLine="8"/>
        <w:spacing w:after="0" w:line="268" w:lineRule="auto"/>
        <w:tabs>
          <w:tab w:leader="none" w:pos="2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prohibited or delayed by applicable local law, (y) restricted by applicable organizational documents or (z) subject to other onerous organizational or administrative impediments, an amount equal to the portion of such Net Proceeds that is or would be so affected will not be required to be applied to repay the applicable Loans at the times provided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so long, but only so long, as the applicable local law or applicable organizational documents or other impediment exists (and the Borrower hereby agrees to use commercially reasonable efforts to cause the applicable Foreign Subsidiary to promptly take all actions reasonably required by the applicable local law or applicable organizational documents or to overcome or eliminate such impediment to permit such repatriation), and if within one (1) year following the date on which the respective prepayment would otherwise have been required to be used to made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such repatriation is permitted under the applicable local law or applicable organizational documents or the impediment to such repatriation has ceased to exist, such prepayment will promptly (and in any event not later than five (5) Business Days thereafter) be made (in an amount equal to the amount of the prepayment so deferred, net of an amount equal to the additional taxes and other costs that would reasonably be expected to be incurred, payable or reserved against as a result of such repatriation)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(ii) to the extent that repatriation to the United States of any or all of the Net Proceeds of any Foreign Disposition would have adverse Tax consequences to the Borrower (as reasonably determined by the Borrower in good faith), an amount equal to such Net Proceeds so affected will not be required to be applied to repay the applicable Loans at the times provided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jc w:val="both"/>
        <w:ind w:firstLine="656"/>
        <w:spacing w:after="0" w:line="255" w:lineRule="auto"/>
        <w:tabs>
          <w:tab w:leader="none" w:pos="129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Borrower agrees to pay to the Administrative Agent for the account of each Lender, on the last Business Day of each fiscal quarter (commencing on the last Business Day of the first full fiscal quarter after the Closing Date) and on the date on which the Revolving Facility Commitments of all the Lenders shall be terminated as provided herein, a commitment fee (a “</w:t>
      </w:r>
      <w:r>
        <w:rPr>
          <w:rFonts w:ascii="Arial" w:cs="Arial" w:eastAsia="Arial" w:hAnsi="Arial"/>
          <w:sz w:val="19"/>
          <w:szCs w:val="19"/>
          <w:u w:val="single" w:color="auto"/>
          <w:color w:val="auto"/>
        </w:rPr>
        <w:t>Commitment Fee</w:t>
      </w:r>
      <w:r>
        <w:rPr>
          <w:rFonts w:ascii="Arial" w:cs="Arial" w:eastAsia="Arial" w:hAnsi="Arial"/>
          <w:sz w:val="19"/>
          <w:szCs w:val="19"/>
          <w:color w:val="auto"/>
        </w:rPr>
        <w:t>”) in Dollars on the daily amount of the applicable Available Unused Commitment of such Lender during the preceding quarter (or other period commencing with the Closing Date or ending with the date on which the last of the Revolving Facility Commitments of such Lender shall be terminated) at a rate equal to the Applicable Commitment Fee. All Commitment Fees shall be computed on the basis of the actual number of days elapsed (including the first day but excluding the last) in a year of 360 days. The Commitment Fee due to each Lender shall commence to accrue on the Closing Date and shall cease to accrue on the date on which the last of the Revolving Facility Commitments of such Lender shall be terminated as provided herein.</w:t>
      </w:r>
    </w:p>
    <w:p>
      <w:pPr>
        <w:spacing w:after="0" w:line="189" w:lineRule="exact"/>
        <w:rPr>
          <w:rFonts w:ascii="Arial" w:cs="Arial" w:eastAsia="Arial" w:hAnsi="Arial"/>
          <w:sz w:val="19"/>
          <w:szCs w:val="19"/>
          <w:color w:val="auto"/>
        </w:rPr>
      </w:pPr>
    </w:p>
    <w:p>
      <w:pPr>
        <w:jc w:val="both"/>
        <w:ind w:firstLine="656"/>
        <w:spacing w:after="0" w:line="282" w:lineRule="auto"/>
        <w:tabs>
          <w:tab w:leader="none" w:pos="129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Borrower agrees to pay from time to time (i) to the Administrative Agent for the account of each Revolving Facility Lender of each Class, on the last Business Day of each fiscal quarter (commencing on the last Business Day of the first full fiscal quarter after the Closing Date) and on the date on which the Revolving Facility Commitments of all the Lenders shall be terminated as provided herein, a fee (an “</w:t>
      </w:r>
      <w:r>
        <w:rPr>
          <w:rFonts w:ascii="Arial" w:cs="Arial" w:eastAsia="Arial" w:hAnsi="Arial"/>
          <w:sz w:val="18"/>
          <w:szCs w:val="18"/>
          <w:u w:val="single" w:color="auto"/>
          <w:color w:val="auto"/>
        </w:rPr>
        <w:t>L/C Participation Fee</w:t>
      </w:r>
      <w:r>
        <w:rPr>
          <w:rFonts w:ascii="Arial" w:cs="Arial" w:eastAsia="Arial" w:hAnsi="Arial"/>
          <w:sz w:val="18"/>
          <w:szCs w:val="18"/>
          <w:color w:val="auto"/>
        </w:rPr>
        <w:t>”) in Dollars on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2" w:name="page243"/>
    <w:bookmarkEnd w:id="242"/>
    <w:p>
      <w:pPr>
        <w:jc w:val="both"/>
        <w:spacing w:after="0" w:line="254" w:lineRule="auto"/>
        <w:rPr>
          <w:sz w:val="20"/>
          <w:szCs w:val="20"/>
          <w:color w:val="auto"/>
        </w:rPr>
      </w:pPr>
      <w:r>
        <w:rPr>
          <w:rFonts w:ascii="Arial" w:cs="Arial" w:eastAsia="Arial" w:hAnsi="Arial"/>
          <w:sz w:val="19"/>
          <w:szCs w:val="19"/>
          <w:color w:val="auto"/>
        </w:rPr>
        <w:t xml:space="preserve">Revolving Facility Percentage of the daily average Revolving L/C Exposure (excluding the portion thereof attributable to unreimbursed L/C Disbursements) of such Class, during the preceding quarter (or other period commencing with the Closing Date or ending with the Revolving Facility Maturity Date or the date on which the Revolving Facility Commitments of such Class shall be terminated;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fees accruing after the date on which such Revolving Facility Commitments terminate shall be payable on demand) at the rate per annum equal to the Applicable Margin for Term Benchmark Revolving Facility Borrowings of such Class effective for each day in such period, and (ii) to each Issuing Bank, for its own account (x) on the last Business Day of each fiscal quarter (commencing on the last Business Day of the first full fiscal quarter after the Closing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equal to 0.125% (or such lesser rate as may be agreed by the Borrower and the applicable Issuing Bank from time to time) per annum of the dollar equivalent of the daily stated amount of such Letter of Credit), plus (y) in connection with the issuance, amendment, cancellation, negotiation, presentment, renewal, extension or transfer of any such Letter of Credit or any L/C Disbursement thereunder, such Issuing Bank’s customary documentary and processing fees and charges (collectively, “</w:t>
      </w:r>
      <w:r>
        <w:rPr>
          <w:rFonts w:ascii="Arial" w:cs="Arial" w:eastAsia="Arial" w:hAnsi="Arial"/>
          <w:sz w:val="19"/>
          <w:szCs w:val="19"/>
          <w:u w:val="single" w:color="auto"/>
          <w:color w:val="auto"/>
        </w:rPr>
        <w:t>Issuing Bank Fees</w:t>
      </w:r>
      <w:r>
        <w:rPr>
          <w:rFonts w:ascii="Arial" w:cs="Arial" w:eastAsia="Arial" w:hAnsi="Arial"/>
          <w:sz w:val="19"/>
          <w:szCs w:val="19"/>
          <w:color w:val="auto"/>
        </w:rPr>
        <w:t>”). All L/C Participation Fees and Issuing Bank Fees that are payable on a per annum basis shall be computed on the basis of the actual number of days elapsed (including the first day but excluding the last) in a year of 360 days.</w:t>
      </w:r>
    </w:p>
    <w:p>
      <w:pPr>
        <w:spacing w:after="0" w:line="187" w:lineRule="exact"/>
        <w:rPr>
          <w:sz w:val="20"/>
          <w:szCs w:val="20"/>
          <w:color w:val="auto"/>
        </w:rPr>
      </w:pPr>
    </w:p>
    <w:p>
      <w:pPr>
        <w:jc w:val="both"/>
        <w:ind w:firstLine="656"/>
        <w:spacing w:after="0" w:line="250" w:lineRule="auto"/>
        <w:tabs>
          <w:tab w:leader="none" w:pos="129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the account of the Administrative Agent, the administrative agent fee separately agreed in writing, in the amounts and, at the times specified therein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 Fees</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The Loans comprising each ABR Borrowing shall bear interest at the ABR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w:t>
      </w:r>
    </w:p>
    <w:p>
      <w:pPr>
        <w:spacing w:after="0" w:line="227" w:lineRule="exact"/>
        <w:rPr>
          <w:rFonts w:ascii="Arial" w:cs="Arial" w:eastAsia="Arial" w:hAnsi="Arial"/>
          <w:sz w:val="19"/>
          <w:szCs w:val="19"/>
          <w:color w:val="auto"/>
        </w:rPr>
      </w:pPr>
    </w:p>
    <w:p>
      <w:pPr>
        <w:ind w:right="20" w:firstLine="656"/>
        <w:spacing w:after="0" w:line="260" w:lineRule="auto"/>
        <w:tabs>
          <w:tab w:leader="none" w:pos="129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The Loans comprising each Term Benchmark Borrowing shall bear interest at the Adjusted Term SOFR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Each Swingline Loan shall bear interest as determined in accordance with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amounts of any Loan,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3" w:name="page244"/>
    <w:bookmarkEnd w:id="243"/>
    <w:p>
      <w:pPr>
        <w:jc w:val="both"/>
        <w:spacing w:after="0" w:line="246" w:lineRule="auto"/>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rate otherwise applicable to such Loan as provided in the preceding clauses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(ii) in the case of any other overdue amount, 2%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rate applicable to ABR Loans as provided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shall not apply to any Event of Default that has been waived by the Lenders pursuant to </w:t>
      </w:r>
      <w:r>
        <w:rPr>
          <w:rFonts w:ascii="Arial" w:cs="Arial" w:eastAsia="Arial" w:hAnsi="Arial"/>
          <w:sz w:val="20"/>
          <w:szCs w:val="20"/>
          <w:u w:val="single" w:color="auto"/>
          <w:color w:val="auto"/>
        </w:rPr>
        <w:t>Section 9.08</w:t>
      </w:r>
      <w:r>
        <w:rPr>
          <w:rFonts w:ascii="Arial" w:cs="Arial" w:eastAsia="Arial" w:hAnsi="Arial"/>
          <w:sz w:val="20"/>
          <w:szCs w:val="20"/>
          <w:color w:val="auto"/>
        </w:rPr>
        <w:t>.</w:t>
      </w:r>
    </w:p>
    <w:p>
      <w:pPr>
        <w:spacing w:after="0" w:line="191" w:lineRule="exact"/>
        <w:rPr>
          <w:sz w:val="20"/>
          <w:szCs w:val="20"/>
          <w:color w:val="auto"/>
        </w:rPr>
      </w:pPr>
    </w:p>
    <w:p>
      <w:pPr>
        <w:ind w:left="1300" w:hanging="644"/>
        <w:spacing w:after="0"/>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Accrued interest on each Loan shall be payable in arrears (i) on each Interest Payment Date for such Loan,</w:t>
      </w:r>
    </w:p>
    <w:p>
      <w:pPr>
        <w:spacing w:after="0" w:line="38" w:lineRule="exact"/>
        <w:rPr>
          <w:rFonts w:ascii="Arial" w:cs="Arial" w:eastAsia="Arial" w:hAnsi="Arial"/>
          <w:sz w:val="18"/>
          <w:szCs w:val="18"/>
          <w:color w:val="auto"/>
        </w:rPr>
      </w:pPr>
    </w:p>
    <w:p>
      <w:pPr>
        <w:jc w:val="both"/>
        <w:ind w:firstLine="8"/>
        <w:spacing w:after="0" w:line="271" w:lineRule="auto"/>
        <w:tabs>
          <w:tab w:leader="none" w:pos="2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in the case of Revolving Facility Loans, upon termination of the applicable Revolving Facility Commitments and (iii) in the case of the Term Loans, on the applicable Term Facility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interest accrued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and (C) in the event of any conversion of any Term Benchmark Loan prior to the end of the current Interest Period therefor, accrued interest on such Loan shall be payable on the effective date of such conversion.</w:t>
      </w:r>
    </w:p>
    <w:p>
      <w:pPr>
        <w:spacing w:after="0" w:line="170" w:lineRule="exact"/>
        <w:rPr>
          <w:rFonts w:ascii="Arial" w:cs="Arial" w:eastAsia="Arial" w:hAnsi="Arial"/>
          <w:sz w:val="18"/>
          <w:szCs w:val="18"/>
          <w:color w:val="auto"/>
        </w:rPr>
      </w:pPr>
    </w:p>
    <w:p>
      <w:pPr>
        <w:jc w:val="both"/>
        <w:ind w:firstLine="656"/>
        <w:spacing w:after="0" w:line="274" w:lineRule="auto"/>
        <w:tabs>
          <w:tab w:leader="none" w:pos="129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computations of interest for ABR Loans when the ABR is based on the Prime Rate shall be computed on the basis of a year of 365 days (or 366 days in a leap year) and all other computations of fees and interest hereunder (including interest computed by reference to the Term SOFR Rate) shall be computed on the basis of a year of 360 days.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ABR and Term Benchmark shall be determined by the Administrative Agent, and such determination shall be conclusive absent manifest error.</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Alternative Rate of Interest</w:t>
      </w:r>
      <w:r>
        <w:rPr>
          <w:rFonts w:ascii="Arial" w:cs="Arial" w:eastAsia="Arial" w:hAnsi="Arial"/>
          <w:sz w:val="18"/>
          <w:szCs w:val="18"/>
          <w:color w:val="auto"/>
        </w:rPr>
        <w:t>.</w:t>
      </w:r>
    </w:p>
    <w:p>
      <w:pPr>
        <w:spacing w:after="0" w:line="216"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2.14</w:t>
      </w:r>
      <w:r>
        <w:rPr>
          <w:rFonts w:ascii="Arial" w:cs="Arial" w:eastAsia="Arial" w:hAnsi="Arial"/>
          <w:sz w:val="20"/>
          <w:szCs w:val="20"/>
          <w:color w:val="auto"/>
        </w:rPr>
        <w:t>, if:</w:t>
      </w:r>
    </w:p>
    <w:p>
      <w:pPr>
        <w:spacing w:after="0" w:line="215" w:lineRule="exact"/>
        <w:rPr>
          <w:rFonts w:ascii="Arial" w:cs="Arial" w:eastAsia="Arial" w:hAnsi="Arial"/>
          <w:sz w:val="20"/>
          <w:szCs w:val="20"/>
          <w:color w:val="auto"/>
        </w:rPr>
      </w:pPr>
    </w:p>
    <w:p>
      <w:pPr>
        <w:jc w:val="both"/>
        <w:ind w:left="660" w:firstLine="644"/>
        <w:spacing w:after="0" w:line="328" w:lineRule="auto"/>
        <w:tabs>
          <w:tab w:leader="none" w:pos="1956"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w:t>
      </w:r>
    </w:p>
    <w:p>
      <w:pPr>
        <w:spacing w:after="0" w:line="128" w:lineRule="exact"/>
        <w:rPr>
          <w:rFonts w:ascii="Arial" w:cs="Arial" w:eastAsia="Arial" w:hAnsi="Arial"/>
          <w:sz w:val="16"/>
          <w:szCs w:val="16"/>
          <w:color w:val="auto"/>
        </w:rPr>
      </w:pPr>
    </w:p>
    <w:p>
      <w:pPr>
        <w:jc w:val="both"/>
        <w:ind w:left="660" w:firstLine="644"/>
        <w:spacing w:after="0" w:line="282" w:lineRule="auto"/>
        <w:tabs>
          <w:tab w:leader="none" w:pos="195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prior to the commencement of any Interest Period for a Term Benchmark Borrowing, the Adjusted Term SOFR Rate and such Interest Period will not adequately and fairly reflect the cost to such Lenders (or Lender) of making or maintaining their Term Loans (or its Term Loan) or Revolving Loans (or its Revolving Loan) included in such Borrowing for such Interest Period,</w:t>
      </w:r>
    </w:p>
    <w:p>
      <w:pPr>
        <w:spacing w:after="0" w:line="161"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then the Administrative Agent shall give notice thereof to the Borrower and the Lenders by telephone, telecopy or electronic mail as promptly as practicable thereafter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4" w:name="page245"/>
    <w:bookmarkEnd w:id="244"/>
    <w:p>
      <w:pPr>
        <w:jc w:val="both"/>
        <w:ind w:left="660"/>
        <w:spacing w:after="0" w:line="270" w:lineRule="auto"/>
        <w:rPr>
          <w:sz w:val="20"/>
          <w:szCs w:val="20"/>
          <w:color w:val="auto"/>
        </w:rPr>
      </w:pPr>
      <w:r>
        <w:rPr>
          <w:rFonts w:ascii="Arial" w:cs="Arial" w:eastAsia="Arial" w:hAnsi="Arial"/>
          <w:sz w:val="18"/>
          <w:szCs w:val="18"/>
          <w:color w:val="auto"/>
        </w:rPr>
        <w:t xml:space="preserve">until the Administrative Agent notifies the Borrower and the Lenders that the circumstances giving rise to such notice no longer exist with respect to the relevant Benchmark, any Interest Election Request that requests the conversion of any ABR Borrowing to, or continuation of any ABR Borrowing as, a Term Benchmark Borrowing and any Borrowing Request that requests a Term Benchmark Borrowing shall instead be deemed to be an Interest Election Request or a Borrowing Request, as applicable, for an ABR Borrowing. Furthermore, if any Term Benchmark Loan is outstanding on the date of the Borrower’s receipt of the notice from the Administrative Agent referred to in this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or a new Borrowing Request in accordance with the terms of </w:t>
      </w:r>
      <w:r>
        <w:rPr>
          <w:rFonts w:ascii="Arial" w:cs="Arial" w:eastAsia="Arial" w:hAnsi="Arial"/>
          <w:sz w:val="18"/>
          <w:szCs w:val="18"/>
          <w:u w:val="single" w:color="auto"/>
          <w:color w:val="auto"/>
        </w:rPr>
        <w:t>Section 2.03</w:t>
      </w:r>
      <w:r>
        <w:rPr>
          <w:rFonts w:ascii="Arial" w:cs="Arial" w:eastAsia="Arial" w:hAnsi="Arial"/>
          <w:sz w:val="18"/>
          <w:szCs w:val="18"/>
          <w:color w:val="auto"/>
        </w:rPr>
        <w:t>, (1) any Term Benchmark Loan shall on the last day of the Interest Period applicable to such Loan (or the next succeeding Business Day if such day is not a Business Day), be converted by the Administrative Agent to, and shall constitute, an ABR Borrowing.</w:t>
      </w:r>
    </w:p>
    <w:p>
      <w:pPr>
        <w:spacing w:after="0" w:line="176" w:lineRule="exact"/>
        <w:rPr>
          <w:sz w:val="20"/>
          <w:szCs w:val="20"/>
          <w:color w:val="auto"/>
        </w:rPr>
      </w:pPr>
    </w:p>
    <w:p>
      <w:pPr>
        <w:jc w:val="both"/>
        <w:ind w:firstLine="656"/>
        <w:spacing w:after="0" w:line="269" w:lineRule="auto"/>
        <w:tabs>
          <w:tab w:leader="none" w:pos="12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(and any Swap Obligation shall be deemed not to be a Loan Document for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if a Benchmark Transition Event and its related Benchmark Replacement Date have occurred prior to the Reference Time in respect of any setting of the then-current Benchmark, then (x) if a Benchmark Replacement is determined in accordance with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1" w:lineRule="exact"/>
        <w:rPr>
          <w:rFonts w:ascii="Arial" w:cs="Arial" w:eastAsia="Arial" w:hAnsi="Arial"/>
          <w:sz w:val="18"/>
          <w:szCs w:val="18"/>
          <w:color w:val="auto"/>
        </w:rPr>
      </w:pPr>
    </w:p>
    <w:p>
      <w:pPr>
        <w:jc w:val="both"/>
        <w:ind w:firstLine="656"/>
        <w:spacing w:after="0" w:line="244" w:lineRule="auto"/>
        <w:tabs>
          <w:tab w:leader="none" w:pos="129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below and (v)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5" w:name="page246"/>
    <w:bookmarkEnd w:id="245"/>
    <w:p>
      <w:pPr>
        <w:jc w:val="both"/>
        <w:spacing w:after="0" w:line="276" w:lineRule="auto"/>
        <w:rPr>
          <w:sz w:val="20"/>
          <w:szCs w:val="20"/>
          <w:color w:val="auto"/>
        </w:rPr>
      </w:pPr>
      <w:r>
        <w:rPr>
          <w:rFonts w:ascii="Arial" w:cs="Arial" w:eastAsia="Arial" w:hAnsi="Arial"/>
          <w:sz w:val="18"/>
          <w:szCs w:val="18"/>
          <w:color w:val="auto"/>
        </w:rPr>
        <w:t xml:space="preserve">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65" w:lineRule="exact"/>
        <w:rPr>
          <w:sz w:val="20"/>
          <w:szCs w:val="20"/>
          <w:color w:val="auto"/>
        </w:rPr>
      </w:pPr>
    </w:p>
    <w:p>
      <w:pPr>
        <w:jc w:val="both"/>
        <w:ind w:firstLine="656"/>
        <w:spacing w:after="0" w:line="268" w:lineRule="auto"/>
        <w:tabs>
          <w:tab w:leader="none" w:pos="129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either</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 subsequently displayed on a screen or information service for a Benchmark (including a Benchmark Replacement) or</w:t>
      </w:r>
    </w:p>
    <w:p>
      <w:pPr>
        <w:spacing w:after="0" w:line="22" w:lineRule="exact"/>
        <w:rPr>
          <w:rFonts w:ascii="Arial" w:cs="Arial" w:eastAsia="Arial" w:hAnsi="Arial"/>
          <w:sz w:val="18"/>
          <w:szCs w:val="18"/>
          <w:color w:val="auto"/>
        </w:rPr>
      </w:pPr>
    </w:p>
    <w:p>
      <w:pPr>
        <w:jc w:val="both"/>
        <w:ind w:firstLine="8"/>
        <w:spacing w:after="0" w:line="241" w:lineRule="auto"/>
        <w:tabs>
          <w:tab w:leader="none" w:pos="349"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5" w:lineRule="exact"/>
        <w:rPr>
          <w:rFonts w:ascii="Arial" w:cs="Arial" w:eastAsia="Arial" w:hAnsi="Arial"/>
          <w:sz w:val="20"/>
          <w:szCs w:val="20"/>
          <w:color w:val="auto"/>
        </w:rPr>
      </w:pPr>
    </w:p>
    <w:p>
      <w:pPr>
        <w:jc w:val="both"/>
        <w:ind w:firstLine="656"/>
        <w:spacing w:after="0" w:line="271" w:lineRule="auto"/>
        <w:tabs>
          <w:tab w:leader="none" w:pos="129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any Term Benchmark Loan shall on the last day of the Interest Period applicable to such Term Loan (or the next succeeding Business Day if such day is not a Business Day), be converted by the Administrative Agent to, and shall constitute an ABR Loan.</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216" w:lineRule="exact"/>
        <w:rPr>
          <w:sz w:val="20"/>
          <w:szCs w:val="20"/>
          <w:color w:val="auto"/>
        </w:rPr>
      </w:pPr>
    </w:p>
    <w:p>
      <w:pPr>
        <w:ind w:left="1300" w:hanging="644"/>
        <w:spacing w:after="0"/>
        <w:tabs>
          <w:tab w:leader="none" w:pos="13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956" w:val="left"/>
        </w:tabs>
        <w:numPr>
          <w:ilvl w:val="1"/>
          <w:numId w:val="197"/>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6" w:name="page247"/>
    <w:bookmarkEnd w:id="246"/>
    <w:p>
      <w:pPr>
        <w:ind w:left="660"/>
        <w:spacing w:after="0" w:line="260" w:lineRule="auto"/>
        <w:rPr>
          <w:sz w:val="20"/>
          <w:szCs w:val="20"/>
          <w:color w:val="auto"/>
        </w:rPr>
      </w:pPr>
      <w:r>
        <w:rPr>
          <w:rFonts w:ascii="Arial" w:cs="Arial" w:eastAsia="Arial" w:hAnsi="Arial"/>
          <w:sz w:val="20"/>
          <w:szCs w:val="20"/>
          <w:color w:val="auto"/>
        </w:rPr>
        <w:t>or for the account of, or credit extended by, any Lender (except any reserve requirement reflected in the Term SOFR Rate) or any Issuing Bank; or</w:t>
      </w:r>
    </w:p>
    <w:p>
      <w:pPr>
        <w:spacing w:after="0" w:line="177" w:lineRule="exact"/>
        <w:rPr>
          <w:sz w:val="20"/>
          <w:szCs w:val="20"/>
          <w:color w:val="auto"/>
        </w:rPr>
      </w:pPr>
    </w:p>
    <w:p>
      <w:pPr>
        <w:jc w:val="both"/>
        <w:ind w:left="660" w:firstLine="644"/>
        <w:spacing w:after="0" w:line="291" w:lineRule="auto"/>
        <w:tabs>
          <w:tab w:leader="none" w:pos="195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subject any Lender or any Issuing Bank to any Tax (other than (x) Indemnified Taxes and Other Taxes indemnifiable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(y) Excluded Taxes) with respect to its loans, loan principal, letters of credit, commitments, or other obligations, or its deposits, reserves, other liabilities or capital attributable thereto; or</w:t>
      </w:r>
    </w:p>
    <w:p>
      <w:pPr>
        <w:spacing w:after="0" w:line="151" w:lineRule="exact"/>
        <w:rPr>
          <w:rFonts w:ascii="Arial" w:cs="Arial" w:eastAsia="Arial" w:hAnsi="Arial"/>
          <w:sz w:val="18"/>
          <w:szCs w:val="18"/>
          <w:color w:val="auto"/>
        </w:rPr>
      </w:pPr>
    </w:p>
    <w:p>
      <w:pPr>
        <w:ind w:left="660" w:firstLine="644"/>
        <w:spacing w:after="0" w:line="260" w:lineRule="auto"/>
        <w:tabs>
          <w:tab w:leader="none" w:pos="195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impose on any Lender or any Issuing Bank any other condition affecting this Agreement or Term SOFR Rate Loans made by such Lender or any Letter of Credit participation therein,</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of making or maintaining any such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applicable, such additional amount or amounts as will compensate such Lender or Issuing Bank, as applicable, for such additional costs actually incurred or reduction actually suffered as reasonably determined by the Administrative Agent, such Lender or Issuing Bank, as applicable (which determination shall be made in good faith and in a manner substantially consistent with the determinations being made for similarly situated customers of the Administrative Agent, such Lender or Issuing Bank, as applicable, under agreements having provisions similar to this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55" w:lineRule="auto"/>
        <w:tabs>
          <w:tab w:leader="none" w:pos="1296"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shall pay to such Lender or such Issuing Bank, as applicable, such additional amount or amounts as will compensate such Lender or such Issuing Bank or such Lender’s or such Issuing Bank’s holding company for any such reduction suffered as reasonably determined by such Lender or such Issuing Bank (which determination shall be made in good faith and in a manner substantially consistent with determinations being made for similarly situated customers of such Lender or such Issuing Bank under agreements having provisions similar to this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181" w:lineRule="exact"/>
        <w:rPr>
          <w:rFonts w:ascii="Arial" w:cs="Arial" w:eastAsia="Arial" w:hAnsi="Arial"/>
          <w:sz w:val="19"/>
          <w:szCs w:val="19"/>
          <w:color w:val="auto"/>
        </w:rPr>
      </w:pPr>
    </w:p>
    <w:p>
      <w:pPr>
        <w:jc w:val="both"/>
        <w:ind w:firstLine="656"/>
        <w:spacing w:after="0" w:line="275" w:lineRule="auto"/>
        <w:tabs>
          <w:tab w:leader="none" w:pos="129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A certificate of a Lender or an Issuing Bank describing in reasonable detail the amount or amounts necessary to compensate such Lender or Issuing Bank or its holding company, as applicable, as specified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w:t>
      </w:r>
    </w:p>
    <w:p>
      <w:pPr>
        <w:ind w:firstLine="8"/>
        <w:spacing w:after="0" w:line="269" w:lineRule="auto"/>
        <w:tabs>
          <w:tab w:leader="none" w:pos="289" w:val="left"/>
        </w:tabs>
        <w:numPr>
          <w:ilvl w:val="0"/>
          <w:numId w:val="200"/>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be delivered to the Borrower and shall be conclusive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certificate claiming amounts described in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the definition of “Change in Law” shall,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7" w:name="page248"/>
    <w:bookmarkEnd w:id="247"/>
    <w:p>
      <w:pPr>
        <w:jc w:val="both"/>
        <w:spacing w:after="0" w:line="244" w:lineRule="auto"/>
        <w:rPr>
          <w:sz w:val="20"/>
          <w:szCs w:val="20"/>
          <w:color w:val="auto"/>
        </w:rPr>
      </w:pPr>
      <w:r>
        <w:rPr>
          <w:rFonts w:ascii="Arial" w:cs="Arial" w:eastAsia="Arial" w:hAnsi="Arial"/>
          <w:sz w:val="20"/>
          <w:szCs w:val="20"/>
          <w:color w:val="auto"/>
        </w:rPr>
        <w:t>addition, state the basis upon which such amount has been calculated and certify that such Lender’s or such Issuing Bank’s demand for payment of such costs hereunder, and such method of allocation, is not inconsistent with its treatment of other borrowers, which as a credit matter, are similarly situated to the Borrower and which are subject to similar provisions. The Borrower shall pay such Lender or such Issuing Bank, as applicable, the amount shown as due on any such certificate within ten (10) Business Days after receipt thereof.</w:t>
      </w:r>
    </w:p>
    <w:p>
      <w:pPr>
        <w:spacing w:after="0" w:line="194" w:lineRule="exact"/>
        <w:rPr>
          <w:sz w:val="20"/>
          <w:szCs w:val="20"/>
          <w:color w:val="auto"/>
        </w:rPr>
      </w:pPr>
    </w:p>
    <w:p>
      <w:pPr>
        <w:jc w:val="both"/>
        <w:ind w:firstLine="656"/>
        <w:spacing w:after="0" w:line="271" w:lineRule="auto"/>
        <w:tabs>
          <w:tab w:leader="none" w:pos="12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Promptly after any Lender or Issuing Bank has determined that it will make a request for increased compensation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such Lender or such Issuing Bank shall notify the Borrower thereof. Failure or delay on the part of any Lender or Issuing Bank to demand compensation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an Issuing Bank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for any increased costs or reductions incurred more than one hundred and eighty (180) days prior to the date that such Lender or such Issuing Bank, as applicable notifies the Borrower of the Change in Law giving rise to such increased costs or reductions and of such Lender’s or such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Change in Law giving rise to such increased costs or reductions is retroactive, then the one hundred and eighty (180)-day period referred to above shall be extended to include the period of retroactive effect thereof.</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(a) that the Borrower makes any payment of principal when due in connection with a Term SOFR Rate Loan on a date other than the last day of the Interest Period therefor, (b) of any failure of the Borrower to borrow or continue a Term SOFR Rate Loan or convert to a Term SOFR Rate Loan on a date specified therefor in a Borrowing or an Interest Election Request or (c) of any payment, prepayment or conversion of any Term SOFR Rate Loan by the Borrower on a date other than the last day of the Interest Period therefor, the Borrower shall compensate each Lender for the loss, cost or expense to such event, which, in each case, may arise or be attributable to each Lender’s obtaining, liquidating or employing deposits or other funds acquired to effect, fund or maintain any Loan, in accordance with the last sentence of this </w:t>
      </w:r>
      <w:r>
        <w:rPr>
          <w:rFonts w:ascii="Arial" w:cs="Arial" w:eastAsia="Arial" w:hAnsi="Arial"/>
          <w:sz w:val="19"/>
          <w:szCs w:val="19"/>
          <w:u w:val="single" w:color="auto"/>
          <w:color w:val="auto"/>
        </w:rPr>
        <w:t>Section 2.16</w:t>
      </w:r>
      <w:r>
        <w:rPr>
          <w:rFonts w:ascii="Arial" w:cs="Arial" w:eastAsia="Arial" w:hAnsi="Arial"/>
          <w:sz w:val="19"/>
          <w:szCs w:val="19"/>
          <w:color w:val="auto"/>
        </w:rPr>
        <w:t>. The amount of such loss or expense shall be determined, in the applicable Lender’s sole discretion, based upon the assumption that such Lender funded its ratable portion of the Term SOFR Rate Loans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Administrative Agent and shall be conclusively presumed to be correct save for manifest error. The Borrower shall pay such Lender the amount shown as due on any such certificate within 10 days after receipt thereof.</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0" w:lineRule="auto"/>
        <w:tabs>
          <w:tab w:leader="none" w:pos="1296"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All payments made by or on behalf of a Loan Party under this Agreement or any other Loan Document shall be made free and clear of, and without deduction or withholding for or on account of, any Taxes; </w:t>
      </w:r>
      <w:r>
        <w:rPr>
          <w:rFonts w:ascii="Arial" w:cs="Arial" w:eastAsia="Arial" w:hAnsi="Arial"/>
          <w:sz w:val="19"/>
          <w:szCs w:val="19"/>
          <w:u w:val="single" w:color="auto"/>
          <w:color w:val="auto"/>
        </w:rPr>
        <w:t>provided</w:t>
      </w:r>
      <w:r>
        <w:rPr>
          <w:rFonts w:ascii="Arial" w:cs="Arial" w:eastAsia="Arial" w:hAnsi="Arial"/>
          <w:sz w:val="19"/>
          <w:szCs w:val="19"/>
          <w:color w:val="auto"/>
        </w:rPr>
        <w:t>, that if a Loan Party, the Administrative Agent or any other applicable withholding agent shall be required by applicable Requirement of Law to deduct or withhold any Taxes from any such payments, then (i) the applicable withholding agent shall make such deductions or withholdings as are reasonably determined by the applicable withholding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8" w:name="page249"/>
    <w:bookmarkEnd w:id="248"/>
    <w:p>
      <w:pPr>
        <w:jc w:val="both"/>
        <w:spacing w:after="0" w:line="255" w:lineRule="auto"/>
        <w:rPr>
          <w:sz w:val="20"/>
          <w:szCs w:val="20"/>
          <w:color w:val="auto"/>
        </w:rPr>
      </w:pPr>
      <w:r>
        <w:rPr>
          <w:rFonts w:ascii="Arial" w:cs="Arial" w:eastAsia="Arial" w:hAnsi="Arial"/>
          <w:sz w:val="19"/>
          <w:szCs w:val="19"/>
          <w:color w:val="auto"/>
        </w:rPr>
        <w:t xml:space="preserve">to be required by any applicable Requirements of Law, (ii) the applicable withholding agent shall timely pay the full amount deducted or withheld to the relevant Governmental Authority within the time allowed and in accordance with the applicable Requirements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each Lender (or, in the case of payments made to the Administrative Agent for its own account, the Administrative Agent), as applicable, receives an amount equal to the sum it would have received had no such deductions or withholdings been made. Promptly after any payment of Taxes by any Loan Party or the Administrative Agent to a Governmental Authority as provided in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w:t>
      </w:r>
    </w:p>
    <w:p>
      <w:pPr>
        <w:spacing w:after="0" w:line="182" w:lineRule="exact"/>
        <w:rPr>
          <w:sz w:val="20"/>
          <w:szCs w:val="20"/>
          <w:color w:val="auto"/>
        </w:rPr>
      </w:pPr>
    </w:p>
    <w:p>
      <w:pPr>
        <w:jc w:val="both"/>
        <w:ind w:firstLine="656"/>
        <w:spacing w:after="0" w:line="291" w:lineRule="auto"/>
        <w:tabs>
          <w:tab w:leader="none" w:pos="129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Without duplication of any additional amounts paid pursuant to </w:t>
      </w:r>
      <w:r>
        <w:rPr>
          <w:rFonts w:ascii="Arial" w:cs="Arial" w:eastAsia="Arial" w:hAnsi="Arial"/>
          <w:sz w:val="18"/>
          <w:szCs w:val="18"/>
          <w:u w:val="single" w:color="auto"/>
          <w:color w:val="auto"/>
        </w:rPr>
        <w:t>Section 2.17(a)</w:t>
      </w:r>
      <w:r>
        <w:rPr>
          <w:rFonts w:ascii="Arial" w:cs="Arial" w:eastAsia="Arial" w:hAnsi="Arial"/>
          <w:sz w:val="18"/>
          <w:szCs w:val="18"/>
          <w:color w:val="auto"/>
        </w:rPr>
        <w:t>, the Borrower shall timely pay to the relevant Governmental Authority in accordance with applicable law, or, at the option of the Administrative Agent and without duplication, timely reimburse the Administrative Agent for the payment of, any Other Taxes.</w:t>
      </w:r>
    </w:p>
    <w:p>
      <w:pPr>
        <w:spacing w:after="0" w:line="151" w:lineRule="exact"/>
        <w:rPr>
          <w:rFonts w:ascii="Arial" w:cs="Arial" w:eastAsia="Arial" w:hAnsi="Arial"/>
          <w:sz w:val="18"/>
          <w:szCs w:val="18"/>
          <w:color w:val="auto"/>
        </w:rPr>
      </w:pPr>
    </w:p>
    <w:p>
      <w:pPr>
        <w:ind w:firstLine="656"/>
        <w:spacing w:after="0" w:line="254" w:lineRule="auto"/>
        <w:tabs>
          <w:tab w:leader="none" w:pos="129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The Borrower shall, without duplication of any additional amounts paid pursuant to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or any amounts paid pursuant to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indemnify and hold harmless the Administrative Agent and each Lender within thirty (30) Business Days after written demand therefor, for the full amount of any Indemnified Taxes or Other Taxes payable or paid by the Administrative Agent or such Lender, as applicable, as the case may be (including Indemnified Taxes or Other Taxes imposed or asserted on or attributable to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(as applicable) on its own behalf or on behalf of a Lender shall be conclusive absent manifest error. If the Borrower determines that there is a reasonable basis to contest any Indemnified Tax or Other Tax for which it is responsible hereunder, without limiting the Borrower’s indemnification obligations hereunder, the Administrative Agent or Lender (as applicable) shall, at the Borrower’s request, reasonably cooperate in pursuing a refund of such Tax (at the Borrower’s expense) so long as pursuing such refund would not, in the sole reasonable determination of such Administrative Agent or Lender, result in any additional unreimbursed costs or expenses or be otherwise disadvantageous to the Administrative Agent or such Lender. Any refund obtained pursuant to the preceding sentence shall be paid to the Borrower to the extent provided in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Any Lender that is entitled to an exemption from or reduction of withholding Tax with respect to any payments under this Agreement shall deliver to the Borrower (with a copy to the Administrative Agent), at the time(s) reasonably requested by the Borrower or the Administrative Agent and in the manner(s) prescribed by applicable law or reasonably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49" w:name="page250"/>
    <w:bookmarkEnd w:id="249"/>
    <w:p>
      <w:pPr>
        <w:jc w:val="both"/>
        <w:spacing w:after="0" w:line="276" w:lineRule="auto"/>
        <w:rPr>
          <w:sz w:val="20"/>
          <w:szCs w:val="20"/>
          <w:color w:val="auto"/>
        </w:rPr>
      </w:pPr>
      <w:r>
        <w:rPr>
          <w:rFonts w:ascii="Arial" w:cs="Arial" w:eastAsia="Arial" w:hAnsi="Arial"/>
          <w:sz w:val="18"/>
          <w:szCs w:val="18"/>
          <w:color w:val="auto"/>
        </w:rPr>
        <w:t>by the Borrower or the Administrative Agent such properly completed and executed documentation prescribed by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Each person that shall become a Participant pursuant to </w:t>
      </w:r>
      <w:r>
        <w:rPr>
          <w:rFonts w:ascii="Arial" w:cs="Arial" w:eastAsia="Arial" w:hAnsi="Arial"/>
          <w:sz w:val="20"/>
          <w:szCs w:val="20"/>
          <w:u w:val="single" w:color="auto"/>
          <w:color w:val="auto"/>
        </w:rPr>
        <w:t>Section 9.04</w:t>
      </w:r>
      <w:r>
        <w:rPr>
          <w:rFonts w:ascii="Arial" w:cs="Arial" w:eastAsia="Arial" w:hAnsi="Arial"/>
          <w:sz w:val="20"/>
          <w:szCs w:val="20"/>
          <w:color w:val="auto"/>
        </w:rPr>
        <w:t xml:space="preserve"> or a Lender pursuant to </w:t>
      </w:r>
      <w:r>
        <w:rPr>
          <w:rFonts w:ascii="Arial" w:cs="Arial" w:eastAsia="Arial" w:hAnsi="Arial"/>
          <w:sz w:val="20"/>
          <w:szCs w:val="20"/>
          <w:u w:val="single" w:color="auto"/>
          <w:color w:val="auto"/>
        </w:rPr>
        <w:t>Section 9.04</w:t>
      </w:r>
      <w:r>
        <w:rPr>
          <w:rFonts w:ascii="Arial" w:cs="Arial" w:eastAsia="Arial" w:hAnsi="Arial"/>
          <w:sz w:val="20"/>
          <w:szCs w:val="20"/>
          <w:color w:val="auto"/>
        </w:rPr>
        <w:t xml:space="preserve"> shall, upon the effectiveness of the related transfer, be required to provide all the forms and statements required pursuant to this </w:t>
      </w:r>
      <w:r>
        <w:rPr>
          <w:rFonts w:ascii="Arial" w:cs="Arial" w:eastAsia="Arial" w:hAnsi="Arial"/>
          <w:sz w:val="20"/>
          <w:szCs w:val="20"/>
          <w:u w:val="single" w:color="auto"/>
          <w:color w:val="auto"/>
        </w:rPr>
        <w:t>Section 2.17(d)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2.17(f)</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a Participant shall furnish all such required forms and statements solely to the participating Lender.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Without limiting the foregoing:</w:t>
      </w:r>
    </w:p>
    <w:p>
      <w:pPr>
        <w:spacing w:after="0" w:line="216" w:lineRule="exact"/>
        <w:rPr>
          <w:sz w:val="20"/>
          <w:szCs w:val="20"/>
          <w:color w:val="auto"/>
        </w:rPr>
      </w:pPr>
    </w:p>
    <w:p>
      <w:pPr>
        <w:jc w:val="both"/>
        <w:ind w:left="660" w:firstLine="644"/>
        <w:spacing w:after="0" w:line="243" w:lineRule="auto"/>
        <w:tabs>
          <w:tab w:leader="none" w:pos="195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Each Lender that is a U.S. Person shall deliver to the Borrower and (as applicable) the Administrative Agent, on or prior to the date on which such Lender becomes a Lender under this Agreement (and from time to time thereafter as required by applicable Requirements of Law or upon the reasonable request of the Borrower or the Administrative Agent) two properly completed and duly executed copies of IRS Form W-9 or any successor form, certifying that such person (or, if a Lender is disregarded as an entity separate from its owner for U.S. federal income Tax purposes, such Lender’s owner) is exempt from U.S. federal backup withholding Tax on payments made hereunder.</w:t>
      </w:r>
    </w:p>
    <w:p>
      <w:pPr>
        <w:spacing w:after="0" w:line="192"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 any Foreign Lender shall, to the extent it is legally eligible to do so, deliver to the Borrower and the Administrative Agent on or prior to the date on which such Foreign Lender becomes a party to this Agreement (and from time to time thereafter upon the reasonable request of the Borrower or the Administrative Agent) whichever of the following is applicable:</w:t>
      </w:r>
    </w:p>
    <w:p>
      <w:pPr>
        <w:spacing w:after="0" w:line="191" w:lineRule="exact"/>
        <w:rPr>
          <w:rFonts w:ascii="Arial" w:cs="Arial" w:eastAsia="Arial" w:hAnsi="Arial"/>
          <w:sz w:val="20"/>
          <w:szCs w:val="20"/>
          <w:color w:val="auto"/>
        </w:rPr>
      </w:pPr>
    </w:p>
    <w:p>
      <w:pPr>
        <w:jc w:val="both"/>
        <w:ind w:left="1960" w:firstLine="605"/>
        <w:spacing w:after="0" w:line="259" w:lineRule="auto"/>
        <w:tabs>
          <w:tab w:leader="none" w:pos="3255" w:val="left"/>
        </w:tabs>
        <w:numPr>
          <w:ilvl w:val="1"/>
          <w:numId w:val="204"/>
        </w:numPr>
        <w:rPr>
          <w:rFonts w:ascii="Arial" w:cs="Arial" w:eastAsia="Arial" w:hAnsi="Arial"/>
          <w:sz w:val="19"/>
          <w:szCs w:val="19"/>
          <w:color w:val="auto"/>
        </w:rPr>
      </w:pPr>
      <w:r>
        <w:rPr>
          <w:rFonts w:ascii="Arial" w:cs="Arial" w:eastAsia="Arial" w:hAnsi="Arial"/>
          <w:sz w:val="19"/>
          <w:szCs w:val="19"/>
          <w:color w:val="auto"/>
        </w:rPr>
        <w:t>in the case of a Foreign Lender (or, if such Foreign Lender is disregarded as an entity separate from its owner for U.S. federal income Tax purposes, the person treated as its owner for U.S. federal income Tax purposes) eligible for the benefits of an income Tax treaty to which the United States is a party, two duly completed and executed copies of IRS Form W-8BEN or IRS Form W-8BEN-E, as applicable, (or any successor form), establishing an exemption from, or reduction of, U.S. federal withholding Tax pursuant to such Tax treaty;</w:t>
      </w:r>
    </w:p>
    <w:p>
      <w:pPr>
        <w:spacing w:after="0" w:line="178" w:lineRule="exact"/>
        <w:rPr>
          <w:rFonts w:ascii="Arial" w:cs="Arial" w:eastAsia="Arial" w:hAnsi="Arial"/>
          <w:sz w:val="19"/>
          <w:szCs w:val="19"/>
          <w:color w:val="auto"/>
        </w:rPr>
      </w:pPr>
    </w:p>
    <w:p>
      <w:pPr>
        <w:jc w:val="both"/>
        <w:ind w:left="1960" w:firstLine="605"/>
        <w:spacing w:after="0" w:line="246" w:lineRule="auto"/>
        <w:tabs>
          <w:tab w:leader="none" w:pos="3255" w:val="left"/>
        </w:tabs>
        <w:numPr>
          <w:ilvl w:val="1"/>
          <w:numId w:val="204"/>
        </w:numPr>
        <w:rPr>
          <w:rFonts w:ascii="Arial" w:cs="Arial" w:eastAsia="Arial" w:hAnsi="Arial"/>
          <w:sz w:val="20"/>
          <w:szCs w:val="20"/>
          <w:color w:val="auto"/>
        </w:rPr>
      </w:pPr>
      <w:r>
        <w:rPr>
          <w:rFonts w:ascii="Arial" w:cs="Arial" w:eastAsia="Arial" w:hAnsi="Arial"/>
          <w:sz w:val="20"/>
          <w:szCs w:val="20"/>
          <w:color w:val="auto"/>
        </w:rPr>
        <w:t>two duly completed and executed copies of IRS Form W-8ECI (or any successor form) with respect to such Foreign Lender (or, if such Foreign Lender is disregarded as an entity separate from its owner for U.S. federal income Tax purposes, with respect to the person treated as its owner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0" w:name="page251"/>
    <w:bookmarkEnd w:id="250"/>
    <w:p>
      <w:pPr>
        <w:jc w:val="both"/>
        <w:ind w:left="1500" w:firstLine="605"/>
        <w:spacing w:after="0" w:line="271" w:lineRule="auto"/>
        <w:tabs>
          <w:tab w:leader="none" w:pos="279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in the case of a Foreign Lender (or, if such Foreign Lender is disregarded as an entity separate from its owner for U.S. federal income Tax purposes, the person treated as its owner for U.S. federal income Tax purposes) entitled to the benefits of the exemption for portfolio interest under Section 881(c) of the Code, (x) a duly completed and executed certificate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the effect that such Foreign Lender (or such owner as applicable) is not a “bank” within the meaning of Section 881(c)(3)(A) of the Code, a “10 percent shareholder” of the Borrower within the meaning of Section 881(c)(3)(B) of the Code, or a “controlled foreign corporation” described in Section 881(c)(3)(C) of the Code, and that no payments under any Loan Document are effectively connected with a U.S. trade or business of the Foreign Lender (a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 Compliance Certificate</w:t>
      </w:r>
      <w:r>
        <w:rPr>
          <w:rFonts w:ascii="Arial" w:cs="Arial" w:eastAsia="Arial" w:hAnsi="Arial"/>
          <w:sz w:val="18"/>
          <w:szCs w:val="18"/>
          <w:color w:val="auto"/>
        </w:rPr>
        <w:t>”) and (y) two duly completed and executed copies of IRS Form W-8BEN or IRS Form W-8BEN-E, as applicable (or any successor form);</w:t>
      </w:r>
    </w:p>
    <w:p>
      <w:pPr>
        <w:spacing w:after="0" w:line="169" w:lineRule="exact"/>
        <w:rPr>
          <w:rFonts w:ascii="Arial" w:cs="Arial" w:eastAsia="Arial" w:hAnsi="Arial"/>
          <w:sz w:val="18"/>
          <w:szCs w:val="18"/>
          <w:color w:val="auto"/>
        </w:rPr>
      </w:pPr>
    </w:p>
    <w:p>
      <w:pPr>
        <w:jc w:val="both"/>
        <w:ind w:left="1500" w:firstLine="605"/>
        <w:spacing w:after="0" w:line="270" w:lineRule="auto"/>
        <w:tabs>
          <w:tab w:leader="none" w:pos="2795"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to the extent a Foreign Lender (or, if such Foreign Lender is disregarded as an entity separate from its owner for U.S. federal income Tax purposes, the person treated as its owner for U.S. federal income Tax purposes) is not the beneficial owner of such payments (for example, where such Foreign Lender is a partnership or participating Lender), two duly completed and executed copies of IRS Form W-8IMY (or any successor form), accompanied by IRS Form W-8ECI, IRS Form W-8BEN or IRS Form W-8BEN-E, whichever is applicable, (or any successor form), a U.S. Tax Compliance Certificate substantially in the form of </w:t>
      </w:r>
      <w:r>
        <w:rPr>
          <w:rFonts w:ascii="Arial" w:cs="Arial" w:eastAsia="Arial" w:hAnsi="Arial"/>
          <w:sz w:val="18"/>
          <w:szCs w:val="18"/>
          <w:u w:val="single" w:color="auto"/>
          <w:color w:val="auto"/>
        </w:rPr>
        <w:t>Exhibit J-3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J-4</w:t>
      </w:r>
      <w:r>
        <w:rPr>
          <w:rFonts w:ascii="Arial" w:cs="Arial" w:eastAsia="Arial" w:hAnsi="Arial"/>
          <w:sz w:val="18"/>
          <w:szCs w:val="18"/>
          <w:color w:val="auto"/>
        </w:rPr>
        <w:t xml:space="preserve">, IRS Form W-9 (or any successor form), and/or other certification documents from each beneficial owner, as applicable (and including any other information required to be provided by IRS Form W-8IMY (or any successor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J-2</w:t>
      </w:r>
      <w:r>
        <w:rPr>
          <w:rFonts w:ascii="Arial" w:cs="Arial" w:eastAsia="Arial" w:hAnsi="Arial"/>
          <w:sz w:val="18"/>
          <w:szCs w:val="18"/>
          <w:color w:val="auto"/>
        </w:rPr>
        <w:t xml:space="preserve"> on behalf of such direct and indirect partner(s); or</w:t>
      </w:r>
    </w:p>
    <w:p>
      <w:pPr>
        <w:spacing w:after="0" w:line="172" w:lineRule="exact"/>
        <w:rPr>
          <w:rFonts w:ascii="Arial" w:cs="Arial" w:eastAsia="Arial" w:hAnsi="Arial"/>
          <w:sz w:val="18"/>
          <w:szCs w:val="18"/>
          <w:color w:val="auto"/>
        </w:rPr>
      </w:pPr>
    </w:p>
    <w:p>
      <w:pPr>
        <w:jc w:val="both"/>
        <w:ind w:left="1500" w:firstLine="605"/>
        <w:spacing w:after="0" w:line="243" w:lineRule="auto"/>
        <w:tabs>
          <w:tab w:leader="none" w:pos="2795" w:val="left"/>
        </w:tabs>
        <w:numPr>
          <w:ilvl w:val="1"/>
          <w:numId w:val="205"/>
        </w:numPr>
        <w:rPr>
          <w:rFonts w:ascii="Arial" w:cs="Arial" w:eastAsia="Arial" w:hAnsi="Arial"/>
          <w:sz w:val="20"/>
          <w:szCs w:val="20"/>
          <w:color w:val="auto"/>
        </w:rPr>
      </w:pPr>
      <w:r>
        <w:rPr>
          <w:rFonts w:ascii="Arial" w:cs="Arial" w:eastAsia="Arial" w:hAnsi="Arial"/>
          <w:sz w:val="20"/>
          <w:szCs w:val="20"/>
          <w:color w:val="auto"/>
        </w:rPr>
        <w:t>executed copies (in such number of copies as shall be requested by the recipient)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w:t>
      </w:r>
    </w:p>
    <w:p>
      <w:pPr>
        <w:spacing w:after="0" w:line="195" w:lineRule="exact"/>
        <w:rPr>
          <w:rFonts w:ascii="Arial" w:cs="Arial" w:eastAsia="Arial" w:hAnsi="Arial"/>
          <w:sz w:val="20"/>
          <w:szCs w:val="20"/>
          <w:color w:val="auto"/>
        </w:rPr>
      </w:pPr>
    </w:p>
    <w:p>
      <w:pPr>
        <w:jc w:val="both"/>
        <w:ind w:left="200" w:firstLine="644"/>
        <w:spacing w:after="0" w:line="246" w:lineRule="auto"/>
        <w:tabs>
          <w:tab w:leader="none" w:pos="1496"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Each Lender (A) shall promptly notify the Borrower and the Administrative Agent of any change in circumstance which would modify or render invalid any claimed exemption from or reduction of withholding Tax, and (B) agrees that if any documentation it previously delivered pursuant to this </w:t>
      </w:r>
      <w:r>
        <w:rPr>
          <w:rFonts w:ascii="Arial" w:cs="Arial" w:eastAsia="Arial" w:hAnsi="Arial"/>
          <w:sz w:val="20"/>
          <w:szCs w:val="20"/>
          <w:u w:val="single" w:color="auto"/>
          <w:color w:val="auto"/>
        </w:rPr>
        <w:t>Section 2.17(d)</w:t>
      </w:r>
      <w:r>
        <w:rPr>
          <w:rFonts w:ascii="Arial" w:cs="Arial" w:eastAsia="Arial" w:hAnsi="Arial"/>
          <w:sz w:val="20"/>
          <w:szCs w:val="20"/>
          <w:color w:val="auto"/>
        </w:rPr>
        <w:t xml:space="preserve"> expires or becomes obsolete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251" w:name="page252"/>
    <w:bookmarkEnd w:id="251"/>
    <w:p>
      <w:pPr>
        <w:jc w:val="both"/>
        <w:ind w:left="660"/>
        <w:spacing w:after="0" w:line="250" w:lineRule="auto"/>
        <w:rPr>
          <w:sz w:val="20"/>
          <w:szCs w:val="20"/>
          <w:color w:val="auto"/>
        </w:rPr>
      </w:pPr>
      <w:r>
        <w:rPr>
          <w:rFonts w:ascii="Arial" w:cs="Arial" w:eastAsia="Arial" w:hAnsi="Arial"/>
          <w:sz w:val="20"/>
          <w:szCs w:val="20"/>
          <w:color w:val="auto"/>
        </w:rPr>
        <w:t>inaccurate in any respect, it shall promptly (x) update and deliver such documentation to the Borrower and the Administrative Agent or (y) promptly notify the Borrower and the Administrative Agent in writing of its legal ineligibility to do so.</w:t>
      </w:r>
    </w:p>
    <w:p>
      <w:pPr>
        <w:spacing w:after="0" w:line="186" w:lineRule="exact"/>
        <w:rPr>
          <w:sz w:val="20"/>
          <w:szCs w:val="20"/>
          <w:color w:val="auto"/>
        </w:rPr>
      </w:pPr>
    </w:p>
    <w:p>
      <w:pPr>
        <w:jc w:val="both"/>
        <w:ind w:firstLine="656"/>
        <w:spacing w:after="0" w:line="268" w:lineRule="auto"/>
        <w:tabs>
          <w:tab w:leader="none" w:pos="12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If any Lender or the Administrative Agent, as applicable, determines in good faith that it has received a refund of an Indemnified Tax or Other Tax for which it has been indemnified by any Loan Party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then the Lender or the Administrative Agent, as the case may be, shall promptly pay to the indemnifying party an amount equal to such refund (but only to the extent of indemnity payments made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with respect to the Taxes giving rise to such refund) (net of all reasonable out-of-pocket expenses (including Taxes) of such Lender or the Administrative Agent, as the case may be, and without interest other than any interest received thereon from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that the Loan Party, upon the request of the Lender or the Administrative Agent, shall repay the amount paid over to the Loan Party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penalties, interest (solely with respect to the time period during which the Loan Party actually held such funds, except to the extent that the refund was initially claimed at the written request of such Loan Party)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or the Administrative Agent may delete any information therein that it deems confidential). Notwithstanding anything to the contrary in this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in no event will a Lender or the Administrative Agent be required to pay any amount to a Loan Party pursuant to this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the payment of which would place such Lender or the Administrative Agent in a less favorable net after-Tax position than such Lender or the Administrative Agent would have been in if the Indemnified Tax or Other Tax giving rise to such refund had not been imposed in the first instance. Neither any Lender nor the Administrative Agent shall be obliged to make available its Tax returns (or any other information relating to its Taxes that it deems confidential) to any Loan Party in connection with this </w:t>
      </w:r>
      <w:r>
        <w:rPr>
          <w:rFonts w:ascii="Arial" w:cs="Arial" w:eastAsia="Arial" w:hAnsi="Arial"/>
          <w:sz w:val="18"/>
          <w:szCs w:val="18"/>
          <w:u w:val="single" w:color="auto"/>
          <w:color w:val="auto"/>
        </w:rPr>
        <w:t>Section 2.17(e)</w:t>
      </w:r>
      <w:r>
        <w:rPr>
          <w:rFonts w:ascii="Arial" w:cs="Arial" w:eastAsia="Arial" w:hAnsi="Arial"/>
          <w:sz w:val="18"/>
          <w:szCs w:val="18"/>
          <w:color w:val="auto"/>
        </w:rPr>
        <w:t xml:space="preserve"> or any other provision of this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656"/>
        <w:spacing w:after="0" w:line="271" w:lineRule="auto"/>
        <w:tabs>
          <w:tab w:leader="none" w:pos="12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applicable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or such Agent has or has not complied with such Lender’s or such Agent’s obligations under FATCA and to determine the amount, if any, to deduct and withhold from such payment. Solely for purposes of this </w:t>
      </w:r>
      <w:r>
        <w:rPr>
          <w:rFonts w:ascii="Arial" w:cs="Arial" w:eastAsia="Arial" w:hAnsi="Arial"/>
          <w:sz w:val="18"/>
          <w:szCs w:val="18"/>
          <w:u w:val="single" w:color="auto"/>
          <w:color w:val="auto"/>
        </w:rPr>
        <w:t>Section 2.17(f)</w:t>
      </w:r>
      <w:r>
        <w:rPr>
          <w:rFonts w:ascii="Arial" w:cs="Arial" w:eastAsia="Arial" w:hAnsi="Arial"/>
          <w:sz w:val="18"/>
          <w:szCs w:val="18"/>
          <w:color w:val="auto"/>
        </w:rPr>
        <w:t>, “FATCA” shall include any amendments made to FATCA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2" w:name="page253"/>
    <w:bookmarkEnd w:id="252"/>
    <w:p>
      <w:pPr>
        <w:jc w:val="both"/>
        <w:ind w:firstLine="656"/>
        <w:spacing w:after="0" w:line="246" w:lineRule="auto"/>
        <w:tabs>
          <w:tab w:leader="none" w:pos="1296"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Each Lender authorizes the Administrative Agent to deliver to the Borrower and to any successor Administrative Agent any documentation provided by the Lender to the Administrative Agent pursuant to </w:t>
      </w:r>
      <w:r>
        <w:rPr>
          <w:rFonts w:ascii="Arial" w:cs="Arial" w:eastAsia="Arial" w:hAnsi="Arial"/>
          <w:sz w:val="20"/>
          <w:szCs w:val="20"/>
          <w:u w:val="single" w:color="auto"/>
          <w:color w:val="auto"/>
        </w:rPr>
        <w:t>Section 2.17(d)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2.17(f)</w:t>
      </w:r>
      <w:r>
        <w:rPr>
          <w:rFonts w:ascii="Arial" w:cs="Arial" w:eastAsia="Arial" w:hAnsi="Arial"/>
          <w:sz w:val="20"/>
          <w:szCs w:val="20"/>
          <w:color w:val="auto"/>
        </w:rPr>
        <w:t xml:space="preserve">. Notwithstanding any other provision of this </w:t>
      </w:r>
      <w:r>
        <w:rPr>
          <w:rFonts w:ascii="Arial" w:cs="Arial" w:eastAsia="Arial" w:hAnsi="Arial"/>
          <w:sz w:val="20"/>
          <w:szCs w:val="20"/>
          <w:u w:val="single" w:color="auto"/>
          <w:color w:val="auto"/>
        </w:rPr>
        <w:t>Section 2.17</w:t>
      </w:r>
      <w:r>
        <w:rPr>
          <w:rFonts w:ascii="Arial" w:cs="Arial" w:eastAsia="Arial" w:hAnsi="Arial"/>
          <w:sz w:val="20"/>
          <w:szCs w:val="20"/>
          <w:color w:val="auto"/>
        </w:rPr>
        <w:t>, a Lender shall not be required to deliver any documentation that such Lender is not legally eligible to deliver.</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Each Lender shall severally indemnify the Administrative Agent, within 10 days after demand therefor, for</w:t>
      </w:r>
    </w:p>
    <w:p>
      <w:pPr>
        <w:spacing w:after="0" w:line="38" w:lineRule="exact"/>
        <w:rPr>
          <w:rFonts w:ascii="Arial" w:cs="Arial" w:eastAsia="Arial" w:hAnsi="Arial"/>
          <w:sz w:val="18"/>
          <w:szCs w:val="18"/>
          <w:color w:val="auto"/>
        </w:rPr>
      </w:pPr>
    </w:p>
    <w:p>
      <w:pPr>
        <w:jc w:val="both"/>
        <w:ind w:firstLine="8"/>
        <w:spacing w:after="0" w:line="299" w:lineRule="auto"/>
        <w:tabs>
          <w:tab w:leader="none" w:pos="23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any Indemnified Taxes or Other Taxes attributable to such Lender (but only to the extent that a Loan Party has not already indemnified the Administrative Agent for such Indemnified Taxes or Other Taxes and without limiting the obligation of the Loan Parties to do so), (ii) any Taxes attributable to such Lender’s failure to comply with the provisions of </w:t>
      </w:r>
      <w:r>
        <w:rPr>
          <w:rFonts w:ascii="Arial" w:cs="Arial" w:eastAsia="Arial" w:hAnsi="Arial"/>
          <w:sz w:val="16"/>
          <w:szCs w:val="16"/>
          <w:u w:val="single" w:color="auto"/>
          <w:color w:val="auto"/>
        </w:rPr>
        <w:t>Section 9.04(c)</w:t>
      </w:r>
    </w:p>
    <w:p>
      <w:pPr>
        <w:jc w:val="both"/>
        <w:ind w:firstLine="8"/>
        <w:spacing w:after="0" w:line="270" w:lineRule="auto"/>
        <w:tabs>
          <w:tab w:leader="none" w:pos="309" w:val="left"/>
        </w:tabs>
        <w:numPr>
          <w:ilvl w:val="0"/>
          <w:numId w:val="209"/>
        </w:numPr>
        <w:rPr>
          <w:rFonts w:ascii="Arial" w:cs="Arial" w:eastAsia="Arial" w:hAnsi="Arial"/>
          <w:sz w:val="18"/>
          <w:szCs w:val="18"/>
          <w:u w:val="single" w:color="auto"/>
          <w:color w:val="auto"/>
        </w:rPr>
      </w:pPr>
      <w:r>
        <w:rPr>
          <w:rFonts w:ascii="Arial" w:cs="Arial" w:eastAsia="Arial" w:hAnsi="Arial"/>
          <w:sz w:val="18"/>
          <w:szCs w:val="18"/>
          <w:color w:val="auto"/>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setting forth in reasonable detail the calculation of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Section 2.17(h)</w:t>
      </w:r>
      <w:r>
        <w:rPr>
          <w:rFonts w:ascii="Arial" w:cs="Arial" w:eastAsia="Arial" w:hAnsi="Arial"/>
          <w:sz w:val="18"/>
          <w:szCs w:val="18"/>
          <w:color w:val="auto"/>
        </w:rPr>
        <w:t>.</w:t>
      </w:r>
    </w:p>
    <w:p>
      <w:pPr>
        <w:spacing w:after="0" w:line="173" w:lineRule="exact"/>
        <w:rPr>
          <w:rFonts w:ascii="Arial" w:cs="Arial" w:eastAsia="Arial" w:hAnsi="Arial"/>
          <w:sz w:val="18"/>
          <w:szCs w:val="18"/>
          <w:u w:val="single" w:color="auto"/>
          <w:color w:val="auto"/>
        </w:rPr>
      </w:pPr>
    </w:p>
    <w:p>
      <w:pPr>
        <w:jc w:val="both"/>
        <w:ind w:firstLine="656"/>
        <w:spacing w:after="0" w:line="269" w:lineRule="auto"/>
        <w:tabs>
          <w:tab w:leader="none" w:pos="1296"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The agreements in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shall survive the resignation or replacement of the Administrative Agent or any transfer of rights or obligations by, or the replacement of, a Lender, the termination of this Agreement or the Commitments or the repayment, satisfaction or discharge of all Obligations under any Loan Document.</w:t>
      </w:r>
    </w:p>
    <w:p>
      <w:pPr>
        <w:spacing w:after="0" w:line="169" w:lineRule="exact"/>
        <w:rPr>
          <w:rFonts w:ascii="Arial" w:cs="Arial" w:eastAsia="Arial" w:hAnsi="Arial"/>
          <w:sz w:val="19"/>
          <w:szCs w:val="19"/>
          <w:color w:val="auto"/>
        </w:rPr>
      </w:pPr>
    </w:p>
    <w:p>
      <w:pPr>
        <w:ind w:firstLine="656"/>
        <w:spacing w:after="0" w:line="260" w:lineRule="auto"/>
        <w:tabs>
          <w:tab w:leader="none" w:pos="1296" w:val="left"/>
        </w:tabs>
        <w:numPr>
          <w:ilvl w:val="1"/>
          <w:numId w:val="209"/>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2.17</w:t>
      </w:r>
      <w:r>
        <w:rPr>
          <w:rFonts w:ascii="Arial" w:cs="Arial" w:eastAsia="Arial" w:hAnsi="Arial"/>
          <w:sz w:val="20"/>
          <w:szCs w:val="20"/>
          <w:color w:val="auto"/>
        </w:rPr>
        <w:t>, (i) the term “Requirements of Law” includes FATCA and (ii) the term “Lender” includes any Issuing Bank.</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0" w:lineRule="auto"/>
        <w:tabs>
          <w:tab w:leader="none" w:pos="129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Unless otherwise specified, the Borrower shall make each payment required to be made by it hereunder (whether of principal, interest, fees or reimbursement of L/C Disbursements, or of amounts payable under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9.05</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3" w:name="page254"/>
    <w:bookmarkEnd w:id="253"/>
    <w:p>
      <w:pPr>
        <w:jc w:val="both"/>
        <w:spacing w:after="0" w:line="260" w:lineRule="auto"/>
        <w:rPr>
          <w:sz w:val="20"/>
          <w:szCs w:val="20"/>
          <w:color w:val="auto"/>
        </w:rPr>
      </w:pPr>
      <w:r>
        <w:rPr>
          <w:rFonts w:ascii="Arial" w:cs="Arial" w:eastAsia="Arial" w:hAnsi="Arial"/>
          <w:sz w:val="19"/>
          <w:szCs w:val="19"/>
          <w:color w:val="auto"/>
        </w:rPr>
        <w:t>of any payment accruing interest, interest thereon shall be payable for the period of such extension. All payments made under the Loan Documents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80" w:lineRule="exact"/>
        <w:rPr>
          <w:sz w:val="20"/>
          <w:szCs w:val="20"/>
          <w:color w:val="auto"/>
        </w:rPr>
      </w:pPr>
    </w:p>
    <w:p>
      <w:pPr>
        <w:jc w:val="both"/>
        <w:ind w:firstLine="656"/>
        <w:spacing w:after="0" w:line="269" w:lineRule="auto"/>
        <w:tabs>
          <w:tab w:leader="none" w:pos="129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With respect to any proceeds of Collateral received by the Administrative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among the relevant Lenders under the Class of Loans being prepaid as specified by the Borrower) or (B) a mandatory prepayment (which shall be applied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(ii) after an Event of Default has occurred and is continuing and the Administrative Agent so elects or the Required Lenders so direct, such funds shall be applied, subject to the provisions of any applicable Intercreditor Agreement,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including amounts then due to the Administrative Agent, the Collateral Agent and any Issuing Bank from the Borrower,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indemnities or expense reimbursements then due to the Lenders (in their capacities as such) from the Borrower,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(including post-petition interest, whether or not an allowed claim in any claim or proceeding under any Debtor Relief Laws) then due and payable on the Loans ratably,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repay principal on the Loans and unreimbursed L/C Disbursements, to Cash Collateralize all outstanding Letters of Credit, and any other amounts owing with respect to Secured Cash Management Agreements, Secured Hedge Agreements and Secured Supplier Receivables Agreements ratably;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amounts which are applied to Cash Collateralize outstanding Letters of Credit that remain available after expiry of the applicable Letter of Credit shall be applied in the manner set forth herein; and </w:t>
      </w:r>
      <w:r>
        <w:rPr>
          <w:rFonts w:ascii="Arial" w:cs="Arial" w:eastAsia="Arial" w:hAnsi="Arial"/>
          <w:sz w:val="18"/>
          <w:szCs w:val="18"/>
          <w:u w:val="single" w:color="auto"/>
          <w:color w:val="auto"/>
        </w:rPr>
        <w:t>fifth</w:t>
      </w:r>
      <w:r>
        <w:rPr>
          <w:rFonts w:ascii="Arial" w:cs="Arial" w:eastAsia="Arial" w:hAnsi="Arial"/>
          <w:sz w:val="18"/>
          <w:szCs w:val="18"/>
          <w:color w:val="auto"/>
        </w:rPr>
        <w:t>, to the payment of any other Obligation due to any Secured Party by the Borrower.</w:t>
      </w:r>
    </w:p>
    <w:p>
      <w:pPr>
        <w:spacing w:after="0" w:line="173" w:lineRule="exact"/>
        <w:rPr>
          <w:rFonts w:ascii="Arial" w:cs="Arial" w:eastAsia="Arial" w:hAnsi="Arial"/>
          <w:sz w:val="18"/>
          <w:szCs w:val="18"/>
          <w:color w:val="auto"/>
        </w:rPr>
      </w:pPr>
    </w:p>
    <w:p>
      <w:pPr>
        <w:jc w:val="both"/>
        <w:ind w:firstLine="656"/>
        <w:spacing w:after="0" w:line="269" w:lineRule="auto"/>
        <w:tabs>
          <w:tab w:leader="none" w:pos="129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its Term Loans, Revolving Facility Loans or participations in L/C Disbursements or Swingline Loans of a given Class resulting in such Lender receiving payment of a greater proportion of the aggregate amount of its Term Loans, Revolving Facility Loans and participations in L/C Disbursements and Swingline Loans of such Class and accrued interest thereon than the proportion received by any other Lender entitled to receive the same proportion of such payment, then the Lender receiving such greater proportion shall purchase (for cash at face value) participations in the Term Loans, Revolving Facility Loans, L/C Disbursements and Swingline Loans of such Class of such other Lenders to the extent necessary so that the benefit of all such payments shall be shared by all such Lenders ratably in accordance with the principal amount of each such Lender’s respective Term Loans, Revolving Facility Loans and participations in L/C Disbursements and Swingline Loans of such Class and accrued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construed to apply to any payment made by the Borrower pursuant to and in accordance with the express terms of this Agreement or any payment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4" w:name="page255"/>
    <w:bookmarkEnd w:id="254"/>
    <w:p>
      <w:pPr>
        <w:jc w:val="both"/>
        <w:spacing w:after="0" w:line="243" w:lineRule="auto"/>
        <w:rPr>
          <w:sz w:val="20"/>
          <w:szCs w:val="20"/>
          <w:color w:val="auto"/>
        </w:rPr>
      </w:pPr>
      <w:r>
        <w:rPr>
          <w:rFonts w:ascii="Arial" w:cs="Arial" w:eastAsia="Arial" w:hAnsi="Arial"/>
          <w:sz w:val="20"/>
          <w:szCs w:val="20"/>
          <w:color w:val="auto"/>
        </w:rPr>
        <w:t xml:space="preserve">by a Lender as consideration for the assignment of or sale of a participation in any of its Loans or participations in L/C Disbursements to any assignee or participant and (iii) nothing in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be construed to limit the applicability of </w:t>
      </w:r>
      <w:r>
        <w:rPr>
          <w:rFonts w:ascii="Arial" w:cs="Arial" w:eastAsia="Arial" w:hAnsi="Arial"/>
          <w:sz w:val="20"/>
          <w:szCs w:val="20"/>
          <w:u w:val="single" w:color="auto"/>
          <w:color w:val="auto"/>
        </w:rPr>
        <w:t>Section 2.18(b)</w:t>
      </w:r>
      <w:r>
        <w:rPr>
          <w:rFonts w:ascii="Arial" w:cs="Arial" w:eastAsia="Arial" w:hAnsi="Arial"/>
          <w:sz w:val="20"/>
          <w:szCs w:val="20"/>
          <w:color w:val="auto"/>
        </w:rPr>
        <w:t xml:space="preserve"> in the circumstances where </w:t>
      </w:r>
      <w:r>
        <w:rPr>
          <w:rFonts w:ascii="Arial" w:cs="Arial" w:eastAsia="Arial" w:hAnsi="Arial"/>
          <w:sz w:val="20"/>
          <w:szCs w:val="20"/>
          <w:u w:val="single" w:color="auto"/>
          <w:color w:val="auto"/>
        </w:rPr>
        <w:t>Section 2.18(b)</w:t>
      </w:r>
      <w:r>
        <w:rPr>
          <w:rFonts w:ascii="Arial" w:cs="Arial" w:eastAsia="Arial" w:hAnsi="Arial"/>
          <w:sz w:val="20"/>
          <w:szCs w:val="20"/>
          <w:color w:val="auto"/>
        </w:rPr>
        <w:t xml:space="preserve"> is applicable in accordance with its terms.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3" w:lineRule="exact"/>
        <w:rPr>
          <w:sz w:val="20"/>
          <w:szCs w:val="20"/>
          <w:color w:val="auto"/>
        </w:rPr>
      </w:pPr>
    </w:p>
    <w:p>
      <w:pPr>
        <w:jc w:val="both"/>
        <w:ind w:firstLine="656"/>
        <w:spacing w:after="0" w:line="271" w:lineRule="auto"/>
        <w:tabs>
          <w:tab w:leader="none" w:pos="129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relevant Lenders or the applicable Issuing Bank hereunder that the Borrower will not make such payment, the Administrative Agent may assume that the Borrower has made such payment on such date in accordance herewith and may, in reliance upon such assumption, distribute to the relevant Lenders or the applicable Issuing Bank, as applicable, the amount due. In such event, if the Borrower has not in fact made such payment, then each of the relevant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73"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if any Lender shall fail to make any payment required to be made by it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2.18(d)</w:t>
      </w:r>
      <w:r>
        <w:rPr>
          <w:rFonts w:ascii="Arial" w:cs="Arial" w:eastAsia="Arial" w:hAnsi="Arial"/>
          <w:sz w:val="19"/>
          <w:szCs w:val="19"/>
          <w:color w:val="auto"/>
        </w:rPr>
        <w:t xml:space="preserve">,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in any order as determined by the Administrative Agent in its discretion.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3" w:lineRule="auto"/>
        <w:tabs>
          <w:tab w:leader="none" w:pos="129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as applicable, in the future and (ii) would not subject such Lender to any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168"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213"/>
        </w:numPr>
        <w:rPr>
          <w:rFonts w:ascii="Arial" w:cs="Arial" w:eastAsia="Arial" w:hAnsi="Arial"/>
          <w:sz w:val="20"/>
          <w:szCs w:val="20"/>
          <w:color w:val="auto"/>
        </w:rPr>
      </w:pPr>
      <w:r>
        <w:rPr>
          <w:rFonts w:ascii="Arial" w:cs="Arial" w:eastAsia="Arial" w:hAnsi="Arial"/>
          <w:sz w:val="20"/>
          <w:szCs w:val="20"/>
          <w:color w:val="auto"/>
        </w:rPr>
        <w:t xml:space="preserve">If (i) any Lender requests compensation under </w:t>
      </w:r>
      <w:r>
        <w:rPr>
          <w:rFonts w:ascii="Arial" w:cs="Arial" w:eastAsia="Arial" w:hAnsi="Arial"/>
          <w:sz w:val="20"/>
          <w:szCs w:val="20"/>
          <w:u w:val="single" w:color="auto"/>
          <w:color w:val="auto"/>
        </w:rPr>
        <w:t>Section 2.15</w:t>
      </w:r>
      <w:r>
        <w:rPr>
          <w:rFonts w:ascii="Arial" w:cs="Arial" w:eastAsia="Arial" w:hAnsi="Arial"/>
          <w:sz w:val="20"/>
          <w:szCs w:val="20"/>
          <w:color w:val="auto"/>
        </w:rPr>
        <w:t>, (ii) the Borrower is required to pay any additional amount to any Lender or any Governmental Authority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5" w:name="page256"/>
    <w:bookmarkEnd w:id="255"/>
    <w:p>
      <w:pPr>
        <w:jc w:val="both"/>
        <w:spacing w:after="0" w:line="267" w:lineRule="auto"/>
        <w:rPr>
          <w:sz w:val="20"/>
          <w:szCs w:val="20"/>
          <w:color w:val="auto"/>
        </w:rPr>
      </w:pPr>
      <w:r>
        <w:rPr>
          <w:rFonts w:ascii="Arial" w:cs="Arial" w:eastAsia="Arial" w:hAnsi="Arial"/>
          <w:sz w:val="18"/>
          <w:szCs w:val="18"/>
          <w:color w:val="auto"/>
        </w:rPr>
        <w:t xml:space="preserve">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(iii) any Lender is a Defaulting Lender, then the Borrower may, at its sole expense, upon notice to such Lender and the Administrative Agent, require any such Lender to assign and delegate, without recourse (in accordance with and subject to the restrictions contained in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all its interests, rights and obligations under the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have received the prior written consent of the Administrative Agent (and, if in respect of any Revolving Facility Commitment or Revolving Facility Loan, the Swingline Lender and the Issuing Bank), to the extent consent would be required under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for an assignment of Loans or Commitments, as applicable, which consent, in each case,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w:t>
      </w:r>
    </w:p>
    <w:p>
      <w:pPr>
        <w:spacing w:after="0" w:line="8" w:lineRule="exact"/>
        <w:rPr>
          <w:sz w:val="20"/>
          <w:szCs w:val="20"/>
          <w:color w:val="auto"/>
        </w:rPr>
      </w:pPr>
    </w:p>
    <w:p>
      <w:pPr>
        <w:jc w:val="both"/>
        <w:ind w:firstLine="8"/>
        <w:spacing w:after="0" w:line="269" w:lineRule="auto"/>
        <w:tabs>
          <w:tab w:leader="none" w:pos="3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Borrower to require such assignment and delegation cease to apply. Nothing in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the Administrative Agent, such removed Lender and the replacement Lender shall otherwise comply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removed Lender does not comply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within one (1) Business Day after the Borrower’s request, compliance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(but only on the part of the removed Lender) shall not be required to effect such assignment.</w:t>
      </w:r>
    </w:p>
    <w:p>
      <w:pPr>
        <w:spacing w:after="0" w:line="172" w:lineRule="exact"/>
        <w:rPr>
          <w:rFonts w:ascii="Arial" w:cs="Arial" w:eastAsia="Arial" w:hAnsi="Arial"/>
          <w:sz w:val="18"/>
          <w:szCs w:val="18"/>
          <w:color w:val="auto"/>
        </w:rPr>
      </w:pPr>
    </w:p>
    <w:p>
      <w:pPr>
        <w:jc w:val="both"/>
        <w:ind w:firstLine="656"/>
        <w:spacing w:after="0" w:line="269" w:lineRule="auto"/>
        <w:tabs>
          <w:tab w:leader="none" w:pos="129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If any Lender (such Lender,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failed to consent to a proposed amendment, waiver or consent which pursuant to the terms of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requires the consent of all of the Lenders or all of the Lenders affected and with respect to which the Required Lenders shall have granted their consent, then the Borrower shall have the right (unless such Non-Consenting Lender grants such consent) at its sole expense (including with respect to the processing and recordation fee referred to in </w:t>
      </w:r>
      <w:r>
        <w:rPr>
          <w:rFonts w:ascii="Arial" w:cs="Arial" w:eastAsia="Arial" w:hAnsi="Arial"/>
          <w:sz w:val="18"/>
          <w:szCs w:val="18"/>
          <w:u w:val="single" w:color="auto"/>
          <w:color w:val="auto"/>
        </w:rPr>
        <w:t>Section 9.04(b)(ii)(C)</w:t>
      </w:r>
      <w:r>
        <w:rPr>
          <w:rFonts w:ascii="Arial" w:cs="Arial" w:eastAsia="Arial" w:hAnsi="Arial"/>
          <w:sz w:val="18"/>
          <w:szCs w:val="18"/>
          <w:color w:val="auto"/>
        </w:rPr>
        <w:t xml:space="preserve">)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or consent) hereunder to one or more assignees reasonably acceptable to (i) the Administrative Agent (unless such assignee is a Lender, an Affiliate of a Lender or an Approved Fund) and (ii) if in respect of any Revolving Facility Commitment or Revolving Facility Loan, the Swingline Lender and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all Loan Obligations of the Borrower owing to such Non-Consenting Lender being replaced shall be paid in full in same day funds to such Non-Consenting Lender concurrently with such assignment, (ii) the replacement Lender shall purchase the foregoing by paying to such Non-Consenting Lender a price equal to the principal amount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interest thereon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6" w:name="page257"/>
    <w:bookmarkEnd w:id="256"/>
    <w:p>
      <w:pPr>
        <w:jc w:val="both"/>
        <w:spacing w:after="0" w:line="274" w:lineRule="auto"/>
        <w:rPr>
          <w:sz w:val="20"/>
          <w:szCs w:val="20"/>
          <w:color w:val="auto"/>
        </w:rPr>
      </w:pPr>
      <w:r>
        <w:rPr>
          <w:rFonts w:ascii="Arial" w:cs="Arial" w:eastAsia="Arial" w:hAnsi="Arial"/>
          <w:sz w:val="18"/>
          <w:szCs w:val="18"/>
          <w:color w:val="auto"/>
        </w:rPr>
        <w:t xml:space="preserve">replacement Lender,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Borrower, the Administrative Agent, such Non-Consenting Lender and the replacement Lender shall otherwise comply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Non-Consenting Lender does not comply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within one (1) Business Day after the Borrower’s request, compliance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(but only on the part of the Non-Consenting Lender) shall not be required to effect such assignment.</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2.20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2.21</w:t>
      </w:r>
      <w:r>
        <w:rPr>
          <w:sz w:val="20"/>
          <w:szCs w:val="20"/>
          <w:color w:val="auto"/>
        </w:rPr>
        <w:tab/>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8" w:lineRule="auto"/>
        <w:tabs>
          <w:tab w:leader="none" w:pos="12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After the Closing Date has occurred, the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 are established (except as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and provided that the determination of the Incremental Amount for Incremental Loans that are delayed draw term loans may be made either (x) at the time of the establishment of such Incremental Loan commitment hereunder (assuming that such Incremental Loan was fully drawn) or (y) at the time of such delayed draw funding;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the foregoing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no such Incremental Loan commitments shall be included in any determination of “Required Lenders” (or any similar determination) until the time of such delayed draw funding) from one or more Incremental Term Lenders and/or Incremental Revolving Facility Lenders (which, in each case, may include any existing Lender, but shall be required to be persons which would qualify as assignees of a Lender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willing to provide such Incremental Term Loans and/or Incremental Revolving Facility Commitments, as the case may be, in their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each Incremental Revolving Facility Lender providing a commitment to make revolving loans shall be subject to the approval of the Administrative Agent, the Issuing Banks and the Swingline Lender (which approvals shall not be unreasonably withheld, conditioned or delayed). Such notice shall set forth (i) the amount of the Incremental Term Loan Commitments and/or Incremental Revolving Facility Commitments being requested (which shall be in minimum increments of $5,000,000 and a minimum amount of $10,000,000, or equal to the remaining Incremental Amount or, in each case, such lesser amount approved by the Administrative Agent (which approval shall not be unreasonably withheld, conditioned or delayed)), (ii) the date on which such Incremental Term Loan Commitments and/or Incremental Revolving Facility Commitments are requested to become effective and (iii) in the case of Incremental Term Loan Commitments, whether such Incremental Term Loan Commitments are to be (x) commitments to make term loans with terms identical to (and which shall together with any then outstanding Initial Term Loans form a single Class of) Initial Term Loans or (y) commitments to make term loans with pricing, maturity, amortization, participation in mandatory prepayments and/or other terms different from the Initial Term Loans (“</w:t>
      </w:r>
      <w:r>
        <w:rPr>
          <w:rFonts w:ascii="Arial" w:cs="Arial" w:eastAsia="Arial" w:hAnsi="Arial"/>
          <w:sz w:val="18"/>
          <w:szCs w:val="18"/>
          <w:u w:val="single" w:color="auto"/>
          <w:color w:val="auto"/>
        </w:rPr>
        <w:t>Other Incremental Term Loans</w:t>
      </w:r>
      <w:r>
        <w:rPr>
          <w:rFonts w:ascii="Arial" w:cs="Arial" w:eastAsia="Arial" w:hAnsi="Arial"/>
          <w:sz w:val="18"/>
          <w:szCs w:val="18"/>
          <w:color w:val="auto"/>
        </w:rPr>
        <w:t xml:space="preserve">”). Notwithstanding anything herein to the contrary, no Lender shall have any obligation to agree to increase its Commitment, or to provide a Commitment, pursuant to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any election to do so shall be in the sole discretion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7" w:name="page258"/>
    <w:bookmarkEnd w:id="257"/>
    <w:p>
      <w:pPr>
        <w:jc w:val="both"/>
        <w:ind w:firstLine="656"/>
        <w:spacing w:after="0" w:line="243" w:lineRule="auto"/>
        <w:tabs>
          <w:tab w:leader="none" w:pos="1296" w:val="left"/>
        </w:tabs>
        <w:numPr>
          <w:ilvl w:val="0"/>
          <w:numId w:val="216"/>
        </w:numPr>
        <w:rPr>
          <w:rFonts w:ascii="Arial" w:cs="Arial" w:eastAsia="Arial" w:hAnsi="Arial"/>
          <w:sz w:val="20"/>
          <w:szCs w:val="20"/>
          <w:color w:val="auto"/>
        </w:rPr>
      </w:pPr>
      <w:r>
        <w:rPr>
          <w:rFonts w:ascii="Arial" w:cs="Arial" w:eastAsia="Arial" w:hAnsi="Arial"/>
          <w:sz w:val="20"/>
          <w:szCs w:val="20"/>
          <w:color w:val="auto"/>
        </w:rPr>
        <w:t xml:space="preserve">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195" w:lineRule="exact"/>
        <w:rPr>
          <w:rFonts w:ascii="Arial" w:cs="Arial" w:eastAsia="Arial" w:hAnsi="Arial"/>
          <w:sz w:val="20"/>
          <w:szCs w:val="20"/>
          <w:color w:val="auto"/>
        </w:rPr>
      </w:pPr>
    </w:p>
    <w:p>
      <w:pPr>
        <w:jc w:val="both"/>
        <w:ind w:left="660" w:firstLine="644"/>
        <w:spacing w:after="0" w:line="271" w:lineRule="auto"/>
        <w:tabs>
          <w:tab w:leader="none" w:pos="195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(x) commitments to make additional Initial Term Loans shall have the same terms as the Initial Term Loans, and shall form part of the same Class of Initial Term Loans and (y) Incremental Revolving Facility Commitments shall have (A) the same terms as the then 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Latest Maturity Date of the Revolving Facility Commitments or (B) such other terms as shall be reasonably satisfactory to the Administrative Agent (it being understood that, to the extent that any term is added for the benefit of any Incremental Revolving Facility Lenders, no consent shall be required from Revolving Facility Lenders to the extent that such term is (a) also added for the benefit of the Revolving Facility Lenders or (b) is only applicable after the Initial Revolving Facility Maturity Date),</w:t>
      </w:r>
    </w:p>
    <w:p>
      <w:pPr>
        <w:spacing w:after="0" w:line="173" w:lineRule="exact"/>
        <w:rPr>
          <w:rFonts w:ascii="Arial" w:cs="Arial" w:eastAsia="Arial" w:hAnsi="Arial"/>
          <w:sz w:val="18"/>
          <w:szCs w:val="18"/>
          <w:color w:val="auto"/>
        </w:rPr>
      </w:pPr>
    </w:p>
    <w:p>
      <w:pPr>
        <w:jc w:val="both"/>
        <w:ind w:left="660" w:firstLine="644"/>
        <w:spacing w:after="0" w:line="260" w:lineRule="auto"/>
        <w:tabs>
          <w:tab w:leader="none" w:pos="195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 xml:space="preserve">the Other Incremental Term Loans incurred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shall rank equally and ratably in right of security with the Initial Term Loans or, at the option of the Borrower, shall (A) rank junior in right of security with the Initial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Other Incremental Term Loans rank junior in right of security with the Initial Term Loans, such Other Incremental Term Loans shall be subject to a Permitted Junior Intercreditor Agreement) or (B) be unsecured,</w:t>
      </w:r>
    </w:p>
    <w:p>
      <w:pPr>
        <w:spacing w:after="0" w:line="180" w:lineRule="exact"/>
        <w:rPr>
          <w:rFonts w:ascii="Arial" w:cs="Arial" w:eastAsia="Arial" w:hAnsi="Arial"/>
          <w:sz w:val="19"/>
          <w:szCs w:val="19"/>
          <w:color w:val="auto"/>
        </w:rPr>
      </w:pPr>
    </w:p>
    <w:p>
      <w:pPr>
        <w:jc w:val="both"/>
        <w:ind w:left="660" w:firstLine="644"/>
        <w:spacing w:after="0" w:line="255" w:lineRule="auto"/>
        <w:tabs>
          <w:tab w:leader="none" w:pos="195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(A) the final maturity date of any such Other Incremental Term Loans (other than Customary Bridge Financings), shall be no earlier than the Initial Term Facility Maturity Date and (B) except as to pricing, fees, amortization, final maturity date, participation in mandatory prepayments and ranking as to security (which shall, subject to the other clauses of this proviso, be determined by the Borrower and the Person appointed by the Borrower to arrange such Other Incremental Term Loans (the “</w:t>
      </w:r>
      <w:r>
        <w:rPr>
          <w:rFonts w:ascii="Arial" w:cs="Arial" w:eastAsia="Arial" w:hAnsi="Arial"/>
          <w:sz w:val="19"/>
          <w:szCs w:val="19"/>
          <w:u w:val="single" w:color="auto"/>
          <w:color w:val="auto"/>
        </w:rPr>
        <w:t>Incremental Arranger</w:t>
      </w:r>
      <w:r>
        <w:rPr>
          <w:rFonts w:ascii="Arial" w:cs="Arial" w:eastAsia="Arial" w:hAnsi="Arial"/>
          <w:sz w:val="19"/>
          <w:szCs w:val="19"/>
          <w:color w:val="auto"/>
        </w:rPr>
        <w:t>”) in their sole discretion), any such Other Incremental Term Loans shall have (x) the same terms as the Initial Term Loans or (y) such other terms as shall be reasonably satisfactory to the Administrative Agent (it being understood that, to the extent any term is added for the benefit of any Other Incremental Term Loans, no consent shall be required from Term Lenders to the extent that such term is (a) also added for the benefit of the Term Loans or (b) is only applicable after the Initial Term Facility Maturity Date,</w:t>
      </w:r>
    </w:p>
    <w:p>
      <w:pPr>
        <w:spacing w:after="0" w:line="189"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the Weighted Average Life to Maturity of any such Other Incremental Term Loans (other than Customary Bridge Financings) shall be no shorter than the remaining Weighted Average Life to Maturity of the Initial Term Loans,</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1"/>
          <w:numId w:val="216"/>
        </w:numPr>
        <w:rPr>
          <w:rFonts w:ascii="Arial" w:cs="Arial" w:eastAsia="Arial" w:hAnsi="Arial"/>
          <w:sz w:val="20"/>
          <w:szCs w:val="20"/>
          <w:color w:val="auto"/>
        </w:rPr>
      </w:pPr>
      <w:r>
        <w:rPr>
          <w:rFonts w:ascii="Arial" w:cs="Arial" w:eastAsia="Arial" w:hAnsi="Arial"/>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8" w:name="page259"/>
    <w:bookmarkEnd w:id="258"/>
    <w:p>
      <w:pPr>
        <w:jc w:val="both"/>
        <w:ind w:left="660" w:firstLine="644"/>
        <w:spacing w:after="0" w:line="243" w:lineRule="auto"/>
        <w:tabs>
          <w:tab w:leader="none" w:pos="1956"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such Other Incremental Term Loans may participate in any mandatory prepayment of Loans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(subject to the exceptions set forth in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a less than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or solely to the same extent that any existing Class of Term Loans participates on a greater than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as compared to any other existing Class of Term Loans as a result of such other existing Class of Term Loans agreeing to participate on a less than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on a greater than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to such other Loans, than the Term Loans in any mandatory prepayment hereunder (and, for the avoidance of doubt, the allocation of any voluntary prepayment is subject only to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ind w:left="660" w:right="20" w:firstLine="644"/>
        <w:spacing w:after="0" w:line="287" w:lineRule="auto"/>
        <w:tabs>
          <w:tab w:leader="none" w:pos="1956" w:val="left"/>
        </w:tabs>
        <w:numPr>
          <w:ilvl w:val="0"/>
          <w:numId w:val="217"/>
        </w:numPr>
        <w:rPr>
          <w:rFonts w:ascii="Arial" w:cs="Arial" w:eastAsia="Arial" w:hAnsi="Arial"/>
          <w:sz w:val="19"/>
          <w:szCs w:val="19"/>
          <w:color w:val="auto"/>
        </w:rPr>
      </w:pPr>
      <w:r>
        <w:rPr>
          <w:rFonts w:ascii="Arial" w:cs="Arial" w:eastAsia="Arial" w:hAnsi="Arial"/>
          <w:sz w:val="19"/>
          <w:szCs w:val="19"/>
          <w:color w:val="auto"/>
        </w:rPr>
        <w:t>there shall be no borrower (other than the Borrower) or guarantor (other than the Guarantors) in respect of any Incremental Term Loan Commitments or Incremental Revolving Facility Commitments, and</w:t>
      </w:r>
    </w:p>
    <w:p>
      <w:pPr>
        <w:spacing w:after="0" w:line="152" w:lineRule="exact"/>
        <w:rPr>
          <w:rFonts w:ascii="Arial" w:cs="Arial" w:eastAsia="Arial" w:hAnsi="Arial"/>
          <w:sz w:val="19"/>
          <w:szCs w:val="19"/>
          <w:color w:val="auto"/>
        </w:rPr>
      </w:pPr>
    </w:p>
    <w:p>
      <w:pPr>
        <w:ind w:left="660" w:firstLine="644"/>
        <w:spacing w:after="0" w:line="260" w:lineRule="auto"/>
        <w:tabs>
          <w:tab w:leader="none" w:pos="1956" w:val="left"/>
        </w:tabs>
        <w:numPr>
          <w:ilvl w:val="0"/>
          <w:numId w:val="217"/>
        </w:numPr>
        <w:rPr>
          <w:rFonts w:ascii="Arial" w:cs="Arial" w:eastAsia="Arial" w:hAnsi="Arial"/>
          <w:sz w:val="20"/>
          <w:szCs w:val="20"/>
          <w:color w:val="auto"/>
        </w:rPr>
      </w:pPr>
      <w:r>
        <w:rPr>
          <w:rFonts w:ascii="Arial" w:cs="Arial" w:eastAsia="Arial" w:hAnsi="Arial"/>
          <w:sz w:val="20"/>
          <w:szCs w:val="20"/>
          <w:color w:val="auto"/>
        </w:rPr>
        <w:t>Other Incremental Term Loans and Incremental Revolving Facility Commitments shall not be secured by any asset of the Borrower or its Subsidiaries other than the Collateral.</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Each party hereto hereby agrees that, upon the effectiveness of any Incremental Assumption Agreement, this Agreement shall be amended to the extent (but only to the extent) necessary or advisable to reflect the existence and terms of the Incremental Term Loan Commitments and/or Incremental Revolving Facility Commitments evidenced thereby as provided for in </w:t>
      </w:r>
      <w:r>
        <w:rPr>
          <w:rFonts w:ascii="Arial" w:cs="Arial" w:eastAsia="Arial" w:hAnsi="Arial"/>
          <w:sz w:val="18"/>
          <w:szCs w:val="18"/>
          <w:u w:val="single" w:color="auto"/>
          <w:color w:val="auto"/>
        </w:rPr>
        <w:t>Section 9.08(e)</w:t>
      </w:r>
      <w:r>
        <w:rPr>
          <w:rFonts w:ascii="Arial" w:cs="Arial" w:eastAsia="Arial" w:hAnsi="Arial"/>
          <w:sz w:val="18"/>
          <w:szCs w:val="18"/>
          <w:color w:val="auto"/>
        </w:rPr>
        <w:t xml:space="preserve">, including, for the avoidance of doubt, to the extent applicable, to (x) provide that the Lenders providing any Permitted Incremental Term Loans shall have the benefit of the Financial Covenants and be included in the “Required Lenders” and (y) make appropriate changes to </w:t>
      </w:r>
      <w:r>
        <w:rPr>
          <w:rFonts w:ascii="Arial" w:cs="Arial" w:eastAsia="Arial" w:hAnsi="Arial"/>
          <w:sz w:val="18"/>
          <w:szCs w:val="18"/>
          <w:u w:val="single" w:color="auto"/>
          <w:color w:val="auto"/>
        </w:rPr>
        <w:t>Sections 6.09</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9.08</w:t>
      </w:r>
      <w:r>
        <w:rPr>
          <w:rFonts w:ascii="Arial" w:cs="Arial" w:eastAsia="Arial" w:hAnsi="Arial"/>
          <w:sz w:val="18"/>
          <w:szCs w:val="18"/>
          <w:color w:val="auto"/>
        </w:rPr>
        <w:t xml:space="preserve"> with respect to the control of remedies in the event of a default in respect of the Financial Covenants. Any amendment to this Agreement or any other Loan Document that is necessary to effect the provisions of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any such collateral and other documentation shall be deemed “Loan Documents” hereunder and may be memorialized in writing by the Administrative Agent with the Borrower’s consent (not to be unreasonably withheld) and furnished to the other parties hereto.</w:t>
      </w:r>
    </w:p>
    <w:p>
      <w:pPr>
        <w:spacing w:after="0" w:line="174" w:lineRule="exact"/>
        <w:rPr>
          <w:sz w:val="20"/>
          <w:szCs w:val="20"/>
          <w:color w:val="auto"/>
        </w:rPr>
      </w:pPr>
    </w:p>
    <w:p>
      <w:pPr>
        <w:jc w:val="both"/>
        <w:ind w:firstLine="656"/>
        <w:spacing w:after="0" w:line="270" w:lineRule="auto"/>
        <w:tabs>
          <w:tab w:leader="none" w:pos="129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Notwithstanding the foregoing and subject, in the case of any tranche of Incremental Term Loans or any Incremental Revolving Loan that is used to finance a Limited Condition Transaction,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no Incremental Term Loan Commitments or Incremental Revolving Facility Commitment shall become effective under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unless (i) the Borrower shall be in compliance with the Financial Covenants; (ii) no Event of Default (or, in the event that the tranche of Incremental Loans is used to finance a Limited Condition Transaction and to the extent the Lenders participating in such tranche of Incremental Loans, as applicable, agree, no Event of Default under </w:t>
      </w:r>
      <w:r>
        <w:rPr>
          <w:rFonts w:ascii="Arial" w:cs="Arial" w:eastAsia="Arial" w:hAnsi="Arial"/>
          <w:sz w:val="18"/>
          <w:szCs w:val="18"/>
          <w:u w:val="single" w:color="auto"/>
          <w:color w:val="auto"/>
        </w:rPr>
        <w:t>Sections 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exist; (iii) the representations and warranties of the Borrower set forth in this Agreement shall be true and correct in all material respects (other than to the extent qualified by materiality or “Material Adverse Effect,” in which case, such representations and warranties shall be true and correct);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tranche of Incremental Term Loans or any Incremental Revolving Loan is used to finance a Limited Condition Transaction and to the extent the Incremental Term Lenders or Incremental Revolving Facility Lenders, participating in such tranche of Incremental Term Loans or any Incremental Revolving Facility Commitment, as applicable, agree, the foregoing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59" w:name="page260"/>
    <w:bookmarkEnd w:id="259"/>
    <w:p>
      <w:pPr>
        <w:jc w:val="both"/>
        <w:spacing w:after="0" w:line="269" w:lineRule="auto"/>
        <w:rPr>
          <w:sz w:val="20"/>
          <w:szCs w:val="20"/>
          <w:color w:val="auto"/>
        </w:rPr>
      </w:pPr>
      <w:r>
        <w:rPr>
          <w:rFonts w:ascii="Arial" w:cs="Arial" w:eastAsia="Arial" w:hAnsi="Arial"/>
          <w:sz w:val="18"/>
          <w:szCs w:val="18"/>
          <w:color w:val="auto"/>
        </w:rPr>
        <w:t>be limited to the Specified Representations and in the case of any Limited Condition Acquisition (other than an acquisition to which the United Kingdom City Code on Takeovers and Mergers applies), those representations of the seller or the target company (as applicable) included in the acquisition agreement related to such Limited Condition Acquisition that are material to the interests of the Lenders and only to the extent that the Borrower or its applicable Subsidiary has the right to terminate its obligations under such acquisition agreement as a result of a failure of such representations to be accurate; and</w:t>
      </w:r>
    </w:p>
    <w:p>
      <w:pPr>
        <w:spacing w:after="0" w:line="4" w:lineRule="exact"/>
        <w:rPr>
          <w:sz w:val="20"/>
          <w:szCs w:val="20"/>
          <w:color w:val="auto"/>
        </w:rPr>
      </w:pPr>
    </w:p>
    <w:p>
      <w:pPr>
        <w:jc w:val="both"/>
        <w:ind w:firstLine="8"/>
        <w:spacing w:after="0"/>
        <w:tabs>
          <w:tab w:leader="none" w:pos="35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Administrative Agent or with respect to any Other Incremental Term Loans, the Incremental Arranger shall have received documents and legal opinions consistent with those delivered on the Closing Date as to such matters as are reasonably requested by the Administrative Agent or with respect to any Other Incremental Term Loans, the Incremental Arranger. The Administrative Agent shall promptly notify each Lender as to the effectiveness of each Incremental Assumption Agreement.</w:t>
      </w:r>
    </w:p>
    <w:p>
      <w:pPr>
        <w:spacing w:after="0" w:line="197" w:lineRule="exact"/>
        <w:rPr>
          <w:rFonts w:ascii="Arial" w:cs="Arial" w:eastAsia="Arial" w:hAnsi="Arial"/>
          <w:sz w:val="20"/>
          <w:szCs w:val="20"/>
          <w:color w:val="auto"/>
        </w:rPr>
      </w:pPr>
    </w:p>
    <w:p>
      <w:pPr>
        <w:jc w:val="both"/>
        <w:ind w:firstLine="656"/>
        <w:spacing w:after="0" w:line="272" w:lineRule="auto"/>
        <w:tabs>
          <w:tab w:leader="none" w:pos="129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Each of the parties hereto hereby agrees that the Administrative Agent may take any and all action as may be reasonably necessary to ensure that (i) all Incremental Term Loans (other than Other Incremental Term Loans), when originally made, are included in each Borrowing of the outstanding applicable Class of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w:t>
      </w:r>
    </w:p>
    <w:p>
      <w:pPr>
        <w:jc w:val="both"/>
        <w:ind w:firstLine="8"/>
        <w:spacing w:after="0" w:line="241" w:lineRule="auto"/>
        <w:tabs>
          <w:tab w:leader="none" w:pos="32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all Revolving Facility Loans in respect of Incremental Revolving Facility Commitments, when originally made, are included in each Borrowing of the applicable Class of outstanding Revolving Facility Loans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The Borrower agrees that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apply to any conversion of Term Benchmark Loans to ABR Loans reasonably required by the Administrative Agent to effect the foregoing.</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2.22</w:t>
      </w:r>
      <w:r>
        <w:rPr>
          <w:sz w:val="20"/>
          <w:szCs w:val="20"/>
          <w:color w:val="auto"/>
        </w:rPr>
        <w:tab/>
      </w:r>
      <w:r>
        <w:rPr>
          <w:rFonts w:ascii="Arial" w:cs="Arial" w:eastAsia="Arial" w:hAnsi="Arial"/>
          <w:sz w:val="16"/>
          <w:szCs w:val="16"/>
          <w:u w:val="single" w:color="auto"/>
          <w:color w:val="auto"/>
        </w:rPr>
        <w:t>Extensions of Loans and Commitments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29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including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(which provisions shall not be applicable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pursuant to one or more offers made from time to time by the Borrower to all Lenders of any Class of Term Loans and/or Revolving Facility Commitments on a pro rata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Arial" w:cs="Arial" w:eastAsia="Arial" w:hAnsi="Arial"/>
          <w:sz w:val="18"/>
          <w:szCs w:val="18"/>
          <w:u w:val="single" w:color="auto"/>
          <w:color w:val="auto"/>
        </w:rPr>
        <w:t>Pro Rata Extension Offers</w:t>
      </w:r>
      <w:r>
        <w:rPr>
          <w:rFonts w:ascii="Arial" w:cs="Arial" w:eastAsia="Arial" w:hAnsi="Arial"/>
          <w:sz w:val="18"/>
          <w:szCs w:val="18"/>
          <w:color w:val="auto"/>
        </w:rPr>
        <w:t>”), the Borrower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changing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Arial" w:cs="Arial" w:eastAsia="Arial" w:hAnsi="Arial"/>
          <w:sz w:val="18"/>
          <w:szCs w:val="18"/>
          <w:u w:val="single" w:color="auto"/>
          <w:color w:val="auto"/>
        </w:rPr>
        <w:t>Extension</w:t>
      </w:r>
      <w:r>
        <w:rPr>
          <w:rFonts w:ascii="Arial" w:cs="Arial" w:eastAsia="Arial" w:hAnsi="Arial"/>
          <w:sz w:val="18"/>
          <w:szCs w:val="18"/>
          <w:color w:val="auto"/>
        </w:rPr>
        <w:t>”) agreed to between the Borrower and any such Lender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will be established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-2228850</wp:posOffset>
            </wp:positionV>
            <wp:extent cx="4356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435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0" w:name="page261"/>
    <w:bookmarkEnd w:id="260"/>
    <w:p>
      <w:pPr>
        <w:jc w:val="both"/>
        <w:spacing w:after="0" w:line="255" w:lineRule="auto"/>
        <w:rPr>
          <w:sz w:val="20"/>
          <w:szCs w:val="20"/>
          <w:color w:val="auto"/>
        </w:rPr>
      </w:pPr>
      <w:r>
        <w:rPr>
          <w:rFonts w:ascii="Arial" w:cs="Arial" w:eastAsia="Arial" w:hAnsi="Arial"/>
          <w:sz w:val="19"/>
          <w:szCs w:val="19"/>
          <w:color w:val="auto"/>
        </w:rPr>
        <w:t>Agreement by implementing (x) an Other Term Loan for such Lender if such Lender is extending an existing Term Loan (such extended Loan, an “</w:t>
      </w:r>
      <w:r>
        <w:rPr>
          <w:rFonts w:ascii="Arial" w:cs="Arial" w:eastAsia="Arial" w:hAnsi="Arial"/>
          <w:sz w:val="19"/>
          <w:szCs w:val="19"/>
          <w:u w:val="single" w:color="auto"/>
          <w:color w:val="auto"/>
        </w:rPr>
        <w:t>Extended Term Loan</w:t>
      </w:r>
      <w:r>
        <w:rPr>
          <w:rFonts w:ascii="Arial" w:cs="Arial" w:eastAsia="Arial" w:hAnsi="Arial"/>
          <w:sz w:val="19"/>
          <w:szCs w:val="19"/>
          <w:color w:val="auto"/>
        </w:rPr>
        <w:t>”) or (y) an Other Revolving Facility Commitment for such Lender if such Lender is extending an existing Revolving Facility Commitment (such extended Revolving Facility Commitment, an “</w:t>
      </w:r>
      <w:r>
        <w:rPr>
          <w:rFonts w:ascii="Arial" w:cs="Arial" w:eastAsia="Arial" w:hAnsi="Arial"/>
          <w:sz w:val="19"/>
          <w:szCs w:val="19"/>
          <w:u w:val="single" w:color="auto"/>
          <w:color w:val="auto"/>
        </w:rPr>
        <w:t>Extended Revolving Facility Commitment</w:t>
      </w:r>
      <w:r>
        <w:rPr>
          <w:rFonts w:ascii="Arial" w:cs="Arial" w:eastAsia="Arial" w:hAnsi="Arial"/>
          <w:sz w:val="19"/>
          <w:szCs w:val="19"/>
          <w:color w:val="auto"/>
        </w:rPr>
        <w:t>,” and any Revolving Facility Loan made pursuant to such Extended Revolving Facility Commitment, an “</w:t>
      </w:r>
      <w:r>
        <w:rPr>
          <w:rFonts w:ascii="Arial" w:cs="Arial" w:eastAsia="Arial" w:hAnsi="Arial"/>
          <w:sz w:val="19"/>
          <w:szCs w:val="19"/>
          <w:u w:val="single" w:color="auto"/>
          <w:color w:val="auto"/>
        </w:rPr>
        <w:t>Extended Revolving Loan</w:t>
      </w:r>
      <w:r>
        <w:rPr>
          <w:rFonts w:ascii="Arial" w:cs="Arial" w:eastAsia="Arial" w:hAnsi="Arial"/>
          <w:sz w:val="19"/>
          <w:szCs w:val="19"/>
          <w:color w:val="auto"/>
        </w:rPr>
        <w:t xml:space="preserve">”). Each Pro Rata Extension Offer shall specify the date on which the Borrower proposes that the applicable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 Notwithstanding anything herein to the contrary, no Lender shall have any obligation to agree to extend the maturity date of such Lender’s Loans and/or Commitments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any election to do so shall be in the sole discretion of such Lender.</w:t>
      </w:r>
    </w:p>
    <w:p>
      <w:pPr>
        <w:spacing w:after="0" w:line="187" w:lineRule="exact"/>
        <w:rPr>
          <w:sz w:val="20"/>
          <w:szCs w:val="20"/>
          <w:color w:val="auto"/>
        </w:rPr>
      </w:pPr>
    </w:p>
    <w:p>
      <w:pPr>
        <w:jc w:val="both"/>
        <w:ind w:firstLine="656"/>
        <w:spacing w:after="0" w:line="268" w:lineRule="auto"/>
        <w:tabs>
          <w:tab w:leader="none" w:pos="129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Borrower and each Extending Lender shall execute and deliver to the Administrative Agent an amendment to this Agreement (an “</w:t>
      </w:r>
      <w:r>
        <w:rPr>
          <w:rFonts w:ascii="Arial" w:cs="Arial" w:eastAsia="Arial" w:hAnsi="Arial"/>
          <w:sz w:val="18"/>
          <w:szCs w:val="18"/>
          <w:u w:val="single" w:color="auto"/>
          <w:color w:val="auto"/>
        </w:rPr>
        <w:t>Extension Amendment</w:t>
      </w:r>
      <w:r>
        <w:rPr>
          <w:rFonts w:ascii="Arial" w:cs="Arial" w:eastAsia="Arial" w:hAnsi="Arial"/>
          <w:sz w:val="18"/>
          <w:szCs w:val="18"/>
          <w:color w:val="auto"/>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except as to interest rates, fees and any other pricing terms, and amortization, final maturity date and participation in prepayments and commitment reductions (which shall, subject to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proviso, be determined by the Borrower and set forth in the Pro Rata Extension Offer), the Extended Term Loans shall have (x) the same terms as the existing Class of Term Loans from which they are extended or</w:t>
      </w:r>
    </w:p>
    <w:p>
      <w:pPr>
        <w:spacing w:after="0" w:line="2" w:lineRule="exact"/>
        <w:rPr>
          <w:rFonts w:ascii="Arial" w:cs="Arial" w:eastAsia="Arial" w:hAnsi="Arial"/>
          <w:sz w:val="18"/>
          <w:szCs w:val="18"/>
          <w:color w:val="auto"/>
        </w:rPr>
      </w:pPr>
    </w:p>
    <w:p>
      <w:pPr>
        <w:jc w:val="both"/>
        <w:ind w:firstLine="8"/>
        <w:spacing w:after="0" w:line="266" w:lineRule="auto"/>
        <w:tabs>
          <w:tab w:leader="none" w:pos="29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such other terms as shall be reasonably satisfactory to the Administrative Agent, except for any terms which shall not apply until after the then-Latest Maturity Date, (ii) [reserved],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Borrower and set forth in the Pro Rata Extension Offer), any Extended Revolving Facility Commitment shall have (x) the same terms as the existing Class of Revolving Facility Commitments from which they are extended or (y) such other terms as shall be reasonably satisfactory to the Administrative Agent, except for any terms which shall not apply until after the then-Latest Maturity Date, and, in respect of any other terms that would affect the rights or duties of any Issuing Bank or the Swingline Lender, such terms as shall be reasonably satisfactory to such Issuing Bank or the Swingline Lender, and</w:t>
      </w:r>
    </w:p>
    <w:p>
      <w:pPr>
        <w:jc w:val="both"/>
        <w:ind w:firstLine="8"/>
        <w:spacing w:after="0" w:line="270" w:lineRule="auto"/>
        <w:tabs>
          <w:tab w:leader="none" w:pos="31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any Extended Term Loans may participate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 less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or solely with respect to Indebtedness being extended that participates on a greater than pro rata basis as compared to any other Class of Term Loans, a greater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(but only to the same extent that such Class of Term Loans being extended participates on a greater than pro rata basis as compared to any other Class of Term Loans) than the Term Loans in any mandatory prepayment hereunder. Upon the effectiveness of any Extension Amendment, this Agreement shall be amended to the extent (but only to the extent) necessary or advisable to reflect the existence and terms of the Extended Term Loans and/or Extended Revolving Facility Commitments evidenced thereby as provided for in </w:t>
      </w:r>
      <w:r>
        <w:rPr>
          <w:rFonts w:ascii="Arial" w:cs="Arial" w:eastAsia="Arial" w:hAnsi="Arial"/>
          <w:sz w:val="18"/>
          <w:szCs w:val="18"/>
          <w:u w:val="single" w:color="auto"/>
          <w:color w:val="auto"/>
        </w:rPr>
        <w:t>Section 9.08(e)</w:t>
      </w:r>
      <w:r>
        <w:rPr>
          <w:rFonts w:ascii="Arial" w:cs="Arial" w:eastAsia="Arial" w:hAnsi="Arial"/>
          <w:sz w:val="18"/>
          <w:szCs w:val="18"/>
          <w:color w:val="auto"/>
        </w:rPr>
        <w:t>. Any such deemed amendment may be memorialized in writing by the Administrative Agent with the Borrower’s consent (not to be unreasonably withheld) and furnished to the other parties hereto. If provided in any Extension Amendment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1" w:name="page262"/>
    <w:bookmarkEnd w:id="261"/>
    <w:p>
      <w:pPr>
        <w:jc w:val="both"/>
        <w:spacing w:after="0" w:line="244" w:lineRule="auto"/>
        <w:rPr>
          <w:sz w:val="20"/>
          <w:szCs w:val="20"/>
          <w:color w:val="auto"/>
        </w:rPr>
      </w:pPr>
      <w:r>
        <w:rPr>
          <w:rFonts w:ascii="Arial" w:cs="Arial" w:eastAsia="Arial" w:hAnsi="Arial"/>
          <w:sz w:val="20"/>
          <w:szCs w:val="20"/>
          <w:color w:val="auto"/>
        </w:rPr>
        <w:t>respect to any Extended Revolving Facility Commitments, and with the consent of the Swingline Lender and Issuing Bank, participations in Swingline Loans and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w:t>
      </w:r>
    </w:p>
    <w:p>
      <w:pPr>
        <w:spacing w:after="0" w:line="194" w:lineRule="exact"/>
        <w:rPr>
          <w:sz w:val="20"/>
          <w:szCs w:val="20"/>
          <w:color w:val="auto"/>
        </w:rPr>
      </w:pPr>
    </w:p>
    <w:p>
      <w:pPr>
        <w:jc w:val="both"/>
        <w:ind w:firstLine="656"/>
        <w:spacing w:after="0" w:line="257" w:lineRule="auto"/>
        <w:tabs>
          <w:tab w:leader="none" w:pos="1296" w:val="left"/>
        </w:tabs>
        <w:numPr>
          <w:ilvl w:val="0"/>
          <w:numId w:val="225"/>
        </w:numPr>
        <w:rPr>
          <w:rFonts w:ascii="Arial" w:cs="Arial" w:eastAsia="Arial" w:hAnsi="Arial"/>
          <w:sz w:val="19"/>
          <w:szCs w:val="19"/>
          <w:color w:val="auto"/>
        </w:rPr>
      </w:pPr>
      <w:r>
        <w:rPr>
          <w:rFonts w:ascii="Arial" w:cs="Arial" w:eastAsia="Arial" w:hAnsi="Arial"/>
          <w:sz w:val="19"/>
          <w:szCs w:val="19"/>
          <w:color w:val="auto"/>
        </w:rPr>
        <w:t>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w:t>
      </w:r>
    </w:p>
    <w:p>
      <w:pPr>
        <w:spacing w:after="0" w:line="184" w:lineRule="exact"/>
        <w:rPr>
          <w:rFonts w:ascii="Arial" w:cs="Arial" w:eastAsia="Arial" w:hAnsi="Arial"/>
          <w:sz w:val="19"/>
          <w:szCs w:val="19"/>
          <w:color w:val="auto"/>
        </w:rPr>
      </w:pPr>
    </w:p>
    <w:p>
      <w:pPr>
        <w:jc w:val="both"/>
        <w:ind w:firstLine="656"/>
        <w:spacing w:after="0" w:line="269" w:lineRule="auto"/>
        <w:tabs>
          <w:tab w:leader="none" w:pos="12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this Agreement or any other Loan Document (including this </w:t>
      </w:r>
      <w:r>
        <w:rPr>
          <w:rFonts w:ascii="Arial" w:cs="Arial" w:eastAsia="Arial" w:hAnsi="Arial"/>
          <w:sz w:val="18"/>
          <w:szCs w:val="18"/>
          <w:u w:val="single" w:color="auto"/>
          <w:color w:val="auto"/>
        </w:rPr>
        <w:t>Section 2.22</w:t>
      </w:r>
      <w:r>
        <w:rPr>
          <w:rFonts w:ascii="Arial" w:cs="Arial" w:eastAsia="Arial" w:hAnsi="Arial"/>
          <w:sz w:val="18"/>
          <w:szCs w:val="18"/>
          <w:color w:val="auto"/>
        </w:rPr>
        <w:t>), (i) the incurrence of Extended Term Loans and Extended Revolving Facility Commitments will not reduce the Incremental Amount, (ii) no Extended Term Loan or Extended Revolving Facility Commitment is required to be in any minimum amount or any minimum increment, (iii)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(iv) there shall be no condition to any Extension of any Loan or Commitment at any time or from time to time other than notice to the Administrative Agent of such Extension and the terms of the Extended Term Loan or Extended Revolving Facility Commitment implemented thereby, (v)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Other First Liens or Junior Liens, as applicable), (vi) neither the Swingline Lender nor any Issuing Bank shall be obligated to provide Swingline Loans or issue Letters of Credit under such Extended Revolving Facility Commitments unless it shall have consented thereto and (vii) there shall be no borrower (other than the Borrower) and no guarantors (other than the Guarantors) in respect of any such Extended Term Loans or Extended Revolving Facility Commitments.</w:t>
      </w:r>
    </w:p>
    <w:p>
      <w:pPr>
        <w:spacing w:after="0" w:line="176"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Each Extension shall be consummated pursuant to procedures set forth in the associated Pro Rata Extension Offer;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Borrower shall cooperate with the Administrative Agent prior to making any Pro Rata Extension Offer to establish reasonable procedures with respect to mechanical provisions relating to such Extension, including timing, rounding and other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2" w:name="page263"/>
    <w:bookmarkEnd w:id="262"/>
    <w:p>
      <w:pPr>
        <w:ind w:left="660"/>
        <w:spacing w:after="0"/>
        <w:tabs>
          <w:tab w:leader="none" w:pos="1940" w:val="left"/>
        </w:tabs>
        <w:rPr>
          <w:sz w:val="20"/>
          <w:szCs w:val="20"/>
          <w:color w:val="auto"/>
        </w:rPr>
      </w:pPr>
      <w:r>
        <w:rPr>
          <w:rFonts w:ascii="Arial" w:cs="Arial" w:eastAsia="Arial" w:hAnsi="Arial"/>
          <w:sz w:val="20"/>
          <w:szCs w:val="20"/>
          <w:color w:val="auto"/>
        </w:rPr>
        <w:t>Section 2.23</w:t>
      </w:r>
      <w:r>
        <w:rPr>
          <w:sz w:val="20"/>
          <w:szCs w:val="20"/>
          <w:color w:val="auto"/>
        </w:rPr>
        <w:tab/>
      </w:r>
      <w:r>
        <w:rPr>
          <w:rFonts w:ascii="Arial" w:cs="Arial" w:eastAsia="Arial" w:hAnsi="Arial"/>
          <w:sz w:val="18"/>
          <w:szCs w:val="18"/>
          <w:u w:val="single" w:color="auto"/>
          <w:color w:val="auto"/>
        </w:rPr>
        <w:t>Refinancing Amendments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2" w:lineRule="auto"/>
        <w:tabs>
          <w:tab w:leader="none" w:pos="12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including </w:t>
      </w:r>
      <w:r>
        <w:rPr>
          <w:rFonts w:ascii="Arial" w:cs="Arial" w:eastAsia="Arial" w:hAnsi="Arial"/>
          <w:sz w:val="20"/>
          <w:szCs w:val="20"/>
          <w:u w:val="single" w:color="auto"/>
          <w:color w:val="auto"/>
        </w:rPr>
        <w:t>Section 2.18(c)</w:t>
      </w:r>
      <w:r>
        <w:rPr>
          <w:rFonts w:ascii="Arial" w:cs="Arial" w:eastAsia="Arial" w:hAnsi="Arial"/>
          <w:sz w:val="20"/>
          <w:szCs w:val="20"/>
          <w:color w:val="auto"/>
        </w:rPr>
        <w:t xml:space="preserve"> (which provisions shall not be applicable to this </w:t>
      </w:r>
      <w:r>
        <w:rPr>
          <w:rFonts w:ascii="Arial" w:cs="Arial" w:eastAsia="Arial" w:hAnsi="Arial"/>
          <w:sz w:val="20"/>
          <w:szCs w:val="20"/>
          <w:u w:val="single" w:color="auto"/>
          <w:color w:val="auto"/>
        </w:rPr>
        <w:t>Section 2.23</w:t>
      </w:r>
      <w:r>
        <w:rPr>
          <w:rFonts w:ascii="Arial" w:cs="Arial" w:eastAsia="Arial" w:hAnsi="Arial"/>
          <w:sz w:val="20"/>
          <w:szCs w:val="20"/>
          <w:color w:val="auto"/>
        </w:rPr>
        <w:t>), the Borrower may by written notice to the Administrative Agent establish one or more additional tranches of term loans under this Agreement (such loans, “</w:t>
      </w:r>
      <w:r>
        <w:rPr>
          <w:rFonts w:ascii="Arial" w:cs="Arial" w:eastAsia="Arial" w:hAnsi="Arial"/>
          <w:sz w:val="20"/>
          <w:szCs w:val="20"/>
          <w:u w:val="single" w:color="auto"/>
          <w:color w:val="auto"/>
        </w:rPr>
        <w:t>Refinancing Term Loans</w:t>
      </w:r>
      <w:r>
        <w:rPr>
          <w:rFonts w:ascii="Arial" w:cs="Arial" w:eastAsia="Arial" w:hAnsi="Arial"/>
          <w:sz w:val="20"/>
          <w:szCs w:val="20"/>
          <w:color w:val="auto"/>
        </w:rPr>
        <w:t xml:space="preserve">”), all Net Proceeds of which are used to Refinance in whole or in part any Class of Term Loans pursuant to </w:t>
      </w:r>
      <w:r>
        <w:rPr>
          <w:rFonts w:ascii="Arial" w:cs="Arial" w:eastAsia="Arial" w:hAnsi="Arial"/>
          <w:sz w:val="20"/>
          <w:szCs w:val="20"/>
          <w:u w:val="single" w:color="auto"/>
          <w:color w:val="auto"/>
        </w:rPr>
        <w:t>Section 2.11(b)(2)</w:t>
      </w:r>
      <w:r>
        <w:rPr>
          <w:rFonts w:ascii="Arial" w:cs="Arial" w:eastAsia="Arial" w:hAnsi="Arial"/>
          <w:sz w:val="20"/>
          <w:szCs w:val="20"/>
          <w:color w:val="auto"/>
        </w:rPr>
        <w:t>. Each such notice shall specify the date (each, a “</w:t>
      </w:r>
      <w:r>
        <w:rPr>
          <w:rFonts w:ascii="Arial" w:cs="Arial" w:eastAsia="Arial" w:hAnsi="Arial"/>
          <w:sz w:val="20"/>
          <w:szCs w:val="20"/>
          <w:u w:val="single" w:color="auto"/>
          <w:color w:val="auto"/>
        </w:rPr>
        <w:t>Refinancing Effective Date</w:t>
      </w:r>
      <w:r>
        <w:rPr>
          <w:rFonts w:ascii="Arial" w:cs="Arial" w:eastAsia="Arial" w:hAnsi="Arial"/>
          <w:sz w:val="20"/>
          <w:szCs w:val="20"/>
          <w:color w:val="auto"/>
        </w:rPr>
        <w:t xml:space="preserve">”) on which the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196"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before and after giving effect to the borrowing of such Refinancing Term Loans on the Refinancing Effective Date each of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shall be satisfied;</w:t>
      </w:r>
    </w:p>
    <w:p>
      <w:pPr>
        <w:spacing w:after="0" w:line="176"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the final maturity date of the Refinancing Term Loans shall be no earlier than the Term Facility Maturity Date of the refinanced Term Loans;</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95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the Weighted Average Life to Maturity of such Refinancing Term Loans shall be no shorter than the then-remaining Weighted Average Life to Maturity of the refinanced Term Loans;</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 xml:space="preserve">the aggregate principal amount of the Refinancing Term Loans shall not exceed the outstanding principal amount of the refinanced Term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amounts used to pay fees, premiums, costs and expenses (including original issue discount) and accrued interest associated therewith;</w:t>
      </w:r>
    </w:p>
    <w:p>
      <w:pPr>
        <w:spacing w:after="0" w:line="185"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1"/>
          <w:numId w:val="226"/>
        </w:numPr>
        <w:rPr>
          <w:rFonts w:ascii="Arial" w:cs="Arial" w:eastAsia="Arial" w:hAnsi="Arial"/>
          <w:sz w:val="19"/>
          <w:szCs w:val="19"/>
          <w:color w:val="auto"/>
        </w:rPr>
      </w:pPr>
      <w:r>
        <w:rPr>
          <w:rFonts w:ascii="Arial" w:cs="Arial" w:eastAsia="Arial" w:hAnsi="Arial"/>
          <w:sz w:val="19"/>
          <w:szCs w:val="19"/>
          <w:color w:val="auto"/>
        </w:rPr>
        <w:t>all other terms applicable to such Refinancing Term Loans (other than provisions relating to original issue discount, upfront fees, interest rates and any other pricing terms and optional prepayment or mandatory prepayment or redemption terms, which shall be as agreed between the Borrower and the Lenders providing such Refinancing Term Loans) taken as a whole shall (as determined by the Borrower in good faith) be substantially similar to, or no more restrictive to the Borrower and its Subsidiaries than, the terms, taken as a whole, applicable to the Term Loans being refinanced (except to the extent such other terms apply solely to any period after the Latest Maturity Date, the Borrower elects to add such more restrictive terms for the benefit of the other Facilities, or are otherwise reasonably acceptable to the Administrative Agent);</w:t>
      </w:r>
    </w:p>
    <w:p>
      <w:pPr>
        <w:spacing w:after="0" w:line="180" w:lineRule="exact"/>
        <w:rPr>
          <w:rFonts w:ascii="Arial" w:cs="Arial" w:eastAsia="Arial" w:hAnsi="Arial"/>
          <w:sz w:val="19"/>
          <w:szCs w:val="19"/>
          <w:color w:val="auto"/>
        </w:rPr>
      </w:pPr>
    </w:p>
    <w:p>
      <w:pPr>
        <w:ind w:left="660" w:firstLine="644"/>
        <w:spacing w:after="0" w:line="316" w:lineRule="auto"/>
        <w:tabs>
          <w:tab w:leader="none" w:pos="1956"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with respect to Refinancing Term Loans secured by Liens on the Collateral that rank junior in right of security to the Initial Term Loans, such Liens will be subject to a Permitted Junior Intercreditor Agreement;</w:t>
      </w:r>
    </w:p>
    <w:p>
      <w:pPr>
        <w:spacing w:after="0" w:line="129" w:lineRule="exact"/>
        <w:rPr>
          <w:rFonts w:ascii="Arial" w:cs="Arial" w:eastAsia="Arial" w:hAnsi="Arial"/>
          <w:sz w:val="18"/>
          <w:szCs w:val="18"/>
          <w:color w:val="auto"/>
        </w:rPr>
      </w:pPr>
    </w:p>
    <w:p>
      <w:pPr>
        <w:ind w:left="660" w:right="20" w:firstLine="644"/>
        <w:spacing w:after="0" w:line="260" w:lineRule="auto"/>
        <w:tabs>
          <w:tab w:leader="none" w:pos="1956" w:val="left"/>
        </w:tabs>
        <w:numPr>
          <w:ilvl w:val="1"/>
          <w:numId w:val="226"/>
        </w:numPr>
        <w:rPr>
          <w:rFonts w:ascii="Arial" w:cs="Arial" w:eastAsia="Arial" w:hAnsi="Arial"/>
          <w:sz w:val="20"/>
          <w:szCs w:val="20"/>
          <w:color w:val="auto"/>
        </w:rPr>
      </w:pPr>
      <w:r>
        <w:rPr>
          <w:rFonts w:ascii="Arial" w:cs="Arial" w:eastAsia="Arial" w:hAnsi="Arial"/>
          <w:sz w:val="20"/>
          <w:szCs w:val="20"/>
          <w:color w:val="auto"/>
        </w:rPr>
        <w:t>there shall be no borrower (other than the Borrower) and no guarantors (other than the Guarantors (other than Holdings)) in respect of such Refinancing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3" w:name="page264"/>
    <w:bookmarkEnd w:id="263"/>
    <w:p>
      <w:pPr>
        <w:ind w:left="660" w:firstLine="644"/>
        <w:spacing w:after="0" w:line="260" w:lineRule="auto"/>
        <w:tabs>
          <w:tab w:leader="none" w:pos="1956" w:val="left"/>
        </w:tabs>
        <w:numPr>
          <w:ilvl w:val="2"/>
          <w:numId w:val="227"/>
        </w:numPr>
        <w:rPr>
          <w:rFonts w:ascii="Arial" w:cs="Arial" w:eastAsia="Arial" w:hAnsi="Arial"/>
          <w:sz w:val="20"/>
          <w:szCs w:val="20"/>
          <w:color w:val="auto"/>
        </w:rPr>
      </w:pPr>
      <w:r>
        <w:rPr>
          <w:rFonts w:ascii="Arial" w:cs="Arial" w:eastAsia="Arial" w:hAnsi="Arial"/>
          <w:sz w:val="20"/>
          <w:szCs w:val="20"/>
          <w:color w:val="auto"/>
        </w:rPr>
        <w:t>Refinancing Term Loans shall not be secured by any asset of the Borrower and its subsidiaries other than the Collateral; and</w:t>
      </w:r>
    </w:p>
    <w:p>
      <w:pPr>
        <w:spacing w:after="0" w:line="176" w:lineRule="exact"/>
        <w:rPr>
          <w:rFonts w:ascii="Arial" w:cs="Arial" w:eastAsia="Arial" w:hAnsi="Arial"/>
          <w:sz w:val="20"/>
          <w:szCs w:val="20"/>
          <w:color w:val="auto"/>
        </w:rPr>
      </w:pPr>
    </w:p>
    <w:p>
      <w:pPr>
        <w:jc w:val="both"/>
        <w:ind w:left="660" w:firstLine="644"/>
        <w:spacing w:after="0" w:line="291" w:lineRule="auto"/>
        <w:tabs>
          <w:tab w:leader="none" w:pos="1956" w:val="left"/>
        </w:tabs>
        <w:numPr>
          <w:ilvl w:val="2"/>
          <w:numId w:val="227"/>
        </w:numPr>
        <w:rPr>
          <w:rFonts w:ascii="Arial" w:cs="Arial" w:eastAsia="Arial" w:hAnsi="Arial"/>
          <w:sz w:val="18"/>
          <w:szCs w:val="18"/>
          <w:color w:val="auto"/>
        </w:rPr>
      </w:pPr>
      <w:r>
        <w:rPr>
          <w:rFonts w:ascii="Arial" w:cs="Arial" w:eastAsia="Arial" w:hAnsi="Arial"/>
          <w:sz w:val="18"/>
          <w:szCs w:val="18"/>
          <w:color w:val="auto"/>
        </w:rPr>
        <w:t xml:space="preserve">Refinancing Term Loans may participate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or a less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than the Term Loans in any mandatory prepayments (other than as provided otherwise in the case of such prepayments pursuant to </w:t>
      </w:r>
      <w:r>
        <w:rPr>
          <w:rFonts w:ascii="Arial" w:cs="Arial" w:eastAsia="Arial" w:hAnsi="Arial"/>
          <w:sz w:val="18"/>
          <w:szCs w:val="18"/>
          <w:u w:val="single" w:color="auto"/>
          <w:color w:val="auto"/>
        </w:rPr>
        <w:t>Section 2.11(b)(2)</w:t>
      </w:r>
      <w:r>
        <w:rPr>
          <w:rFonts w:ascii="Arial" w:cs="Arial" w:eastAsia="Arial" w:hAnsi="Arial"/>
          <w:sz w:val="18"/>
          <w:szCs w:val="18"/>
          <w:color w:val="auto"/>
        </w:rPr>
        <w:t>) hereunder, as specified in the applicable Refinancing Amendment.</w:t>
      </w:r>
    </w:p>
    <w:p>
      <w:pPr>
        <w:spacing w:after="0" w:line="151" w:lineRule="exact"/>
        <w:rPr>
          <w:rFonts w:ascii="Arial" w:cs="Arial" w:eastAsia="Arial" w:hAnsi="Arial"/>
          <w:sz w:val="18"/>
          <w:szCs w:val="18"/>
          <w:color w:val="auto"/>
        </w:rPr>
      </w:pPr>
    </w:p>
    <w:p>
      <w:pPr>
        <w:jc w:val="both"/>
        <w:ind w:firstLine="656"/>
        <w:spacing w:after="0" w:line="274" w:lineRule="auto"/>
        <w:tabs>
          <w:tab w:leader="none" w:pos="129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The Borrower may approach any Lender or any other person that would be a permitted Assignee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provide all or a portion of the Refinancing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Refinancing Term Loans may, to the extent provided in the applicable Refinancing Amendment governing such Refinancing Term Loans, be designated as an increase in any previously established Class of Term Loans made to the Borrower.</w:t>
      </w:r>
    </w:p>
    <w:p>
      <w:pPr>
        <w:spacing w:after="0" w:line="168" w:lineRule="exact"/>
        <w:rPr>
          <w:rFonts w:ascii="Arial" w:cs="Arial" w:eastAsia="Arial" w:hAnsi="Arial"/>
          <w:sz w:val="18"/>
          <w:szCs w:val="18"/>
          <w:color w:val="auto"/>
        </w:rPr>
      </w:pPr>
    </w:p>
    <w:p>
      <w:pPr>
        <w:jc w:val="both"/>
        <w:ind w:firstLine="656"/>
        <w:spacing w:after="0" w:line="267" w:lineRule="auto"/>
        <w:tabs>
          <w:tab w:leader="none" w:pos="129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including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(which provisions shall not be applicable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the Borrower may by written notice to the Administrative Agent establish one or more additional Facilities (“</w:t>
      </w:r>
      <w:r>
        <w:rPr>
          <w:rFonts w:ascii="Arial" w:cs="Arial" w:eastAsia="Arial" w:hAnsi="Arial"/>
          <w:sz w:val="18"/>
          <w:szCs w:val="18"/>
          <w:u w:val="single" w:color="auto"/>
          <w:color w:val="auto"/>
        </w:rPr>
        <w:t>Replacement Revolving Facilities</w:t>
      </w:r>
      <w:r>
        <w:rPr>
          <w:rFonts w:ascii="Arial" w:cs="Arial" w:eastAsia="Arial" w:hAnsi="Arial"/>
          <w:sz w:val="18"/>
          <w:szCs w:val="18"/>
          <w:color w:val="auto"/>
        </w:rPr>
        <w:t>”) providing for revolving commitments (“</w:t>
      </w:r>
      <w:r>
        <w:rPr>
          <w:rFonts w:ascii="Arial" w:cs="Arial" w:eastAsia="Arial" w:hAnsi="Arial"/>
          <w:sz w:val="18"/>
          <w:szCs w:val="18"/>
          <w:u w:val="single" w:color="auto"/>
          <w:color w:val="auto"/>
        </w:rPr>
        <w:t>Replacement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Facility Commitments</w:t>
      </w:r>
      <w:r>
        <w:rPr>
          <w:rFonts w:ascii="Arial" w:cs="Arial" w:eastAsia="Arial" w:hAnsi="Arial"/>
          <w:sz w:val="18"/>
          <w:szCs w:val="18"/>
          <w:color w:val="auto"/>
        </w:rPr>
        <w:t>” and the revolving loans thereunder, “</w:t>
      </w:r>
      <w:r>
        <w:rPr>
          <w:rFonts w:ascii="Arial" w:cs="Arial" w:eastAsia="Arial" w:hAnsi="Arial"/>
          <w:sz w:val="18"/>
          <w:szCs w:val="18"/>
          <w:u w:val="single" w:color="auto"/>
          <w:color w:val="auto"/>
        </w:rPr>
        <w:t>Replacement Revolving Loans</w:t>
      </w:r>
      <w:r>
        <w:rPr>
          <w:rFonts w:ascii="Arial" w:cs="Arial" w:eastAsia="Arial" w:hAnsi="Arial"/>
          <w:sz w:val="18"/>
          <w:szCs w:val="18"/>
          <w:color w:val="auto"/>
        </w:rPr>
        <w:t>”), which replace in whole or in part any Class of Revolving Facility Commitments under this Agreement. Each such notice shall specify the date (each, a “</w:t>
      </w:r>
      <w:r>
        <w:rPr>
          <w:rFonts w:ascii="Arial" w:cs="Arial" w:eastAsia="Arial" w:hAnsi="Arial"/>
          <w:sz w:val="18"/>
          <w:szCs w:val="18"/>
          <w:u w:val="single" w:color="auto"/>
          <w:color w:val="auto"/>
        </w:rPr>
        <w:t>Replacement Revolving Facility Effective Date</w:t>
      </w:r>
      <w:r>
        <w:rPr>
          <w:rFonts w:ascii="Arial" w:cs="Arial" w:eastAsia="Arial" w:hAnsi="Arial"/>
          <w:sz w:val="18"/>
          <w:szCs w:val="18"/>
          <w:color w:val="auto"/>
        </w:rPr>
        <w:t xml:space="preserve">”) on which the Borrower proposes that the Replacement Revolving Facility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before and after giving effect to the establishment of such Replacement Revolving Facility Commitments on the Replacement Revolving Facility Effective Date, 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amounts used to pay fees, premiums, costs and expenses (including original issue discount) and accrued interest associated therewith;</w:t>
      </w:r>
    </w:p>
    <w:p>
      <w:pPr>
        <w:spacing w:after="0" w:line="4" w:lineRule="exact"/>
        <w:rPr>
          <w:rFonts w:ascii="Arial" w:cs="Arial" w:eastAsia="Arial" w:hAnsi="Arial"/>
          <w:sz w:val="18"/>
          <w:szCs w:val="18"/>
          <w:color w:val="auto"/>
        </w:rPr>
      </w:pPr>
    </w:p>
    <w:p>
      <w:pPr>
        <w:jc w:val="both"/>
        <w:ind w:firstLine="8"/>
        <w:spacing w:after="0" w:line="254" w:lineRule="auto"/>
        <w:tabs>
          <w:tab w:leader="none" w:pos="35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no Replacement Revolving Facility Commitments shall have a final maturity date (or require commitment reductions or amortizations) prior to the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4" w:name="page265"/>
    <w:bookmarkEnd w:id="264"/>
    <w:p>
      <w:pPr>
        <w:jc w:val="both"/>
        <w:spacing w:after="0" w:line="304" w:lineRule="auto"/>
        <w:rPr>
          <w:sz w:val="20"/>
          <w:szCs w:val="20"/>
          <w:color w:val="auto"/>
        </w:rPr>
      </w:pPr>
      <w:r>
        <w:rPr>
          <w:rFonts w:ascii="Arial" w:cs="Arial" w:eastAsia="Arial" w:hAnsi="Arial"/>
          <w:sz w:val="16"/>
          <w:szCs w:val="16"/>
          <w:color w:val="auto"/>
        </w:rPr>
        <w:t xml:space="preserve">swingline lender, if any, under such Replacement Revolving Facility) taken as a whole shall (as determined by the Borrower in good faith) be substantially similar to, or no more restrictive to the Borrower and its Subsidiaries than, those, taken as a whole, applicable to the Revolving Facility Commitments so replaced (except to the extent such other terms apply solely to any period after the latest Revolving Facility Maturity Date in effect at the time of incurrence, or the Borrower elects to add such more restrictive terms for the benefit of the other Facilities, or are otherwise reasonably acceptable to the Administrative Agent); (v) there shall be no borrower (other than the Borrower) and no guarantors (other than the Guarantors (other than Holdings)) in respect of such Replacement Revolving Facility; (vi) Replacement Revolving Facility Commitments and extensions of credit thereunder shall not be secured by any asset of the Borrower and its subsidiaries other than the Collateral; and (vii) if such Replacement Revolving Facility is secured by Liens on the Collateral that rank junior in right of security to the Initial Revolving Loans, such Liens will be subject to a Permitted Junior Intercreditor Agreement. In addition, notwithstanding anything to the contrary in this Agreement, including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(which provisions shall not be applicable to this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amounts used to pay fees, premiums, costs and expenses (including original issue discount) and accrued interest associated therewith (it being understood that such Replacement Revolving Facility Commitment may be provided by the Lenders holding the Term Loans being repaid and/or by any other person that would be a permitted Assignee hereunder) so long as</w:t>
      </w:r>
    </w:p>
    <w:p>
      <w:pPr>
        <w:spacing w:after="0" w:line="200" w:lineRule="exact"/>
        <w:rPr>
          <w:sz w:val="20"/>
          <w:szCs w:val="20"/>
          <w:color w:val="auto"/>
        </w:rPr>
      </w:pPr>
    </w:p>
    <w:p>
      <w:pPr>
        <w:spacing w:after="0" w:line="218" w:lineRule="exact"/>
        <w:rPr>
          <w:sz w:val="20"/>
          <w:szCs w:val="20"/>
          <w:color w:val="auto"/>
        </w:rPr>
      </w:pPr>
    </w:p>
    <w:p>
      <w:pPr>
        <w:jc w:val="both"/>
        <w:ind w:firstLine="8"/>
        <w:spacing w:after="0" w:line="253" w:lineRule="auto"/>
        <w:tabs>
          <w:tab w:leader="none" w:pos="285"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before and after giving effect to the establishment of such Replacement Revolving Facility Commitments on the Replacement Revolving Facility Effective Date, each of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with respect to Replacement Revolving Loans secured by Liens on Collateral that rank junior in right of security to the Initial Revolving Loans, such Liens will be subject to a Permitted Junior Intercreditor Agreement, (v) there shall be no borrower (other than the Borrower) and no guarantors (other than the Guarantors (other than Holdings))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banks and replacement swingline lender, if any, under such Replacement Revolving Facility) taken as a whole shall (as determined by the Borrower in good faith) be substantially similar to, or no more restrictive to the Borrower and its Subsidiaries than, those, taken as a whole, applicable to the Term Loans being refinanced (except to the extent such covenants and other terms apply solely to any period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5" w:name="page266"/>
    <w:bookmarkEnd w:id="265"/>
    <w:p>
      <w:pPr>
        <w:jc w:val="both"/>
        <w:spacing w:after="0" w:line="271" w:lineRule="auto"/>
        <w:rPr>
          <w:sz w:val="20"/>
          <w:szCs w:val="20"/>
          <w:color w:val="auto"/>
        </w:rPr>
      </w:pPr>
      <w:r>
        <w:rPr>
          <w:rFonts w:ascii="Arial" w:cs="Arial" w:eastAsia="Arial" w:hAnsi="Arial"/>
          <w:sz w:val="18"/>
          <w:szCs w:val="18"/>
          <w:color w:val="auto"/>
        </w:rPr>
        <w:t>the Latest Maturity Date, or the Borrower elects to add such more restrictive terms for the benefit of the other Facilities, or are otherwise reasonably acceptable to the Administrative Agent). Solely to the extent that an Issuing Bank or the Swingline Lender is not a replacement issuing bank or a replacement swingline lender, as the case may be, under a Replacement Revolving Facility, it is understood and agreed that such Issuing Bank or the Swingline Lender shall not be required to issue any letters of credit or swingline loan under such Replacement Revolving Facility and, to the extent it is necessary for such Issuing Bank or the Swingline Lender to withdraw as an Issuing Bank or the Swingline Lender, as the case may be, at the time of the establishment of such Replacement Revolving Facility, such withdrawal shall be on terms and conditions reasonably satisfactory to such Issuing Bank or the Swingline Lender, as the case may be, in its sole discretion. The Borrower agrees to reimburse each Issuing Bank or the Swingline Lender, as the case may be, in full upon demand for any reasonable and documented out-of-pocket cost or expense attributable to such withdrawal.</w:t>
      </w:r>
    </w:p>
    <w:p>
      <w:pPr>
        <w:spacing w:after="0" w:line="174" w:lineRule="exact"/>
        <w:rPr>
          <w:sz w:val="20"/>
          <w:szCs w:val="20"/>
          <w:color w:val="auto"/>
        </w:rPr>
      </w:pPr>
    </w:p>
    <w:p>
      <w:pPr>
        <w:jc w:val="both"/>
        <w:ind w:firstLine="656"/>
        <w:spacing w:after="0" w:line="273" w:lineRule="auto"/>
        <w:tabs>
          <w:tab w:leader="none" w:pos="129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Borrower may approach any Lender or any other person that would be a permitted Assignee of a Revolving Facility Commitment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provide all or a portion of the Replacement Revolving Facility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Replacement Revolving Facility Commitments may, to the extent provided in the applicable Refinancing Amendment, be designated as an increase in any previously established Class of Revolving Facility Commitments.</w:t>
      </w:r>
    </w:p>
    <w:p>
      <w:pPr>
        <w:spacing w:after="0" w:line="168" w:lineRule="exact"/>
        <w:rPr>
          <w:rFonts w:ascii="Arial" w:cs="Arial" w:eastAsia="Arial" w:hAnsi="Arial"/>
          <w:sz w:val="18"/>
          <w:szCs w:val="18"/>
          <w:color w:val="auto"/>
        </w:rPr>
      </w:pPr>
    </w:p>
    <w:p>
      <w:pPr>
        <w:jc w:val="both"/>
        <w:ind w:firstLine="656"/>
        <w:spacing w:after="0" w:line="269" w:lineRule="auto"/>
        <w:tabs>
          <w:tab w:leader="none" w:pos="129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Borrower and each Lender providing the applicable Refinancing Term Loans and/or Replacement Revolving Facility Commitments (as applicable) shall execute and deliver to the Administrative Agent an amendment to this Agreement (a “</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and such other documentation as the Administrative Agent shall reasonably specify to evidence such Refinancing Term Loans and/or Replacement Revolving Facility Commitments (as applicable). For purposes of this Agreement and the other Loan Documents, (i) if a Lender is providing a Refinancing Term Loan, such Lender will be deemed to have an Other Term Loan having the terms of such Refinancing Term Loan and (ii)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(i) the incurrence of Refinancing Term Loans and Replacement Revolving Facility Commitments will not reduce the Incremental Amount, (ii) no Refinancing Term Loan or Replacement Revolving Facility Commitment is required to be in any minimum amount or any minimum increment, (iii) there shall be no condition to any incurrence of any Refinancing Term Loan or Replacement Revolving Facility Commitment at any time or from time to time other than those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applicable, and (iv) all Refinancing Term Loans, Replacement Revolving Facility Commitments and all obligations in respect thereof shall be Loan Obligations under this Agreement and the other Loan Documents that rank equally and ratably in right of security with the Initial Term Loans and other Loan Obligations (other than Other Incremental Term Loans and Refinancing Term Loans that rank junior in right of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6" w:name="page267"/>
    <w:bookmarkEnd w:id="266"/>
    <w:p>
      <w:pPr>
        <w:ind w:right="20"/>
        <w:spacing w:after="0" w:line="260" w:lineRule="auto"/>
        <w:rPr>
          <w:sz w:val="20"/>
          <w:szCs w:val="20"/>
          <w:color w:val="auto"/>
        </w:rPr>
      </w:pPr>
      <w:r>
        <w:rPr>
          <w:rFonts w:ascii="Arial" w:cs="Arial" w:eastAsia="Arial" w:hAnsi="Arial"/>
          <w:sz w:val="20"/>
          <w:szCs w:val="20"/>
          <w:color w:val="auto"/>
        </w:rPr>
        <w:t>with any Term Loans, and except to the extent any such Refinancing Term Loans are secured by the Collateral on a junior lien basis in accordance with the provisions above, or are unsecured).</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2.24</w:t>
      </w:r>
      <w:r>
        <w:rPr>
          <w:sz w:val="20"/>
          <w:szCs w:val="20"/>
          <w:color w:val="auto"/>
        </w:rPr>
        <w:tab/>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296"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Defaulting Lender Adjustments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5" w:lineRule="exact"/>
        <w:rPr>
          <w:rFonts w:ascii="Arial" w:cs="Arial" w:eastAsia="Arial" w:hAnsi="Arial"/>
          <w:sz w:val="20"/>
          <w:szCs w:val="20"/>
          <w:color w:val="auto"/>
        </w:rPr>
      </w:pPr>
    </w:p>
    <w:p>
      <w:pPr>
        <w:jc w:val="both"/>
        <w:ind w:left="660" w:right="20" w:firstLine="644"/>
        <w:spacing w:after="0" w:line="269" w:lineRule="auto"/>
        <w:tabs>
          <w:tab w:leader="none" w:pos="1956" w:val="left"/>
        </w:tabs>
        <w:numPr>
          <w:ilvl w:val="1"/>
          <w:numId w:val="232"/>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definitions of “Required Lenders” or “Required Revolving Facility Lenders,” as applicable, and </w:t>
      </w:r>
      <w:r>
        <w:rPr>
          <w:rFonts w:ascii="Arial" w:cs="Arial" w:eastAsia="Arial" w:hAnsi="Arial"/>
          <w:sz w:val="19"/>
          <w:szCs w:val="19"/>
          <w:u w:val="single" w:color="auto"/>
          <w:color w:val="auto"/>
        </w:rPr>
        <w:t>Section 9.08</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660" w:firstLine="644"/>
        <w:spacing w:after="0" w:line="268" w:lineRule="auto"/>
        <w:tabs>
          <w:tab w:leader="none" w:pos="1956"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any Issuing Bank or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Issuing Banks’ Fronting Exposure with respect to such Defaulting Lender in accordance with </w:t>
      </w:r>
      <w:r>
        <w:rPr>
          <w:rFonts w:ascii="Arial" w:cs="Arial" w:eastAsia="Arial" w:hAnsi="Arial"/>
          <w:sz w:val="18"/>
          <w:szCs w:val="18"/>
          <w:u w:val="single" w:color="auto"/>
          <w:color w:val="auto"/>
        </w:rPr>
        <w:t>Section 2.05(j)</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Borrower, to be held in a deposit account and released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2.05(j)</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Issuing Banks or the Swingline Lender as a result of any judgment of a court of competent jurisdiction obtained by any Lender, Issuing Bank or the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76" w:lineRule="exact"/>
        <w:rPr>
          <w:rFonts w:ascii="Arial" w:cs="Arial" w:eastAsia="Arial" w:hAnsi="Arial"/>
          <w:sz w:val="18"/>
          <w:szCs w:val="18"/>
          <w:color w:val="auto"/>
        </w:rPr>
      </w:pPr>
    </w:p>
    <w:p>
      <w:pPr>
        <w:ind w:left="1960" w:hanging="656"/>
        <w:spacing w:after="0"/>
        <w:tabs>
          <w:tab w:leader="none" w:pos="1960" w:val="left"/>
        </w:tabs>
        <w:numPr>
          <w:ilvl w:val="1"/>
          <w:numId w:val="232"/>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7" w:name="page268"/>
    <w:bookmarkEnd w:id="267"/>
    <w:p>
      <w:pPr>
        <w:jc w:val="both"/>
        <w:ind w:left="1300" w:right="20" w:firstLine="652"/>
        <w:spacing w:after="0" w:line="250" w:lineRule="auto"/>
        <w:tabs>
          <w:tab w:leader="none" w:pos="2596" w:val="left"/>
        </w:tabs>
        <w:numPr>
          <w:ilvl w:val="2"/>
          <w:numId w:val="233"/>
        </w:numPr>
        <w:rPr>
          <w:rFonts w:ascii="Arial" w:cs="Arial" w:eastAsia="Arial" w:hAnsi="Arial"/>
          <w:sz w:val="20"/>
          <w:szCs w:val="20"/>
          <w:color w:val="auto"/>
        </w:rPr>
      </w:pPr>
      <w:r>
        <w:rPr>
          <w:rFonts w:ascii="Arial" w:cs="Arial" w:eastAsia="Arial" w:hAnsi="Arial"/>
          <w:sz w:val="20"/>
          <w:szCs w:val="20"/>
          <w:color w:val="auto"/>
        </w:rPr>
        <w:t>No Defaulting Lender shall be entitled to receive any Commitment Fee for any period during which that Lender is a Defaulting Lender (and the Borrower shall not be required to pay any fee that otherwise would have been paid to that Defaulting Lender).</w:t>
      </w:r>
    </w:p>
    <w:p>
      <w:pPr>
        <w:spacing w:after="0" w:line="185"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2"/>
          <w:numId w:val="233"/>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L/C Participation Fees for any period during which that Lender is a Defaulting Lender only to the extent allocable to its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 of the stated amount of Letters of Credit for which it has provided Cash Collateral.</w:t>
      </w:r>
    </w:p>
    <w:p>
      <w:pPr>
        <w:spacing w:after="0" w:line="185" w:lineRule="exact"/>
        <w:rPr>
          <w:rFonts w:ascii="Arial" w:cs="Arial" w:eastAsia="Arial" w:hAnsi="Arial"/>
          <w:sz w:val="20"/>
          <w:szCs w:val="20"/>
          <w:color w:val="auto"/>
        </w:rPr>
      </w:pPr>
    </w:p>
    <w:p>
      <w:pPr>
        <w:jc w:val="both"/>
        <w:ind w:left="1300" w:firstLine="652"/>
        <w:spacing w:after="0" w:line="257" w:lineRule="auto"/>
        <w:tabs>
          <w:tab w:leader="none" w:pos="2596" w:val="left"/>
        </w:tabs>
        <w:numPr>
          <w:ilvl w:val="2"/>
          <w:numId w:val="233"/>
        </w:numPr>
        <w:rPr>
          <w:rFonts w:ascii="Arial" w:cs="Arial" w:eastAsia="Arial" w:hAnsi="Arial"/>
          <w:sz w:val="19"/>
          <w:szCs w:val="19"/>
          <w:color w:val="auto"/>
        </w:rPr>
      </w:pPr>
      <w:r>
        <w:rPr>
          <w:rFonts w:ascii="Arial" w:cs="Arial" w:eastAsia="Arial" w:hAnsi="Arial"/>
          <w:sz w:val="19"/>
          <w:szCs w:val="19"/>
          <w:color w:val="auto"/>
        </w:rPr>
        <w:t xml:space="preserve">With respect to any L/C Participation Fee not required to be paid to any Defaulting Lender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(y) pay to each Issuing Bank and the Swingline Lender, as applicable, the amount of any such fee otherwise payable to such Defaulting Lender to the extent allocable to such Issuing Bank’s or the Swingline Lender’s Fronting Exposure to such Defaulting Lender, and (z) not be required to pay the remaining amount of any such fee.</w:t>
      </w:r>
    </w:p>
    <w:p>
      <w:pPr>
        <w:spacing w:after="0" w:line="180" w:lineRule="exact"/>
        <w:rPr>
          <w:rFonts w:ascii="Arial" w:cs="Arial" w:eastAsia="Arial" w:hAnsi="Arial"/>
          <w:sz w:val="19"/>
          <w:szCs w:val="19"/>
          <w:color w:val="auto"/>
        </w:rPr>
      </w:pPr>
    </w:p>
    <w:p>
      <w:pPr>
        <w:jc w:val="both"/>
        <w:ind w:left="660" w:firstLine="644"/>
        <w:spacing w:after="0" w:line="271" w:lineRule="auto"/>
        <w:tabs>
          <w:tab w:leader="none" w:pos="1956"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xml:space="preserve">. All or any part of such Defaulting Lender’s participation in Letters of Credit and Swingline Loans shall be reallocated among the Non-Defaulting Lenders in accordance with their respective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Revolving Facility Commitments (calculated without regard to such Defaulting Lender’s Revolving Facility Commitment) but only to the extent that (x)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at the time of such reallocation (and, unless the Borrower has otherwise notified the Administrative Agent at such time, the Borrower shall be deemed to have represented and warranted that such conditions are satisfied at such time), and (y) such reallocation does not cause the aggregate Revolving Facility Credit Exposure of any Non-Defaulting Lender to exceed such Non-Defaulting Lender’s Revolving Facility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9" w:lineRule="exact"/>
        <w:rPr>
          <w:rFonts w:ascii="Arial" w:cs="Arial" w:eastAsia="Arial" w:hAnsi="Arial"/>
          <w:sz w:val="18"/>
          <w:szCs w:val="18"/>
          <w:color w:val="auto"/>
        </w:rPr>
      </w:pPr>
    </w:p>
    <w:p>
      <w:pPr>
        <w:jc w:val="both"/>
        <w:ind w:left="660" w:firstLine="644"/>
        <w:spacing w:after="0" w:line="276" w:lineRule="auto"/>
        <w:tabs>
          <w:tab w:leader="none" w:pos="1956"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cannot, or can only partially, be effected, the Borrower shall, without prejudice to any right or remedy available to it hereunder or under law, within three (3) Business Days following the written request of (i) the Administrative Agent or (ii) the Swingline Lender or any Issuing Bank, as applicable (with a copy to the Administrative Agent),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Issuing Banks’ Fronting Exposure in accordance with the procedures set forth in </w:t>
      </w:r>
      <w:r>
        <w:rPr>
          <w:rFonts w:ascii="Arial" w:cs="Arial" w:eastAsia="Arial" w:hAnsi="Arial"/>
          <w:sz w:val="18"/>
          <w:szCs w:val="18"/>
          <w:u w:val="single" w:color="auto"/>
          <w:color w:val="auto"/>
        </w:rPr>
        <w:t>Section 2.05(j)</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If the Borrower and the Administrative Agent, the Swingline Lender and each Issuing Bank agree in writing that a Lender is no longer a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8" w:name="page269"/>
    <w:bookmarkEnd w:id="268"/>
    <w:p>
      <w:pPr>
        <w:jc w:val="both"/>
        <w:spacing w:after="0" w:line="270" w:lineRule="auto"/>
        <w:rPr>
          <w:sz w:val="20"/>
          <w:szCs w:val="20"/>
          <w:color w:val="auto"/>
        </w:rPr>
      </w:pPr>
      <w:r>
        <w:rPr>
          <w:rFonts w:ascii="Arial" w:cs="Arial" w:eastAsia="Arial" w:hAnsi="Arial"/>
          <w:sz w:val="18"/>
          <w:szCs w:val="18"/>
          <w:color w:val="auto"/>
        </w:rPr>
        <w:t xml:space="preserve">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Revolving Facility Loans and funded and unfunded participations in Letters of Credit and Swingline Loans to be held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Lenders in accordance with their Revolving Facility Commitments (without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all amendments, waivers or other modifications effected without its consent in accordance with the provisions of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during such period shall be binding on it;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2" w:lineRule="exact"/>
        <w:rPr>
          <w:sz w:val="20"/>
          <w:szCs w:val="20"/>
          <w:color w:val="auto"/>
        </w:rPr>
      </w:pPr>
    </w:p>
    <w:p>
      <w:pPr>
        <w:jc w:val="both"/>
        <w:ind w:firstLine="656"/>
        <w:spacing w:after="0" w:line="282" w:lineRule="auto"/>
        <w:tabs>
          <w:tab w:leader="none" w:pos="1296"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New Swingline Loans and Letters of Credit</w:t>
      </w:r>
      <w:r>
        <w:rPr>
          <w:rFonts w:ascii="Arial" w:cs="Arial" w:eastAsia="Arial" w:hAnsi="Arial"/>
          <w:sz w:val="18"/>
          <w:szCs w:val="18"/>
          <w:color w:val="auto"/>
        </w:rPr>
        <w:t>. So long as any Lender is a Defaulting Lender, (i) the Swingline Lender shall not be required to fund any Swingline Loans unless it is satisfied that it will have no Fronting Exposure after giving effect to such Swingline Loan and (ii) the Issuing Banks shall not be required to issue, extend, renew or increase any Letter of Credit unless it is satisfied that it will have no Fronting Exposure after giving effect thereto.</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2.25</w:t>
      </w:r>
      <w:r>
        <w:rPr>
          <w:sz w:val="20"/>
          <w:szCs w:val="20"/>
          <w:color w:val="auto"/>
        </w:rPr>
        <w:tab/>
      </w:r>
      <w:r>
        <w:rPr>
          <w:rFonts w:ascii="Arial" w:cs="Arial" w:eastAsia="Arial" w:hAnsi="Arial"/>
          <w:sz w:val="16"/>
          <w:szCs w:val="16"/>
          <w:u w:val="single" w:color="auto"/>
          <w:color w:val="auto"/>
        </w:rPr>
        <w:t>Loan Repurchases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9" w:lineRule="auto"/>
        <w:tabs>
          <w:tab w:leader="none" w:pos="1296"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or referred to below, the Borrower may from time to time, at its discretion, (1) offer to purchase Term Loans of individual Lenders in open market transactions or (2) conduct modified Dutch auctions in order to purchase Loans of one or more Classes (as determined by the Borrower) (this </w:t>
      </w:r>
      <w:r>
        <w:rPr>
          <w:rFonts w:ascii="Arial" w:cs="Arial" w:eastAsia="Arial" w:hAnsi="Arial"/>
          <w:sz w:val="19"/>
          <w:szCs w:val="19"/>
          <w:u w:val="single" w:color="auto"/>
          <w:color w:val="auto"/>
        </w:rPr>
        <w:t>clause (2)</w:t>
      </w:r>
      <w:r>
        <w:rPr>
          <w:rFonts w:ascii="Arial" w:cs="Arial" w:eastAsia="Arial" w:hAnsi="Arial"/>
          <w:sz w:val="19"/>
          <w:szCs w:val="19"/>
          <w:color w:val="auto"/>
        </w:rPr>
        <w:t>, each, a “</w:t>
      </w:r>
      <w:r>
        <w:rPr>
          <w:rFonts w:ascii="Arial" w:cs="Arial" w:eastAsia="Arial" w:hAnsi="Arial"/>
          <w:sz w:val="19"/>
          <w:szCs w:val="19"/>
          <w:u w:val="single" w:color="auto"/>
          <w:color w:val="auto"/>
        </w:rPr>
        <w:t>Purchase Offer</w:t>
      </w:r>
      <w:r>
        <w:rPr>
          <w:rFonts w:ascii="Arial" w:cs="Arial" w:eastAsia="Arial" w:hAnsi="Arial"/>
          <w:sz w:val="19"/>
          <w:szCs w:val="19"/>
          <w:color w:val="auto"/>
        </w:rPr>
        <w:t>”), each such Purchase Offer to be managed exclusively by the Administrative Agent (or such other financial institution chosen by the Borrower and reasonably acceptable to the Administrative Agent) (in such capacity, the “</w:t>
      </w:r>
      <w:r>
        <w:rPr>
          <w:rFonts w:ascii="Arial" w:cs="Arial" w:eastAsia="Arial" w:hAnsi="Arial"/>
          <w:sz w:val="19"/>
          <w:szCs w:val="19"/>
          <w:u w:val="single" w:color="auto"/>
          <w:color w:val="auto"/>
        </w:rPr>
        <w:t>Auction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Manager</w:t>
      </w:r>
      <w:r>
        <w:rPr>
          <w:rFonts w:ascii="Arial" w:cs="Arial" w:eastAsia="Arial" w:hAnsi="Arial"/>
          <w:sz w:val="19"/>
          <w:szCs w:val="19"/>
          <w:color w:val="auto"/>
        </w:rPr>
        <w:t>”), so long as the following conditions are satisfied:</w:t>
      </w:r>
    </w:p>
    <w:p>
      <w:pPr>
        <w:spacing w:after="0" w:line="178" w:lineRule="exact"/>
        <w:rPr>
          <w:rFonts w:ascii="Arial" w:cs="Arial" w:eastAsia="Arial" w:hAnsi="Arial"/>
          <w:sz w:val="19"/>
          <w:szCs w:val="19"/>
          <w:color w:val="auto"/>
        </w:rPr>
      </w:pPr>
    </w:p>
    <w:p>
      <w:pPr>
        <w:ind w:left="660" w:firstLine="644"/>
        <w:spacing w:after="0" w:line="260" w:lineRule="auto"/>
        <w:tabs>
          <w:tab w:leader="none" w:pos="1956" w:val="left"/>
        </w:tabs>
        <w:numPr>
          <w:ilvl w:val="1"/>
          <w:numId w:val="237"/>
        </w:numPr>
        <w:rPr>
          <w:rFonts w:ascii="Arial" w:cs="Arial" w:eastAsia="Arial" w:hAnsi="Arial"/>
          <w:sz w:val="20"/>
          <w:szCs w:val="20"/>
          <w:color w:val="auto"/>
        </w:rPr>
      </w:pPr>
      <w:r>
        <w:rPr>
          <w:rFonts w:ascii="Arial" w:cs="Arial" w:eastAsia="Arial" w:hAnsi="Arial"/>
          <w:sz w:val="20"/>
          <w:szCs w:val="20"/>
          <w:color w:val="auto"/>
        </w:rPr>
        <w:t xml:space="preserve">each Purchase Offer shall be conducted in accordance with the procedures, terms and conditions set forth in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and the Auction Procedures;</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237"/>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on the date of the delivery of each notice of an auction and at the time of (and immediately after giving effect to) the purchase of any Term Loans in connection with any Purchase Offer;</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237"/>
        </w:numPr>
        <w:rPr>
          <w:rFonts w:ascii="Arial" w:cs="Arial" w:eastAsia="Arial" w:hAnsi="Arial"/>
          <w:sz w:val="20"/>
          <w:szCs w:val="20"/>
          <w:color w:val="auto"/>
        </w:rPr>
      </w:pPr>
      <w:r>
        <w:rPr>
          <w:rFonts w:ascii="Arial" w:cs="Arial" w:eastAsia="Arial" w:hAnsi="Arial"/>
          <w:sz w:val="20"/>
          <w:szCs w:val="20"/>
          <w:color w:val="auto"/>
        </w:rPr>
        <w:t>the principal amount (calculated on the face amount thereof) of each and all Classes of Term Loans that the Borrower offers to purchase in any such Purchase Offer shall be no less than $25,000,000 (unless another amount is agreed to by the Administrative Agent) (across all such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69" w:name="page270"/>
    <w:bookmarkEnd w:id="269"/>
    <w:p>
      <w:pPr>
        <w:jc w:val="both"/>
        <w:ind w:left="660" w:firstLine="644"/>
        <w:spacing w:after="0" w:line="260" w:lineRule="auto"/>
        <w:tabs>
          <w:tab w:leader="none" w:pos="1956"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aggregate principal amount (calculated on the face amount thereof) of all Term Loans of the applicable Class or Classes so purchased by the Borrower shall automatically be cancelled and retired by the Borrower on the settlement date of the relevant purchase (and may not be resold) (without any increase to Adjusted Consolidated EBITDA as a result of any gains associated with cancellation of debt), and in no event shall the Borrower be entitled to any vote hereunder in connection with such Term Loans;</w:t>
      </w:r>
    </w:p>
    <w:p>
      <w:pPr>
        <w:spacing w:after="0" w:line="180" w:lineRule="exact"/>
        <w:rPr>
          <w:rFonts w:ascii="Arial" w:cs="Arial" w:eastAsia="Arial" w:hAnsi="Arial"/>
          <w:sz w:val="19"/>
          <w:szCs w:val="19"/>
          <w:color w:val="auto"/>
        </w:rPr>
      </w:pPr>
    </w:p>
    <w:p>
      <w:pPr>
        <w:ind w:left="1960" w:hanging="656"/>
        <w:spacing w:after="0"/>
        <w:tabs>
          <w:tab w:leader="none" w:pos="1960" w:val="left"/>
        </w:tabs>
        <w:numPr>
          <w:ilvl w:val="1"/>
          <w:numId w:val="238"/>
        </w:numPr>
        <w:rPr>
          <w:rFonts w:ascii="Arial" w:cs="Arial" w:eastAsia="Arial" w:hAnsi="Arial"/>
          <w:sz w:val="19"/>
          <w:szCs w:val="19"/>
          <w:color w:val="auto"/>
        </w:rPr>
      </w:pPr>
      <w:r>
        <w:rPr>
          <w:rFonts w:ascii="Arial" w:cs="Arial" w:eastAsia="Arial" w:hAnsi="Arial"/>
          <w:sz w:val="19"/>
          <w:szCs w:val="19"/>
          <w:color w:val="auto"/>
        </w:rPr>
        <w:t>no more than one Purchase Offer with respect to any Class may be ongoing at any one time;</w:t>
      </w:r>
    </w:p>
    <w:p>
      <w:pPr>
        <w:spacing w:after="0" w:line="227"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1"/>
          <w:numId w:val="238"/>
        </w:numPr>
        <w:rPr>
          <w:rFonts w:ascii="Arial" w:cs="Arial" w:eastAsia="Arial" w:hAnsi="Arial"/>
          <w:sz w:val="20"/>
          <w:szCs w:val="20"/>
          <w:color w:val="auto"/>
        </w:rPr>
      </w:pPr>
      <w:r>
        <w:rPr>
          <w:rFonts w:ascii="Arial" w:cs="Arial" w:eastAsia="Arial" w:hAnsi="Arial"/>
          <w:sz w:val="20"/>
          <w:szCs w:val="20"/>
          <w:color w:val="auto"/>
        </w:rPr>
        <w:t xml:space="preserve">at the time of each purchase of Term Loans through a Purchase Offer, the Borrower shall have delivered to the Auction Manager an officer’s certificate of a Responsible Officer certifying as to compliance with the preceding </w:t>
      </w:r>
      <w:r>
        <w:rPr>
          <w:rFonts w:ascii="Arial" w:cs="Arial" w:eastAsia="Arial" w:hAnsi="Arial"/>
          <w:sz w:val="20"/>
          <w:szCs w:val="20"/>
          <w:u w:val="single" w:color="auto"/>
          <w:color w:val="auto"/>
        </w:rPr>
        <w:t>clause (v)</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238"/>
        </w:numPr>
        <w:rPr>
          <w:rFonts w:ascii="Arial" w:cs="Arial" w:eastAsia="Arial" w:hAnsi="Arial"/>
          <w:sz w:val="20"/>
          <w:szCs w:val="20"/>
          <w:color w:val="auto"/>
        </w:rPr>
      </w:pPr>
      <w:r>
        <w:rPr>
          <w:rFonts w:ascii="Arial" w:cs="Arial" w:eastAsia="Arial" w:hAnsi="Arial"/>
          <w:sz w:val="20"/>
          <w:szCs w:val="20"/>
          <w:color w:val="auto"/>
        </w:rPr>
        <w:t xml:space="preserve">any Purchase Offer with respect to any Class shall be offered to all Term Lenders holding Term Loans of such Class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and</w:t>
      </w:r>
    </w:p>
    <w:p>
      <w:pPr>
        <w:spacing w:after="0" w:line="176" w:lineRule="exact"/>
        <w:rPr>
          <w:rFonts w:ascii="Arial" w:cs="Arial" w:eastAsia="Arial" w:hAnsi="Arial"/>
          <w:sz w:val="20"/>
          <w:szCs w:val="20"/>
          <w:color w:val="auto"/>
        </w:rPr>
      </w:pPr>
    </w:p>
    <w:p>
      <w:pPr>
        <w:ind w:left="660" w:firstLine="644"/>
        <w:spacing w:after="0" w:line="260" w:lineRule="auto"/>
        <w:tabs>
          <w:tab w:leader="none" w:pos="1956" w:val="left"/>
        </w:tabs>
        <w:numPr>
          <w:ilvl w:val="1"/>
          <w:numId w:val="238"/>
        </w:numPr>
        <w:rPr>
          <w:rFonts w:ascii="Arial" w:cs="Arial" w:eastAsia="Arial" w:hAnsi="Arial"/>
          <w:sz w:val="20"/>
          <w:szCs w:val="20"/>
          <w:color w:val="auto"/>
        </w:rPr>
      </w:pPr>
      <w:r>
        <w:rPr>
          <w:rFonts w:ascii="Arial" w:cs="Arial" w:eastAsia="Arial" w:hAnsi="Arial"/>
          <w:sz w:val="20"/>
          <w:szCs w:val="20"/>
          <w:color w:val="auto"/>
        </w:rPr>
        <w:t>no purchase of any Term Loans shall be made from the proceeds of any Revolving Facility Loan or Swingline Loan.</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Borrower must terminate any Purchase Offer if it fails to satisfy one or more of the conditions set forth above which are required to be met at the time which otherwise would have been the time of purchase of Term Loans pursuant to such Purchase Offer. If the Borrower commences any Purchase Offer (and all relevant requirements set forth above which are required to be satisfied at the time of the commencement of such Purchase Offer have in fact been satisfied), and if at such time of commencement the Borrower reasonably believes that all required conditions set forth above which are required to be satisfied at the time of the consummation of such Purchase Offer shall be satisfied, then the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Borrower pursuant to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(x) the Borrower shall pay on the settlement date of each such purchase all accrued and unpaid interest (except to the extent otherwise set forth in the relevant offering documents), if any, on the purchased Loans of the applicable Class or Classes up to the settlement date of such purchase and (y) such purchases (and the payments made by the Borrower and the cancellation of the purchased Term Loans, in each case in connection therewith) shall not constitute voluntary or mandatory payments or prepayments for purposes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hereof.</w:t>
      </w:r>
    </w:p>
    <w:p>
      <w:pPr>
        <w:spacing w:after="0" w:line="178"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The Administrative Agent and the Lenders hereby consent to the Purchase Offers and the other transactions effected pursuant to and in accordance with the terms of this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contained herein, no Lender shall have an obligation to participate in any such Purchase Offer. For the avoidance of doubt, it is understood and agreed that the provisions of </w:t>
      </w:r>
      <w:r>
        <w:rPr>
          <w:rFonts w:ascii="Arial" w:cs="Arial" w:eastAsia="Arial" w:hAnsi="Arial"/>
          <w:sz w:val="19"/>
          <w:szCs w:val="19"/>
          <w:u w:val="single" w:color="auto"/>
          <w:color w:val="auto"/>
        </w:rPr>
        <w:t>Sections 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9.04</w:t>
      </w:r>
      <w:r>
        <w:rPr>
          <w:rFonts w:ascii="Arial" w:cs="Arial" w:eastAsia="Arial" w:hAnsi="Arial"/>
          <w:sz w:val="19"/>
          <w:szCs w:val="19"/>
          <w:color w:val="auto"/>
        </w:rPr>
        <w:t xml:space="preserve"> will not apply to the purchases of Term Loans pursuant to Purchase Offers made pursuant to and in accordance with the provisions of this </w:t>
      </w:r>
      <w:r>
        <w:rPr>
          <w:rFonts w:ascii="Arial" w:cs="Arial" w:eastAsia="Arial" w:hAnsi="Arial"/>
          <w:sz w:val="19"/>
          <w:szCs w:val="19"/>
          <w:u w:val="single" w:color="auto"/>
          <w:color w:val="auto"/>
        </w:rPr>
        <w:t>Section 2.25</w:t>
      </w:r>
      <w:r>
        <w:rPr>
          <w:rFonts w:ascii="Arial" w:cs="Arial" w:eastAsia="Arial" w:hAnsi="Arial"/>
          <w:sz w:val="19"/>
          <w:szCs w:val="19"/>
          <w:color w:val="auto"/>
        </w:rPr>
        <w:t>. The Auction Manager acting in its capacity as such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0" w:name="page271"/>
    <w:bookmarkEnd w:id="270"/>
    <w:p>
      <w:pPr>
        <w:jc w:val="both"/>
        <w:spacing w:after="0" w:line="246" w:lineRule="auto"/>
        <w:rPr>
          <w:sz w:val="20"/>
          <w:szCs w:val="20"/>
          <w:color w:val="auto"/>
        </w:rPr>
      </w:pPr>
      <w:r>
        <w:rPr>
          <w:rFonts w:ascii="Arial" w:cs="Arial" w:eastAsia="Arial" w:hAnsi="Arial"/>
          <w:sz w:val="20"/>
          <w:szCs w:val="20"/>
          <w:color w:val="auto"/>
        </w:rPr>
        <w:t xml:space="preserve">shall be entitled to the benefits of the provisions of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9.05</w:t>
      </w:r>
      <w:r>
        <w:rPr>
          <w:rFonts w:ascii="Arial" w:cs="Arial" w:eastAsia="Arial" w:hAnsi="Arial"/>
          <w:sz w:val="20"/>
          <w:szCs w:val="20"/>
          <w:color w:val="auto"/>
        </w:rPr>
        <w:t xml:space="preserve">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191"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9.06</w:t>
      </w:r>
      <w:r>
        <w:rPr>
          <w:rFonts w:ascii="Arial" w:cs="Arial" w:eastAsia="Arial" w:hAnsi="Arial"/>
          <w:sz w:val="20"/>
          <w:szCs w:val="20"/>
          <w:color w:val="auto"/>
        </w:rPr>
        <w:t xml:space="preserve"> to the contrary.</w:t>
      </w:r>
    </w:p>
    <w:p>
      <w:pPr>
        <w:spacing w:after="0" w:line="215" w:lineRule="exact"/>
        <w:rPr>
          <w:rFonts w:ascii="Arial" w:cs="Arial" w:eastAsia="Arial" w:hAnsi="Arial"/>
          <w:sz w:val="20"/>
          <w:szCs w:val="20"/>
          <w:color w:val="auto"/>
        </w:rPr>
      </w:pPr>
    </w:p>
    <w:p>
      <w:pPr>
        <w:ind w:left="4400"/>
        <w:spacing w:after="0"/>
        <w:rPr>
          <w:rFonts w:ascii="Arial" w:cs="Arial" w:eastAsia="Arial" w:hAnsi="Arial"/>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(i) the Closing Date (after giving effect to the Transactions) and (ii) the date of each Credit Event (other than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Closing Date), as provided in </w:t>
      </w:r>
      <w:r>
        <w:rPr>
          <w:rFonts w:ascii="Arial" w:cs="Arial" w:eastAsia="Arial" w:hAnsi="Arial"/>
          <w:sz w:val="20"/>
          <w:szCs w:val="20"/>
          <w:u w:val="single" w:color="auto"/>
          <w:color w:val="auto"/>
        </w:rPr>
        <w:t>Section 4.02</w:t>
      </w:r>
      <w:r>
        <w:rPr>
          <w:rFonts w:ascii="Arial" w:cs="Arial" w:eastAsia="Arial" w:hAnsi="Arial"/>
          <w:sz w:val="20"/>
          <w:szCs w:val="20"/>
          <w:color w:val="auto"/>
        </w:rPr>
        <w:t>, the Borrower represents and warrants to the Lenders that:</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The Borrower and each of the Subsidiaries which is a Loan Party or a Subsidiary that is a Material Subsidiary (a) is a partnership, limited liability company, corporation or other entity duly organized, validly existing and in good standing under the laws of the jurisdiction of its organization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(other than with respect to the Borrower),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(other than with respect to the Borrower), and </w:t>
      </w:r>
      <w:r>
        <w:rPr>
          <w:rFonts w:ascii="Arial" w:cs="Arial" w:eastAsia="Arial" w:hAnsi="Arial"/>
          <w:sz w:val="18"/>
          <w:szCs w:val="18"/>
          <w:u w:val="single" w:color="auto"/>
          <w:color w:val="auto"/>
        </w:rPr>
        <w:t>clause (c)</w:t>
      </w:r>
      <w:r>
        <w:rPr>
          <w:rFonts w:ascii="Arial" w:cs="Arial" w:eastAsia="Arial" w:hAnsi="Arial"/>
          <w:sz w:val="18"/>
          <w:szCs w:val="18"/>
          <w:color w:val="auto"/>
        </w:rPr>
        <w:t>,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by the Borrower and each of the Guarantors of each of the Loan Documents to which it is a party and the borrowings and other extensions of credit hereunder</w:t>
      </w:r>
    </w:p>
    <w:p>
      <w:pPr>
        <w:spacing w:after="0" w:line="1" w:lineRule="exact"/>
        <w:rPr>
          <w:sz w:val="20"/>
          <w:szCs w:val="20"/>
          <w:color w:val="auto"/>
        </w:rPr>
      </w:pPr>
    </w:p>
    <w:p>
      <w:pPr>
        <w:jc w:val="both"/>
        <w:ind w:firstLine="8"/>
        <w:spacing w:after="0" w:line="269" w:lineRule="auto"/>
        <w:tabs>
          <w:tab w:leader="none" w:pos="29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have been duly authorized by all corporate, stockholder, partnership, limited liability company or other organizational action required to be obtained by the Borrower and such Guarantors and (b) will not (i) violate (A) any provision of law, statute, rule or regulation applicable to the Borrower or any such Guarantor, (B) the certificate or articles of incorporation or other constitutive documents (including any partnership, limited liability company or operating agreements) or by-laws of the Borrower or any such Guarantor, (C) any applicable order of any court or any law, rule, regulation or order of any Governmental Authority applicable to the Borrower or any such Guarantor or (D) any provision of any indenture, certificate of designation for preferred stock, agreement or other instrument to which the Borrower or any such Guarantor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1" w:name="page272"/>
    <w:bookmarkEnd w:id="271"/>
    <w:p>
      <w:pPr>
        <w:jc w:val="both"/>
        <w:spacing w:after="0" w:line="246" w:lineRule="auto"/>
        <w:rPr>
          <w:sz w:val="20"/>
          <w:szCs w:val="20"/>
          <w:color w:val="auto"/>
        </w:rPr>
      </w:pPr>
      <w:r>
        <w:rPr>
          <w:rFonts w:ascii="Arial" w:cs="Arial" w:eastAsia="Arial" w:hAnsi="Arial"/>
          <w:sz w:val="20"/>
          <w:szCs w:val="20"/>
          <w:color w:val="auto"/>
        </w:rPr>
        <w:t xml:space="preserve">default referred to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3.02(b)</w:t>
      </w:r>
      <w:r>
        <w:rPr>
          <w:rFonts w:ascii="Arial" w:cs="Arial" w:eastAsia="Arial" w:hAnsi="Arial"/>
          <w:sz w:val="20"/>
          <w:szCs w:val="20"/>
          <w:color w:val="auto"/>
        </w:rPr>
        <w:t>, would reasonably be expected to have, individually or in the aggregate, a Material Adverse Effect, or (iii) result in the creation or imposition of any Lien upon or with respect to any property or assets now owned or hereafter acquired by the Borrower or any such Guarantor, other than the Liens created by the Loan Documents and Permitted Liens.</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Enforceability</w:t>
      </w:r>
      <w:r>
        <w:rPr>
          <w:rFonts w:ascii="Arial" w:cs="Arial" w:eastAsia="Arial" w:hAnsi="Arial"/>
          <w:sz w:val="19"/>
          <w:szCs w:val="19"/>
          <w:color w:val="auto"/>
        </w:rPr>
        <w:t>. This Agreement has been duly executed and delivered by the Borrower and constitutes, and each other Loan Document when executed and delivered by the Borrower and each Guarantor that is party thereto will constitute, a legal, valid and binding obligation of such Loan Party enforceable against the Borrower and each such Guarantor in accordance with its terms, subject to (a) the effects of bankruptcy, insolvency, moratorium, reorganization, fraudulent conveyance or other similar laws affecting creditors’ rights generally, (b) general principles of equity (regardless of whether such enforceability is considered in a proceeding in equity or at law), (c) implied covenants of good faith and fair dealing, and (d) the need for filings and registrations necessary to perfect the Liens on the Collateral granted by the Loan Parties in favor of the Collateral Agent.</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No action, consent or approval of, registration or filing with or any other action by any Governmental Authority is or will be required for the execution, delivery or performance of each Loan Document to which the Borrower or any Guarantor is a party, except for (a) the filing of Uniform Commercial Code financing statements, (b) filings with the United States Patent and Trademark Office and the United States Copyright Office and comparable offices in foreign jurisdictions and equivalent filings in foreign jurisdictions, (c) such as have been made or obtained and are in full force and effect, (d) such actions, consents and approvals the failure of which to be obtained or made would not reasonably be expected to have a Material Adverse Effect and (e) filings or other actions listed on </w:t>
      </w:r>
      <w:r>
        <w:rPr>
          <w:rFonts w:ascii="Arial" w:cs="Arial" w:eastAsia="Arial" w:hAnsi="Arial"/>
          <w:sz w:val="18"/>
          <w:szCs w:val="18"/>
          <w:u w:val="single" w:color="auto"/>
          <w:color w:val="auto"/>
        </w:rPr>
        <w:t>Schedule 3.04</w:t>
      </w:r>
      <w:r>
        <w:rPr>
          <w:rFonts w:ascii="Arial" w:cs="Arial" w:eastAsia="Arial" w:hAnsi="Arial"/>
          <w:sz w:val="18"/>
          <w:szCs w:val="18"/>
          <w:color w:val="auto"/>
        </w:rPr>
        <w:t xml:space="preserve"> and any other filings or registrations required to perfect Liens created by the Security Documents.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(a) Annual Borrower Financial Statements and (b) Quarterly Borrower Financial Statements, in each case, were prepared in accordance with GAAP applied on a consistent basis throughout the periods covered thereby, except, in the case of interim period financial statements, for the absence of notes and for normal year-end adjustments and except as otherwise noted therein.</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the Closing Date, there has been no event or circumstance that, individually or in the aggregate with other events or circumstances, has had or would reasonably be expected to have a Material Adverse Effect.</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Title to Properties; Possession Under Leases</w:t>
      </w:r>
      <w:r>
        <w:rPr>
          <w:rFonts w:ascii="Arial" w:cs="Arial" w:eastAsia="Arial" w:hAnsi="Arial"/>
          <w:sz w:val="20"/>
          <w:szCs w:val="20"/>
          <w:color w:val="auto"/>
        </w:rPr>
        <w:t>. Each of the Borrower and its Subsidiaries has valid title in fee simple or equivalent to, or valid leasehold interests in, or easements or other limited property interests in, all its Real Properties and has valid title to its personal property and assets, in each case, free and clear of Liens, other than Permitted Liens or Liens arising by operation of law and except for defects in title that do not materially interfere with its ability to conduct its business as currently conducted or to utilize such properties and assets for their intended purposes and except where the failures to have such title would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2" w:name="page273"/>
    <w:bookmarkEnd w:id="272"/>
    <w:p>
      <w:pPr>
        <w:ind w:left="660"/>
        <w:spacing w:after="0"/>
        <w:tabs>
          <w:tab w:leader="none" w:pos="1940" w:val="left"/>
        </w:tabs>
        <w:rPr>
          <w:sz w:val="20"/>
          <w:szCs w:val="20"/>
          <w:color w:val="auto"/>
        </w:rPr>
      </w:pPr>
      <w:r>
        <w:rPr>
          <w:rFonts w:ascii="Arial" w:cs="Arial" w:eastAsia="Arial" w:hAnsi="Arial"/>
          <w:sz w:val="20"/>
          <w:szCs w:val="20"/>
          <w:color w:val="auto"/>
        </w:rPr>
        <w:t>Section 3.08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3.09</w:t>
      </w:r>
      <w:r>
        <w:rPr>
          <w:sz w:val="20"/>
          <w:szCs w:val="20"/>
          <w:color w:val="auto"/>
        </w:rPr>
        <w:tab/>
      </w:r>
      <w:r>
        <w:rPr>
          <w:rFonts w:ascii="Arial" w:cs="Arial" w:eastAsia="Arial" w:hAnsi="Arial"/>
          <w:sz w:val="18"/>
          <w:szCs w:val="18"/>
          <w:u w:val="single" w:color="auto"/>
          <w:color w:val="auto"/>
        </w:rPr>
        <w:t>Litigation; Compliance with Laws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8" w:lineRule="auto"/>
        <w:tabs>
          <w:tab w:leader="none" w:pos="129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There are no actions, suits, proceedings or investigations at law or in equity or by or on behalf of any Governmental Authority or in arbitration now pending, or, to the knowledge of the Borrower, threatened in writing against the Borrower or any of its Subsidiaries or any business, property or rights of any such person that would reasonably be expected to have, individually or in the aggregate, a Material Adverse Effect, except for any action, suit or proceeding at law or in equity or by, before or on behalf of any Governmental Authority or in arbitration disclosed on </w:t>
      </w:r>
      <w:r>
        <w:rPr>
          <w:rFonts w:ascii="Arial" w:cs="Arial" w:eastAsia="Arial" w:hAnsi="Arial"/>
          <w:sz w:val="18"/>
          <w:szCs w:val="18"/>
          <w:u w:val="single" w:color="auto"/>
          <w:color w:val="auto"/>
        </w:rPr>
        <w:t>Schedule 3.09</w:t>
      </w:r>
      <w:r>
        <w:rPr>
          <w:rFonts w:ascii="Arial" w:cs="Arial" w:eastAsia="Arial" w:hAnsi="Arial"/>
          <w:sz w:val="18"/>
          <w:szCs w:val="18"/>
          <w:color w:val="auto"/>
        </w:rPr>
        <w:t>, hereto.</w:t>
      </w:r>
    </w:p>
    <w:p>
      <w:pPr>
        <w:spacing w:after="0" w:line="164" w:lineRule="exact"/>
        <w:rPr>
          <w:rFonts w:ascii="Arial" w:cs="Arial" w:eastAsia="Arial" w:hAnsi="Arial"/>
          <w:sz w:val="18"/>
          <w:szCs w:val="18"/>
          <w:color w:val="auto"/>
        </w:rPr>
      </w:pPr>
    </w:p>
    <w:p>
      <w:pPr>
        <w:jc w:val="both"/>
        <w:ind w:firstLine="656"/>
        <w:spacing w:after="0" w:line="276" w:lineRule="auto"/>
        <w:tabs>
          <w:tab w:leader="none" w:pos="129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None of the Borrower, its Subsidiaries or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w:t>
      </w:r>
      <w:r>
        <w:rPr>
          <w:rFonts w:ascii="Arial" w:cs="Arial" w:eastAsia="Arial" w:hAnsi="Arial"/>
          <w:sz w:val="18"/>
          <w:szCs w:val="18"/>
          <w:u w:val="single" w:color="auto"/>
          <w:color w:val="auto"/>
        </w:rPr>
        <w:t>Section 3.16</w:t>
      </w:r>
      <w:r>
        <w:rPr>
          <w:rFonts w:ascii="Arial" w:cs="Arial" w:eastAsia="Arial" w:hAnsi="Arial"/>
          <w:sz w:val="18"/>
          <w:szCs w:val="18"/>
          <w:color w:val="auto"/>
        </w:rPr>
        <w:t>)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w:t>
      </w:r>
    </w:p>
    <w:p>
      <w:pPr>
        <w:spacing w:after="0" w:line="16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Loans will be used by the Borrower and its Subsidiaries in any manner that would result in a violation of Regulation T, Regulation U or Regulation X.</w:t>
      </w:r>
    </w:p>
    <w:p>
      <w:pPr>
        <w:spacing w:after="0" w:line="1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Investment Company Act</w:t>
      </w:r>
      <w:r>
        <w:rPr>
          <w:rFonts w:ascii="Arial" w:cs="Arial" w:eastAsia="Arial" w:hAnsi="Arial"/>
          <w:sz w:val="19"/>
          <w:szCs w:val="19"/>
          <w:color w:val="auto"/>
        </w:rPr>
        <w:t>. None of the Borrower or any of the other Loan Parties is required to be registered as an “investment company” within the meaning of the Investment Company Act of 1940, as amended.</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3" w:lineRule="auto"/>
        <w:tabs>
          <w:tab w:leader="none" w:pos="1296"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The Borrower will use the proceeds of the Revolving Facility Loans and Swingline Loans, and may request the issuance of Letters of Credit, solely for general corporate purposes (including, without limitation, in the case of Letters of Credit, for the back-up or replacement of existing letters of credit). The Borrower will use the proceeds of Sustainability Loans in compliance with the Sustainability Financing Framework.</w:t>
      </w:r>
    </w:p>
    <w:p>
      <w:pPr>
        <w:spacing w:after="0" w:line="176" w:lineRule="exact"/>
        <w:rPr>
          <w:rFonts w:ascii="Arial" w:cs="Arial" w:eastAsia="Arial" w:hAnsi="Arial"/>
          <w:sz w:val="19"/>
          <w:szCs w:val="19"/>
          <w:color w:val="auto"/>
        </w:rPr>
      </w:pPr>
    </w:p>
    <w:p>
      <w:pPr>
        <w:jc w:val="both"/>
        <w:ind w:right="20" w:firstLine="656"/>
        <w:spacing w:after="0" w:line="250" w:lineRule="auto"/>
        <w:tabs>
          <w:tab w:leader="none" w:pos="1296"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Borrower will use the proceeds of the Initial Term Loans incurred on or prior to the Closing Date, together with the proceeds of the Equity Raise, to effect the Closing Date Refinancing and the other Transactions, including payment of the Transaction Costs.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Tax Returns</w:t>
      </w:r>
      <w:r>
        <w:rPr>
          <w:rFonts w:ascii="Arial" w:cs="Arial" w:eastAsia="Arial" w:hAnsi="Arial"/>
          <w:sz w:val="19"/>
          <w:szCs w:val="19"/>
          <w:color w:val="auto"/>
        </w:rPr>
        <w:t>. Except as would not, individually or in the aggregate, reasonably be expected to result in a Material Adverse Effect, (a) the Borrower and each of its Subsidiaries has filed or caused to be filed all federal, state, local and non-U.S. Tax returns required to have been filed by it and each such Tax return is true and correct and (b) the Borrower and each of its Subsidiaries has timely paid or caused to be timely paid all Taxes due and payable by it (including in its capacity as a withholding agent), except for Taxes for which the Borrower or any of the Subsidiaries (as the case may be) has set aside on its books adequate reserves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3" w:name="page274"/>
    <w:bookmarkEnd w:id="273"/>
    <w:p>
      <w:pPr>
        <w:jc w:val="both"/>
        <w:spacing w:after="0" w:line="250" w:lineRule="auto"/>
        <w:rPr>
          <w:sz w:val="20"/>
          <w:szCs w:val="20"/>
          <w:color w:val="auto"/>
        </w:rPr>
      </w:pPr>
      <w:r>
        <w:rPr>
          <w:rFonts w:ascii="Arial" w:cs="Arial" w:eastAsia="Arial" w:hAnsi="Arial"/>
          <w:sz w:val="20"/>
          <w:szCs w:val="20"/>
          <w:color w:val="auto"/>
        </w:rPr>
        <w:t>with GAAP and, in the case of any asserted Tax deficiency or assessment, which are being contested in good faith by appropriate proceedings and for which the Borrower or any of the Subsidiaries (as the case may be) has set aside on its books adequate reserves in accordance with GAAP.</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3.14</w:t>
      </w:r>
      <w:r>
        <w:rPr>
          <w:sz w:val="20"/>
          <w:szCs w:val="20"/>
          <w:color w:val="auto"/>
        </w:rPr>
        <w:tab/>
      </w:r>
      <w:r>
        <w:rPr>
          <w:rFonts w:ascii="Arial" w:cs="Arial" w:eastAsia="Arial" w:hAnsi="Arial"/>
          <w:sz w:val="18"/>
          <w:szCs w:val="18"/>
          <w:u w:val="single" w:color="auto"/>
          <w:color w:val="auto"/>
        </w:rPr>
        <w:t>No Material Misstatements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1" w:lineRule="auto"/>
        <w:tabs>
          <w:tab w:leader="none" w:pos="129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of the Closing Date, all written information (other than the Projections, forward looking information and information of a general economic or industry specific nature) (the “</w:t>
      </w:r>
      <w:r>
        <w:rPr>
          <w:rFonts w:ascii="Arial" w:cs="Arial" w:eastAsia="Arial" w:hAnsi="Arial"/>
          <w:sz w:val="18"/>
          <w:szCs w:val="18"/>
          <w:u w:val="single" w:color="auto"/>
          <w:color w:val="auto"/>
        </w:rPr>
        <w:t>Information</w:t>
      </w:r>
      <w:r>
        <w:rPr>
          <w:rFonts w:ascii="Arial" w:cs="Arial" w:eastAsia="Arial" w:hAnsi="Arial"/>
          <w:sz w:val="18"/>
          <w:szCs w:val="18"/>
          <w:color w:val="auto"/>
        </w:rPr>
        <w:t>”) concerning the Borrower, its Subsidiaries and any other transactions contemplated hereby included in the Lender Presentation or otherwise prepared by or on behalf of the foregoing or their representatives and made available to any Lenders or the Administrative Agent in connection with the transactions contemplated hereby, when taken as a whole and in light of the circumstances when furnished, was true and correct in all material respects, as of the date such Information was furnished to the Lenders and as of the Closing Date, with respect to Information provided prior thereto, and as of the date such Information was furnished to the Lenders (and as of the Closing Date, with respect to Information provided prior thereto), when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provided thereto).</w:t>
      </w:r>
    </w:p>
    <w:p>
      <w:pPr>
        <w:spacing w:after="0" w:line="169"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244"/>
        </w:numPr>
        <w:rPr>
          <w:rFonts w:ascii="Arial" w:cs="Arial" w:eastAsia="Arial" w:hAnsi="Arial"/>
          <w:sz w:val="19"/>
          <w:szCs w:val="19"/>
          <w:color w:val="auto"/>
        </w:rPr>
      </w:pPr>
      <w:r>
        <w:rPr>
          <w:rFonts w:ascii="Arial" w:cs="Arial" w:eastAsia="Arial" w:hAnsi="Arial"/>
          <w:sz w:val="19"/>
          <w:szCs w:val="19"/>
          <w:color w:val="auto"/>
        </w:rPr>
        <w:t>As of the Closing Date, the Projections prepared by or on behalf of the Borrower or any of their representatives and that have been made available to any Lender or the Administrative Agent in connection with the transactions contemplated hereby have been prepared in good faith based upon assumptions believed by the Borrower to be reasonable as of the date thereof (it being understood that such Projections are as to inherently uncertain future events and are not to be viewed as facts, such Projections are subject to significant uncertainties and contingencies and that actual results during the period or periods covered by any such Projections may differ significantly from the projected results, and that no assurance can be given or is being given that the projected results will be realized) and as of the date such Projections were furnished to the Lenders.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3.15</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16" w:lineRule="exact"/>
        <w:rPr>
          <w:sz w:val="20"/>
          <w:szCs w:val="20"/>
          <w:color w:val="auto"/>
        </w:rPr>
      </w:pPr>
    </w:p>
    <w:p>
      <w:pPr>
        <w:ind w:firstLine="656"/>
        <w:spacing w:after="0" w:line="316" w:lineRule="auto"/>
        <w:tabs>
          <w:tab w:leader="none" w:pos="1296" w:val="left"/>
        </w:tabs>
        <w:numPr>
          <w:ilvl w:val="0"/>
          <w:numId w:val="245"/>
        </w:numPr>
        <w:rPr>
          <w:rFonts w:ascii="Arial" w:cs="Arial" w:eastAsia="Arial" w:hAnsi="Arial"/>
          <w:sz w:val="18"/>
          <w:szCs w:val="18"/>
          <w:color w:val="010000"/>
        </w:rPr>
      </w:pPr>
      <w:r>
        <w:rPr>
          <w:rFonts w:ascii="Arial" w:cs="Arial" w:eastAsia="Arial" w:hAnsi="Arial"/>
          <w:sz w:val="18"/>
          <w:szCs w:val="18"/>
          <w:color w:val="auto"/>
        </w:rPr>
        <w:t>Except as would not, individually or in the aggregate, reasonably be expected to result in a Material Adverse Effect, each Plan is in compliance with the applicable provisions of ERISA, the Code and other federal or state laws.</w:t>
      </w:r>
    </w:p>
    <w:p>
      <w:pPr>
        <w:spacing w:after="0" w:line="129" w:lineRule="exact"/>
        <w:rPr>
          <w:rFonts w:ascii="Arial" w:cs="Arial" w:eastAsia="Arial" w:hAnsi="Arial"/>
          <w:sz w:val="18"/>
          <w:szCs w:val="18"/>
          <w:color w:val="010000"/>
        </w:rPr>
      </w:pPr>
    </w:p>
    <w:p>
      <w:pPr>
        <w:jc w:val="both"/>
        <w:ind w:firstLine="656"/>
        <w:spacing w:after="0" w:line="243" w:lineRule="auto"/>
        <w:tabs>
          <w:tab w:leader="none" w:pos="1296" w:val="left"/>
        </w:tabs>
        <w:numPr>
          <w:ilvl w:val="0"/>
          <w:numId w:val="245"/>
        </w:numPr>
        <w:rPr>
          <w:rFonts w:ascii="Arial" w:cs="Arial" w:eastAsia="Arial" w:hAnsi="Arial"/>
          <w:sz w:val="20"/>
          <w:szCs w:val="20"/>
          <w:color w:val="010000"/>
        </w:rPr>
      </w:pPr>
      <w:r>
        <w:rPr>
          <w:rFonts w:ascii="Arial" w:cs="Arial" w:eastAsia="Arial" w:hAnsi="Arial"/>
          <w:sz w:val="20"/>
          <w:szCs w:val="20"/>
          <w:color w:val="auto"/>
        </w:rPr>
        <w:t>Except as would not reasonably be expected, individually or in the aggregate, to result in a Material Adverse Effect, (i) no ERISA Event has occurred during the five year period prior to the date on which this representation is made or deemed made or is reasonably expected to occur, (ii) no Plan has failed to satisfy the minimum funding standard (within the meaning of Section 412 of the Code or Section 302 of ERISA) applicable to such Plan, whether or not waived, (iii) none of the Borrower, any of its Subsidiaries or any ERISA Affiliate has incurred, or reasonably expects to incur, any liability under Title IV of ERISA with respect to any Plan (other than premiums due and not delinquent under Section 4007 of ERISA), (iv) none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4" w:name="page275"/>
    <w:bookmarkEnd w:id="274"/>
    <w:p>
      <w:pPr>
        <w:jc w:val="both"/>
        <w:spacing w:after="0" w:line="263" w:lineRule="auto"/>
        <w:rPr>
          <w:sz w:val="20"/>
          <w:szCs w:val="20"/>
          <w:color w:val="auto"/>
        </w:rPr>
      </w:pPr>
      <w:r>
        <w:rPr>
          <w:rFonts w:ascii="Arial" w:cs="Arial" w:eastAsia="Arial" w:hAnsi="Arial"/>
          <w:sz w:val="19"/>
          <w:szCs w:val="19"/>
          <w:color w:val="auto"/>
        </w:rPr>
        <w:t>any of its Subsidiaries or any ERISA Affiliate has incurred, or reasonably expects to incur, any liability (and no event has occurred which, with the giving of notice under Section 4219 of ERISA, would result in such liability) under Section 4201 of ERISA with respect to a Multiemployer Plan and (v) none of the Borrower, any of its Subsidiaries or any ERISA Affiliate has engaged in a transaction that could be subject to Section 4069 or 4212(c) of ERISA.</w:t>
      </w:r>
    </w:p>
    <w:p>
      <w:pPr>
        <w:spacing w:after="0" w:line="17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Except (i) as to matters set forth on </w:t>
      </w:r>
      <w:r>
        <w:rPr>
          <w:rFonts w:ascii="Arial" w:cs="Arial" w:eastAsia="Arial" w:hAnsi="Arial"/>
          <w:sz w:val="16"/>
          <w:szCs w:val="16"/>
          <w:u w:val="single" w:color="auto"/>
          <w:color w:val="auto"/>
        </w:rPr>
        <w:t>Schedule 3.16</w:t>
      </w:r>
      <w:r>
        <w:rPr>
          <w:rFonts w:ascii="Arial" w:cs="Arial" w:eastAsia="Arial" w:hAnsi="Arial"/>
          <w:sz w:val="16"/>
          <w:szCs w:val="16"/>
          <w:color w:val="auto"/>
        </w:rPr>
        <w:t xml:space="preserve"> and (ii) as to matters that would not reasonably be expected to have, individually or in the aggregate, a Material Adverse Effect: (a) no written notice, request for information, order, complaint or penalty has been received by the Borrower or any of its Subsidiaries, and there are no judicial, administrative or other actions, suits or proceedings pending or, to the Borrower’s knowledge, threatened which allege a violation of or liability under any Environmental Laws, in each case relating to the Borrower or any of its Subsidiaries, (b) each of the Borrower and its Subsidiaries has all environmental permits, licenses, authorizations and other approvals necessary for its operations to comply with all Environmental Laws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and is, and in the prior eighteen (18) month period, has been, in compliance with the terms of such Environmental Permits and with all other Environmental Laws, (c) no Hazardous Material is located at, on or under any property currently or, to the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at any location in a manner that would reasonably be expected to give rise to any cost, liability or obligation of the Borrower or any of its Subsidiaries under any Environmental Laws or Environmental Permits,</w:t>
      </w:r>
    </w:p>
    <w:p>
      <w:pPr>
        <w:spacing w:after="0" w:line="189" w:lineRule="exact"/>
        <w:rPr>
          <w:sz w:val="20"/>
          <w:szCs w:val="20"/>
          <w:color w:val="auto"/>
        </w:rPr>
      </w:pPr>
    </w:p>
    <w:p>
      <w:pPr>
        <w:jc w:val="both"/>
        <w:ind w:firstLine="8"/>
        <w:spacing w:after="0"/>
        <w:tabs>
          <w:tab w:leader="none" w:pos="33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there are no agreements in which the Borrower or any of its Subsidiaries has expressly assumed or undertaken responsibility for any known or reasonably likely liability or obligation of any other person arising under or relating to Environmental Laws, and (e) there has been no written environmental assessment or audit conducted (other than customary assessments not revealing anything that would reasonably be expected to result in a Material Adverse Effect) by or on behalf of the Borrower or any of the Subsidiaries of any property currently or, to the Borrower’s knowledge, formerly owned, operated or leased by the Borrower or any of the Subsidiaries that has not been made available to the Administrative Agent prior to the Closing Date.</w:t>
      </w:r>
    </w:p>
    <w:p>
      <w:pPr>
        <w:spacing w:after="0" w:line="19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3.17</w:t>
      </w:r>
      <w:r>
        <w:rPr>
          <w:sz w:val="20"/>
          <w:szCs w:val="20"/>
          <w:color w:val="auto"/>
        </w:rPr>
        <w:tab/>
      </w:r>
      <w:r>
        <w:rPr>
          <w:rFonts w:ascii="Arial" w:cs="Arial" w:eastAsia="Arial" w:hAnsi="Arial"/>
          <w:sz w:val="16"/>
          <w:szCs w:val="16"/>
          <w:u w:val="single" w:color="auto"/>
          <w:color w:val="auto"/>
        </w:rPr>
        <w:t>Security Documents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1" w:lineRule="auto"/>
        <w:tabs>
          <w:tab w:leader="none" w:pos="129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Each Security Document is effective to create in favor of the Collateral Agent (for the benefit of the Secured Parties) a legal, valid and enforceable security interest in the Collateral described therein and proceeds thereof. As of the Closing Date,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as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when financing statements and other filings specified in the Perfection Certificate are filed in the offices specified in the Perfection Certificate, the Collateral Agent (for the benefit of the Secured Parties) shall have a fully perfected Lien (subject to all Permitted Liens) on, and security interest in, all right, title and interest of the Loan Parties in such Collateral and, subject to Section 9-315 of the New York Uniform Commercial Code, the proceeds thereof, as security for the Obligations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5" w:name="page276"/>
    <w:bookmarkEnd w:id="275"/>
    <w:p>
      <w:pPr>
        <w:spacing w:after="0" w:line="260" w:lineRule="auto"/>
        <w:rPr>
          <w:sz w:val="20"/>
          <w:szCs w:val="20"/>
          <w:color w:val="auto"/>
        </w:rPr>
      </w:pPr>
      <w:r>
        <w:rPr>
          <w:rFonts w:ascii="Arial" w:cs="Arial" w:eastAsia="Arial" w:hAnsi="Arial"/>
          <w:sz w:val="20"/>
          <w:szCs w:val="20"/>
          <w:color w:val="auto"/>
        </w:rPr>
        <w:t>extent perfection can be obtained by filing Uniform Commercial Code financing statements or possession, in each case prior and superior in right to the Lien of any other person (except Permitted Liens).</w:t>
      </w:r>
    </w:p>
    <w:p>
      <w:pPr>
        <w:spacing w:after="0" w:line="177" w:lineRule="exact"/>
        <w:rPr>
          <w:sz w:val="20"/>
          <w:szCs w:val="20"/>
          <w:color w:val="auto"/>
        </w:rPr>
      </w:pPr>
    </w:p>
    <w:p>
      <w:pPr>
        <w:jc w:val="both"/>
        <w:ind w:firstLine="656"/>
        <w:spacing w:after="0" w:line="272" w:lineRule="auto"/>
        <w:tabs>
          <w:tab w:leader="none" w:pos="129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Collateral Agent (for the benefit of the Secured Parties) shall have a fully perfected Lien on, and security interest in, all right, title and interest of the Loan Parties thereunder in the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Closing Date).</w:t>
      </w:r>
    </w:p>
    <w:p>
      <w:pPr>
        <w:spacing w:after="0" w:line="170" w:lineRule="exact"/>
        <w:rPr>
          <w:rFonts w:ascii="Arial" w:cs="Arial" w:eastAsia="Arial" w:hAnsi="Arial"/>
          <w:sz w:val="18"/>
          <w:szCs w:val="18"/>
          <w:color w:val="auto"/>
        </w:rPr>
      </w:pPr>
    </w:p>
    <w:p>
      <w:pPr>
        <w:jc w:val="both"/>
        <w:ind w:firstLine="656"/>
        <w:spacing w:after="0" w:line="243" w:lineRule="auto"/>
        <w:tabs>
          <w:tab w:leader="none" w:pos="1296"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Notwithstanding anything herein (including this </w:t>
      </w:r>
      <w:r>
        <w:rPr>
          <w:rFonts w:ascii="Arial" w:cs="Arial" w:eastAsia="Arial" w:hAnsi="Arial"/>
          <w:sz w:val="20"/>
          <w:szCs w:val="20"/>
          <w:u w:val="single" w:color="auto"/>
          <w:color w:val="auto"/>
        </w:rPr>
        <w:t>Section 3.17</w:t>
      </w:r>
      <w:r>
        <w:rPr>
          <w:rFonts w:ascii="Arial" w:cs="Arial" w:eastAsia="Arial" w:hAnsi="Arial"/>
          <w:sz w:val="20"/>
          <w:szCs w:val="20"/>
          <w:color w:val="auto"/>
        </w:rPr>
        <w:t>) or in any other Loan Document to the contrary, neither the Borrower nor any other Loan Party (other than any Loan Party that is a Foreign Subsidiary) makes any 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 except, in each case, with respect to the Equity Interests of any Foreign Subsidiary that is a Loan Party.</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after giving effect to the Transactions on the Closing Date and the making of each Initial Term Loan or Initial Revolving Facility Loans on the Closing Date and the application of the proceeds of such Initial Term Loans and such Initial Revolving Facility Loans, (i) the fair value of the assets of the Borrower and its Subsidiaries on a consolidated basis, exceeds, on a consolidated basis, their debts and liabilities, subordinated, contingent or otherwise; (ii)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Subsidiaries, on a consolidated basis, are able to pay their debts and liabilities, subordinated, contingent or otherwise, as such debts and liabilities become absolute and matured; and (iv) the Borrower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3.19 </w:t>
      </w:r>
      <w:r>
        <w:rPr>
          <w:rFonts w:ascii="Arial" w:cs="Arial" w:eastAsia="Arial" w:hAnsi="Arial"/>
          <w:sz w:val="19"/>
          <w:szCs w:val="19"/>
          <w:u w:val="single" w:color="auto"/>
          <w:color w:val="auto"/>
        </w:rPr>
        <w:t>Labor Matters</w:t>
      </w:r>
      <w:r>
        <w:rPr>
          <w:rFonts w:ascii="Arial" w:cs="Arial" w:eastAsia="Arial" w:hAnsi="Arial"/>
          <w:sz w:val="19"/>
          <w:szCs w:val="19"/>
          <w:color w:val="auto"/>
        </w:rPr>
        <w:t>. Except as, individually or in the aggregate, would not reasonably be expected to have a Material Adverse Effect: (a) there are no strikes or other labor disputes pending or threatened against the Borrower or any of the Subsidiaries; (b) the hours worked and payments made to employees of the Borrower and the Subsidiaries have not been in violation of the Fair Labor Standards Act or any other applicable law dealing with such matters; and (c) all payments due from the Borrower or any of the Subsidiaries or for which any claim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6" w:name="page277"/>
    <w:bookmarkEnd w:id="276"/>
    <w:p>
      <w:pPr>
        <w:jc w:val="both"/>
        <w:spacing w:after="0" w:line="276" w:lineRule="auto"/>
        <w:rPr>
          <w:sz w:val="20"/>
          <w:szCs w:val="20"/>
          <w:color w:val="auto"/>
        </w:rPr>
      </w:pPr>
      <w:r>
        <w:rPr>
          <w:rFonts w:ascii="Arial" w:cs="Arial" w:eastAsia="Arial" w:hAnsi="Arial"/>
          <w:sz w:val="18"/>
          <w:szCs w:val="18"/>
          <w:color w:val="auto"/>
        </w:rPr>
        <w:t>be made against the Borrower or any of the Subsidiaries on account of wages and employee health and welfare insurance and other benefits have been paid or accrued as a liability on the books of the Borrower or such Subsidiary to the extent required by GAAP.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Borrower or any of the Subsidiaries (or any predecessor) is a party or by which the Borrower or any of the Subsidiaries (or any predecessor) is bound.</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3.20 </w:t>
      </w: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3.20</w:t>
      </w:r>
      <w:r>
        <w:rPr>
          <w:rFonts w:ascii="Arial" w:cs="Arial" w:eastAsia="Arial" w:hAnsi="Arial"/>
          <w:sz w:val="20"/>
          <w:szCs w:val="20"/>
          <w:color w:val="auto"/>
        </w:rPr>
        <w:t xml:space="preserve"> sets forth a true, complete and correct description, in all material respects, of all material insurance (excluding any title insurance) maintained by or on behalf of the Borrower or the Subsidiaries as of the Closing Date. As of such date, such insurance is in full force and effect.</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3.21 </w:t>
      </w:r>
      <w:r>
        <w:rPr>
          <w:rFonts w:ascii="Arial" w:cs="Arial" w:eastAsia="Arial" w:hAnsi="Arial"/>
          <w:sz w:val="20"/>
          <w:szCs w:val="20"/>
          <w:u w:val="single" w:color="auto"/>
          <w:color w:val="auto"/>
        </w:rPr>
        <w:t>Intellectual Property; Licenses, Etc.</w:t>
      </w:r>
      <w:r>
        <w:rPr>
          <w:rFonts w:ascii="Arial" w:cs="Arial" w:eastAsia="Arial" w:hAnsi="Arial"/>
          <w:sz w:val="20"/>
          <w:szCs w:val="20"/>
          <w:color w:val="auto"/>
        </w:rPr>
        <w:t xml:space="preserve"> Except as would not reasonably be expected to have a Material Adverse Effect or as set forth in </w:t>
      </w:r>
      <w:r>
        <w:rPr>
          <w:rFonts w:ascii="Arial" w:cs="Arial" w:eastAsia="Arial" w:hAnsi="Arial"/>
          <w:sz w:val="20"/>
          <w:szCs w:val="20"/>
          <w:u w:val="single" w:color="auto"/>
          <w:color w:val="auto"/>
        </w:rPr>
        <w:t>Schedule 3.21</w:t>
      </w:r>
      <w:r>
        <w:rPr>
          <w:rFonts w:ascii="Arial" w:cs="Arial" w:eastAsia="Arial" w:hAnsi="Arial"/>
          <w:sz w:val="20"/>
          <w:szCs w:val="20"/>
          <w:color w:val="auto"/>
        </w:rPr>
        <w:t xml:space="preserve">, (a) the Borrower and each of its Subsidiaries owns, or possesses the right to use, all Intellectual Property reasonably necessary in the operation of their respective businesses, (b) to the knowledge of the Borrower,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and (ii) to the knowledge of the Borrower, no claim or litigation regarding any other Intellectual Property described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is pending or threatened.</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3.22 </w:t>
      </w:r>
      <w:r>
        <w:rPr>
          <w:rFonts w:ascii="Arial" w:cs="Arial" w:eastAsia="Arial" w:hAnsi="Arial"/>
          <w:sz w:val="20"/>
          <w:szCs w:val="20"/>
          <w:u w:val="single" w:color="auto"/>
          <w:color w:val="auto"/>
        </w:rPr>
        <w:t>USA PATRIOT Act</w:t>
      </w:r>
      <w:r>
        <w:rPr>
          <w:rFonts w:ascii="Arial" w:cs="Arial" w:eastAsia="Arial" w:hAnsi="Arial"/>
          <w:sz w:val="20"/>
          <w:szCs w:val="20"/>
          <w:color w:val="auto"/>
        </w:rPr>
        <w:t>. Except as would not reasonably be expected to have a Material Adverse Effect, the Borrower and each of its Subsidiaries is in compliance with the USA PATRIOT Act.</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3.23</w:t>
      </w:r>
      <w:r>
        <w:rPr>
          <w:sz w:val="20"/>
          <w:szCs w:val="20"/>
          <w:color w:val="auto"/>
        </w:rPr>
        <w:tab/>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5" w:lineRule="auto"/>
        <w:tabs>
          <w:tab w:leader="none" w:pos="129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None of (a) the Borrower or any Subsidiary or (b) to the knowledge of the Borrower, any director, officer, employee of the Borrower or any Subsidiary that will act in any capacity in connection with, is a Sanctioned Person. No proceeds of the Loans or Letter of Credit have been or shall be used by the Borrower or any of its Subsidiaries directly or, to the knowledge of the Borrower, indirectly, (i) in furtherance of an offer, payment, promise to pay, or authorization of the payment or giving of money, or anything else of value, to any person in violation of any Anti-Corruption Laws or (ii) for the purpose of funding, financing or facilitating any activities, business or transaction of or with any person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“Sanctioned Person” or, to the knowledge of the Borrower, any person described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the definition of “Sanctioned Person,” or in any Sanctioned Country, to the extent such activities, businesses or transaction would be prohibited by Sanctions if conducted by a corporation incorporated in the United States, the United Kingdom or in a European Union member state.</w:t>
      </w:r>
    </w:p>
    <w:p>
      <w:pPr>
        <w:spacing w:after="0" w:line="189" w:lineRule="exact"/>
        <w:rPr>
          <w:rFonts w:ascii="Arial" w:cs="Arial" w:eastAsia="Arial" w:hAnsi="Arial"/>
          <w:sz w:val="19"/>
          <w:szCs w:val="19"/>
          <w:color w:val="auto"/>
        </w:rPr>
      </w:pPr>
    </w:p>
    <w:p>
      <w:pPr>
        <w:ind w:firstLine="656"/>
        <w:spacing w:after="0" w:line="260" w:lineRule="auto"/>
        <w:tabs>
          <w:tab w:leader="none" w:pos="129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Since the Closing Date, the Borrower and its Subsidiaries have conducted their business in compliance in all material respects with applicable Anti-Corruption Laws,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7" w:name="page278"/>
    <w:bookmarkEnd w:id="277"/>
    <w:p>
      <w:pPr>
        <w:jc w:val="both"/>
        <w:spacing w:after="0" w:line="260" w:lineRule="auto"/>
        <w:rPr>
          <w:sz w:val="20"/>
          <w:szCs w:val="20"/>
          <w:color w:val="auto"/>
        </w:rPr>
      </w:pPr>
      <w:r>
        <w:rPr>
          <w:rFonts w:ascii="Arial" w:cs="Arial" w:eastAsia="Arial" w:hAnsi="Arial"/>
          <w:sz w:val="20"/>
          <w:szCs w:val="20"/>
          <w:color w:val="auto"/>
        </w:rPr>
        <w:t>and regulations thereunder, and have instituted and maintained policies and procedures reasonably designed to achieve compliance with such laws and regulations.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Conditions of Lending</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The effectiveness of the Commitments hereunder and the obligations of each Revolving Facility Lender, each Issuing Bank and each Term Lender with an Initial Term Loan Commitment with respect to each Credit Event on the Closing Date, are subject only to the satisfaction (or waiver in accordance with </w:t>
      </w:r>
      <w:r>
        <w:rPr>
          <w:rFonts w:ascii="Arial" w:cs="Arial" w:eastAsia="Arial" w:hAnsi="Arial"/>
          <w:sz w:val="20"/>
          <w:szCs w:val="20"/>
          <w:u w:val="single" w:color="auto"/>
          <w:color w:val="auto"/>
        </w:rPr>
        <w:t>Section 9.08</w:t>
      </w:r>
      <w:r>
        <w:rPr>
          <w:rFonts w:ascii="Arial" w:cs="Arial" w:eastAsia="Arial" w:hAnsi="Arial"/>
          <w:sz w:val="20"/>
          <w:szCs w:val="20"/>
          <w:color w:val="auto"/>
        </w:rPr>
        <w:t>) of the following conditions:</w:t>
      </w:r>
    </w:p>
    <w:p>
      <w:pPr>
        <w:spacing w:after="0" w:line="191" w:lineRule="exact"/>
        <w:rPr>
          <w:sz w:val="20"/>
          <w:szCs w:val="20"/>
          <w:color w:val="auto"/>
        </w:rPr>
      </w:pPr>
    </w:p>
    <w:p>
      <w:pPr>
        <w:ind w:right="20" w:firstLine="656"/>
        <w:spacing w:after="0" w:line="260" w:lineRule="auto"/>
        <w:tabs>
          <w:tab w:leader="none" w:pos="1296"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each of the Borrower, the Issuing Bank and the Lenders a counterpart of this Agreement signed on behalf of such party.</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250"/>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Borrowing Request as required by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in respect of any Loans to be made on the Closing Date and, in the case of any Letter of Credit to be issued on the Closing Date, the applicable Issuing Bank and the Administrative Agent shall have received a notice requesting the issuance of such Letter of Credit as required by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firstLine="656"/>
        <w:spacing w:after="0" w:line="260" w:lineRule="auto"/>
        <w:tabs>
          <w:tab w:leader="none" w:pos="1296" w:val="left"/>
        </w:tabs>
        <w:numPr>
          <w:ilvl w:val="0"/>
          <w:numId w:val="250"/>
        </w:numPr>
        <w:rPr>
          <w:rFonts w:ascii="Arial" w:cs="Arial" w:eastAsia="Arial" w:hAnsi="Arial"/>
          <w:sz w:val="20"/>
          <w:szCs w:val="20"/>
          <w:color w:val="auto"/>
        </w:rPr>
      </w:pPr>
      <w:r>
        <w:rPr>
          <w:rFonts w:ascii="Arial" w:cs="Arial" w:eastAsia="Arial" w:hAnsi="Arial"/>
          <w:sz w:val="20"/>
          <w:szCs w:val="20"/>
          <w:color w:val="auto"/>
        </w:rPr>
        <w:t xml:space="preserve">To the extent required to be satisfied on the Closing Date, the Collateral and Guarantee Requirement shall be satisfied (or waived in accordance with </w:t>
      </w:r>
      <w:r>
        <w:rPr>
          <w:rFonts w:ascii="Arial" w:cs="Arial" w:eastAsia="Arial" w:hAnsi="Arial"/>
          <w:sz w:val="20"/>
          <w:szCs w:val="20"/>
          <w:u w:val="single" w:color="auto"/>
          <w:color w:val="auto"/>
        </w:rPr>
        <w:t>Section 9.08</w:t>
      </w:r>
      <w:r>
        <w:rPr>
          <w:rFonts w:ascii="Arial" w:cs="Arial" w:eastAsia="Arial" w:hAnsi="Arial"/>
          <w:sz w:val="20"/>
          <w:szCs w:val="20"/>
          <w:color w:val="auto"/>
        </w:rPr>
        <w:t>) as of the Closing Date.</w:t>
      </w:r>
    </w:p>
    <w:p>
      <w:pPr>
        <w:spacing w:after="0" w:line="176"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250"/>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of a Responsible Officer of the Borrower stating that the Specified Representations are true and correct in all material respects as of the Closing Date (after giving effect to the Transactions) as though made on and as of such date, except to the extent such representations and warranties expressly relate to an earlier date (in which case such representations and warranties shall be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4"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250"/>
        </w:numPr>
        <w:rPr>
          <w:rFonts w:ascii="Arial" w:cs="Arial" w:eastAsia="Arial" w:hAnsi="Arial"/>
          <w:sz w:val="20"/>
          <w:szCs w:val="20"/>
          <w:color w:val="auto"/>
        </w:rPr>
      </w:pPr>
      <w:r>
        <w:rPr>
          <w:rFonts w:ascii="Arial" w:cs="Arial" w:eastAsia="Arial" w:hAnsi="Arial"/>
          <w:sz w:val="20"/>
          <w:szCs w:val="20"/>
          <w:color w:val="auto"/>
        </w:rPr>
        <w:t xml:space="preserve">The Lenders shall have received a solvency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and signed by the chief executive officer, chief financial officer, chief accounting officer or other officer with equivalent duties of the Borrower confirming the solvency of the Borrower and its Subsidiaries on a consolidated basis after giving effect to the Transactions on the Closing Date.</w:t>
      </w:r>
    </w:p>
    <w:p>
      <w:pPr>
        <w:spacing w:after="0" w:line="191" w:lineRule="exact"/>
        <w:rPr>
          <w:rFonts w:ascii="Arial" w:cs="Arial" w:eastAsia="Arial" w:hAnsi="Arial"/>
          <w:sz w:val="20"/>
          <w:szCs w:val="20"/>
          <w:color w:val="auto"/>
        </w:rPr>
      </w:pPr>
    </w:p>
    <w:p>
      <w:pPr>
        <w:jc w:val="both"/>
        <w:ind w:firstLine="656"/>
        <w:spacing w:after="0" w:line="243" w:lineRule="auto"/>
        <w:tabs>
          <w:tab w:leader="none" w:pos="1296"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The Administrative Agent shall have received, on behalf of themselves, the Lenders and each Issuing Bank, a written opinion of (i) Wachtell, Lipton, Rosen &amp; Katz, as special New York counsel for the Loan Parties, (ii) Kutak Rock LLP, as Arkansas counsel for the Loan Parties, and (iii) McGuireWoods LLP, as North Carolina counsel for the Loan Parties, or, in each case, such other firm as may be reasonably acceptable to the Administrative Agent, in each case (A) dated the Closing Date, (B) addressed to the Administrative Agent, the Issuing Bank and the Lenders on the Closing Date and (C) in form and substance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8" w:name="page279"/>
    <w:bookmarkEnd w:id="278"/>
    <w:p>
      <w:pPr>
        <w:spacing w:after="0" w:line="260" w:lineRule="auto"/>
        <w:rPr>
          <w:sz w:val="20"/>
          <w:szCs w:val="20"/>
          <w:color w:val="auto"/>
        </w:rPr>
      </w:pPr>
      <w:r>
        <w:rPr>
          <w:rFonts w:ascii="Arial" w:cs="Arial" w:eastAsia="Arial" w:hAnsi="Arial"/>
          <w:sz w:val="20"/>
          <w:szCs w:val="20"/>
          <w:color w:val="auto"/>
        </w:rPr>
        <w:t>Administrative Agent covering such customary matters relating to the Loan Documents as the Administrative Agent shall reasonably request.</w:t>
      </w:r>
    </w:p>
    <w:p>
      <w:pPr>
        <w:spacing w:after="0" w:line="177" w:lineRule="exact"/>
        <w:rPr>
          <w:sz w:val="20"/>
          <w:szCs w:val="20"/>
          <w:color w:val="auto"/>
        </w:rPr>
      </w:pPr>
    </w:p>
    <w:p>
      <w:pPr>
        <w:ind w:firstLine="656"/>
        <w:spacing w:after="0" w:line="260" w:lineRule="auto"/>
        <w:tabs>
          <w:tab w:leader="none" w:pos="1296"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the Secretary or Assistant Secretary or similar officer of each Loan Party dated the Closing Date and certifying:</w:t>
      </w:r>
    </w:p>
    <w:p>
      <w:pPr>
        <w:spacing w:after="0" w:line="176"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that attached thereto is a true and complete copy of the certificate or articles of incorporation, certificate of limited partnership, certificate of formation or other equivalent constituent and governing documents, including all amendments thereto, of such Loan Party, certified as of a recent date by the Secretary of State (or other similar official or Governmental Authority) of the jurisdiction of its organization or by the Secretary or Assistant Secretary or similar officer of such Loan Party or other person duly authorized by the constituent documents of such Loan Party,</w:t>
      </w:r>
    </w:p>
    <w:p>
      <w:pPr>
        <w:spacing w:after="0" w:line="19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that attached thereto is a true and complete copy of a certificate as to the good standing of such Loan Party (to the extent that such concept exists in such jurisdiction) as of a recent date from such Secretary of State (or other similar official or Governmental Authority),</w:t>
      </w:r>
    </w:p>
    <w:p>
      <w:pPr>
        <w:spacing w:after="0" w:line="185"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1"/>
          <w:numId w:val="251"/>
        </w:numPr>
        <w:rPr>
          <w:rFonts w:ascii="Arial" w:cs="Arial" w:eastAsia="Arial" w:hAnsi="Arial"/>
          <w:sz w:val="20"/>
          <w:szCs w:val="20"/>
          <w:color w:val="auto"/>
        </w:rPr>
      </w:pPr>
      <w:r>
        <w:rPr>
          <w:rFonts w:ascii="Arial" w:cs="Arial" w:eastAsia="Arial" w:hAnsi="Arial"/>
          <w:sz w:val="20"/>
          <w:szCs w:val="20"/>
          <w:color w:val="auto"/>
        </w:rPr>
        <w:t xml:space="preserve">that attached thereto is a true and complete copy of the by-laws (or partnership agreement, limited liability company agreement or other equivalent constituent and governing documents) of such Loan Party as in effect on the Closing Date and at all times since a date prior to the date of the resolutions described in the following </w:t>
      </w:r>
      <w:r>
        <w:rPr>
          <w:rFonts w:ascii="Arial" w:cs="Arial" w:eastAsia="Arial" w:hAnsi="Arial"/>
          <w:sz w:val="20"/>
          <w:szCs w:val="20"/>
          <w:u w:val="single" w:color="auto"/>
          <w:color w:val="auto"/>
        </w:rPr>
        <w:t>clause (iv)</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1"/>
          <w:numId w:val="251"/>
        </w:numPr>
        <w:rPr>
          <w:rFonts w:ascii="Arial" w:cs="Arial" w:eastAsia="Arial" w:hAnsi="Arial"/>
          <w:sz w:val="20"/>
          <w:szCs w:val="20"/>
          <w:color w:val="auto"/>
        </w:rPr>
      </w:pPr>
      <w:r>
        <w:rPr>
          <w:rFonts w:ascii="Arial" w:cs="Arial" w:eastAsia="Arial" w:hAnsi="Arial"/>
          <w:sz w:val="20"/>
          <w:szCs w:val="20"/>
          <w:color w:val="auto"/>
        </w:rPr>
        <w:t>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that such resolutions have not been modified, rescinded or amended and are in full force and effect on the Closing Date, and</w:t>
      </w:r>
    </w:p>
    <w:p>
      <w:pPr>
        <w:spacing w:after="0" w:line="194" w:lineRule="exact"/>
        <w:rPr>
          <w:rFonts w:ascii="Arial" w:cs="Arial" w:eastAsia="Arial" w:hAnsi="Arial"/>
          <w:sz w:val="20"/>
          <w:szCs w:val="20"/>
          <w:color w:val="auto"/>
        </w:rPr>
      </w:pPr>
    </w:p>
    <w:p>
      <w:pPr>
        <w:ind w:left="660" w:right="20" w:firstLine="644"/>
        <w:spacing w:after="0" w:line="316" w:lineRule="auto"/>
        <w:tabs>
          <w:tab w:leader="none" w:pos="195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as to the incumbency and specimen signature of each officer or authorized signatory executing any Loan Document or any other document delivered in connection herewith on behalf of such Loan Party.</w:t>
      </w:r>
    </w:p>
    <w:p>
      <w:pPr>
        <w:spacing w:after="0" w:line="129" w:lineRule="exact"/>
        <w:rPr>
          <w:rFonts w:ascii="Arial" w:cs="Arial" w:eastAsia="Arial" w:hAnsi="Arial"/>
          <w:sz w:val="18"/>
          <w:szCs w:val="18"/>
          <w:color w:val="auto"/>
        </w:rPr>
      </w:pPr>
    </w:p>
    <w:p>
      <w:pPr>
        <w:jc w:val="both"/>
        <w:ind w:firstLine="656"/>
        <w:spacing w:after="0" w:line="278" w:lineRule="auto"/>
        <w:tabs>
          <w:tab w:leader="none" w:pos="129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Administrative Agent shall have received a completed Perfection Certificate, dated the Closing Date and signed by a Responsible Officer of the Borrower, together with all attachments contemplated thereby, and the results of a search of the Uniform Commercial Code (or equivalent), Tax and judgment, United States Patent and Trademark Office and United States Copyright Office filings made with respect to the Loan Parties in the jurisdictions contemplated by the Perfection Certificate and copies of the financing statements (or similar documents) disclosed by such search.</w:t>
      </w:r>
    </w:p>
    <w:p>
      <w:pPr>
        <w:spacing w:after="0" w:line="164" w:lineRule="exact"/>
        <w:rPr>
          <w:rFonts w:ascii="Arial" w:cs="Arial" w:eastAsia="Arial" w:hAnsi="Arial"/>
          <w:sz w:val="18"/>
          <w:szCs w:val="18"/>
          <w:color w:val="auto"/>
        </w:rPr>
      </w:pPr>
    </w:p>
    <w:p>
      <w:pPr>
        <w:ind w:firstLine="656"/>
        <w:spacing w:after="0" w:line="260" w:lineRule="auto"/>
        <w:tabs>
          <w:tab w:leader="none" w:pos="1296"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Administrative Agent shall have received (i) the Annual Borrower Financial Statements and (ii) the Quarterly Borrower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79" w:name="page280"/>
    <w:bookmarkEnd w:id="279"/>
    <w:p>
      <w:pPr>
        <w:jc w:val="both"/>
        <w:ind w:firstLine="656"/>
        <w:spacing w:after="0" w:line="250" w:lineRule="auto"/>
        <w:tabs>
          <w:tab w:leader="none" w:pos="129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Since December 31, 2021, there has not been any Company Material Adverse Effect (as defined in the Transaction Agreement) or any event, change, effect or development that, individually or in the aggregate, would reasonably be expected to have a Material Adverse Effect.</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Closing Date Refinancing shall have been consummated prior to, or shall be consummated substantially concurrently with, the initial borrowing under the Facilities hereunder.</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Equity Raise shall have raised (or shall raise substantially concurrently with the initial borrowing under the Facilities hereunder) gross proceeds to the Borrower of not less than $150,000,000, after giving effect to any Restricted Payments made on the Closing Date. After giving effect to the Equity Raise and the other Transactions, the Total Net Leverage Ratio shall not be more than 4.00 to 1.00.</w:t>
      </w:r>
    </w:p>
    <w:p>
      <w:pPr>
        <w:spacing w:after="0" w:line="191"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Arranger shall have received, at least ten (10) Business Days prior to the Closing Date, (i) all documentation and other information required with respect to the Loan Parties by regulatory authorities under applicable “know your customer” and anti-money laundering rules and regulations, including without limitation the USA PATRIOT Act and (ii) if the Borrower qualifies as a “legal entity customer” under the Beneficial Ownership Regulation, 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to the extent requested in writing at least fifteen (15) Business Days prior to the Closing Date.</w:t>
      </w:r>
    </w:p>
    <w:p>
      <w:pPr>
        <w:spacing w:after="0" w:line="180"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Agents shall have received all fees payable thereto or to any Lender on or prior to the Closing Date and, to the extent invoiced at least three (3) Business Days prior to the Closing Date, reimbursement or payment of all reasonable and documented out-of-pocket expenses (including reasonable fees, charges and disbursements of Cahill Gordon &amp; Reindel LLP) required to be reimbursed or paid by the Loan Parties hereunder or under any Loan Document on or prior to the Closing Date.</w:t>
      </w:r>
    </w:p>
    <w:p>
      <w:pPr>
        <w:spacing w:after="0" w:line="19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Subsequent Credit Events</w:t>
      </w:r>
      <w:r>
        <w:rPr>
          <w:rFonts w:ascii="Arial" w:cs="Arial" w:eastAsia="Arial" w:hAnsi="Arial"/>
          <w:sz w:val="19"/>
          <w:szCs w:val="19"/>
          <w:color w:val="auto"/>
        </w:rPr>
        <w:t xml:space="preserve">. Each Credit Event after the Closing Date is subject to the satisfaction (or waiver in accordance with </w:t>
      </w:r>
      <w:r>
        <w:rPr>
          <w:rFonts w:ascii="Arial" w:cs="Arial" w:eastAsia="Arial" w:hAnsi="Arial"/>
          <w:sz w:val="19"/>
          <w:szCs w:val="19"/>
          <w:u w:val="single" w:color="auto"/>
          <w:color w:val="auto"/>
        </w:rPr>
        <w:t>Section 9.08</w:t>
      </w:r>
      <w:r>
        <w:rPr>
          <w:rFonts w:ascii="Arial" w:cs="Arial" w:eastAsia="Arial" w:hAnsi="Arial"/>
          <w:sz w:val="19"/>
          <w:szCs w:val="19"/>
          <w:color w:val="auto"/>
        </w:rPr>
        <w:t>) of the following conditions precedent on the date of such Credit Event:</w:t>
      </w:r>
    </w:p>
    <w:p>
      <w:pPr>
        <w:spacing w:after="0" w:line="152" w:lineRule="exact"/>
        <w:rPr>
          <w:sz w:val="20"/>
          <w:szCs w:val="20"/>
          <w:color w:val="auto"/>
        </w:rPr>
      </w:pPr>
    </w:p>
    <w:p>
      <w:pPr>
        <w:jc w:val="both"/>
        <w:ind w:firstLine="656"/>
        <w:spacing w:after="0" w:line="246" w:lineRule="auto"/>
        <w:tabs>
          <w:tab w:leader="none" w:pos="1296"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in the case of a Borrowing, a Borrowing Request as required by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(or a Borrowing Request shall have been deemed given) or, in the case of the issuance of a Letter of Credit, the applicable Issuing Bank and the Administrative Agent shall have received a notice requesting the issuance of such Letter of Credit as required by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2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2.21(c)</w:t>
      </w:r>
      <w:r>
        <w:rPr>
          <w:rFonts w:ascii="Arial" w:cs="Arial" w:eastAsia="Arial" w:hAnsi="Arial"/>
          <w:sz w:val="18"/>
          <w:szCs w:val="18"/>
          <w:color w:val="auto"/>
        </w:rPr>
        <w:t xml:space="preserve"> with respect to Incremental Term Loans or Incremental Revolving Loans used to finance a Limited Condition Transaction, the representations and warranties of the Borrowers and each other Loan Party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any other Loan Document shall be true and correct in all material respects on and as of the date of such Credit Event;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to the extent that such representations and warranties specifically refer to an earlier date, they shall be true and correct in all material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0" w:name="page281"/>
    <w:bookmarkEnd w:id="280"/>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6" w:lineRule="exact"/>
        <w:rPr>
          <w:sz w:val="20"/>
          <w:szCs w:val="20"/>
          <w:color w:val="auto"/>
        </w:rPr>
      </w:pPr>
    </w:p>
    <w:p>
      <w:pPr>
        <w:jc w:val="both"/>
        <w:ind w:firstLine="656"/>
        <w:spacing w:after="0" w:line="263" w:lineRule="auto"/>
        <w:tabs>
          <w:tab w:leader="none" w:pos="1296"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2.21(c)</w:t>
      </w:r>
      <w:r>
        <w:rPr>
          <w:rFonts w:ascii="Arial" w:cs="Arial" w:eastAsia="Arial" w:hAnsi="Arial"/>
          <w:sz w:val="19"/>
          <w:szCs w:val="19"/>
          <w:color w:val="auto"/>
        </w:rPr>
        <w:t xml:space="preserve"> with respect to Incremental Term Loans or Incremental Revolving Loans used to finance a Limited Condition Transaction, at the time of and immediately after such Credit Event (other than an amendment, extension or renewal of a Letter of Credit without any increase in the stated amount of such Letter of Credit), as applicable, no Event of Default or Default shall have occurred and be continuing.</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Determinations Under Section 4.01</w:t>
      </w:r>
      <w:r>
        <w:rPr>
          <w:rFonts w:ascii="Arial" w:cs="Arial" w:eastAsia="Arial" w:hAnsi="Arial"/>
          <w:sz w:val="18"/>
          <w:szCs w:val="18"/>
          <w:color w:val="auto"/>
        </w:rPr>
        <w:t xml:space="preserve">. For purposes of determining compliance with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the Closing Date, specifying its objection thereto in reasonable detail. The Administrative Agent shall promptly notify the Lenders and the Borrower in writing of the occurrence of the Closing Date and such notification shall be conclusive and binding.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Affirmative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Borrower covenants and agrees with each Lender that from and after the Closing Date until the Termination Date, unless the Required Lenders shall otherwise consent in writing, the Borrower will, and will cause each of the Subsidiaries to:</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6"/>
          <w:szCs w:val="16"/>
          <w:u w:val="single" w:color="auto"/>
          <w:color w:val="auto"/>
        </w:rPr>
        <w:t>Existence; Business and Properties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8" w:lineRule="auto"/>
        <w:tabs>
          <w:tab w:leader="none" w:pos="129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Do or cause to be done all things necessary to preserve, renew and keep in full force and effect its legal existence, except (i) in the case of a Subsidiary of the Borrower, where the failure to do so would not reasonably be expected to have a Material Adverse Effect, (ii) as otherwise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and (iii) for the liquidation or dissolution of Subsidiaries if the assets of such Subsidiaries to the extent they exceed estimated liabilities are acquired by the Borrower or a Wholly Owned Subsidiary of the Borrower in such liquidation or dissolution.</w:t>
      </w:r>
    </w:p>
    <w:p>
      <w:pPr>
        <w:spacing w:after="0" w:line="164"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255"/>
        </w:numPr>
        <w:rPr>
          <w:rFonts w:ascii="Arial" w:cs="Arial" w:eastAsia="Arial" w:hAnsi="Arial"/>
          <w:sz w:val="19"/>
          <w:szCs w:val="19"/>
          <w:color w:val="auto"/>
        </w:rPr>
      </w:pPr>
      <w:r>
        <w:rPr>
          <w:rFonts w:ascii="Arial" w:cs="Arial" w:eastAsia="Arial" w:hAnsi="Arial"/>
          <w:sz w:val="19"/>
          <w:szCs w:val="19"/>
          <w:color w:val="auto"/>
        </w:rPr>
        <w:t>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1" w:name="page282"/>
    <w:bookmarkEnd w:id="281"/>
    <w:p>
      <w:pPr>
        <w:ind w:left="660"/>
        <w:spacing w:after="0"/>
        <w:tabs>
          <w:tab w:leader="none" w:pos="194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29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Maintain, with insurance companies that the Borrower believes (in the good faith judgment of the management of the Borrower) are financially sound and reputable insurance companies, insurance (subject to customary deductibles and retentions) (i) (after giving effect to any self-insurance which the Borrower believes (in the good faith judgment of management of the Borrower) is reasonable and prudent in light of the size and nature of its business) in such amounts and against such risks as are customarily maintained by similarly situated companies engaged in the same or similar businesses operating in the same or similar locations, or (ii) (after giving effect to any self-insurance which the Borrower believes (in the good faith judgment of management of the Borrower) is reasonable and prudent in light of the size and nature of its business) in such amounts and against at least such risks (and with such risk retentions) as the Borrower believes (in the good faith judgment of the management of the Borrower) are reasonable and prudent in light of the size and nature of its business, and within sixty (60) days after the Closing Date (or such later date as the Collateral Agent may agree in its reasonable discretion), cause the Collateral Agent to be listed as a co-loss payee on property and casualty policies with respect to tangible personal property and assets constituting Collateral located in the United States of America and as an additional insured on all general liability policies. Notwithstanding the foregoing, the Borrower and the Subsidiaries may (i) maintain all such insurance with any combination of primary and excess insurance, (ii) maintain any or all such insurance pursuant to master or so-called “blanket policies” insuring any or all Collateral and/or Real Property which does not constitute Collateral (and in such event the co-payee endorsement shall be limited or otherwise modified accordingly), and/or self-insure with respect to such risks with respect to which companies of established reputation engaged in the same general line of business in the same general area usually self-insure.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 xml:space="preserve">In connection with the covenants set forth in this </w:t>
      </w:r>
      <w:r>
        <w:rPr>
          <w:rFonts w:ascii="Arial" w:cs="Arial" w:eastAsia="Arial" w:hAnsi="Arial"/>
          <w:sz w:val="20"/>
          <w:szCs w:val="20"/>
          <w:u w:val="single" w:color="auto"/>
          <w:color w:val="auto"/>
        </w:rPr>
        <w:t>Section 5.02</w:t>
      </w:r>
      <w:r>
        <w:rPr>
          <w:rFonts w:ascii="Arial" w:cs="Arial" w:eastAsia="Arial" w:hAnsi="Arial"/>
          <w:sz w:val="20"/>
          <w:szCs w:val="20"/>
          <w:color w:val="auto"/>
        </w:rPr>
        <w:t>, it is understood and agreed that:</w:t>
      </w:r>
    </w:p>
    <w:p>
      <w:pPr>
        <w:spacing w:after="0" w:line="215" w:lineRule="exact"/>
        <w:rPr>
          <w:rFonts w:ascii="Arial" w:cs="Arial" w:eastAsia="Arial" w:hAnsi="Arial"/>
          <w:sz w:val="20"/>
          <w:szCs w:val="20"/>
          <w:color w:val="auto"/>
        </w:rPr>
      </w:pPr>
    </w:p>
    <w:p>
      <w:pPr>
        <w:jc w:val="both"/>
        <w:ind w:left="660" w:firstLine="644"/>
        <w:spacing w:after="0" w:line="309" w:lineRule="auto"/>
        <w:tabs>
          <w:tab w:leader="none" w:pos="1956"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the Administrative Agent, the Collateral Agent, the Lenders, the Issuing Banks and their respective agents or employees shall not be liable for any loss or damage insured by the insurance policies required to be maintained under this </w:t>
      </w:r>
      <w:r>
        <w:rPr>
          <w:rFonts w:ascii="Arial" w:cs="Arial" w:eastAsia="Arial" w:hAnsi="Arial"/>
          <w:sz w:val="16"/>
          <w:szCs w:val="16"/>
          <w:u w:val="single" w:color="auto"/>
          <w:color w:val="auto"/>
        </w:rPr>
        <w:t>Section 5.02</w:t>
      </w:r>
      <w:r>
        <w:rPr>
          <w:rFonts w:ascii="Arial" w:cs="Arial" w:eastAsia="Arial" w:hAnsi="Arial"/>
          <w:sz w:val="16"/>
          <w:szCs w:val="16"/>
          <w:color w:val="auto"/>
        </w:rPr>
        <w:t>, it being understood that (A) the Loan Parties shall look solely to their insurance companies or any other parties other than the aforesaid parties for the recovery of such loss or damage and (B) such insurance companies shall have no rights of subrogation against the Administrative Agent, the Collateral Agent, the Lenders, any Issuing Bank or their agents or employees. If, however, the insurance policies, as a matter of the internal policy of such insurer, do not provide waiver of subrogation rights against such parties, as required above, then the Borrower, on behalf of itself and behalf of each of its Subsidiaries, hereby agrees, to the extent permitted by law, to waive, and further agrees to cause each of its Subsidiaries to waive, its right of recovery, if any, against the Administrative Agent, the Collateral Agent, the Lenders, any Issuing Bank and their agents and employees; and</w:t>
      </w:r>
    </w:p>
    <w:p>
      <w:pPr>
        <w:spacing w:after="0" w:line="379" w:lineRule="exact"/>
        <w:rPr>
          <w:rFonts w:ascii="Arial" w:cs="Arial" w:eastAsia="Arial" w:hAnsi="Arial"/>
          <w:sz w:val="16"/>
          <w:szCs w:val="16"/>
          <w:color w:val="auto"/>
        </w:rPr>
      </w:pPr>
    </w:p>
    <w:p>
      <w:pPr>
        <w:jc w:val="both"/>
        <w:ind w:left="660" w:firstLine="644"/>
        <w:spacing w:after="0" w:line="263" w:lineRule="auto"/>
        <w:tabs>
          <w:tab w:leader="none" w:pos="1956" w:val="left"/>
        </w:tabs>
        <w:numPr>
          <w:ilvl w:val="1"/>
          <w:numId w:val="256"/>
        </w:numPr>
        <w:rPr>
          <w:rFonts w:ascii="Arial" w:cs="Arial" w:eastAsia="Arial" w:hAnsi="Arial"/>
          <w:sz w:val="19"/>
          <w:szCs w:val="19"/>
          <w:color w:val="auto"/>
        </w:rPr>
      </w:pPr>
      <w:r>
        <w:rPr>
          <w:rFonts w:ascii="Arial" w:cs="Arial" w:eastAsia="Arial" w:hAnsi="Arial"/>
          <w:sz w:val="19"/>
          <w:szCs w:val="19"/>
          <w:color w:val="auto"/>
        </w:rPr>
        <w:t xml:space="preserve">the designation of any form, type or amount of insurance coverage by the Collateral Agent (including acting in the capacity as the Collateral Agent) under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shall in no event be deemed a representation, warranty or advice by the Collateral Agent or the Lenders that such insurance is adequate for the purposes of the business of the Borrower and the Subsidiaries or the protection of their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2" w:name="page283"/>
    <w:bookmarkEnd w:id="282"/>
    <w:p>
      <w:pPr>
        <w:jc w:val="both"/>
        <w:ind w:firstLine="648"/>
        <w:spacing w:after="0" w:line="27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Taxes</w:t>
      </w:r>
      <w:r>
        <w:rPr>
          <w:rFonts w:ascii="Arial" w:cs="Arial" w:eastAsia="Arial" w:hAnsi="Arial"/>
          <w:sz w:val="18"/>
          <w:szCs w:val="18"/>
          <w:color w:val="auto"/>
        </w:rPr>
        <w:t>. Pay its obligations in respect of all Taxes (including in its capacity as a withholding agent), before the same shall become delinquent or in default, except where (i) (A) the Borrower or a Subsidiary thereof has set aside on its books adequate reserves in accordance with GAAP and (B) in the case of any asserted Tax deficiency or assessment, the amount thereof is being contested in good faith by appropriate proceedings and the Borrower or a Subsidiary thereof has set aside on its books adequate reserves therefor in accordance with GAAP or (ii) the failure to make payment would not reasonably be expected, individually or in the aggregate, to result in a Material Adverse Effect.</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Financial Statements, Reports, Etc.</w:t>
      </w:r>
      <w:r>
        <w:rPr>
          <w:rFonts w:ascii="Arial" w:cs="Arial" w:eastAsia="Arial" w:hAnsi="Arial"/>
          <w:sz w:val="20"/>
          <w:szCs w:val="20"/>
          <w:color w:val="auto"/>
        </w:rPr>
        <w:t xml:space="preserve"> Furnish to the Administrative Agent (which will promptly furnish such information to the Lenders):</w:t>
      </w:r>
    </w:p>
    <w:p>
      <w:pPr>
        <w:spacing w:after="0" w:line="177" w:lineRule="exact"/>
        <w:rPr>
          <w:sz w:val="20"/>
          <w:szCs w:val="20"/>
          <w:color w:val="auto"/>
        </w:rPr>
      </w:pPr>
    </w:p>
    <w:p>
      <w:pPr>
        <w:jc w:val="both"/>
        <w:ind w:firstLine="656"/>
        <w:spacing w:after="0" w:line="269" w:lineRule="auto"/>
        <w:tabs>
          <w:tab w:leader="none" w:pos="129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(commencing with the first fiscal year ending after the Closing Date), a consolidated balance sheet and related consolidated statements of income or operations, changes in shareholders’ equity and cash flows of the Borrower as of the close of such fiscal year and related notes thereto and the consolidated results of their operations during such year and setting forth in comparative form the corresponding figures for the prior fiscal year, which consolidated balance sheet and related statements of income or operations, changes in shareholders’ equity, and cash flows of the Borrower shall be audited by a firm of independent public accountants of recognized national standing and accompanied by an opinion of such accountants (which opinion shall not be qualified as to scope of audit or include a “going concern” qualification (other than an emphasis of matter or explanatory or like paragraph), other than solely with respect to, or resulting solely from, (i) an upcoming maturity date under any Indebtedness scheduled to mature within one (1) year, (ii) any actual or potential inability to satisfy a financial maintenance covenant in any period, (iii) the activities, operations, financial results, assets or liabilities of any Unrestricted Subsidiary or (iv) change in accounting principles or practices reflecting a change in GAAP) to the effect that such consolidated financial statements present fairly, in all material respects, the financial position and results of operations and cash flows of the Borrower and its Subsidiaries as of the end of and for such year on a consolidated basis in accordance with GAAP consistently applied;</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257"/>
        </w:numPr>
        <w:rPr>
          <w:rFonts w:ascii="Arial" w:cs="Arial" w:eastAsia="Arial" w:hAnsi="Arial"/>
          <w:sz w:val="19"/>
          <w:szCs w:val="19"/>
          <w:color w:val="auto"/>
        </w:rPr>
      </w:pPr>
      <w:r>
        <w:rPr>
          <w:rFonts w:ascii="Arial" w:cs="Arial" w:eastAsia="Arial" w:hAnsi="Arial"/>
          <w:sz w:val="19"/>
          <w:szCs w:val="19"/>
          <w:color w:val="auto"/>
        </w:rPr>
        <w:t>within forty-five (45) days after the end of each of the first three fiscal quarters of each fiscal year (commencing with the first fiscal quarter ending after the Closing Date), a consolidated balance sheet and related unaudited consolidated statements of income or operations, changes in shareholders’ equity of the Borrower as of the end of and for such fiscal quarter (except in the case of cash flows) and the then-elapsed portion of the fiscal year and setting forth in comparative form the corresponding figures for the corresponding periods of (or, in the case of the balance sheet, as of the end of) the previous fiscal year, all of which shall be certified by a Financial Officer of the Borrower on behalf of the Borrower as presenting fairly, in all material respects, the financial position and results of operations and cash flows of the Borrower and its Subsidiaries as of the end of and for such fiscal quarter (except in the case of cash flows) and such portion of the fiscal year on a consolidated basis in accordance with GAAP, subject to normal year-end audit adjustments and the absence of footnotes;</w:t>
      </w:r>
    </w:p>
    <w:p>
      <w:pPr>
        <w:spacing w:after="0" w:line="189"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57"/>
        </w:numPr>
        <w:rPr>
          <w:rFonts w:ascii="Arial" w:cs="Arial" w:eastAsia="Arial" w:hAnsi="Arial"/>
          <w:sz w:val="20"/>
          <w:szCs w:val="20"/>
          <w:color w:val="auto"/>
        </w:rPr>
      </w:pPr>
      <w:r>
        <w:rPr>
          <w:rFonts w:ascii="Arial" w:cs="Arial" w:eastAsia="Arial" w:hAnsi="Arial"/>
          <w:sz w:val="20"/>
          <w:szCs w:val="20"/>
          <w:color w:val="auto"/>
        </w:rPr>
        <w:t xml:space="preserve">within ten (10) Business Days of any delivery of financial statements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 certificate of a Financial Officer of the Borrower (i) certifying that no Event of Default or Default has occurred since the date of the last certificate delivered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3" w:name="page284"/>
    <w:bookmarkEnd w:id="283"/>
    <w:p>
      <w:pPr>
        <w:jc w:val="both"/>
        <w:spacing w:after="0" w:line="26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5.04(c)</w:t>
      </w:r>
      <w:r>
        <w:rPr>
          <w:rFonts w:ascii="Arial" w:cs="Arial" w:eastAsia="Arial" w:hAnsi="Arial"/>
          <w:sz w:val="19"/>
          <w:szCs w:val="19"/>
          <w:color w:val="auto"/>
        </w:rPr>
        <w:t xml:space="preserve"> (or since the Closing Date in the case of the first such certificate) or, if such an Event of Default or Default has occurred, specifying the nature and extent thereof and any corrective action taken or proposed to be taken with respect thereto, and (ii) setting forth the calculation and uses of the Available Amount for the fiscal period then ended if the Borrower shall have used the Available Amount for any purpose during such fiscal period.</w:t>
      </w:r>
    </w:p>
    <w:p>
      <w:pPr>
        <w:spacing w:after="0" w:line="176" w:lineRule="exact"/>
        <w:rPr>
          <w:sz w:val="20"/>
          <w:szCs w:val="20"/>
          <w:color w:val="auto"/>
        </w:rPr>
      </w:pPr>
    </w:p>
    <w:p>
      <w:pPr>
        <w:jc w:val="both"/>
        <w:ind w:firstLine="656"/>
        <w:spacing w:after="0" w:line="278" w:lineRule="auto"/>
        <w:tabs>
          <w:tab w:leader="none" w:pos="129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promptly after the same become publicly available, copies of all periodic and other publicly available reports, proxy statements and, to the extent requested by the Administrative Agent, other materials filed by the Borrower or any of the Subsidiaries with the SEC, or distributed to its stockholders generally,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reports, proxy statements, filings and other materials required to be delivered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shall be deemed delivered for purposes of this Agreement when posted to the website of the Borrower or the website of the SEC; and</w:t>
      </w:r>
    </w:p>
    <w:p>
      <w:pPr>
        <w:spacing w:after="0" w:line="164" w:lineRule="exact"/>
        <w:rPr>
          <w:rFonts w:ascii="Arial" w:cs="Arial" w:eastAsia="Arial" w:hAnsi="Arial"/>
          <w:sz w:val="18"/>
          <w:szCs w:val="18"/>
          <w:color w:val="auto"/>
        </w:rPr>
      </w:pPr>
    </w:p>
    <w:p>
      <w:pPr>
        <w:jc w:val="both"/>
        <w:ind w:firstLine="656"/>
        <w:spacing w:after="0" w:line="243" w:lineRule="auto"/>
        <w:tabs>
          <w:tab w:leader="none" w:pos="1296" w:val="left"/>
        </w:tabs>
        <w:numPr>
          <w:ilvl w:val="0"/>
          <w:numId w:val="258"/>
        </w:numPr>
        <w:rPr>
          <w:rFonts w:ascii="Arial" w:cs="Arial" w:eastAsia="Arial" w:hAnsi="Arial"/>
          <w:sz w:val="20"/>
          <w:szCs w:val="20"/>
          <w:color w:val="auto"/>
        </w:rPr>
      </w:pPr>
      <w:r>
        <w:rPr>
          <w:rFonts w:ascii="Arial" w:cs="Arial" w:eastAsia="Arial" w:hAnsi="Arial"/>
          <w:sz w:val="20"/>
          <w:szCs w:val="20"/>
          <w:color w:val="auto"/>
        </w:rPr>
        <w:t>promptly, from time to time, such other customary information regarding the operations, business affairs and financial condition of the Borrower or any of the Subsidiaries, or compliance with the terms of any Loan Document, as in each case the Administrative Agent may reasonably request (for itself or on behalf of any Lender) and, if requested by any Lender, directly to such Lender making such request, a Beneficial Ownership Certification (or a certification that the Borrower qualifies for an express exclusion from the “legal entity customer” definition under the Beneficial Ownership Regulations).</w:t>
      </w:r>
    </w:p>
    <w:p>
      <w:pPr>
        <w:spacing w:after="0" w:line="19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Notwithstanding the foregoing, the obligations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may be satisfied with respect to the consolidated financial information of the Borrower by furnishing the consolidated financial information of any parent of the Borrower that, directly or indirectly, holds all of the Equity Interests of the Borrower, that would be required by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with all references to the “Borrower” therein being deemed to refer to such parent and all references to “Financial Officer” therein being deemed to refer to a comparable officer of such parent; </w:t>
      </w:r>
      <w:r>
        <w:rPr>
          <w:rFonts w:ascii="Arial" w:cs="Arial" w:eastAsia="Arial" w:hAnsi="Arial"/>
          <w:sz w:val="19"/>
          <w:szCs w:val="19"/>
          <w:u w:val="single" w:color="auto"/>
          <w:color w:val="auto"/>
        </w:rPr>
        <w:t>provided</w:t>
      </w:r>
      <w:r>
        <w:rPr>
          <w:rFonts w:ascii="Arial" w:cs="Arial" w:eastAsia="Arial" w:hAnsi="Arial"/>
          <w:sz w:val="19"/>
          <w:szCs w:val="19"/>
          <w:color w:val="auto"/>
        </w:rPr>
        <w:t>, that such financial statements are accompanied by a consolidating schedule eliminating such parent of the Borrower and any of such parent’s subsidiaries other than the Borrower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eliminations under this paragraph shall be required if and for so long as the rules and regulations of the SEC would permit the Borrower and any direct or indirect parent of the Borrower to report at such parent entity’s level on a consolidated basis and such parent entity is not engaged in any business in any material respect other than incidental to its ownership, directly or indirectly, of the capital stock of the Borrower).</w:t>
      </w:r>
    </w:p>
    <w:p>
      <w:pPr>
        <w:spacing w:after="0" w:line="18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The Borrower acknowledges and agrees that all financial statements furnished pursuant to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are to be made available, to Public Lenders as contemplated by </w:t>
      </w:r>
      <w:r>
        <w:rPr>
          <w:rFonts w:ascii="Arial" w:cs="Arial" w:eastAsia="Arial" w:hAnsi="Arial"/>
          <w:sz w:val="20"/>
          <w:szCs w:val="20"/>
          <w:u w:val="single" w:color="auto"/>
          <w:color w:val="auto"/>
        </w:rPr>
        <w:t>Section 9.17</w:t>
      </w:r>
      <w:r>
        <w:rPr>
          <w:rFonts w:ascii="Arial" w:cs="Arial" w:eastAsia="Arial" w:hAnsi="Arial"/>
          <w:sz w:val="20"/>
          <w:szCs w:val="20"/>
          <w:color w:val="auto"/>
        </w:rPr>
        <w:t xml:space="preserve"> and may be treated by the Administrative Agent and the Lenders as if marked “PUBLIC” in accordance with </w:t>
      </w:r>
      <w:r>
        <w:rPr>
          <w:rFonts w:ascii="Arial" w:cs="Arial" w:eastAsia="Arial" w:hAnsi="Arial"/>
          <w:sz w:val="20"/>
          <w:szCs w:val="20"/>
          <w:u w:val="single" w:color="auto"/>
          <w:color w:val="auto"/>
        </w:rPr>
        <w:t>Section 9.17</w:t>
      </w:r>
      <w:r>
        <w:rPr>
          <w:rFonts w:ascii="Arial" w:cs="Arial" w:eastAsia="Arial" w:hAnsi="Arial"/>
          <w:sz w:val="20"/>
          <w:szCs w:val="20"/>
          <w:color w:val="auto"/>
        </w:rPr>
        <w:t xml:space="preserve"> (unless the Borrower otherwise notifies the Administrative Agent in writing on or prior to delivery thereof).</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Other Notices</w:t>
      </w:r>
      <w:r>
        <w:rPr>
          <w:rFonts w:ascii="Arial" w:cs="Arial" w:eastAsia="Arial" w:hAnsi="Arial"/>
          <w:sz w:val="20"/>
          <w:szCs w:val="20"/>
          <w:color w:val="auto"/>
        </w:rPr>
        <w:t>. Furnish to the Administrative Agent (which will promptly thereafter furnish to the Lenders) written notice of the following promptly after any Responsible Officer of the Borrower obtains actual knowledge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4" w:name="page285"/>
    <w:bookmarkEnd w:id="284"/>
    <w:p>
      <w:pPr>
        <w:ind w:firstLine="656"/>
        <w:spacing w:after="0" w:line="260" w:lineRule="auto"/>
        <w:tabs>
          <w:tab w:leader="none" w:pos="1296" w:val="left"/>
        </w:tabs>
        <w:numPr>
          <w:ilvl w:val="0"/>
          <w:numId w:val="259"/>
        </w:numPr>
        <w:rPr>
          <w:rFonts w:ascii="Arial" w:cs="Arial" w:eastAsia="Arial" w:hAnsi="Arial"/>
          <w:sz w:val="20"/>
          <w:szCs w:val="20"/>
          <w:color w:val="auto"/>
        </w:rPr>
      </w:pPr>
      <w:r>
        <w:rPr>
          <w:rFonts w:ascii="Arial" w:cs="Arial" w:eastAsia="Arial" w:hAnsi="Arial"/>
          <w:sz w:val="20"/>
          <w:szCs w:val="20"/>
          <w:color w:val="auto"/>
        </w:rPr>
        <w:t>any Event of Default or Default, specifying the nature and extent thereof and the corrective action (if any) proposed to be taken with respect thereto;</w:t>
      </w:r>
    </w:p>
    <w:p>
      <w:pPr>
        <w:spacing w:after="0" w:line="176"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filing or commencement of, or any written threat or notice of intention of any person to file or commence, any action, suit or proceeding, whether at law or in equity or by or before any Governmental Authority or in arbitration, against the Borrower or any of the Subsidiaries as to which an adverse determination is reasonably probable and which, if adversely determined, would reasonably be expected to have a Material Adverse Effect;</w:t>
      </w:r>
    </w:p>
    <w:p>
      <w:pPr>
        <w:spacing w:after="0" w:line="176" w:lineRule="exact"/>
        <w:rPr>
          <w:rFonts w:ascii="Arial" w:cs="Arial" w:eastAsia="Arial" w:hAnsi="Arial"/>
          <w:sz w:val="19"/>
          <w:szCs w:val="19"/>
          <w:color w:val="auto"/>
        </w:rPr>
      </w:pPr>
    </w:p>
    <w:p>
      <w:pPr>
        <w:ind w:firstLine="656"/>
        <w:spacing w:after="0" w:line="287" w:lineRule="auto"/>
        <w:tabs>
          <w:tab w:leader="none" w:pos="1296"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any other development specific to the Borrower or any of its Subsidiaries that is not a matter of general public knowledge and that has had, or would reasonably be expected to have, a Material Adverse Effect; and</w:t>
      </w:r>
    </w:p>
    <w:p>
      <w:pPr>
        <w:spacing w:after="0" w:line="152" w:lineRule="exact"/>
        <w:rPr>
          <w:rFonts w:ascii="Arial" w:cs="Arial" w:eastAsia="Arial" w:hAnsi="Arial"/>
          <w:sz w:val="19"/>
          <w:szCs w:val="19"/>
          <w:color w:val="auto"/>
        </w:rPr>
      </w:pPr>
    </w:p>
    <w:p>
      <w:pPr>
        <w:ind w:firstLine="656"/>
        <w:spacing w:after="0" w:line="260" w:lineRule="auto"/>
        <w:tabs>
          <w:tab w:leader="none" w:pos="1296"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occurrence of any ERISA Event that, together with all other ERISA Events that have occurred, would reasonably be expected to have a Material Adverse Effect.</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Each notice delivered under this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shall be accompanied by a statement of a Responsible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xml:space="preserve">.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5.06</w:t>
      </w:r>
      <w:r>
        <w:rPr>
          <w:rFonts w:ascii="Arial" w:cs="Arial" w:eastAsia="Arial" w:hAnsi="Arial"/>
          <w:sz w:val="20"/>
          <w:szCs w:val="20"/>
          <w:color w:val="auto"/>
        </w:rPr>
        <w:t xml:space="preserve"> shall not apply to Environmental Laws, which are the subject of </w:t>
      </w:r>
      <w:r>
        <w:rPr>
          <w:rFonts w:ascii="Arial" w:cs="Arial" w:eastAsia="Arial" w:hAnsi="Arial"/>
          <w:sz w:val="20"/>
          <w:szCs w:val="20"/>
          <w:u w:val="single" w:color="auto"/>
          <w:color w:val="auto"/>
        </w:rPr>
        <w:t>Section 5.09</w:t>
      </w:r>
      <w:r>
        <w:rPr>
          <w:rFonts w:ascii="Arial" w:cs="Arial" w:eastAsia="Arial" w:hAnsi="Arial"/>
          <w:sz w:val="20"/>
          <w:szCs w:val="20"/>
          <w:color w:val="auto"/>
        </w:rPr>
        <w:t xml:space="preserve">, or to laws related to Taxes, which are the subject of </w:t>
      </w:r>
      <w:r>
        <w:rPr>
          <w:rFonts w:ascii="Arial" w:cs="Arial" w:eastAsia="Arial" w:hAnsi="Arial"/>
          <w:sz w:val="20"/>
          <w:szCs w:val="20"/>
          <w:u w:val="single" w:color="auto"/>
          <w:color w:val="auto"/>
        </w:rPr>
        <w:t>Section 5.03</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Maintaining Records; Access to Properties and Inspections</w:t>
      </w:r>
      <w:r>
        <w:rPr>
          <w:rFonts w:ascii="Arial" w:cs="Arial" w:eastAsia="Arial" w:hAnsi="Arial"/>
          <w:sz w:val="19"/>
          <w:szCs w:val="19"/>
          <w:color w:val="auto"/>
        </w:rPr>
        <w:t>. Maintain all financial records in accordance with GAAP and permit any persons designated by the Administrative Agent or, upon the occurrence and during the continuance of an Event of Default, any Lender to visit and inspect the financial records and the properties of the Borrower or any of the Subsidiaries at reasonable times, upon reasonable prior notice to the Borrower, and as often as reasonably requested and to make extracts from and copies of such financial records, and permit any persons designated by the Administrative Agent or, upon the occurrence and during the continuance of an Event of Default, any Lender upon reasonable prior notice to the Borrower to discuss the affairs, finances and condition of the Borrower or any of the Subsidiaries with the officers thereof and independent accountants therefor (so long as the Borrower has the opportunity to participate in any such discussions with such accountants), in each case, subject to reasonable requirements of confidentiality, including requirements imposed by law or by contract.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Use the proceeds of the Loans made and Letters of Credit issued in the manner contemplated by </w:t>
      </w:r>
      <w:r>
        <w:rPr>
          <w:rFonts w:ascii="Arial" w:cs="Arial" w:eastAsia="Arial" w:hAnsi="Arial"/>
          <w:sz w:val="20"/>
          <w:szCs w:val="20"/>
          <w:u w:val="single" w:color="auto"/>
          <w:color w:val="auto"/>
        </w:rPr>
        <w:t>Section 3.12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xml:space="preserve">. Comply, and make reasonable efforts to cause all lessees and other persons occupying its properties to comply, with all applicable Environmental Laws, and obtain and renew all required Environmental Permits, except, in each case with respect to this </w:t>
      </w:r>
      <w:r>
        <w:rPr>
          <w:rFonts w:ascii="Arial" w:cs="Arial" w:eastAsia="Arial" w:hAnsi="Arial"/>
          <w:sz w:val="19"/>
          <w:szCs w:val="19"/>
          <w:u w:val="single" w:color="auto"/>
          <w:color w:val="auto"/>
        </w:rPr>
        <w:t>Section 5.09</w:t>
      </w:r>
      <w:r>
        <w:rPr>
          <w:rFonts w:ascii="Arial" w:cs="Arial" w:eastAsia="Arial" w:hAnsi="Arial"/>
          <w:sz w:val="19"/>
          <w:szCs w:val="19"/>
          <w:color w:val="auto"/>
        </w:rPr>
        <w:t>, to the extent the failure to do so would not reasonably be expected to have,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5" w:name="page286"/>
    <w:bookmarkEnd w:id="285"/>
    <w:p>
      <w:pPr>
        <w:ind w:left="660"/>
        <w:spacing w:after="0"/>
        <w:tabs>
          <w:tab w:leader="none" w:pos="194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Further Assurances; Additional Security</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316" w:lineRule="auto"/>
        <w:tabs>
          <w:tab w:leader="none" w:pos="129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Execute any and all further documents, financing statements, agreements and instruments, and take all such further actions (including the filing and recording of financing statements and other documents), that the Collateral Agent may reasonably request (including those required by applicable law), to satisfy the Collateral and Guarantee Requirement and to cause the Collateral and Guarantee Requirement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w:t>
      </w:r>
    </w:p>
    <w:p>
      <w:pPr>
        <w:spacing w:after="0" w:line="139" w:lineRule="exact"/>
        <w:rPr>
          <w:rFonts w:ascii="Arial" w:cs="Arial" w:eastAsia="Arial" w:hAnsi="Arial"/>
          <w:sz w:val="16"/>
          <w:szCs w:val="16"/>
          <w:color w:val="auto"/>
        </w:rPr>
      </w:pPr>
    </w:p>
    <w:p>
      <w:pPr>
        <w:jc w:val="both"/>
        <w:ind w:firstLine="656"/>
        <w:spacing w:after="0" w:line="256" w:lineRule="auto"/>
        <w:tabs>
          <w:tab w:leader="none" w:pos="1296"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If any material asset is acquired by the Borrower or any Guarantor after the Closing Date or owned by an entity at the time it becomes a Guarantor (in each case other than (x) assets constituting Collateral under a Security Document that automatically become subject to the Lien of such Security Document upon acquisition thereof and (y) assets constituting Excluded Property, the Borrower or such Guarantor, as applicable, will (i) notify the Collateral Agent of such acquisition or ownership and (ii) cause such asset to be subjected to a Lien (subject to any Permitted Liens) securing the Obligations by, and take, and cause the Guarantors to take, such actions as shall be reasonably requested by the Collateral Agent to cause the Collateral and Guarantee Requirement to be satisfied with respect to such asset, including actions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all at the expense of the Loan Parties, subject to the last three paragraphs of this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656"/>
        <w:spacing w:after="0" w:line="268" w:lineRule="auto"/>
        <w:tabs>
          <w:tab w:leader="none" w:pos="129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If any additional direct or indirect Subsidiary of the Borrower is formed (including by a Delaware LLC Division), acquired or ceases to constitute an Excluded Subsidiary following the Closing Date and such Subsidiary is (1) a Wholly Owned Domestic Subsidiary of the Borrower that is not an Excluded Subsidiary or (2) any other Domestic Subsidiary of the Borrower that may be designated by the Borrower in its sole discretion, within seventy-five (75) days after the date such Subsidiary is formed (including by a Delaware LLC Division) or acquired or meets such criteria (or first becomes subject to such requirement) or such longer period as the Collateral Agent may agree in its sole discretion, notify the Collateral Agent thereof and, within one hundred and fifteen (115) days after the date such Subsidiary is formed (including by a Delaware LLC Division) or acquired or meets such criteria (or first becomes subject to such requirement) or such longer period as the Collateral Agent may agree in its sole discretion, cause such Subsidiary to become a Guarantor and cause the Collateral and Guarantee Requirement to be satisfied with respect to such Subsidiary and with respect to any Equity Interest in or Indebtedness of such Subsidiary owned by or on behalf of any Loan Party, subject to the last three paragraphs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Notwithstanding anything to the contrary herein, the Borrower shall have the right, at any time, to designate an Excluded Subsidiary as a Guarantor and cause the Collateral and Guarantee Requirement to be satisfied with respect to such Subsidiary and with respect to any Equity Interest in or Indebtedness of such Subsidiary (and to subsequently release such Guarantee in accordance with </w:t>
      </w:r>
      <w:r>
        <w:rPr>
          <w:rFonts w:ascii="Arial" w:cs="Arial" w:eastAsia="Arial" w:hAnsi="Arial"/>
          <w:sz w:val="18"/>
          <w:szCs w:val="18"/>
          <w:u w:val="single" w:color="auto"/>
          <w:color w:val="auto"/>
        </w:rPr>
        <w:t>Section 9.18(b)(ii)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Subsidiary shall not be released as a Guarantor solely on the basis that it was not required to become a Guarantor) and at such time such Subsidiary shall no longer constitute an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in no circumstance shall an Excluded Subsidiary become a Guarantor unless designated as a Guarantor by the Borrower in its sole discretion and (y) in the case of any Foreign Subsidiary, the jurisdiction of such Subsidiary shall be reasonably acceptable to the Administrative Agent and,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6" w:name="page287"/>
    <w:bookmarkEnd w:id="286"/>
    <w:p>
      <w:pPr>
        <w:jc w:val="both"/>
        <w:spacing w:after="0" w:line="269" w:lineRule="auto"/>
        <w:rPr>
          <w:sz w:val="20"/>
          <w:szCs w:val="20"/>
          <w:color w:val="auto"/>
        </w:rPr>
      </w:pPr>
      <w:r>
        <w:rPr>
          <w:rFonts w:ascii="Arial" w:cs="Arial" w:eastAsia="Arial" w:hAnsi="Arial"/>
          <w:sz w:val="19"/>
          <w:szCs w:val="19"/>
          <w:color w:val="auto"/>
        </w:rPr>
        <w:t>anything to the contrary in any Loan Document, the Guarantee and the security interests provided by such Subsidiary and over the Equity Interests issued by such Subsidiary is full and unconditional and fully enforceable, valid and perfected in the jurisdiction of organization of such person pursuant to provisions to be negotiated in good faith.</w:t>
      </w:r>
    </w:p>
    <w:p>
      <w:pPr>
        <w:spacing w:after="0" w:line="170" w:lineRule="exact"/>
        <w:rPr>
          <w:sz w:val="20"/>
          <w:szCs w:val="20"/>
          <w:color w:val="auto"/>
        </w:rPr>
      </w:pPr>
    </w:p>
    <w:p>
      <w:pPr>
        <w:jc w:val="both"/>
        <w:ind w:firstLine="656"/>
        <w:spacing w:after="0" w:line="242" w:lineRule="auto"/>
        <w:tabs>
          <w:tab w:leader="none" w:pos="1296" w:val="left"/>
        </w:tabs>
        <w:numPr>
          <w:ilvl w:val="0"/>
          <w:numId w:val="261"/>
        </w:numPr>
        <w:rPr>
          <w:rFonts w:ascii="Arial" w:cs="Arial" w:eastAsia="Arial" w:hAnsi="Arial"/>
          <w:sz w:val="20"/>
          <w:szCs w:val="20"/>
          <w:color w:val="auto"/>
        </w:rPr>
      </w:pPr>
      <w:r>
        <w:rPr>
          <w:rFonts w:ascii="Arial" w:cs="Arial" w:eastAsia="Arial" w:hAnsi="Arial"/>
          <w:sz w:val="20"/>
          <w:szCs w:val="20"/>
          <w:color w:val="auto"/>
        </w:rPr>
        <w:t xml:space="preserve">Furnish to the Collateral Agent prompt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w:t>
      </w:r>
      <w:r>
        <w:rPr>
          <w:rFonts w:ascii="Arial" w:cs="Arial" w:eastAsia="Arial" w:hAnsi="Arial"/>
          <w:sz w:val="20"/>
          <w:szCs w:val="20"/>
          <w:u w:val="single" w:color="auto"/>
          <w:color w:val="auto"/>
        </w:rPr>
        <w:t>provided</w:t>
      </w:r>
      <w:r>
        <w:rPr>
          <w:rFonts w:ascii="Arial" w:cs="Arial" w:eastAsia="Arial" w:hAnsi="Arial"/>
          <w:sz w:val="20"/>
          <w:szCs w:val="20"/>
          <w:color w:val="auto"/>
        </w:rPr>
        <w:t>, that the Borrower shall not effect or permit any such change unless all filings have been made, or will have been made within thirty (30) days following such change (or such longer period as the Collateral Agent may agree in its sole discretion), under the Uniform Commercial Code (or its equivalent in any applicable jurisdiction) that are required in order for the Collateral Agent to continue at all times following such change to have a valid, legal and perfected security interest in all the Collateral in which a security interest may be perfected by such filing, for the benefit of the Secured Parties.</w:t>
      </w:r>
    </w:p>
    <w:p>
      <w:pPr>
        <w:spacing w:after="0" w:line="194"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If any additional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ninety (90) days after the date such Foreign Subsidiary is formed or acquired (or such longer period as the Collateral Agent may agree in its reasonable discretion), notify the Collateral Agent thereof and, within one hundred and thirty five (135) days after the date such Foreign Subsidiary is formed or acquired or such longer period as the Collateral Agent may agree in its reasonable discretion, cause the Collateral and Guarantee Requirement to be satisfied with respect to any Equity Interest in such Foreign Subsidiary owned by or on behalf of any Loan Party, subject to the last three paragraphs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Notwithstanding anything to the contrary in this Agreement or in the other Loan Documents, the Collateral and Guarantee Requirement and the other provisions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and the other Loan Documents with respect to Collateral need not be satisfied with respect to any of the following (collectively, the “</w:t>
      </w:r>
      <w:r>
        <w:rPr>
          <w:rFonts w:ascii="Arial" w:cs="Arial" w:eastAsia="Arial" w:hAnsi="Arial"/>
          <w:sz w:val="18"/>
          <w:szCs w:val="18"/>
          <w:u w:val="single" w:color="auto"/>
          <w:color w:val="auto"/>
        </w:rPr>
        <w:t>Excluded Property</w:t>
      </w:r>
      <w:r>
        <w:rPr>
          <w:rFonts w:ascii="Arial" w:cs="Arial" w:eastAsia="Arial" w:hAnsi="Arial"/>
          <w:sz w:val="18"/>
          <w:szCs w:val="18"/>
          <w:color w:val="auto"/>
        </w:rPr>
        <w:t>”): (i) any fee-owned real property and all leasehold interests in real property; (ii) motor vehicles and other assets subject to certificates of title (other than to the extent that a security interest therein can be perfected by the filing of a financing statement under the Uniform Commercial Code); (iii) letter of credit rights (other than to the extent that a security interest therein can be perfected by the filing of a financing statement under the Uniform Commercial Code); (iv) commercial tort claims (as defined in the Uniform Commercial Code) with a value of less than $5,000,000; (v) [reserved]; (vi) leases, licenses, permits and other agreements, any property subject to a purchase money security interest, any lien securing a Capitalized Lease Obligation or similar arrangements in each case permitted hereunder, in each case, to the extent, and so long as, the pledge thereof as Collateral would require a consent not obtained, violate the terms thereof or create a right of termination or acceleration in favor of any other party thereto (other than Holdings, the Borrower or any Guarantor (other than Holdings)), but only to the extent, and for so long as, such prohibition is not terminated or rendered unenforceable or otherwise deemed ineffective by the Uniform Commercial Code, the Bankruptcy Code or other Requirement of Law; (vii) other assets to the extent the pledge thereof or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7" w:name="page288"/>
    <w:bookmarkEnd w:id="287"/>
    <w:p>
      <w:pPr>
        <w:jc w:val="both"/>
        <w:spacing w:after="0" w:line="267" w:lineRule="auto"/>
        <w:rPr>
          <w:sz w:val="20"/>
          <w:szCs w:val="20"/>
          <w:color w:val="auto"/>
        </w:rPr>
      </w:pPr>
      <w:r>
        <w:rPr>
          <w:rFonts w:ascii="Arial" w:cs="Arial" w:eastAsia="Arial" w:hAnsi="Arial"/>
          <w:sz w:val="18"/>
          <w:szCs w:val="18"/>
          <w:color w:val="auto"/>
        </w:rPr>
        <w:t xml:space="preserve">interest therein is prohibited by applicable law, rule or regulation, by any contractual obligation binding on and relating to such assets existing on the Closing Date or at the time such assets are acquired and not incurred in contemplation of such acquisition, or which would require governmental (including regulatory) consent, approval, license or authorization to be pledged (unless such consent, approval, license or authorization has been received), in each case of this </w:t>
      </w:r>
      <w:r>
        <w:rPr>
          <w:rFonts w:ascii="Arial" w:cs="Arial" w:eastAsia="Arial" w:hAnsi="Arial"/>
          <w:sz w:val="18"/>
          <w:szCs w:val="18"/>
          <w:u w:val="single" w:color="auto"/>
          <w:color w:val="auto"/>
        </w:rPr>
        <w:t>clause (vii)</w:t>
      </w:r>
      <w:r>
        <w:rPr>
          <w:rFonts w:ascii="Arial" w:cs="Arial" w:eastAsia="Arial" w:hAnsi="Arial"/>
          <w:sz w:val="18"/>
          <w:szCs w:val="18"/>
          <w:color w:val="auto"/>
        </w:rPr>
        <w:t xml:space="preserve">, only to the extent such prohibition requirement is not terminated or rendered unenforceable or otherwise deemed ineffective by the Uniform Commercial Code, Bankruptcy Code or any other Requirement of Law; (viii) those assets as to which the Administrative Agent and the Borrower shall reasonably agree that the costs or other adverse consequences (including, without limitation, Tax consequences) of obtaining such security interest or perfection thereof are excessive in relation to the value of the security to be afforded thereby; (ix) “intent-to-use” trademark applications prior to the filing of a “Statement of Use” or “Amendment to Allege Use” with respect thereto, to the extent that the grant of a security interest therein would impair the validity or enforceability of, or render void or voidable or result in the cancellation of the applicable grantor’s right, title or interest therein or in any trademark issued as a result of such application under applicable law; (x) receivable and/or related assets sold pursuant to any Qualified Receivables Facility in compliance with </w:t>
      </w:r>
      <w:r>
        <w:rPr>
          <w:rFonts w:ascii="Arial" w:cs="Arial" w:eastAsia="Arial" w:hAnsi="Arial"/>
          <w:sz w:val="18"/>
          <w:szCs w:val="18"/>
          <w:u w:val="single" w:color="auto"/>
          <w:color w:val="auto"/>
        </w:rPr>
        <w:t>Section 6.02(z)</w:t>
      </w:r>
      <w:r>
        <w:rPr>
          <w:rFonts w:ascii="Arial" w:cs="Arial" w:eastAsia="Arial" w:hAnsi="Arial"/>
          <w:sz w:val="18"/>
          <w:szCs w:val="18"/>
          <w:color w:val="auto"/>
        </w:rPr>
        <w:t xml:space="preserve"> or any Permitted Supplier Receivables Sale Program permitted under this Agreement; (xi) any governmental licenses, permits or state or local franchises, charters and authorizations, to the extent Liens and security interests therein are prohibited or restricted thereby, but only to the extent, and for so long as, such prohibition is not terminated or rendered unenforceable or otherwise deemed ineffective by the Uniform Commercial Code, the Bankruptcy Code or other Requirement of Law; (xii) Excluded Securities;</w:t>
      </w:r>
    </w:p>
    <w:p>
      <w:pPr>
        <w:spacing w:after="0" w:line="3" w:lineRule="exact"/>
        <w:rPr>
          <w:sz w:val="20"/>
          <w:szCs w:val="20"/>
          <w:color w:val="auto"/>
        </w:rPr>
      </w:pPr>
    </w:p>
    <w:p>
      <w:pPr>
        <w:jc w:val="both"/>
        <w:ind w:firstLine="8"/>
        <w:spacing w:after="0" w:line="255" w:lineRule="auto"/>
        <w:tabs>
          <w:tab w:leader="none" w:pos="449"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any assets to the extent a security interest in or pledge of such assets could reasonably be expected to result in material adverse Tax consequences to the Borrower or any of its Subsidiaries as reasonably determined by the Borrower in consultation with the Administrative Agent; and (xiv) any accounts established and maintained solely for payroll and other Taxes collected or withheld, escrow accounts, fiduciary or trust accounts solely for the benefit of a Person that is not a Loan Party and funds and other property held in or maintained in such accounts;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may in its sole discretion elect to exclude any property from the definition of “Excluded Property”.</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In addition, in no event shall (1) control agreements or control, lockbox or similar agreements or arrangements be required with respect to deposit, securities and commodities accounts, (2) landlord, mortgagee and bailee waivers or subordination agreements (other than any subordination agreement expressly contemplated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this Agreement) be required, (3) except under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notices be required to be sent to account debtors or other contractual third parties unless an Event of Default has occurred and is continuing, (4) except in the case of the assets of or Equity Interest in any Foreign Subsidiary that is a Loan Party, foreign-law governed security documents or perfection under foreign law be required, (5) estoppels or collateral access letters or similar arrangements be required or (6) except in the case of any Foreign Subsidiary that is a Loan Party, actions other than (x) the filing of a financing statements under the Uniform Commercial Code and (y) the filing of a short form intellectual property security agreement with the United States Patent and Trademark Office or United States Copyright Office, as applicable, be required by any Loan Party organized in the United States with respect to the perfection of the security interest in any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8" w:name="page289"/>
    <w:bookmarkEnd w:id="288"/>
    <w:p>
      <w:pPr>
        <w:jc w:val="both"/>
        <w:ind w:firstLine="648"/>
        <w:spacing w:after="0" w:line="242" w:lineRule="auto"/>
        <w:rPr>
          <w:sz w:val="20"/>
          <w:szCs w:val="20"/>
          <w:color w:val="auto"/>
        </w:rPr>
      </w:pPr>
      <w:r>
        <w:rPr>
          <w:rFonts w:ascii="Arial" w:cs="Arial" w:eastAsia="Arial" w:hAnsi="Arial"/>
          <w:sz w:val="20"/>
          <w:szCs w:val="20"/>
          <w:color w:val="auto"/>
        </w:rPr>
        <w:t>Notwithstanding anything herein to the contrary, (A) the Collateral Agent may grant extensions of time or waiver or modification of requirement for the creation or perfection of security interests in or the obtaining of insurance with respect to particular assets (including extensions beyond the Closing Date for the perfection of security interests in the assets of the Loan Parties on such date) where it reasonably determines, in consultation with the Borrower, that perfection or obtaining of such items cannot reasonably be accomplished without undue effort or expense or is otherwise impracticable by the time or times at and/or in the form or manner in which it would otherwise be required by this Agreement or the other Loan Documents and (B) Liens required to be granted from time to time pursuant to, or any other requirements of, the Collateral and Guarantee Requirement and the Security Documents shall be subject to exceptions and limitations set forth in the Security Documents.</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u w:val="single" w:color="auto"/>
          <w:color w:val="auto"/>
        </w:rPr>
        <w:t>Quarterly Compliance Certificates</w:t>
      </w:r>
      <w:r>
        <w:rPr>
          <w:rFonts w:ascii="Arial" w:cs="Arial" w:eastAsia="Arial" w:hAnsi="Arial"/>
          <w:sz w:val="20"/>
          <w:szCs w:val="20"/>
          <w:color w:val="auto"/>
        </w:rPr>
        <w:t xml:space="preserve">. Deliver to the Administrative Agent (which shall promptly make such information available to the Lenders in accordance with its customary practice), at each time financial statements are delivered pursuant to </w:t>
      </w:r>
      <w:r>
        <w:rPr>
          <w:rFonts w:ascii="Arial" w:cs="Arial" w:eastAsia="Arial" w:hAnsi="Arial"/>
          <w:sz w:val="20"/>
          <w:szCs w:val="20"/>
          <w:u w:val="single" w:color="auto"/>
          <w:color w:val="auto"/>
        </w:rPr>
        <w:t>Sections 5.04(a)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 duly completed Compliance Certificate that demonstrates compliance with the Financial Covenants set forth in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as of the last day of the applicable Reference Period ending on the last day of the Reference Period covered by such financial statements and the computations and calculations reasonably prepared to evidence such compliance.</w:t>
      </w:r>
    </w:p>
    <w:p>
      <w:pPr>
        <w:spacing w:after="0" w:line="19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u w:val="single" w:color="auto"/>
          <w:color w:val="auto"/>
        </w:rPr>
        <w:t>Restricted and Unrestricted Subsidiaries</w:t>
      </w:r>
      <w:r>
        <w:rPr>
          <w:rFonts w:ascii="Arial" w:cs="Arial" w:eastAsia="Arial" w:hAnsi="Arial"/>
          <w:sz w:val="20"/>
          <w:szCs w:val="20"/>
          <w:color w:val="auto"/>
        </w:rPr>
        <w:t>. Designate any Subsidiary as an Unrestricted Subsidiary or redesignate any Unrestricted Subsidiary as a Subsidiary only in accordance with the definition of “Unrestricted Subsidiary” contained herein. Neither the Borrower nor any Guarantor (other than Holdings) shall sell, lease, sublease, dispose of or otherwise transfer to an Unrestricted Subsidiary ownership of or an exclusive license in any Intellectual Property that is material to the business or operations of the Borrower and its Subsidiaries taken as a whole (as reasonably determined in good faith by the Borrower) in a transaction the principal purpose of which (as reasonably determined in good faith by the Borrower) is to incur structurally senior debt to the Term Facilities and the Revolving Facility secured by such Intellectual Property.</w:t>
      </w:r>
    </w:p>
    <w:p>
      <w:pPr>
        <w:spacing w:after="0" w:line="19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Implement and maintain in effect policies and procedures designed to ensure compliance by such Loan Party, its Subsidiaries and their respective directors, officers and employees with Anti-Corruption Laws and applicable Sanctions.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u w:val="single" w:color="auto"/>
          <w:color w:val="auto"/>
        </w:rPr>
        <w:t>Post-Closing</w:t>
      </w:r>
      <w:r>
        <w:rPr>
          <w:rFonts w:ascii="Arial" w:cs="Arial" w:eastAsia="Arial" w:hAnsi="Arial"/>
          <w:sz w:val="20"/>
          <w:szCs w:val="20"/>
          <w:color w:val="auto"/>
        </w:rPr>
        <w:t xml:space="preserve">. Take all necessary actions to satisfy the items described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within the applicable period of time specified in such Schedule (or such longer period as the Administrative Agent may agree in its sole discretion).</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and its Subsidiaries shall not enter into or conduct any transaction or series of related transactions involving aggregate consideration in excess of the greater of $7,000,000 and 10% of Adjusted Consolidated EBITDA for the most recently ended Test Period as of such time (including the purchase, sale, lease or exchange of any property or the rendering of any service but excluding, notwithstanding anything herein to the contrary, the purchase and sale of inventory in the ordinary course of business and consistent with past practice) with any Affiliate of the Borrower (an “</w:t>
      </w:r>
      <w:r>
        <w:rPr>
          <w:rFonts w:ascii="Arial" w:cs="Arial" w:eastAsia="Arial" w:hAnsi="Arial"/>
          <w:sz w:val="19"/>
          <w:szCs w:val="19"/>
          <w:u w:val="single" w:color="auto"/>
          <w:color w:val="auto"/>
        </w:rPr>
        <w:t>Affiliate Transaction</w:t>
      </w:r>
      <w:r>
        <w:rPr>
          <w:rFonts w:ascii="Arial" w:cs="Arial" w:eastAsia="Arial" w:hAnsi="Arial"/>
          <w:sz w:val="19"/>
          <w:szCs w:val="19"/>
          <w:color w:val="auto"/>
        </w:rPr>
        <w: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89" w:name="page290"/>
    <w:bookmarkEnd w:id="289"/>
    <w:p>
      <w:pPr>
        <w:jc w:val="both"/>
        <w:spacing w:after="0" w:line="260" w:lineRule="auto"/>
        <w:rPr>
          <w:sz w:val="20"/>
          <w:szCs w:val="20"/>
          <w:color w:val="auto"/>
        </w:rPr>
      </w:pPr>
      <w:r>
        <w:rPr>
          <w:rFonts w:ascii="Arial" w:cs="Arial" w:eastAsia="Arial" w:hAnsi="Arial"/>
          <w:sz w:val="19"/>
          <w:szCs w:val="19"/>
          <w:color w:val="auto"/>
        </w:rPr>
        <w:t xml:space="preserve">terms that are materially less favorable, as determined by the Board of Directors, to the Borrower or such Subsidiary, as the case may be, than those that could be obtained at the time in a transaction with a person who is not such an Affiliate (or in the event there are no comparable transactions involving persons who are not Affiliates of the Borrower or the relevant Subsidiary to apply for comparative purposes, on terms that, taken as a whole, the Board of Directors has determined to be fair to the Borrower or the relevant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shall not restrict:</w:t>
      </w:r>
    </w:p>
    <w:p>
      <w:pPr>
        <w:spacing w:after="0" w:line="180"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transactions between or among the Borrower and its Subsidiaries;</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transactions pursuant to reasonable (as determined by the Borrower) director, officer and employee compensation (including bonuses) and other benefits (including retirement, health, and stock compensation plans) and indemnification arrangements and performance of such arrangements;</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 xml:space="preserve">any Restricted Payment permitted by </w:t>
      </w:r>
      <w:r>
        <w:rPr>
          <w:rFonts w:ascii="Arial" w:cs="Arial" w:eastAsia="Arial" w:hAnsi="Arial"/>
          <w:sz w:val="20"/>
          <w:szCs w:val="20"/>
          <w:u w:val="single" w:color="auto"/>
          <w:color w:val="auto"/>
        </w:rPr>
        <w:t>Section 6.06</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 xml:space="preserve">any Investment permitted by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(x) any agreement or arrangement in effect on the Closing Date and any amendment or replacement thereof, and any other similar arrangements or agreements, in each case, that is not more disadvantageous to the Lenders in any material respect than the agreement or arrangement in effect on the Closing Date or (y) any transactions pursuant to any agreement or arrangement referred to in the immediately preceding </w:t>
      </w:r>
      <w:r>
        <w:rPr>
          <w:rFonts w:ascii="Arial" w:cs="Arial" w:eastAsia="Arial" w:hAnsi="Arial"/>
          <w:sz w:val="19"/>
          <w:szCs w:val="19"/>
          <w:u w:val="single" w:color="auto"/>
          <w:color w:val="auto"/>
        </w:rPr>
        <w:t>clause (x)</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 xml:space="preserve">any transaction with a joint venture or similar entity which would be subject to this </w:t>
      </w:r>
      <w:r>
        <w:rPr>
          <w:rFonts w:ascii="Arial" w:cs="Arial" w:eastAsia="Arial" w:hAnsi="Arial"/>
          <w:sz w:val="20"/>
          <w:szCs w:val="20"/>
          <w:u w:val="single" w:color="auto"/>
          <w:color w:val="auto"/>
        </w:rPr>
        <w:t>Section 5.15</w:t>
      </w:r>
      <w:r>
        <w:rPr>
          <w:rFonts w:ascii="Arial" w:cs="Arial" w:eastAsia="Arial" w:hAnsi="Arial"/>
          <w:sz w:val="20"/>
          <w:szCs w:val="20"/>
          <w:color w:val="auto"/>
        </w:rPr>
        <w:t xml:space="preserve"> solely because the Borrower or a Subsidiary owns an equity interest in or otherwise controls such joint venture or other similar entity;</w:t>
      </w:r>
    </w:p>
    <w:p>
      <w:pPr>
        <w:spacing w:after="0" w:line="185"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any transaction entered into by a person prior to the time such person becomes a Subsidiary or is merged or consolidated with or into the Borrower or a Subsidiary;</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any transaction with an Affiliate where the only consideration paid by the Borrower or any Subsidiary is Qualified Equity Interests;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the issuance or sale of any Qualified Equity Interests;</w:t>
      </w:r>
    </w:p>
    <w:p>
      <w:pPr>
        <w:spacing w:after="0" w:line="21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any issuance of securities, or other payments, awards or grants in cash, securities or otherwise, in each case pursuant to, or the funding of, employment arrangements, stock options and stock ownership plans in the ordinary course of business;</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any employment agreements entered into by the Borrower or any of its Subsidiaries in the ordinary course of business and the transactions pursuant thereto;</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ordinary course overhead arrangements in which any Subsidiary participates;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0" w:name="page291"/>
    <w:bookmarkEnd w:id="290"/>
    <w:p>
      <w:pPr>
        <w:jc w:val="both"/>
        <w:ind w:firstLine="656"/>
        <w:spacing w:after="0" w:line="250" w:lineRule="auto"/>
        <w:tabs>
          <w:tab w:leader="none" w:pos="129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intellectual property licenses and sub-licenses in the ordinary course of business and the use and/or sharing of database and other information among the Borrower and its Subsidiaries with any Affiliates of the Borrower under common control with the Borrower;</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Transactions and the payment of fees and expenses related to the Transactions;</w:t>
      </w:r>
    </w:p>
    <w:p>
      <w:pPr>
        <w:spacing w:after="0" w:line="215"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customary payments by the Borrower and any of the Subsidiaries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such person in good faith; and</w:t>
      </w:r>
    </w:p>
    <w:p>
      <w:pPr>
        <w:spacing w:after="0" w:line="161"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payment, pursuant to the Management Services Agreement, of consulting, advisory or other fees, indemnities or expenses.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u w:val="single" w:color="auto"/>
          <w:color w:val="auto"/>
        </w:rPr>
        <w:t>Sustainability Financing Framework</w:t>
      </w:r>
      <w:r>
        <w:rPr>
          <w:rFonts w:ascii="Arial" w:cs="Arial" w:eastAsia="Arial" w:hAnsi="Arial"/>
          <w:sz w:val="20"/>
          <w:szCs w:val="20"/>
          <w:color w:val="auto"/>
        </w:rPr>
        <w:t>. To the extent any Sustainability Loans are outstanding, comply in all material respects with the Sustainability Financing Framework.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Negative Covenants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The Borrower covenants and agrees with each Lender that from the Closing Date until the Termination Date, unless the Required Lenders shall otherwise consent in writing, the Borrower will not, and will not permit any of its Subsidiaries to (and solely in the case of </w:t>
      </w:r>
      <w:r>
        <w:rPr>
          <w:rFonts w:ascii="Arial" w:cs="Arial" w:eastAsia="Arial" w:hAnsi="Arial"/>
          <w:sz w:val="20"/>
          <w:szCs w:val="20"/>
          <w:u w:val="single" w:color="auto"/>
          <w:color w:val="auto"/>
        </w:rPr>
        <w:t>Section 6.10</w:t>
      </w:r>
      <w:r>
        <w:rPr>
          <w:rFonts w:ascii="Arial" w:cs="Arial" w:eastAsia="Arial" w:hAnsi="Arial"/>
          <w:sz w:val="20"/>
          <w:szCs w:val="20"/>
          <w:color w:val="auto"/>
        </w:rPr>
        <w:t>, Holdings will not):</w:t>
      </w:r>
    </w:p>
    <w:p>
      <w:pPr>
        <w:spacing w:after="0" w:line="18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Incur, create, assume or permit to exist any Indebtedness, except:</w:t>
      </w:r>
    </w:p>
    <w:p>
      <w:pPr>
        <w:spacing w:after="0" w:line="216" w:lineRule="exact"/>
        <w:rPr>
          <w:sz w:val="20"/>
          <w:szCs w:val="20"/>
          <w:color w:val="auto"/>
        </w:rPr>
      </w:pPr>
    </w:p>
    <w:p>
      <w:pPr>
        <w:jc w:val="both"/>
        <w:ind w:firstLine="656"/>
        <w:spacing w:after="0" w:line="259" w:lineRule="auto"/>
        <w:tabs>
          <w:tab w:leader="none" w:pos="1296"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(x) Indebtedness (other than as described in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below) existing or committed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Indebtedness for borrowed money that is owed to any person other than the Borrower and/or one or more of its Subsidiaries, in an aggregate amount in excess of $5,000,000 shall be set forth in </w:t>
      </w:r>
      <w:r>
        <w:rPr>
          <w:rFonts w:ascii="Arial" w:cs="Arial" w:eastAsia="Arial" w:hAnsi="Arial"/>
          <w:sz w:val="19"/>
          <w:szCs w:val="19"/>
          <w:u w:val="single" w:color="auto"/>
          <w:color w:val="auto"/>
        </w:rPr>
        <w:t>Schedule 6.01</w:t>
      </w:r>
      <w:r>
        <w:rPr>
          <w:rFonts w:ascii="Arial" w:cs="Arial" w:eastAsia="Arial" w:hAnsi="Arial"/>
          <w:sz w:val="19"/>
          <w:szCs w:val="19"/>
          <w:color w:val="auto"/>
        </w:rPr>
        <w:t xml:space="preserve">) and (y) any Permitted Refinancing Indebtedness incurred to Refinance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outstanding pursuant to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which is owed by a Loan Party to any Subsidiary that is not a Loan Party shall be subordinated in right of payment to the same extent required pursuant to </w:t>
      </w:r>
      <w:r>
        <w:rPr>
          <w:rFonts w:ascii="Arial" w:cs="Arial" w:eastAsia="Arial" w:hAnsi="Arial"/>
          <w:sz w:val="19"/>
          <w:szCs w:val="19"/>
          <w:u w:val="single" w:color="auto"/>
          <w:color w:val="auto"/>
        </w:rPr>
        <w:t>Section 6.01(e)</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ind w:firstLine="656"/>
        <w:spacing w:after="0" w:line="287" w:lineRule="auto"/>
        <w:tabs>
          <w:tab w:leader="none" w:pos="1296"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Indebtedness created hereunder (including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2.23</w:t>
      </w:r>
      <w:r>
        <w:rPr>
          <w:rFonts w:ascii="Arial" w:cs="Arial" w:eastAsia="Arial" w:hAnsi="Arial"/>
          <w:sz w:val="19"/>
          <w:szCs w:val="19"/>
          <w:color w:val="auto"/>
        </w:rPr>
        <w:t>) and under the other Loan Documents and any Refinancing Notes incurred to Refinance such Indebtedness;</w:t>
      </w:r>
    </w:p>
    <w:p>
      <w:pPr>
        <w:spacing w:after="0" w:line="152" w:lineRule="exact"/>
        <w:rPr>
          <w:rFonts w:ascii="Arial" w:cs="Arial" w:eastAsia="Arial" w:hAnsi="Arial"/>
          <w:sz w:val="19"/>
          <w:szCs w:val="19"/>
          <w:color w:val="auto"/>
        </w:rPr>
      </w:pPr>
    </w:p>
    <w:p>
      <w:pPr>
        <w:jc w:val="both"/>
        <w:ind w:firstLine="656"/>
        <w:spacing w:after="0" w:line="385" w:lineRule="auto"/>
        <w:tabs>
          <w:tab w:leader="none" w:pos="129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Indebtedness of the Borrower or any Subsidiary pursuant to Hedging Agreements or any other swap, hedging or derivative arrangement in the ordinary course of business, in each case entered into for non-speculative purposes;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1" w:name="page292"/>
    <w:bookmarkEnd w:id="291"/>
    <w:p>
      <w:pPr>
        <w:jc w:val="both"/>
        <w:ind w:firstLine="656"/>
        <w:spacing w:after="0" w:line="244" w:lineRule="auto"/>
        <w:tabs>
          <w:tab w:leader="none" w:pos="1296"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spacing w:after="0" w:line="194" w:lineRule="exact"/>
        <w:rPr>
          <w:rFonts w:ascii="Arial" w:cs="Arial" w:eastAsia="Arial" w:hAnsi="Arial"/>
          <w:sz w:val="20"/>
          <w:szCs w:val="20"/>
          <w:color w:val="auto"/>
        </w:rPr>
      </w:pPr>
    </w:p>
    <w:p>
      <w:pPr>
        <w:jc w:val="both"/>
        <w:ind w:firstLine="656"/>
        <w:spacing w:after="0" w:line="276" w:lineRule="auto"/>
        <w:tabs>
          <w:tab w:leader="none" w:pos="129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Indebtedness of the Borrower to any Subsidiary and of any Subsidiary to the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owed by any Loan Party to any Subsidiary that is not a Guarantor incurred pursuant to this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(other than intercompany current liabilities incurred in the ordinary course of business in connection with the cash management, Tax and accounting operations of the Borrower and its Subsidiaries) shall be subordinated in right of payment to the Loan Obligations under this Agreement on terms reasonably satisfactory to the Administrative Agent (but only to the extent permitted by applicable law and not giving rise to material adverse Tax consequences);</w:t>
      </w:r>
    </w:p>
    <w:p>
      <w:pPr>
        <w:spacing w:after="0" w:line="164"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Indebtedness arising from the honoring by a bank or other financial institution of a check, draft or similar instrument drawn against insufficient funds in the ordinary course of business or other cash management services, in each case incurred in the ordinary course of business;</w:t>
      </w:r>
    </w:p>
    <w:p>
      <w:pPr>
        <w:spacing w:after="0" w:line="185"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(x) Indebtedness of a Subsidiary acquired after the Closing Date or a person merged or consolidated with the Borrower or any Subsidiary after the Closing Date and Indebtedness otherwise assumed by any Loan Party in connection with the acquisition of assets or Equity Interests (including a Permitted Acquisition), where such acquisition, merger, amalgamation or consolidation is not prohibited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Indebtedness incurred pursuant to this </w:t>
      </w:r>
      <w:r>
        <w:rPr>
          <w:rFonts w:ascii="Arial" w:cs="Arial" w:eastAsia="Arial" w:hAnsi="Arial"/>
          <w:sz w:val="19"/>
          <w:szCs w:val="19"/>
          <w:u w:val="single" w:color="auto"/>
          <w:color w:val="auto"/>
        </w:rPr>
        <w:t>subclause (h)(x)</w:t>
      </w:r>
      <w:r>
        <w:rPr>
          <w:rFonts w:ascii="Arial" w:cs="Arial" w:eastAsia="Arial" w:hAnsi="Arial"/>
          <w:sz w:val="19"/>
          <w:szCs w:val="19"/>
          <w:color w:val="auto"/>
        </w:rPr>
        <w:t xml:space="preserve"> shall be in existence prior to the respective acquisition of assets or Equity Interests (including a Permitted Acquisition) and shall not have been created in contemplation thereof or in connection therewith; and (y) any Permitted Refinancing Indebtedness incurred to Refinance any such Indebtedness;</w:t>
      </w:r>
    </w:p>
    <w:p>
      <w:pPr>
        <w:spacing w:after="0" w:line="184" w:lineRule="exact"/>
        <w:rPr>
          <w:rFonts w:ascii="Arial" w:cs="Arial" w:eastAsia="Arial" w:hAnsi="Arial"/>
          <w:sz w:val="19"/>
          <w:szCs w:val="19"/>
          <w:color w:val="auto"/>
        </w:rPr>
      </w:pPr>
    </w:p>
    <w:p>
      <w:pPr>
        <w:jc w:val="both"/>
        <w:ind w:firstLine="656"/>
        <w:spacing w:after="0" w:line="242" w:lineRule="auto"/>
        <w:tabs>
          <w:tab w:leader="none" w:pos="1296"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(x) Capitalized Lease Obligations, mortgage financings and other Indebtedness incurred by the Borrower or any Subsidiary prior to or within 360 days after the acquisition, lease, construction, repair, replacement or improvement of the respective property (real or personal, and whether through the direct purchase of property or the Equity Interest of any person owning such property) permitted under this Agreement in order to finance such acquisition, lease, construction, repair, replacement or improvement, in an aggregate principal amount that immediately after giving effect to the incurrence of such Indebtedness and the use of proceeds thereof, together with the aggregate principal amount of any other Indebtedness outstanding pursuant to this </w:t>
      </w:r>
      <w:r>
        <w:rPr>
          <w:rFonts w:ascii="Arial" w:cs="Arial" w:eastAsia="Arial" w:hAnsi="Arial"/>
          <w:sz w:val="20"/>
          <w:szCs w:val="20"/>
          <w:u w:val="single" w:color="auto"/>
          <w:color w:val="auto"/>
        </w:rPr>
        <w:t>Section 6.01(i)</w:t>
      </w:r>
      <w:r>
        <w:rPr>
          <w:rFonts w:ascii="Arial" w:cs="Arial" w:eastAsia="Arial" w:hAnsi="Arial"/>
          <w:sz w:val="20"/>
          <w:szCs w:val="20"/>
          <w:color w:val="auto"/>
        </w:rPr>
        <w:t>, would not exceed the greater of $17,500,000 and 25% of Adjusted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2" w:name="page293"/>
    <w:bookmarkEnd w:id="292"/>
    <w:p>
      <w:pPr>
        <w:spacing w:after="0" w:line="260" w:lineRule="auto"/>
        <w:rPr>
          <w:sz w:val="20"/>
          <w:szCs w:val="20"/>
          <w:color w:val="auto"/>
        </w:rPr>
      </w:pPr>
      <w:r>
        <w:rPr>
          <w:rFonts w:ascii="Arial" w:cs="Arial" w:eastAsia="Arial" w:hAnsi="Arial"/>
          <w:sz w:val="20"/>
          <w:szCs w:val="20"/>
          <w:color w:val="auto"/>
        </w:rPr>
        <w:t>EBITDA for the most recently ended Test Period as of such time when incurred, created or assumed, and (y) any Permitted Refinancing Indebtedness in respect thereof;</w:t>
      </w:r>
    </w:p>
    <w:p>
      <w:pPr>
        <w:spacing w:after="0" w:line="177" w:lineRule="exact"/>
        <w:rPr>
          <w:sz w:val="20"/>
          <w:szCs w:val="20"/>
          <w:color w:val="auto"/>
        </w:rPr>
      </w:pPr>
    </w:p>
    <w:p>
      <w:pPr>
        <w:jc w:val="both"/>
        <w:ind w:right="20" w:firstLine="656"/>
        <w:spacing w:after="0" w:line="385" w:lineRule="auto"/>
        <w:tabs>
          <w:tab w:leader="none" w:pos="129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(x) Capitalized Lease Obligations and any other Indebtedness incurred by the Borrower or any Subsidiary arising from any Permitted Sale Lease-Back Transaction, and (y) any Permitted Refinancing Indebtedness in respect thereof;</w:t>
      </w:r>
    </w:p>
    <w:p>
      <w:pPr>
        <w:spacing w:after="0" w:line="84" w:lineRule="exact"/>
        <w:rPr>
          <w:rFonts w:ascii="Arial" w:cs="Arial" w:eastAsia="Arial" w:hAnsi="Arial"/>
          <w:sz w:val="16"/>
          <w:szCs w:val="16"/>
          <w:color w:val="auto"/>
        </w:rPr>
      </w:pPr>
    </w:p>
    <w:p>
      <w:pPr>
        <w:jc w:val="both"/>
        <w:ind w:firstLine="656"/>
        <w:spacing w:after="0" w:line="278" w:lineRule="auto"/>
        <w:tabs>
          <w:tab w:leader="none" w:pos="129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(x) other Indebtedness of the Borrower or any Subsidiary, in an aggregate principal amount that, immediately after giving effect to the incurrence of such Indebtedness and the use of proceeds thereof, together with the aggregate principal amount of any other Indebtedness outstanding pursuant to this </w:t>
      </w:r>
      <w:r>
        <w:rPr>
          <w:rFonts w:ascii="Arial" w:cs="Arial" w:eastAsia="Arial" w:hAnsi="Arial"/>
          <w:sz w:val="18"/>
          <w:szCs w:val="18"/>
          <w:u w:val="single" w:color="auto"/>
          <w:color w:val="auto"/>
        </w:rPr>
        <w:t>Section 6.01(k)</w:t>
      </w:r>
      <w:r>
        <w:rPr>
          <w:rFonts w:ascii="Arial" w:cs="Arial" w:eastAsia="Arial" w:hAnsi="Arial"/>
          <w:sz w:val="18"/>
          <w:szCs w:val="18"/>
          <w:color w:val="auto"/>
        </w:rPr>
        <w:t>, would not exceed the greater of $17,500,000 and 25% of Adjusted Consolidated EBITDA for the most recently ended Test Period as of such time when incurred, created or assumed and (y) any Permitted Refinancing Indebtedness in respect thereof;</w:t>
      </w:r>
    </w:p>
    <w:p>
      <w:pPr>
        <w:spacing w:after="0" w:line="164" w:lineRule="exact"/>
        <w:rPr>
          <w:rFonts w:ascii="Arial" w:cs="Arial" w:eastAsia="Arial" w:hAnsi="Arial"/>
          <w:sz w:val="18"/>
          <w:szCs w:val="18"/>
          <w:color w:val="auto"/>
        </w:rPr>
      </w:pPr>
    </w:p>
    <w:p>
      <w:pPr>
        <w:ind w:left="1300" w:hanging="644"/>
        <w:spacing w:after="0"/>
        <w:tabs>
          <w:tab w:leader="none" w:pos="13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267"/>
        </w:numPr>
        <w:rPr>
          <w:rFonts w:ascii="Arial" w:cs="Arial" w:eastAsia="Arial" w:hAnsi="Arial"/>
          <w:sz w:val="20"/>
          <w:szCs w:val="20"/>
          <w:color w:val="auto"/>
        </w:rPr>
      </w:pPr>
      <w:r>
        <w:rPr>
          <w:rFonts w:ascii="Arial" w:cs="Arial" w:eastAsia="Arial" w:hAnsi="Arial"/>
          <w:sz w:val="20"/>
          <w:szCs w:val="20"/>
          <w:color w:val="auto"/>
        </w:rPr>
        <w:t xml:space="preserve">Guarantees by the Borrower or any Subsidiary of any Indebtedness of the Borrower or any Subsidiary permitted to be incurred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Guarantees by the Borrower or any Guarantor under this </w:t>
      </w:r>
      <w:r>
        <w:rPr>
          <w:rFonts w:ascii="Arial" w:cs="Arial" w:eastAsia="Arial" w:hAnsi="Arial"/>
          <w:sz w:val="20"/>
          <w:szCs w:val="20"/>
          <w:u w:val="single" w:color="auto"/>
          <w:color w:val="auto"/>
        </w:rPr>
        <w:t>Section 6.01(m)</w:t>
      </w:r>
      <w:r>
        <w:rPr>
          <w:rFonts w:ascii="Arial" w:cs="Arial" w:eastAsia="Arial" w:hAnsi="Arial"/>
          <w:sz w:val="20"/>
          <w:szCs w:val="20"/>
          <w:color w:val="auto"/>
        </w:rPr>
        <w:t xml:space="preserve"> of any other Indebtedness of a person that is subordinated in right of payment to other Indebtedness of such person shall be expressly subordinated in right of payment to the Loan Obligations to at least the same extent as such underlying Indebtedness is subordinated in right of payment;</w:t>
      </w:r>
    </w:p>
    <w:p>
      <w:pPr>
        <w:spacing w:after="0" w:line="194"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Indebtedness arising from agreements of the Borrower or any Subsidiary providing for indemnification, adjustment of purchase or acquisition price or similar obligations (including earn-outs), in each case, incurred or assumed in connection with the Transactions, any Permitted Acquisition, other Investments or the disposition of any business, assets or a Subsidiary not prohibited by this Agreement;</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spacing w:after="0" w:line="185"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(x) Permitted Debt, so long as, immediately after giving effect to the incurrence of such Permitted Debt and the use of proceeds thereof (excluding for purposes of “cash netting” the proceeds of any such Permitted Debt) (A) (i) in the case of any Permitted Debt secured by Liens on the Collateral that rank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with the Liens on the Collateral securing the Loans, the First Lien Secured Net Leverage Ratio on a Pro Forma Basis would not exceed 2.00 to 1.00, or (ii) in the case of any Permitted Debt that is secured by Liens on the Collateral on a junior basis to the Liens on the Collateral securing the Loans, that is secured by Liens on property that does not constitute Collateral or that is unsecured, (1) the Total Net Leverage Ratio on a Pro Forma Basis would not exceed the greater of (I) 3.00 to 1.00 or (II) if incurred in connection with financing a Permitted Acquisition or Permitted Investment, the Total Net Leverage Ratio immediately prior to such Permitted Acquisition or Permitted Investment, (B) no Default or Event of Default shall have occurred and be continuing or shall result therefrom and (C) the aggregate amount of Permitted Debt incurred under this </w:t>
      </w:r>
      <w:r>
        <w:rPr>
          <w:rFonts w:ascii="Arial" w:cs="Arial" w:eastAsia="Arial" w:hAnsi="Arial"/>
          <w:sz w:val="19"/>
          <w:szCs w:val="19"/>
          <w:u w:val="single" w:color="auto"/>
          <w:color w:val="auto"/>
        </w:rPr>
        <w:t>clause (p)</w:t>
      </w:r>
      <w:r>
        <w:rPr>
          <w:rFonts w:ascii="Arial" w:cs="Arial" w:eastAsia="Arial" w:hAnsi="Arial"/>
          <w:sz w:val="19"/>
          <w:szCs w:val="19"/>
          <w:color w:val="auto"/>
        </w:rPr>
        <w:t xml:space="preserve"> by any Subsidiary that is not a Guarantor shall not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3" w:name="page294"/>
    <w:bookmarkEnd w:id="293"/>
    <w:p>
      <w:pPr>
        <w:spacing w:after="0" w:line="260" w:lineRule="auto"/>
        <w:rPr>
          <w:sz w:val="20"/>
          <w:szCs w:val="20"/>
          <w:color w:val="auto"/>
        </w:rPr>
      </w:pPr>
      <w:r>
        <w:rPr>
          <w:rFonts w:ascii="Arial" w:cs="Arial" w:eastAsia="Arial" w:hAnsi="Arial"/>
          <w:sz w:val="20"/>
          <w:szCs w:val="20"/>
          <w:color w:val="auto"/>
        </w:rPr>
        <w:t>greater of $15,000,000 and 20% of Adjusted Consolidated EBITDA for the most recently ended Test Period as of such time and (y) any Permitted Refinancing Indebtedness in respect thereof;</w:t>
      </w:r>
    </w:p>
    <w:p>
      <w:pPr>
        <w:spacing w:after="0" w:line="177" w:lineRule="exact"/>
        <w:rPr>
          <w:sz w:val="20"/>
          <w:szCs w:val="20"/>
          <w:color w:val="auto"/>
        </w:rPr>
      </w:pPr>
    </w:p>
    <w:p>
      <w:pPr>
        <w:jc w:val="both"/>
        <w:ind w:firstLine="656"/>
        <w:spacing w:after="0" w:line="243" w:lineRule="auto"/>
        <w:tabs>
          <w:tab w:leader="none" w:pos="1296"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(x) Indebtedness of Subsidiaries that are not Loan Parties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Arial" w:cs="Arial" w:eastAsia="Arial" w:hAnsi="Arial"/>
          <w:sz w:val="20"/>
          <w:szCs w:val="20"/>
          <w:u w:val="single" w:color="auto"/>
          <w:color w:val="auto"/>
        </w:rPr>
        <w:t>Section 6.01(q)</w:t>
      </w:r>
      <w:r>
        <w:rPr>
          <w:rFonts w:ascii="Arial" w:cs="Arial" w:eastAsia="Arial" w:hAnsi="Arial"/>
          <w:sz w:val="20"/>
          <w:szCs w:val="20"/>
          <w:color w:val="auto"/>
        </w:rPr>
        <w:t xml:space="preserve"> and the aggregate principal amount of any Guarantees by Subsidiaries that are not Guarantors of Indebtedness of the Borrower or any Guarantor outstanding pursuant to </w:t>
      </w:r>
      <w:r>
        <w:rPr>
          <w:rFonts w:ascii="Arial" w:cs="Arial" w:eastAsia="Arial" w:hAnsi="Arial"/>
          <w:sz w:val="20"/>
          <w:szCs w:val="20"/>
          <w:u w:val="single" w:color="auto"/>
          <w:color w:val="auto"/>
        </w:rPr>
        <w:t>Section 6.01(m)</w:t>
      </w:r>
      <w:r>
        <w:rPr>
          <w:rFonts w:ascii="Arial" w:cs="Arial" w:eastAsia="Arial" w:hAnsi="Arial"/>
          <w:sz w:val="20"/>
          <w:szCs w:val="20"/>
          <w:color w:val="auto"/>
        </w:rPr>
        <w:t xml:space="preserve"> above, would not exceed the greater of $15,000,000 and 20% of Adjusted Consolidated EBITDA for the most recently ended Test Period as of such time and (y) any Permitted Refinancing Indebtedness in respect thereof;</w:t>
      </w:r>
    </w:p>
    <w:p>
      <w:pPr>
        <w:spacing w:after="0" w:line="192" w:lineRule="exact"/>
        <w:rPr>
          <w:rFonts w:ascii="Arial" w:cs="Arial" w:eastAsia="Arial" w:hAnsi="Arial"/>
          <w:sz w:val="20"/>
          <w:szCs w:val="20"/>
          <w:color w:val="auto"/>
        </w:rPr>
      </w:pPr>
    </w:p>
    <w:p>
      <w:pPr>
        <w:jc w:val="both"/>
        <w:ind w:firstLine="656"/>
        <w:spacing w:after="0" w:line="244" w:lineRule="auto"/>
        <w:tabs>
          <w:tab w:leader="none" w:pos="1296"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Indebtedness incurred in the ordinary course of business in respect of obligations of the Borrower or any Subsidiary to pay the deferred purchase price of goods or services or progress payments in connection with such goods and services;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obligations are incurred in connection with open accounts extended by suppliers on customary trade terms in the ordinary course of business and not in connection with the borrowing of money or any Hedging Agreements;</w:t>
      </w:r>
    </w:p>
    <w:p>
      <w:pPr>
        <w:spacing w:after="0" w:line="194" w:lineRule="exact"/>
        <w:rPr>
          <w:rFonts w:ascii="Arial" w:cs="Arial" w:eastAsia="Arial" w:hAnsi="Arial"/>
          <w:sz w:val="20"/>
          <w:szCs w:val="20"/>
          <w:color w:val="auto"/>
        </w:rPr>
      </w:pPr>
    </w:p>
    <w:p>
      <w:pPr>
        <w:ind w:firstLine="656"/>
        <w:spacing w:after="0" w:line="260" w:lineRule="auto"/>
        <w:tabs>
          <w:tab w:leader="none" w:pos="1296"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Indebtedness representing deferred compensation to employees, consultants or independent contractors of the Borrower or any Subsidiary incurred in the ordinary course of business;</w:t>
      </w:r>
    </w:p>
    <w:p>
      <w:pPr>
        <w:spacing w:after="0" w:line="176" w:lineRule="exact"/>
        <w:rPr>
          <w:rFonts w:ascii="Arial" w:cs="Arial" w:eastAsia="Arial" w:hAnsi="Arial"/>
          <w:sz w:val="20"/>
          <w:szCs w:val="20"/>
          <w:color w:val="auto"/>
        </w:rPr>
      </w:pPr>
    </w:p>
    <w:p>
      <w:pPr>
        <w:jc w:val="both"/>
        <w:ind w:firstLine="656"/>
        <w:spacing w:after="0" w:line="278" w:lineRule="auto"/>
        <w:tabs>
          <w:tab w:leader="none" w:pos="129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Indebtedness in connection with Qualified Receivables Facilities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Arial" w:cs="Arial" w:eastAsia="Arial" w:hAnsi="Arial"/>
          <w:sz w:val="18"/>
          <w:szCs w:val="18"/>
          <w:u w:val="single" w:color="auto"/>
          <w:color w:val="auto"/>
        </w:rPr>
        <w:t>Section 6.01(t)</w:t>
      </w:r>
      <w:r>
        <w:rPr>
          <w:rFonts w:ascii="Arial" w:cs="Arial" w:eastAsia="Arial" w:hAnsi="Arial"/>
          <w:sz w:val="18"/>
          <w:szCs w:val="18"/>
          <w:color w:val="auto"/>
        </w:rPr>
        <w:t>, would not exceed the greater of $17,500,000 and 25% of Adjusted Consolidated EBITDA for the most recently ended Test Period as of such time when incurred, created or assumed and (y) any Permitted Refinancing Indebtedness in respect thereof;</w:t>
      </w:r>
    </w:p>
    <w:p>
      <w:pPr>
        <w:spacing w:after="0" w:line="164"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obligations in respect of Cash Management Agreements and Secured Supplier Receivables Agreements;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656"/>
        <w:spacing w:after="0" w:line="259" w:lineRule="auto"/>
        <w:tabs>
          <w:tab w:leader="none" w:pos="1296"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(x) Indebtedness of, incurred on behalf of, or representing Guarantees of Indebtedness of, joint ventures or Unrestricted Subsidiaries in an aggregate principal amount outstanding that, immediately after giving effect to the incurrence of such Indebtedness and the use of proceeds thereof, together with the aggregate principal amount of any other Indebtedness outstanding pursuant to this </w:t>
      </w:r>
      <w:r>
        <w:rPr>
          <w:rFonts w:ascii="Arial" w:cs="Arial" w:eastAsia="Arial" w:hAnsi="Arial"/>
          <w:sz w:val="19"/>
          <w:szCs w:val="19"/>
          <w:u w:val="single" w:color="auto"/>
          <w:color w:val="auto"/>
        </w:rPr>
        <w:t>Section 6.01(w)</w:t>
      </w:r>
      <w:r>
        <w:rPr>
          <w:rFonts w:ascii="Arial" w:cs="Arial" w:eastAsia="Arial" w:hAnsi="Arial"/>
          <w:sz w:val="19"/>
          <w:szCs w:val="19"/>
          <w:color w:val="auto"/>
        </w:rPr>
        <w:t>, would not exceed the greater of $17,500,000 and 25% of Adjusted Consolidated EBITDA for the most recently ended Test Period as of such time when incurred, created or assumed and (y) any Permitted Refinancing Indebtedness in respect thereof;</w:t>
      </w:r>
    </w:p>
    <w:p>
      <w:pPr>
        <w:spacing w:after="0" w:line="178"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Indebtedness issued by the Borrower or any Subsidiary to current or former officers, directors and employees, their respective estates, spouses or former spouses to finance the purchase or redemption of Equity Interests of the Borrower permitted by </w:t>
      </w:r>
      <w:r>
        <w:rPr>
          <w:rFonts w:ascii="Arial" w:cs="Arial" w:eastAsia="Arial" w:hAnsi="Arial"/>
          <w:sz w:val="20"/>
          <w:szCs w:val="20"/>
          <w:u w:val="single" w:color="auto"/>
          <w:color w:val="auto"/>
        </w:rPr>
        <w:t>Section 6.06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4" w:name="page295"/>
    <w:bookmarkEnd w:id="294"/>
    <w:p>
      <w:pPr>
        <w:jc w:val="both"/>
        <w:ind w:firstLine="656"/>
        <w:spacing w:after="0" w:line="250" w:lineRule="auto"/>
        <w:tabs>
          <w:tab w:leader="none" w:pos="1296" w:val="left"/>
        </w:tabs>
        <w:numPr>
          <w:ilvl w:val="0"/>
          <w:numId w:val="269"/>
        </w:numPr>
        <w:rPr>
          <w:rFonts w:ascii="Arial" w:cs="Arial" w:eastAsia="Arial" w:hAnsi="Arial"/>
          <w:sz w:val="20"/>
          <w:szCs w:val="20"/>
          <w:color w:val="auto"/>
        </w:rPr>
      </w:pPr>
      <w:r>
        <w:rPr>
          <w:rFonts w:ascii="Arial" w:cs="Arial" w:eastAsia="Arial" w:hAnsi="Arial"/>
          <w:sz w:val="20"/>
          <w:szCs w:val="20"/>
          <w:color w:val="auto"/>
        </w:rPr>
        <w:t>Indebtedness consisting of obligations of the Borrower or any Subsidiary under deferred compensation or other similar arrangements incurred by such person in connection with the Transactions and Permitted Acquisitions or any other Investment permitted hereunder;</w:t>
      </w:r>
    </w:p>
    <w:p>
      <w:pPr>
        <w:spacing w:after="0" w:line="185"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Indebtedness of the Borrower or any Subsidiary to or on behalf of any joint venture (regardless of the form of legal entity) that is not a Subsidiary arising in the ordinary course of business in connection with the cash management operations (including with respect to intercompany self-insurance arrangements) of the Borrower and its Subsidiaries;</w:t>
      </w:r>
    </w:p>
    <w:p>
      <w:pPr>
        <w:spacing w:after="0" w:line="152" w:lineRule="exact"/>
        <w:rPr>
          <w:sz w:val="20"/>
          <w:szCs w:val="20"/>
          <w:color w:val="auto"/>
        </w:rPr>
      </w:pPr>
    </w:p>
    <w:p>
      <w:pPr>
        <w:ind w:right="20" w:firstLine="656"/>
        <w:spacing w:after="0" w:line="260" w:lineRule="auto"/>
        <w:tabs>
          <w:tab w:leader="none" w:pos="129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Indebtedness consisting of (i) the financing of insurance premiums or (ii) take-or-pay obligations contained in supply arrangements, in each case, in the ordinary course of business; and</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Contribution Indebtedness.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 Indebtedness need not be permitted solely by reference to one category of permitted Indebtedness (or any portion thereof)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(bb)</w:t>
      </w:r>
      <w:r>
        <w:rPr>
          <w:rFonts w:ascii="Arial" w:cs="Arial" w:eastAsia="Arial" w:hAnsi="Arial"/>
          <w:sz w:val="18"/>
          <w:szCs w:val="18"/>
          <w:color w:val="auto"/>
        </w:rPr>
        <w:t xml:space="preserve"> but may be permitted in part under any relevant combination thereof (and subject to compliance, where relevant, with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(B) in the event that an item of Indebtedness (or any portion thereof) meets the criteria of one or more of the categories of permitted Indebtedness (or any portion thereof)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(bb)</w:t>
      </w:r>
      <w:r>
        <w:rPr>
          <w:rFonts w:ascii="Arial" w:cs="Arial" w:eastAsia="Arial" w:hAnsi="Arial"/>
          <w:sz w:val="18"/>
          <w:szCs w:val="18"/>
          <w:color w:val="auto"/>
        </w:rPr>
        <w:t xml:space="preserve">, the Borrower may, in its sole discretion, classify or reclassify or divide such item of Indebtedness (or any portion thereof) in any manner that complies with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outstanding under this Agreement shall at all times be deemed to have been incurred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(C)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apply. In addition, with respect to any Indebtedness that was permitted to be incurred hereunder on the date of such incurrence, any Increased Amount of such Indebtedness shall also be permitted hereunder after the date of such incurrence.</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Liens</w:t>
      </w:r>
      <w:r>
        <w:rPr>
          <w:rFonts w:ascii="Arial" w:cs="Arial" w:eastAsia="Arial" w:hAnsi="Arial"/>
          <w:sz w:val="19"/>
          <w:szCs w:val="19"/>
          <w:color w:val="auto"/>
        </w:rPr>
        <w:t>. Create, incur, assume or permit to exist any Lien on any property or assets (including stock or other securities of any person) of the Borrower or any Subsidiary now owned or hereafter acquired by it or on any income or revenues or rights in respect of any thereof, except the following (collectively, “</w:t>
      </w:r>
      <w:r>
        <w:rPr>
          <w:rFonts w:ascii="Arial" w:cs="Arial" w:eastAsia="Arial" w:hAnsi="Arial"/>
          <w:sz w:val="19"/>
          <w:szCs w:val="19"/>
          <w:u w:val="single" w:color="auto"/>
          <w:color w:val="auto"/>
        </w:rPr>
        <w:t>Permitted Liens</w:t>
      </w:r>
      <w:r>
        <w:rPr>
          <w:rFonts w:ascii="Arial" w:cs="Arial" w:eastAsia="Arial" w:hAnsi="Arial"/>
          <w:sz w:val="19"/>
          <w:szCs w:val="19"/>
          <w:color w:val="auto"/>
        </w:rPr>
        <w:t>”):</w:t>
      </w:r>
    </w:p>
    <w:p>
      <w:pPr>
        <w:spacing w:after="0" w:line="170" w:lineRule="exact"/>
        <w:rPr>
          <w:sz w:val="20"/>
          <w:szCs w:val="20"/>
          <w:color w:val="auto"/>
        </w:rPr>
      </w:pPr>
    </w:p>
    <w:p>
      <w:pPr>
        <w:jc w:val="both"/>
        <w:ind w:firstLine="656"/>
        <w:spacing w:after="0" w:line="282" w:lineRule="auto"/>
        <w:tabs>
          <w:tab w:leader="none" w:pos="129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Liens on property or assets of the Borrower and the Subsidiaries existing on the Closing Date and, to the extent securing Indebtedness for borrowed money in an aggregate principal amount in excess of $5,000,000, set forth on </w:t>
      </w:r>
      <w:r>
        <w:rPr>
          <w:rFonts w:ascii="Arial" w:cs="Arial" w:eastAsia="Arial" w:hAnsi="Arial"/>
          <w:sz w:val="18"/>
          <w:szCs w:val="18"/>
          <w:u w:val="single" w:color="auto"/>
          <w:color w:val="auto"/>
        </w:rPr>
        <w:t>Schedule 6.02(a)</w:t>
      </w:r>
      <w:r>
        <w:rPr>
          <w:rFonts w:ascii="Arial" w:cs="Arial" w:eastAsia="Arial" w:hAnsi="Arial"/>
          <w:sz w:val="18"/>
          <w:szCs w:val="18"/>
          <w:color w:val="auto"/>
        </w:rPr>
        <w:t xml:space="preserv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Liens shall secure only those obligations that they secure on the Closing Date (and any Permitted Refinancing Indebtedness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5" w:name="page296"/>
    <w:bookmarkEnd w:id="295"/>
    <w:p>
      <w:pPr>
        <w:jc w:val="both"/>
        <w:spacing w:after="0" w:line="250" w:lineRule="auto"/>
        <w:rPr>
          <w:sz w:val="20"/>
          <w:szCs w:val="20"/>
          <w:color w:val="auto"/>
        </w:rPr>
      </w:pPr>
      <w:r>
        <w:rPr>
          <w:rFonts w:ascii="Arial" w:cs="Arial" w:eastAsia="Arial" w:hAnsi="Arial"/>
          <w:sz w:val="20"/>
          <w:szCs w:val="20"/>
          <w:color w:val="auto"/>
        </w:rPr>
        <w:t xml:space="preserve">respect of such obligations permitted by </w:t>
      </w:r>
      <w:r>
        <w:rPr>
          <w:rFonts w:ascii="Arial" w:cs="Arial" w:eastAsia="Arial" w:hAnsi="Arial"/>
          <w:sz w:val="20"/>
          <w:szCs w:val="20"/>
          <w:u w:val="single" w:color="auto"/>
          <w:color w:val="auto"/>
        </w:rPr>
        <w:t>Section 6.01</w:t>
      </w:r>
      <w:r>
        <w:rPr>
          <w:rFonts w:ascii="Arial" w:cs="Arial" w:eastAsia="Arial" w:hAnsi="Arial"/>
          <w:sz w:val="20"/>
          <w:szCs w:val="20"/>
          <w:color w:val="auto"/>
        </w:rPr>
        <w:t>) and shall not subsequently apply to any other property or assets of the Borrower or any Subsidiary other than (A) after-acquired property that is affixed or incorporated into the property covered by such Lien and (B) proceeds and products thereof;</w:t>
      </w:r>
    </w:p>
    <w:p>
      <w:pPr>
        <w:spacing w:after="0" w:line="186" w:lineRule="exact"/>
        <w:rPr>
          <w:sz w:val="20"/>
          <w:szCs w:val="20"/>
          <w:color w:val="auto"/>
        </w:rPr>
      </w:pPr>
    </w:p>
    <w:p>
      <w:pPr>
        <w:jc w:val="both"/>
        <w:ind w:firstLine="656"/>
        <w:spacing w:after="0" w:line="250" w:lineRule="auto"/>
        <w:tabs>
          <w:tab w:leader="none" w:pos="1296"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any Lien created under the Loan Documents (including Liens created under the Security Documents securing obligations in respect of Secured Hedge Agreements, Secured Cash Management Agreements and Secured Supplier Receivables Agreements);</w:t>
      </w:r>
    </w:p>
    <w:p>
      <w:pPr>
        <w:spacing w:after="0" w:line="185"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or any Subsidiary securing Indebtedness or Permitted Refinancing Indebtedness permitted by </w:t>
      </w:r>
      <w:r>
        <w:rPr>
          <w:rFonts w:ascii="Arial" w:cs="Arial" w:eastAsia="Arial" w:hAnsi="Arial"/>
          <w:sz w:val="18"/>
          <w:szCs w:val="18"/>
          <w:u w:val="single" w:color="auto"/>
          <w:color w:val="auto"/>
        </w:rPr>
        <w:t>Section 6.01(h)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 such Lien is not created in contemplation of or in connection with such acquisition or such person becoming a Subsidiary, as the case may be, and (ii) such Lien does not apply to any other property or assets of the Borrower or any of its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the Borrower or any other Loan Party, including any Loan Party into which such acquired entity is merged) required to be subjected to such Lien pursuant to the terms of such Indebtedness (and refinancings thereof));</w:t>
      </w:r>
    </w:p>
    <w:p>
      <w:pPr>
        <w:spacing w:after="0" w:line="168"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272"/>
        </w:numPr>
        <w:rPr>
          <w:rFonts w:ascii="Arial" w:cs="Arial" w:eastAsia="Arial" w:hAnsi="Arial"/>
          <w:sz w:val="20"/>
          <w:szCs w:val="20"/>
          <w:color w:val="auto"/>
        </w:rPr>
      </w:pPr>
      <w:r>
        <w:rPr>
          <w:rFonts w:ascii="Arial" w:cs="Arial" w:eastAsia="Arial" w:hAnsi="Arial"/>
          <w:sz w:val="20"/>
          <w:szCs w:val="20"/>
          <w:color w:val="auto"/>
        </w:rPr>
        <w:t xml:space="preserve">Liens for Taxes not yet delinquent by more than thirty (30) days or that are being contested in good faith in compliance with </w:t>
      </w:r>
      <w:r>
        <w:rPr>
          <w:rFonts w:ascii="Arial" w:cs="Arial" w:eastAsia="Arial" w:hAnsi="Arial"/>
          <w:sz w:val="20"/>
          <w:szCs w:val="20"/>
          <w:u w:val="single" w:color="auto"/>
          <w:color w:val="auto"/>
        </w:rPr>
        <w:t>Section 5.03</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272"/>
        </w:numPr>
        <w:rPr>
          <w:rFonts w:ascii="Arial" w:cs="Arial" w:eastAsia="Arial" w:hAnsi="Arial"/>
          <w:sz w:val="19"/>
          <w:szCs w:val="19"/>
          <w:color w:val="auto"/>
        </w:rPr>
      </w:pPr>
      <w:r>
        <w:rPr>
          <w:rFonts w:ascii="Arial" w:cs="Arial" w:eastAsia="Arial" w:hAnsi="Arial"/>
          <w:sz w:val="19"/>
          <w:szCs w:val="19"/>
          <w:color w:val="auto"/>
        </w:rPr>
        <w:t>Liens imposed by law, constituting landlord’s, carriers’, warehousemen’s, mechanics’, materialmen’s, repairmen’s, supplier’s, construction or other like Liens, securing obligations that are not overdue by more than thirty (30) days or that are being contested in good faith by appropriate proceedings and in respect of which, if applicable, the Borrower or any Subsidiary shall have set aside on its books reserves in accordance with GAAP;</w:t>
      </w:r>
    </w:p>
    <w:p>
      <w:pPr>
        <w:spacing w:after="0" w:line="176" w:lineRule="exact"/>
        <w:rPr>
          <w:rFonts w:ascii="Arial" w:cs="Arial" w:eastAsia="Arial" w:hAnsi="Arial"/>
          <w:sz w:val="19"/>
          <w:szCs w:val="19"/>
          <w:color w:val="auto"/>
        </w:rPr>
      </w:pPr>
    </w:p>
    <w:p>
      <w:pPr>
        <w:jc w:val="both"/>
        <w:ind w:firstLine="656"/>
        <w:spacing w:after="0" w:line="276" w:lineRule="auto"/>
        <w:tabs>
          <w:tab w:leader="none" w:pos="12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164" w:lineRule="exact"/>
        <w:rPr>
          <w:rFonts w:ascii="Arial" w:cs="Arial" w:eastAsia="Arial" w:hAnsi="Arial"/>
          <w:sz w:val="18"/>
          <w:szCs w:val="18"/>
          <w:color w:val="auto"/>
        </w:rPr>
      </w:pPr>
    </w:p>
    <w:p>
      <w:pPr>
        <w:jc w:val="both"/>
        <w:ind w:firstLine="656"/>
        <w:spacing w:after="0" w:line="276" w:lineRule="auto"/>
        <w:tabs>
          <w:tab w:leader="none" w:pos="12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incurred in the ordinary course of business, including those incurred to secure health, safety and environmental obligations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6" w:name="page297"/>
    <w:bookmarkEnd w:id="296"/>
    <w:p>
      <w:pPr>
        <w:jc w:val="both"/>
        <w:ind w:firstLine="656"/>
        <w:spacing w:after="0" w:line="257" w:lineRule="auto"/>
        <w:tabs>
          <w:tab w:leader="none" w:pos="1296" w:val="left"/>
        </w:tabs>
        <w:numPr>
          <w:ilvl w:val="0"/>
          <w:numId w:val="273"/>
        </w:numPr>
        <w:rPr>
          <w:rFonts w:ascii="Arial" w:cs="Arial" w:eastAsia="Arial" w:hAnsi="Arial"/>
          <w:sz w:val="19"/>
          <w:szCs w:val="19"/>
          <w:color w:val="auto"/>
        </w:rPr>
      </w:pPr>
      <w:r>
        <w:rPr>
          <w:rFonts w:ascii="Arial" w:cs="Arial" w:eastAsia="Arial" w:hAnsi="Arial"/>
          <w:sz w:val="19"/>
          <w:szCs w:val="19"/>
          <w:color w:val="auto"/>
        </w:rPr>
        <w:t>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the Borrower or any Subsidiary;</w:t>
      </w:r>
    </w:p>
    <w:p>
      <w:pPr>
        <w:spacing w:after="0" w:line="180" w:lineRule="exact"/>
        <w:rPr>
          <w:rFonts w:ascii="Arial" w:cs="Arial" w:eastAsia="Arial" w:hAnsi="Arial"/>
          <w:sz w:val="19"/>
          <w:szCs w:val="19"/>
          <w:color w:val="auto"/>
        </w:rPr>
      </w:pPr>
    </w:p>
    <w:p>
      <w:pPr>
        <w:jc w:val="both"/>
        <w:ind w:firstLine="656"/>
        <w:spacing w:after="0" w:line="256" w:lineRule="auto"/>
        <w:tabs>
          <w:tab w:leader="none" w:pos="1296"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Liens securing Indebtedness permitted by </w:t>
      </w:r>
      <w:r>
        <w:rPr>
          <w:rFonts w:ascii="Arial" w:cs="Arial" w:eastAsia="Arial" w:hAnsi="Arial"/>
          <w:sz w:val="19"/>
          <w:szCs w:val="19"/>
          <w:u w:val="single" w:color="auto"/>
          <w:color w:val="auto"/>
        </w:rPr>
        <w:t>Section 6.01(i)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apply to any property or assets of the Borrower 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individual financings provided by one lender may be cross-collateralized to other financings provided by such lender (and its Affiliates) (it being understood that with respect to any Liens on the Collateral being incurred under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to secure Permitted Refinancing Indebtedness, if Liens on the Collateral securing the Indebtedness being Refinanced (if any) were Junior Liens, then any Liens on such Collateral being incurred under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to secure Permitted Refinancing Indebtedness shall also be Junior Liens);</w:t>
      </w:r>
    </w:p>
    <w:p>
      <w:pPr>
        <w:spacing w:after="0" w:line="184"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73"/>
        </w:numPr>
        <w:rPr>
          <w:rFonts w:ascii="Arial" w:cs="Arial" w:eastAsia="Arial" w:hAnsi="Arial"/>
          <w:sz w:val="20"/>
          <w:szCs w:val="20"/>
          <w:color w:val="auto"/>
        </w:rPr>
      </w:pPr>
      <w:r>
        <w:rPr>
          <w:rFonts w:ascii="Arial" w:cs="Arial" w:eastAsia="Arial" w:hAnsi="Arial"/>
          <w:sz w:val="20"/>
          <w:szCs w:val="20"/>
          <w:color w:val="auto"/>
        </w:rPr>
        <w:t>Liens arising out of any Permitted Sale Lease-Back Transaction, so long as such Liens attach only to the property sold and being leased in such transaction and any accessions and additions thereto or proceeds and products thereof and related property;</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non-consensual Liens securing judgments that do not constitute an Event of Default under </w:t>
      </w:r>
      <w:r>
        <w:rPr>
          <w:rFonts w:ascii="Arial" w:cs="Arial" w:eastAsia="Arial" w:hAnsi="Arial"/>
          <w:sz w:val="18"/>
          <w:szCs w:val="18"/>
          <w:u w:val="single" w:color="auto"/>
          <w:color w:val="auto"/>
        </w:rPr>
        <w:t>Section 7.01(j)</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656"/>
        <w:spacing w:after="0" w:line="282" w:lineRule="auto"/>
        <w:tabs>
          <w:tab w:leader="none" w:pos="129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interest or title of a ground lessor or any other lessor, sublessor or licensor under any ground leases or any other leases, subleases or licenses entered into by the Borrower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spacing w:after="0" w:line="161" w:lineRule="exact"/>
        <w:rPr>
          <w:rFonts w:ascii="Arial" w:cs="Arial" w:eastAsia="Arial" w:hAnsi="Arial"/>
          <w:sz w:val="18"/>
          <w:szCs w:val="18"/>
          <w:color w:val="auto"/>
        </w:rPr>
      </w:pPr>
    </w:p>
    <w:p>
      <w:pPr>
        <w:jc w:val="both"/>
        <w:ind w:firstLine="656"/>
        <w:spacing w:after="0" w:line="276" w:lineRule="auto"/>
        <w:tabs>
          <w:tab w:leader="none" w:pos="129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incurred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spacing w:after="0" w:line="164" w:lineRule="exact"/>
        <w:rPr>
          <w:rFonts w:ascii="Arial" w:cs="Arial" w:eastAsia="Arial" w:hAnsi="Arial"/>
          <w:sz w:val="18"/>
          <w:szCs w:val="18"/>
          <w:color w:val="auto"/>
        </w:rPr>
      </w:pPr>
    </w:p>
    <w:p>
      <w:pPr>
        <w:ind w:firstLine="656"/>
        <w:spacing w:after="0" w:line="260" w:lineRule="auto"/>
        <w:tabs>
          <w:tab w:leader="none" w:pos="1296" w:val="left"/>
        </w:tabs>
        <w:numPr>
          <w:ilvl w:val="0"/>
          <w:numId w:val="273"/>
        </w:numPr>
        <w:rPr>
          <w:rFonts w:ascii="Arial" w:cs="Arial" w:eastAsia="Arial" w:hAnsi="Arial"/>
          <w:sz w:val="20"/>
          <w:szCs w:val="20"/>
          <w:color w:val="auto"/>
        </w:rPr>
      </w:pPr>
      <w:r>
        <w:rPr>
          <w:rFonts w:ascii="Arial" w:cs="Arial" w:eastAsia="Arial" w:hAnsi="Arial"/>
          <w:sz w:val="20"/>
          <w:szCs w:val="20"/>
          <w:color w:val="auto"/>
        </w:rPr>
        <w:t>Liens (i) arising solely by virtue of any statutory or common law provision relating to banker’s liens, rights of set-off or similar rights, (ii) attaching to commodity trading accounts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7" w:name="page298"/>
    <w:bookmarkEnd w:id="297"/>
    <w:p>
      <w:pPr>
        <w:jc w:val="both"/>
        <w:spacing w:after="0" w:line="246" w:lineRule="auto"/>
        <w:rPr>
          <w:sz w:val="20"/>
          <w:szCs w:val="20"/>
          <w:color w:val="auto"/>
        </w:rPr>
      </w:pPr>
      <w:r>
        <w:rPr>
          <w:rFonts w:ascii="Arial" w:cs="Arial" w:eastAsia="Arial" w:hAnsi="Arial"/>
          <w:sz w:val="20"/>
          <w:szCs w:val="20"/>
          <w:color w:val="auto"/>
        </w:rPr>
        <w:t>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or (v) in favor of credit card companies pursuant to agreements therewith;</w:t>
      </w:r>
    </w:p>
    <w:p>
      <w:pPr>
        <w:spacing w:after="0" w:line="191" w:lineRule="exact"/>
        <w:rPr>
          <w:sz w:val="20"/>
          <w:szCs w:val="20"/>
          <w:color w:val="auto"/>
        </w:rPr>
      </w:pPr>
    </w:p>
    <w:p>
      <w:pPr>
        <w:jc w:val="both"/>
        <w:ind w:firstLine="656"/>
        <w:spacing w:after="0" w:line="269" w:lineRule="auto"/>
        <w:tabs>
          <w:tab w:leader="none" w:pos="1296"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Liens securing obligations in respect of letters of credit, bank guarantees, warehouse receipts or similar obligations permitted under </w:t>
      </w:r>
      <w:r>
        <w:rPr>
          <w:rFonts w:ascii="Arial" w:cs="Arial" w:eastAsia="Arial" w:hAnsi="Arial"/>
          <w:sz w:val="19"/>
          <w:szCs w:val="19"/>
          <w:u w:val="single" w:color="auto"/>
          <w:color w:val="auto"/>
        </w:rPr>
        <w:t>Section 6.01(f)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(o)</w:t>
      </w:r>
      <w:r>
        <w:rPr>
          <w:rFonts w:ascii="Arial" w:cs="Arial" w:eastAsia="Arial" w:hAnsi="Arial"/>
          <w:sz w:val="19"/>
          <w:szCs w:val="19"/>
          <w:color w:val="auto"/>
        </w:rPr>
        <w:t xml:space="preserve"> and incurred in the ordinary course of business or consistent with past practice or industry practices and not supporting obligations in respect of Indebtedness for borrowed money;</w:t>
      </w:r>
    </w:p>
    <w:p>
      <w:pPr>
        <w:spacing w:after="0" w:line="169" w:lineRule="exact"/>
        <w:rPr>
          <w:rFonts w:ascii="Arial" w:cs="Arial" w:eastAsia="Arial" w:hAnsi="Arial"/>
          <w:sz w:val="19"/>
          <w:szCs w:val="19"/>
          <w:color w:val="auto"/>
        </w:rPr>
      </w:pPr>
    </w:p>
    <w:p>
      <w:pPr>
        <w:jc w:val="both"/>
        <w:ind w:firstLine="656"/>
        <w:spacing w:after="0" w:line="291" w:lineRule="auto"/>
        <w:tabs>
          <w:tab w:leader="none" w:pos="129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the Borrower and its Subsidiaries, taken as a whole;</w:t>
      </w:r>
    </w:p>
    <w:p>
      <w:pPr>
        <w:spacing w:after="0" w:line="151"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the Borrower or any of its Subsidiaries in connection with any letter of intent or purchase agreement in respect of any Investment permitted hereunder;</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 xml:space="preserve">Liens with respect to property or assets of any Subsidiary that is not a Loan Party securing obligations of a Subsidiary that is not a Loan Party not prohibited by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Liens on any amounts held by a trustee under any indenture or other debt agreement issued in escrow pursuant to customary escrow arrangements pending the release thereof, or under any indenture or other debt agreement pursuant to customary discharge, redemption or defeasance provisions;</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the prior rights of consignees and their lenders under consignment arrangements entered into in the ordinary course of business;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agreements to subordinate any interest of the Borrower or any Subsidiary in any accounts receivable or other proceeds arising from inventory consigned by the Borrower or any of its Subsidiaries pursuant to an agreement entered into in the ordinary course of business;</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Liens arising from precautionary Uniform Commercial Code financing statements regarding operating leases or other obligations not constituting Indebtedness;</w:t>
      </w:r>
    </w:p>
    <w:p>
      <w:pPr>
        <w:spacing w:after="0" w:line="176" w:lineRule="exact"/>
        <w:rPr>
          <w:rFonts w:ascii="Arial" w:cs="Arial" w:eastAsia="Arial" w:hAnsi="Arial"/>
          <w:sz w:val="20"/>
          <w:szCs w:val="20"/>
          <w:color w:val="auto"/>
        </w:rPr>
      </w:pPr>
    </w:p>
    <w:p>
      <w:pPr>
        <w:ind w:right="20" w:firstLine="656"/>
        <w:spacing w:after="0" w:line="316" w:lineRule="auto"/>
        <w:tabs>
          <w:tab w:leader="none" w:pos="129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Liens (i) on Equity Interests in joint ventures (A) securing obligations of such joint venture or (B) pursuant to the relevant joint venture agreement or arrangement and (ii) on Equity Interests in Unrestricted Subsidiaries;</w:t>
      </w:r>
    </w:p>
    <w:p>
      <w:pPr>
        <w:spacing w:after="0" w:line="129"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 xml:space="preserve">Liens on securities that are the subject of repurchase agreements constituting Permitted Investments under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8" w:name="page299"/>
    <w:bookmarkEnd w:id="298"/>
    <w:p>
      <w:pPr>
        <w:jc w:val="both"/>
        <w:ind w:firstLine="656"/>
        <w:spacing w:after="0" w:line="250" w:lineRule="auto"/>
        <w:tabs>
          <w:tab w:leader="none" w:pos="1296"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xml:space="preserve">Liens in respect of Qualified Receivables Facilities entered into in reliance on </w:t>
      </w:r>
      <w:r>
        <w:rPr>
          <w:rFonts w:ascii="Arial" w:cs="Arial" w:eastAsia="Arial" w:hAnsi="Arial"/>
          <w:sz w:val="20"/>
          <w:szCs w:val="20"/>
          <w:u w:val="single" w:color="auto"/>
          <w:color w:val="auto"/>
        </w:rPr>
        <w:t>Section 6.01(t)</w:t>
      </w:r>
      <w:r>
        <w:rPr>
          <w:rFonts w:ascii="Arial" w:cs="Arial" w:eastAsia="Arial" w:hAnsi="Arial"/>
          <w:sz w:val="20"/>
          <w:szCs w:val="20"/>
          <w:color w:val="auto"/>
        </w:rPr>
        <w:t xml:space="preserve"> that extend only to Permitted Receivables Facility Assets, Permitted Receivables Related Assets or the Equity Interests of any Receivables Entity;</w:t>
      </w:r>
    </w:p>
    <w:p>
      <w:pPr>
        <w:spacing w:after="0" w:line="186" w:lineRule="exact"/>
        <w:rPr>
          <w:sz w:val="20"/>
          <w:szCs w:val="20"/>
          <w:color w:val="auto"/>
        </w:rPr>
      </w:pPr>
    </w:p>
    <w:p>
      <w:pPr>
        <w:ind w:firstLine="656"/>
        <w:spacing w:after="0" w:line="260" w:lineRule="auto"/>
        <w:tabs>
          <w:tab w:leader="none" w:pos="129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 xml:space="preserve">Liens securing insurance premiums financing arrangements;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Liens are limited to the applicable unearned insurance premiums;</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in the case of Real Property that constitutes a leasehold interest, any Lien to which the fee simple or freehold interest (or any superior leasehold interest) is subject;</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securing Indebtedness or other obligations (i) of the Borrower or a Subsidiary in favor of the Borrower or any Guarantor and (ii) of any Subsidiary that is not a Guarantor in favor of any Subsidiary that is not a Guarantor;</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on cash or Permitted Investments securing Hedging Agreements in the ordinary course of business submitted for clearing in accordance with applicable Requirements of Law or held as margin for the benefit of any counterparty to a Hedging Agreement or other swap, hedge or derivative arrangement in the ordinary course of business, in each case entered into for non-speculative purposes;</w:t>
      </w:r>
    </w:p>
    <w:p>
      <w:pPr>
        <w:spacing w:after="0" w:line="191"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or bank guarantee issued or created for the account of the Borrower or any Subsidiary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Subsidiaries in respect of such letter of credit, bank guarantee or banker’s acceptance to the extent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subordination, non-disturbance and/or attornment agreements with any ground lessor, lessor or any mortgagor of any of the foregoing, with respect to any ground lease or other lease or sublease entered into by Borrower or any Subsidiary;</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 xml:space="preserve">Liens securing Contribution Indebtedness incurred pursuant to </w:t>
      </w:r>
      <w:r>
        <w:rPr>
          <w:rFonts w:ascii="Arial" w:cs="Arial" w:eastAsia="Arial" w:hAnsi="Arial"/>
          <w:sz w:val="20"/>
          <w:szCs w:val="20"/>
          <w:u w:val="single" w:color="auto"/>
          <w:color w:val="auto"/>
        </w:rPr>
        <w:t>Section 6.01(bb)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656"/>
        <w:spacing w:after="0" w:line="316" w:lineRule="auto"/>
        <w:tabs>
          <w:tab w:leader="none" w:pos="129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Liens on Collateral that are Other First Liens or Junior Liens, so long as such Other First Liens or Junior Liens secure Indebtedness permitted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6.01(p)</w:t>
      </w:r>
      <w:r>
        <w:rPr>
          <w:rFonts w:ascii="Arial" w:cs="Arial" w:eastAsia="Arial" w:hAnsi="Arial"/>
          <w:sz w:val="18"/>
          <w:szCs w:val="18"/>
          <w:color w:val="auto"/>
        </w:rPr>
        <w:t xml:space="preserve"> and guarantees thereof permitted by </w:t>
      </w:r>
      <w:r>
        <w:rPr>
          <w:rFonts w:ascii="Arial" w:cs="Arial" w:eastAsia="Arial" w:hAnsi="Arial"/>
          <w:sz w:val="18"/>
          <w:szCs w:val="18"/>
          <w:u w:val="single" w:color="auto"/>
          <w:color w:val="auto"/>
        </w:rPr>
        <w:t>Section 6.01(m)</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or similar arrangements for the sale or purchase or shipping of goods by the Borrower or any of its Subsidiaries in the ordinary course of business;</w:t>
      </w:r>
    </w:p>
    <w:p>
      <w:pPr>
        <w:spacing w:after="0" w:line="176"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with respect to any Real Property which is acquired in fee after the Closing Date, Liens which exist immediately prior to the date of acquisition, excluding any Liens securing Indebtedness which is not otherwise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Lien is not created in contemplation of or in connection with such acquisition and (ii) such Lien does not apply to any other property or assets of the Borrower or any of its Subsidiaries;</w:t>
      </w:r>
    </w:p>
    <w:p>
      <w:pPr>
        <w:spacing w:after="0" w:line="176" w:lineRule="exact"/>
        <w:rPr>
          <w:rFonts w:ascii="Arial" w:cs="Arial" w:eastAsia="Arial" w:hAnsi="Arial"/>
          <w:sz w:val="19"/>
          <w:szCs w:val="19"/>
          <w:color w:val="auto"/>
        </w:rPr>
      </w:pPr>
    </w:p>
    <w:p>
      <w:pPr>
        <w:ind w:firstLine="656"/>
        <w:spacing w:after="0" w:line="260" w:lineRule="auto"/>
        <w:tabs>
          <w:tab w:leader="none" w:pos="129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other Liens with respect to property or assets of the Borrower or any Subsidiary securing (x) obligations in an aggregate outstanding principal amount that, together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99" w:name="page300"/>
    <w:bookmarkEnd w:id="299"/>
    <w:p>
      <w:pPr>
        <w:jc w:val="both"/>
        <w:spacing w:after="0" w:line="259" w:lineRule="auto"/>
        <w:rPr>
          <w:sz w:val="20"/>
          <w:szCs w:val="20"/>
          <w:color w:val="auto"/>
        </w:rPr>
      </w:pPr>
      <w:r>
        <w:rPr>
          <w:rFonts w:ascii="Arial" w:cs="Arial" w:eastAsia="Arial" w:hAnsi="Arial"/>
          <w:sz w:val="19"/>
          <w:szCs w:val="19"/>
          <w:color w:val="auto"/>
        </w:rPr>
        <w:t xml:space="preserve">aggregate principal amount of other obligations that are secured pursuant to this </w:t>
      </w:r>
      <w:r>
        <w:rPr>
          <w:rFonts w:ascii="Arial" w:cs="Arial" w:eastAsia="Arial" w:hAnsi="Arial"/>
          <w:sz w:val="19"/>
          <w:szCs w:val="19"/>
          <w:u w:val="single" w:color="auto"/>
          <w:color w:val="auto"/>
        </w:rPr>
        <w:t>clause (kk)</w:t>
      </w:r>
      <w:r>
        <w:rPr>
          <w:rFonts w:ascii="Arial" w:cs="Arial" w:eastAsia="Arial" w:hAnsi="Arial"/>
          <w:sz w:val="19"/>
          <w:szCs w:val="19"/>
          <w:color w:val="auto"/>
        </w:rPr>
        <w:t xml:space="preserve">, immediately after giving effect to the incurrence of such Liens, would not exceed the greater of $17,500,000 and 25% of Adjusted Consolidated EBITDA for the most recently ended Test Period as of such time when incurred, created or assumed;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Liens are on Collateral, such Liens shall be junior to the Liens on the Collateral securing the Obligations and shall be subject to a Permitted Junior Intercreditor Agreement and (y) Permitted Refinancing Indebtedness incurred to Refinance obligations secured pursuant to the foregoing </w:t>
      </w:r>
      <w:r>
        <w:rPr>
          <w:rFonts w:ascii="Arial" w:cs="Arial" w:eastAsia="Arial" w:hAnsi="Arial"/>
          <w:sz w:val="19"/>
          <w:szCs w:val="19"/>
          <w:u w:val="single" w:color="auto"/>
          <w:color w:val="auto"/>
        </w:rPr>
        <w:t>subclause (x)</w:t>
      </w:r>
      <w:r>
        <w:rPr>
          <w:rFonts w:ascii="Arial" w:cs="Arial" w:eastAsia="Arial" w:hAnsi="Arial"/>
          <w:sz w:val="19"/>
          <w:szCs w:val="19"/>
          <w:color w:val="auto"/>
        </w:rPr>
        <w:t>;</w:t>
      </w:r>
    </w:p>
    <w:p>
      <w:pPr>
        <w:spacing w:after="0" w:line="178" w:lineRule="exact"/>
        <w:rPr>
          <w:sz w:val="20"/>
          <w:szCs w:val="20"/>
          <w:color w:val="auto"/>
        </w:rPr>
      </w:pPr>
    </w:p>
    <w:p>
      <w:pPr>
        <w:jc w:val="both"/>
        <w:ind w:firstLine="656"/>
        <w:spacing w:after="0" w:line="282" w:lineRule="auto"/>
        <w:tabs>
          <w:tab w:leader="none" w:pos="129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case of (A) any subsidiary of the Borrower that is not a Wholly Owned Subsidiary or (B) the Equity Interests in any person that is not a subsidiary of the Borrower, any encumbrance or restriction, including any put and call arrangements, related to Equity Interests in such subsidiary or such other person set forth in the organization documents of such subsidiary or such other person or any related joint venture, shareholders’ or similar agreement; and</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Liens in respect of Permitted Supplier Receivables Sale Programs.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 a Lien securing an item of Indebtedness need not be permitted solely by reference to one category of Permitted Liens (or any portion thereof) described in </w:t>
      </w:r>
      <w:r>
        <w:rPr>
          <w:rFonts w:ascii="Arial" w:cs="Arial" w:eastAsia="Arial" w:hAnsi="Arial"/>
          <w:sz w:val="19"/>
          <w:szCs w:val="19"/>
          <w:u w:val="single" w:color="auto"/>
          <w:color w:val="auto"/>
        </w:rPr>
        <w:t>Sections 6.02(a)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(mm)</w:t>
      </w:r>
      <w:r>
        <w:rPr>
          <w:rFonts w:ascii="Arial" w:cs="Arial" w:eastAsia="Arial" w:hAnsi="Arial"/>
          <w:sz w:val="19"/>
          <w:szCs w:val="19"/>
          <w:color w:val="auto"/>
        </w:rPr>
        <w:t xml:space="preserve"> but may be permitted in part under any combination thereof, (B) in the event that a Lien securing an item of Indebtedness (or any portion thereof) meets the criteria of one or more of the categories of Permitted Liens (or any portion thereof) described in </w:t>
      </w:r>
      <w:r>
        <w:rPr>
          <w:rFonts w:ascii="Arial" w:cs="Arial" w:eastAsia="Arial" w:hAnsi="Arial"/>
          <w:sz w:val="19"/>
          <w:szCs w:val="19"/>
          <w:u w:val="single" w:color="auto"/>
          <w:color w:val="auto"/>
        </w:rPr>
        <w:t>Sections 6.02(a)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(mm)</w:t>
      </w:r>
      <w:r>
        <w:rPr>
          <w:rFonts w:ascii="Arial" w:cs="Arial" w:eastAsia="Arial" w:hAnsi="Arial"/>
          <w:sz w:val="19"/>
          <w:szCs w:val="19"/>
          <w:color w:val="auto"/>
        </w:rPr>
        <w:t xml:space="preserve">, the Borrower may, in its sole discretion, divide, classify or reclassify such Lien securing such item of Indebtedness (or any portion thereof) in any manner that complies with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and (C)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apply.</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the foregoing, in no event may the Borrower or any Loan Party create, incur, or permit to exist any Lien on any Negative-Pledge Real Property of the Borrower or any other Loan Party now owned or hereafter acquired by it for the purpose of securing Indebtedness for borrowed money, unless such Lien is concurrently granted to secure the Facilities on a pari passu basis with such Liens.</w:t>
      </w:r>
    </w:p>
    <w:p>
      <w:pPr>
        <w:spacing w:after="0" w:line="1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and Advances</w:t>
      </w:r>
      <w:r>
        <w:rPr>
          <w:rFonts w:ascii="Arial" w:cs="Arial" w:eastAsia="Arial" w:hAnsi="Arial"/>
          <w:sz w:val="18"/>
          <w:szCs w:val="18"/>
          <w:color w:val="auto"/>
        </w:rPr>
        <w:t>. (i) Purchase or acquire (including pursuant to any merger with a person that is not a Wholly Owned Subsidiary immediately prior to such merger) any Equity Interests, evidences of Indebtedness or other securities of any other person, (ii) make any loans, advances or capital contribution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of the foregoing, an “</w:t>
      </w:r>
      <w:r>
        <w:rPr>
          <w:rFonts w:ascii="Arial" w:cs="Arial" w:eastAsia="Arial" w:hAnsi="Arial"/>
          <w:sz w:val="18"/>
          <w:szCs w:val="18"/>
          <w:u w:val="single" w:color="auto"/>
          <w:color w:val="auto"/>
        </w:rPr>
        <w:t>Investment</w:t>
      </w:r>
      <w:r>
        <w:rPr>
          <w:rFonts w:ascii="Arial" w:cs="Arial" w:eastAsia="Arial" w:hAnsi="Arial"/>
          <w:sz w:val="18"/>
          <w:szCs w:val="18"/>
          <w:color w:val="auto"/>
        </w:rPr>
        <w:t>”), except:</w:t>
      </w:r>
    </w:p>
    <w:p>
      <w:pPr>
        <w:spacing w:after="0" w:line="165" w:lineRule="exact"/>
        <w:rPr>
          <w:sz w:val="20"/>
          <w:szCs w:val="20"/>
          <w:color w:val="auto"/>
        </w:rPr>
      </w:pPr>
    </w:p>
    <w:p>
      <w:pPr>
        <w:ind w:left="1300" w:hanging="644"/>
        <w:spacing w:after="0"/>
        <w:tabs>
          <w:tab w:leader="none" w:pos="13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Investments to effect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0" w:name="page301"/>
    <w:bookmarkEnd w:id="300"/>
    <w:p>
      <w:pPr>
        <w:jc w:val="both"/>
        <w:ind w:firstLine="656"/>
        <w:spacing w:after="0" w:line="263" w:lineRule="auto"/>
        <w:tabs>
          <w:tab w:leader="none" w:pos="1296"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Investments by the Borrower, any Guarantor (other than Holdings) or any Subsidiary in the Borrower, any Guarantor (other than Holdings)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Investments made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in any Subsidiary that is not a Guarantor shall not exceed the greater of $25,000,000 and 30% of Adjusted Consolidated EBITDA for the most recently ended Test Period as of such time;</w:t>
      </w:r>
    </w:p>
    <w:p>
      <w:pPr>
        <w:spacing w:after="0" w:line="176" w:lineRule="exact"/>
        <w:rPr>
          <w:rFonts w:ascii="Arial" w:cs="Arial" w:eastAsia="Arial" w:hAnsi="Arial"/>
          <w:sz w:val="19"/>
          <w:szCs w:val="19"/>
          <w:color w:val="auto"/>
        </w:rPr>
      </w:pPr>
    </w:p>
    <w:p>
      <w:pPr>
        <w:ind w:left="1300" w:hanging="644"/>
        <w:spacing w:after="0"/>
        <w:tabs>
          <w:tab w:leader="none" w:pos="13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Permitted Investments and Investments that were Permitted Investments when made;</w:t>
      </w:r>
    </w:p>
    <w:p>
      <w:pPr>
        <w:spacing w:after="0" w:line="215" w:lineRule="exact"/>
        <w:rPr>
          <w:rFonts w:ascii="Arial" w:cs="Arial" w:eastAsia="Arial" w:hAnsi="Arial"/>
          <w:sz w:val="20"/>
          <w:szCs w:val="20"/>
          <w:color w:val="auto"/>
        </w:rPr>
      </w:pPr>
    </w:p>
    <w:p>
      <w:pPr>
        <w:ind w:firstLine="656"/>
        <w:spacing w:after="0" w:line="260" w:lineRule="auto"/>
        <w:tabs>
          <w:tab w:leader="none" w:pos="1296" w:val="left"/>
        </w:tabs>
        <w:numPr>
          <w:ilvl w:val="0"/>
          <w:numId w:val="279"/>
        </w:numPr>
        <w:rPr>
          <w:rFonts w:ascii="Arial" w:cs="Arial" w:eastAsia="Arial" w:hAnsi="Arial"/>
          <w:sz w:val="20"/>
          <w:szCs w:val="20"/>
          <w:color w:val="auto"/>
        </w:rPr>
      </w:pPr>
      <w:r>
        <w:rPr>
          <w:rFonts w:ascii="Arial" w:cs="Arial" w:eastAsia="Arial" w:hAnsi="Arial"/>
          <w:sz w:val="20"/>
          <w:szCs w:val="20"/>
          <w:color w:val="auto"/>
        </w:rPr>
        <w:t xml:space="preserve">Investments arising out of the receipt by the Borrower or any Subsidiary of non-cash consideration for any Disposition of assets permitted under </w:t>
      </w:r>
      <w:r>
        <w:rPr>
          <w:rFonts w:ascii="Arial" w:cs="Arial" w:eastAsia="Arial" w:hAnsi="Arial"/>
          <w:sz w:val="20"/>
          <w:szCs w:val="20"/>
          <w:u w:val="single" w:color="auto"/>
          <w:color w:val="auto"/>
        </w:rPr>
        <w:t>Section 6.05</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279"/>
        </w:numPr>
        <w:rPr>
          <w:rFonts w:ascii="Arial" w:cs="Arial" w:eastAsia="Arial" w:hAnsi="Arial"/>
          <w:sz w:val="19"/>
          <w:szCs w:val="19"/>
          <w:color w:val="auto"/>
        </w:rPr>
      </w:pPr>
      <w:r>
        <w:rPr>
          <w:rFonts w:ascii="Arial" w:cs="Arial" w:eastAsia="Arial" w:hAnsi="Arial"/>
          <w:sz w:val="19"/>
          <w:szCs w:val="19"/>
          <w:color w:val="auto"/>
        </w:rPr>
        <w:t>loans and advances to officers, directors, employees or consultants of the Borrower or any Subsidiary (i) in the ordinary course of business in an aggregate outstanding amount (valued at the time of the making thereof, and without giving effect to any write-downs or write-offs thereof) not to exceed $5,000,000 for the most recently ended Test Period as of such time, (ii) in respect of payroll payments and expenses in the ordinary course of business and (iii) in connection with such person’s purchase of Equity Interests of the Borrower;</w:t>
      </w:r>
    </w:p>
    <w:p>
      <w:pPr>
        <w:spacing w:after="0" w:line="180"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91" w:lineRule="exact"/>
        <w:rPr>
          <w:rFonts w:ascii="Arial" w:cs="Arial" w:eastAsia="Arial" w:hAnsi="Arial"/>
          <w:sz w:val="20"/>
          <w:szCs w:val="20"/>
          <w:color w:val="auto"/>
        </w:rPr>
      </w:pPr>
    </w:p>
    <w:p>
      <w:pPr>
        <w:jc w:val="both"/>
        <w:ind w:firstLine="656"/>
        <w:spacing w:after="0" w:line="291" w:lineRule="auto"/>
        <w:tabs>
          <w:tab w:leader="none" w:pos="129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Hedging Agreements entered into for non-speculative purposes (including Cash or Permitted Investments pledged pursuant to such Hedge Agreements or otherwise in favor of third party providers of any swaps, derivatives or other hedging arrangements, or counterparties of Hedging Agreements, in the ordinary course of business);</w:t>
      </w:r>
    </w:p>
    <w:p>
      <w:pPr>
        <w:spacing w:after="0" w:line="151" w:lineRule="exact"/>
        <w:rPr>
          <w:rFonts w:ascii="Arial" w:cs="Arial" w:eastAsia="Arial" w:hAnsi="Arial"/>
          <w:sz w:val="18"/>
          <w:szCs w:val="18"/>
          <w:color w:val="auto"/>
        </w:rPr>
      </w:pPr>
    </w:p>
    <w:p>
      <w:pPr>
        <w:jc w:val="both"/>
        <w:ind w:firstLine="656"/>
        <w:spacing w:after="0" w:line="243" w:lineRule="auto"/>
        <w:tabs>
          <w:tab w:leader="none" w:pos="1296" w:val="left"/>
        </w:tabs>
        <w:numPr>
          <w:ilvl w:val="0"/>
          <w:numId w:val="279"/>
        </w:numPr>
        <w:rPr>
          <w:rFonts w:ascii="Arial" w:cs="Arial" w:eastAsia="Arial" w:hAnsi="Arial"/>
          <w:sz w:val="20"/>
          <w:szCs w:val="20"/>
          <w:color w:val="auto"/>
        </w:rPr>
      </w:pPr>
      <w:r>
        <w:rPr>
          <w:rFonts w:ascii="Arial" w:cs="Arial" w:eastAsia="Arial" w:hAnsi="Arial"/>
          <w:sz w:val="20"/>
          <w:szCs w:val="20"/>
          <w:color w:val="auto"/>
        </w:rPr>
        <w:t xml:space="preserve">Investments (not in Subsidiaries, which are provided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existing on, or contractually committed as of, the Closing Date and set forth on </w:t>
      </w:r>
      <w:r>
        <w:rPr>
          <w:rFonts w:ascii="Arial" w:cs="Arial" w:eastAsia="Arial" w:hAnsi="Arial"/>
          <w:sz w:val="20"/>
          <w:szCs w:val="20"/>
          <w:u w:val="single" w:color="auto"/>
          <w:color w:val="auto"/>
        </w:rPr>
        <w:t>Schedule 6.04</w:t>
      </w:r>
      <w:r>
        <w:rPr>
          <w:rFonts w:ascii="Arial" w:cs="Arial" w:eastAsia="Arial" w:hAnsi="Arial"/>
          <w:sz w:val="20"/>
          <w:szCs w:val="20"/>
          <w:color w:val="auto"/>
        </w:rPr>
        <w:t xml:space="preserve"> and any extensions, renewals, replacements or reinvestments thereof, so long as the aggregate amount of all Investments pursuant to this </w:t>
      </w:r>
      <w:r>
        <w:rPr>
          <w:rFonts w:ascii="Arial" w:cs="Arial" w:eastAsia="Arial" w:hAnsi="Arial"/>
          <w:sz w:val="20"/>
          <w:szCs w:val="20"/>
          <w:u w:val="single" w:color="auto"/>
          <w:color w:val="auto"/>
        </w:rPr>
        <w:t>clause (h)</w:t>
      </w:r>
      <w:r>
        <w:rPr>
          <w:rFonts w:ascii="Arial" w:cs="Arial" w:eastAsia="Arial" w:hAnsi="Arial"/>
          <w:sz w:val="20"/>
          <w:szCs w:val="20"/>
          <w:color w:val="auto"/>
        </w:rPr>
        <w:t xml:space="preserve"> is not increased at any time above the amount of such Investment existing or committed on the Closing Date (other than pursuant to an increase as required by the terms of any such Investment as in existence on the Closing Date or as otherwise permitted by this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ind w:left="1300" w:hanging="644"/>
        <w:spacing w:after="0"/>
        <w:tabs>
          <w:tab w:leader="none" w:pos="130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Investments resulting from pledges and deposits under </w:t>
      </w:r>
      <w:r>
        <w:rPr>
          <w:rFonts w:ascii="Arial" w:cs="Arial" w:eastAsia="Arial" w:hAnsi="Arial"/>
          <w:sz w:val="19"/>
          <w:szCs w:val="19"/>
          <w:u w:val="single" w:color="auto"/>
          <w:color w:val="auto"/>
        </w:rPr>
        <w:t>Sections 6.02(f)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w:t>
      </w:r>
      <w:r>
        <w:rPr>
          <w:rFonts w:ascii="Arial" w:cs="Arial" w:eastAsia="Arial" w:hAnsi="Arial"/>
          <w:sz w:val="19"/>
          <w:szCs w:val="19"/>
          <w:u w:val="single" w:color="auto"/>
          <w:color w:val="auto"/>
        </w:rPr>
        <w:t>(q)</w:t>
      </w:r>
      <w:r>
        <w:rPr>
          <w:rFonts w:ascii="Arial" w:cs="Arial" w:eastAsia="Arial" w:hAnsi="Arial"/>
          <w:sz w:val="19"/>
          <w:szCs w:val="19"/>
          <w:color w:val="auto"/>
        </w:rPr>
        <w:t xml:space="preserve">, </w:t>
      </w:r>
      <w:r>
        <w:rPr>
          <w:rFonts w:ascii="Arial" w:cs="Arial" w:eastAsia="Arial" w:hAnsi="Arial"/>
          <w:sz w:val="19"/>
          <w:szCs w:val="19"/>
          <w:u w:val="single" w:color="auto"/>
          <w:color w:val="auto"/>
        </w:rPr>
        <w:t>(r)</w:t>
      </w:r>
      <w:r>
        <w:rPr>
          <w:rFonts w:ascii="Arial" w:cs="Arial" w:eastAsia="Arial" w:hAnsi="Arial"/>
          <w:sz w:val="19"/>
          <w:szCs w:val="19"/>
          <w:color w:val="auto"/>
        </w:rPr>
        <w:t xml:space="preserve">, </w:t>
      </w:r>
      <w:r>
        <w:rPr>
          <w:rFonts w:ascii="Arial" w:cs="Arial" w:eastAsia="Arial" w:hAnsi="Arial"/>
          <w:sz w:val="19"/>
          <w:szCs w:val="19"/>
          <w:u w:val="single" w:color="auto"/>
          <w:color w:val="auto"/>
        </w:rPr>
        <w:t>(dd)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(jj)</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Investments by the Borrower or any Subsidiary in an aggregate outstanding amount (valued at the time of the making thereof, and without giving effect to any write-downs or write-offs thereof) not to exceed at the time made the sum of (X) the greater of $25,000,000 and 30% of Adjusted Consolidated EBITDA for the most recently ended Test Period as of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any portion of the Available Amount on the date of such election that the Borrower elects to apply to this </w:t>
      </w:r>
      <w:r>
        <w:rPr>
          <w:rFonts w:ascii="Arial" w:cs="Arial" w:eastAsia="Arial" w:hAnsi="Arial"/>
          <w:sz w:val="19"/>
          <w:szCs w:val="19"/>
          <w:u w:val="single" w:color="auto"/>
          <w:color w:val="auto"/>
        </w:rPr>
        <w:t>Section 6.04(j)(Y)</w:t>
      </w:r>
      <w:r>
        <w:rPr>
          <w:rFonts w:ascii="Arial" w:cs="Arial" w:eastAsia="Arial" w:hAnsi="Arial"/>
          <w:sz w:val="19"/>
          <w:szCs w:val="19"/>
          <w:color w:val="auto"/>
        </w:rPr>
        <w:t xml:space="preserve">, so long as, solely in the case of amounts applied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“Available Amount”, immediately after giving effect thereto (i)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1" w:name="page302"/>
    <w:bookmarkEnd w:id="301"/>
    <w:p>
      <w:pPr>
        <w:jc w:val="both"/>
        <w:spacing w:after="0" w:line="273" w:lineRule="auto"/>
        <w:rPr>
          <w:sz w:val="20"/>
          <w:szCs w:val="20"/>
          <w:color w:val="auto"/>
        </w:rPr>
      </w:pPr>
      <w:r>
        <w:rPr>
          <w:rFonts w:ascii="Arial" w:cs="Arial" w:eastAsia="Arial" w:hAnsi="Arial"/>
          <w:sz w:val="18"/>
          <w:szCs w:val="18"/>
          <w:color w:val="auto"/>
        </w:rPr>
        <w:t xml:space="preserve">Event of Default shall have occurred and is continuing and (ii) Total Net Leverage Ratio on a Pro Forma Basis is not greater than 3.00 to 1.00,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Investment pursuant to this </w:t>
      </w:r>
      <w:r>
        <w:rPr>
          <w:rFonts w:ascii="Arial" w:cs="Arial" w:eastAsia="Arial" w:hAnsi="Arial"/>
          <w:sz w:val="18"/>
          <w:szCs w:val="18"/>
          <w:u w:val="single" w:color="auto"/>
          <w:color w:val="auto"/>
        </w:rPr>
        <w:t>Section 6.04(j)</w:t>
      </w:r>
      <w:r>
        <w:rPr>
          <w:rFonts w:ascii="Arial" w:cs="Arial" w:eastAsia="Arial" w:hAnsi="Arial"/>
          <w:sz w:val="18"/>
          <w:szCs w:val="18"/>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(to the extent permitted by the provisions thereof) and not in reliance on this </w:t>
      </w:r>
      <w:r>
        <w:rPr>
          <w:rFonts w:ascii="Arial" w:cs="Arial" w:eastAsia="Arial" w:hAnsi="Arial"/>
          <w:sz w:val="18"/>
          <w:szCs w:val="18"/>
          <w:u w:val="single" w:color="auto"/>
          <w:color w:val="auto"/>
        </w:rPr>
        <w:t>Section 6.04(j)</w:t>
      </w:r>
      <w:r>
        <w:rPr>
          <w:rFonts w:ascii="Arial" w:cs="Arial" w:eastAsia="Arial" w:hAnsi="Arial"/>
          <w:sz w:val="18"/>
          <w:szCs w:val="18"/>
          <w:color w:val="auto"/>
        </w:rPr>
        <w:t>;</w:t>
      </w:r>
    </w:p>
    <w:p>
      <w:pPr>
        <w:spacing w:after="0" w:line="168"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Investments constituting Permitted Acquisitions;</w:t>
      </w:r>
    </w:p>
    <w:p>
      <w:pPr>
        <w:spacing w:after="0" w:line="215" w:lineRule="exact"/>
        <w:rPr>
          <w:rFonts w:ascii="Arial" w:cs="Arial" w:eastAsia="Arial" w:hAnsi="Arial"/>
          <w:sz w:val="20"/>
          <w:szCs w:val="20"/>
          <w:color w:val="auto"/>
        </w:rPr>
      </w:pPr>
    </w:p>
    <w:p>
      <w:pPr>
        <w:jc w:val="both"/>
        <w:ind w:firstLine="656"/>
        <w:spacing w:after="0" w:line="328" w:lineRule="auto"/>
        <w:tabs>
          <w:tab w:leader="none" w:pos="129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w:t>
      </w:r>
    </w:p>
    <w:p>
      <w:pPr>
        <w:spacing w:after="0" w:line="128" w:lineRule="exact"/>
        <w:rPr>
          <w:rFonts w:ascii="Arial" w:cs="Arial" w:eastAsia="Arial" w:hAnsi="Arial"/>
          <w:sz w:val="16"/>
          <w:szCs w:val="16"/>
          <w:color w:val="auto"/>
        </w:rPr>
      </w:pPr>
    </w:p>
    <w:p>
      <w:pPr>
        <w:jc w:val="both"/>
        <w:ind w:firstLine="656"/>
        <w:spacing w:after="0" w:line="259" w:lineRule="auto"/>
        <w:tabs>
          <w:tab w:leader="none" w:pos="1296"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Investments of a Subsidiary acquired after the Closing Date or of a person merged into the Borrower or merged into or consolidated with a Subsidiary after the Closing Date, in each case, (i) to the extent such acquisition, merger, amalgamation or consolidation is permitted under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(ii) in the case of any acquisition, merger, amalgamation or consolidation, in accordance with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and (iii) to the extent that such Investments were not made in contemplation of or in connection with such acquisition, merger, amalgamation or consolidation and were in existence on the date of such acquisition, merger, amalgamation or consolidation;</w:t>
      </w:r>
    </w:p>
    <w:p>
      <w:pPr>
        <w:spacing w:after="0" w:line="178"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acquisitions by the Borrower of obligations of one or more officers or other employees of the Borrower or its Subsidiaries in connection with such officer’s or employee’s acquisition of Equity Interests of the Borrower, so long as no cash is actually advanced by the Borrower or any of its Subsidiaries to such officers or employees in connection with the acquisition of any such obligations;</w:t>
      </w:r>
    </w:p>
    <w:p>
      <w:pPr>
        <w:spacing w:after="0" w:line="191" w:lineRule="exact"/>
        <w:rPr>
          <w:rFonts w:ascii="Arial" w:cs="Arial" w:eastAsia="Arial" w:hAnsi="Arial"/>
          <w:sz w:val="20"/>
          <w:szCs w:val="20"/>
          <w:color w:val="auto"/>
        </w:rPr>
      </w:pPr>
    </w:p>
    <w:p>
      <w:pPr>
        <w:jc w:val="both"/>
        <w:ind w:firstLine="656"/>
        <w:spacing w:after="0" w:line="275" w:lineRule="auto"/>
        <w:tabs>
          <w:tab w:leader="none" w:pos="129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Guarantees by the Borrower or any Subsidiary of operating leases (other than Capitalized Lease Obligations) or of other obligations that do not constitute Indebtedness of the kind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w:t>
      </w:r>
    </w:p>
    <w:p>
      <w:pPr>
        <w:spacing w:after="0" w:line="244" w:lineRule="auto"/>
        <w:rPr>
          <w:rFonts w:ascii="Arial" w:cs="Arial" w:eastAsia="Arial" w:hAnsi="Arial"/>
          <w:sz w:val="18"/>
          <w:szCs w:val="18"/>
          <w:color w:val="auto"/>
        </w:rPr>
      </w:pP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(k)</w:t>
      </w:r>
      <w:r>
        <w:rPr>
          <w:rFonts w:ascii="Arial" w:cs="Arial" w:eastAsia="Arial" w:hAnsi="Arial"/>
          <w:sz w:val="20"/>
          <w:szCs w:val="20"/>
          <w:color w:val="auto"/>
        </w:rPr>
        <w:t xml:space="preserve"> of the definition thereof, in each case entered into by the Borrower or any Subsidiary in the ordinary course of business;</w:t>
      </w:r>
    </w:p>
    <w:p>
      <w:pPr>
        <w:spacing w:after="0" w:line="191"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 xml:space="preserve">Investments to the extent that payment for such Investments is made with Qualified Equity Interests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that the issuance of such Equity Interests are not included in any determination of the Available Amount or the calculation of Contribution Indebtedness or otherwise applied to increase any basket or exception under this Agreement;</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Uniform Commercial Code Article 3 endorsements for collection or deposit and Uniform Commercial Code Article 4 customary trade arrangements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2" w:name="page303"/>
    <w:bookmarkEnd w:id="302"/>
    <w:p>
      <w:pPr>
        <w:jc w:val="both"/>
        <w:ind w:firstLine="656"/>
        <w:spacing w:after="0" w:line="250"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non-cash Investments made in connection with Tax planning and reorganization activities so long as, after giving effect thereto, the security interest of the Lenders in the Collateral, taken as a whole, is not materially impaired (as determined by the Borrower in good faith);</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advances in the form of a prepayment of expenses, so long as such expenses are being paid in accordance with customary trade terms of the Borrower or such Subsidiary;</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 xml:space="preserve">Investments by the Borrower and its Subsidiaries, if the Borrower or such Subsidiary would otherwise be permitted to make a Restricted Payment under </w:t>
      </w:r>
      <w:r>
        <w:rPr>
          <w:rFonts w:ascii="Arial" w:cs="Arial" w:eastAsia="Arial" w:hAnsi="Arial"/>
          <w:sz w:val="20"/>
          <w:szCs w:val="20"/>
          <w:u w:val="single" w:color="auto"/>
          <w:color w:val="auto"/>
        </w:rPr>
        <w:t>Section 6.06(g)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such Investment shall be deemed to be a Restricted Payment under </w:t>
      </w:r>
      <w:r>
        <w:rPr>
          <w:rFonts w:ascii="Arial" w:cs="Arial" w:eastAsia="Arial" w:hAnsi="Arial"/>
          <w:sz w:val="20"/>
          <w:szCs w:val="20"/>
          <w:u w:val="single" w:color="auto"/>
          <w:color w:val="auto"/>
        </w:rPr>
        <w:t>Section 6.06(g)</w:t>
      </w:r>
      <w:r>
        <w:rPr>
          <w:rFonts w:ascii="Arial" w:cs="Arial" w:eastAsia="Arial" w:hAnsi="Arial"/>
          <w:sz w:val="20"/>
          <w:szCs w:val="20"/>
          <w:color w:val="auto"/>
        </w:rPr>
        <w:t xml:space="preserve"> for all purposes of this Agreement, to the extent such Investment remains outstanding under this </w:t>
      </w:r>
      <w:r>
        <w:rPr>
          <w:rFonts w:ascii="Arial" w:cs="Arial" w:eastAsia="Arial" w:hAnsi="Arial"/>
          <w:sz w:val="20"/>
          <w:szCs w:val="20"/>
          <w:u w:val="single" w:color="auto"/>
          <w:color w:val="auto"/>
        </w:rPr>
        <w:t>clause (t)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firstLine="656"/>
        <w:spacing w:after="0" w:line="260"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Investments consisting of transfers of Permitted Receivables Facility Assets or arising as a result of Qualified Receivables Facilities;</w:t>
      </w:r>
    </w:p>
    <w:p>
      <w:pPr>
        <w:spacing w:after="0" w:line="176"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Investments consisting of the licensing or contribution of Intellectual Property pursuant to joint marketing or other similar arrangements with other persons;</w:t>
      </w:r>
    </w:p>
    <w:p>
      <w:pPr>
        <w:spacing w:after="0" w:line="176" w:lineRule="exact"/>
        <w:rPr>
          <w:rFonts w:ascii="Arial" w:cs="Arial" w:eastAsia="Arial" w:hAnsi="Arial"/>
          <w:sz w:val="20"/>
          <w:szCs w:val="20"/>
          <w:color w:val="auto"/>
        </w:rPr>
      </w:pPr>
    </w:p>
    <w:p>
      <w:pPr>
        <w:jc w:val="both"/>
        <w:ind w:right="20" w:firstLine="656"/>
        <w:spacing w:after="0" w:line="250"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85"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 xml:space="preserve">Investments, so long as, immediately after giving effect thereto, (i) no Event of Default under </w:t>
      </w:r>
      <w:r>
        <w:rPr>
          <w:rFonts w:ascii="Arial" w:cs="Arial" w:eastAsia="Arial" w:hAnsi="Arial"/>
          <w:sz w:val="20"/>
          <w:szCs w:val="20"/>
          <w:u w:val="single" w:color="auto"/>
          <w:color w:val="auto"/>
        </w:rPr>
        <w:t>Section 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w:t>
      </w:r>
      <w:r>
        <w:rPr>
          <w:rFonts w:ascii="Arial" w:cs="Arial" w:eastAsia="Arial" w:hAnsi="Arial"/>
          <w:sz w:val="20"/>
          <w:szCs w:val="20"/>
          <w:color w:val="auto"/>
        </w:rPr>
        <w:t xml:space="preserve"> shall have occurred and is continuing and (ii) the Total Net Leverage Ratio on a Pro Forma Basis is not greater than 2.50 to 1.00;</w:t>
      </w:r>
    </w:p>
    <w:p>
      <w:pPr>
        <w:spacing w:after="0" w:line="185" w:lineRule="exact"/>
        <w:rPr>
          <w:rFonts w:ascii="Arial" w:cs="Arial" w:eastAsia="Arial" w:hAnsi="Arial"/>
          <w:sz w:val="20"/>
          <w:szCs w:val="20"/>
          <w:color w:val="auto"/>
        </w:rPr>
      </w:pPr>
    </w:p>
    <w:p>
      <w:pPr>
        <w:jc w:val="both"/>
        <w:ind w:firstLine="656"/>
        <w:spacing w:after="0" w:line="271" w:lineRule="auto"/>
        <w:tabs>
          <w:tab w:leader="none" w:pos="129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Investments in joint ventures in an aggregate outstanding amount (valued at the time of the making thereof, and without giving effect to any write-downs or write-offs thereof) not to exceed at the time made the sum of (X) the greater of (i) $17,500,000 and (ii) 25%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Investment pursuant to this </w:t>
      </w:r>
      <w:r>
        <w:rPr>
          <w:rFonts w:ascii="Arial" w:cs="Arial" w:eastAsia="Arial" w:hAnsi="Arial"/>
          <w:sz w:val="18"/>
          <w:szCs w:val="18"/>
          <w:u w:val="single" w:color="auto"/>
          <w:color w:val="auto"/>
        </w:rPr>
        <w:t>Section 6.04(y)</w:t>
      </w:r>
      <w:r>
        <w:rPr>
          <w:rFonts w:ascii="Arial" w:cs="Arial" w:eastAsia="Arial" w:hAnsi="Arial"/>
          <w:sz w:val="18"/>
          <w:szCs w:val="18"/>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(to the extent permitted by the provisions thereof) and not in reliance on this </w:t>
      </w:r>
      <w:r>
        <w:rPr>
          <w:rFonts w:ascii="Arial" w:cs="Arial" w:eastAsia="Arial" w:hAnsi="Arial"/>
          <w:sz w:val="18"/>
          <w:szCs w:val="18"/>
          <w:u w:val="single" w:color="auto"/>
          <w:color w:val="auto"/>
        </w:rPr>
        <w:t>Section 6.04(y)</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firstLine="656"/>
        <w:spacing w:after="0" w:line="243" w:lineRule="auto"/>
        <w:tabs>
          <w:tab w:leader="none" w:pos="129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Investments in Unrestricted Subsidiaries in an aggregate outstanding amount (valued at the time of the making thereof, and without giving effect to any write-downs or write-offs thereof) not to exceed at the time made the sum of (X) the greater of (i) $25,000,000 and (ii) 30% of Adjusted Consolidated EBITDA for the most recently ended Test Period as of such time and (Y) an amount equal to any returns (including dividends, interest, distributions, returns of principal, profits on sale, repayments, income and similar amounts) actually received in respect of any such Investment (excluding any returns in excess of the amount originally 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3" w:name="page304"/>
    <w:bookmarkEnd w:id="303"/>
    <w:p>
      <w:pPr>
        <w:jc w:val="both"/>
        <w:spacing w:after="0" w:line="244" w:lineRule="auto"/>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clause (X)</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Investment pursuant to this </w:t>
      </w:r>
      <w:r>
        <w:rPr>
          <w:rFonts w:ascii="Arial" w:cs="Arial" w:eastAsia="Arial" w:hAnsi="Arial"/>
          <w:sz w:val="20"/>
          <w:szCs w:val="20"/>
          <w:u w:val="single" w:color="auto"/>
          <w:color w:val="auto"/>
        </w:rPr>
        <w:t>Section 6.04(z)</w:t>
      </w:r>
      <w:r>
        <w:rPr>
          <w:rFonts w:ascii="Arial" w:cs="Arial" w:eastAsia="Arial" w:hAnsi="Arial"/>
          <w:sz w:val="20"/>
          <w:szCs w:val="20"/>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Arial" w:cs="Arial" w:eastAsia="Arial" w:hAnsi="Arial"/>
          <w:sz w:val="20"/>
          <w:szCs w:val="20"/>
          <w:u w:val="single" w:color="auto"/>
          <w:color w:val="auto"/>
        </w:rPr>
        <w:t>Section 6.04(b)</w:t>
      </w:r>
      <w:r>
        <w:rPr>
          <w:rFonts w:ascii="Arial" w:cs="Arial" w:eastAsia="Arial" w:hAnsi="Arial"/>
          <w:sz w:val="20"/>
          <w:szCs w:val="20"/>
          <w:color w:val="auto"/>
        </w:rPr>
        <w:t xml:space="preserve"> (to the extent permitted by the provisions thereof) and not in reliance on this </w:t>
      </w:r>
      <w:r>
        <w:rPr>
          <w:rFonts w:ascii="Arial" w:cs="Arial" w:eastAsia="Arial" w:hAnsi="Arial"/>
          <w:sz w:val="20"/>
          <w:szCs w:val="20"/>
          <w:u w:val="single" w:color="auto"/>
          <w:color w:val="auto"/>
        </w:rPr>
        <w:t>Section 6.04(z)</w:t>
      </w:r>
      <w:r>
        <w:rPr>
          <w:rFonts w:ascii="Arial" w:cs="Arial" w:eastAsia="Arial" w:hAnsi="Arial"/>
          <w:sz w:val="20"/>
          <w:szCs w:val="20"/>
          <w:color w:val="auto"/>
        </w:rPr>
        <w:t>;</w:t>
      </w:r>
    </w:p>
    <w:p>
      <w:pPr>
        <w:spacing w:after="0" w:line="194" w:lineRule="exact"/>
        <w:rPr>
          <w:sz w:val="20"/>
          <w:szCs w:val="20"/>
          <w:color w:val="auto"/>
        </w:rPr>
      </w:pPr>
    </w:p>
    <w:p>
      <w:pPr>
        <w:jc w:val="both"/>
        <w:ind w:firstLine="656"/>
        <w:spacing w:after="0" w:line="275" w:lineRule="auto"/>
        <w:tabs>
          <w:tab w:leader="none" w:pos="129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Investments in Similar Businesses not to exceed at the time made the sum of (X) the greater of (i) $25,000,000 and (ii) 30% of Adjusted Consolidated EBITDA for the most recently ended Test Period as of such time and</w:t>
      </w:r>
    </w:p>
    <w:p>
      <w:pPr>
        <w:jc w:val="both"/>
        <w:ind w:firstLine="8"/>
        <w:spacing w:after="0" w:line="271" w:lineRule="auto"/>
        <w:tabs>
          <w:tab w:leader="none" w:pos="37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an amount equal to any returns (including dividends, interest, distributions, returns of principal, profits on sale, repayments, income and similar amounts) actually received in respect of any such Investment (excluding any returns in excess of the amount originally invested) pursuant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Investment pursuant to this </w:t>
      </w:r>
      <w:r>
        <w:rPr>
          <w:rFonts w:ascii="Arial" w:cs="Arial" w:eastAsia="Arial" w:hAnsi="Arial"/>
          <w:sz w:val="18"/>
          <w:szCs w:val="18"/>
          <w:u w:val="single" w:color="auto"/>
          <w:color w:val="auto"/>
        </w:rPr>
        <w:t>Section 6.04(aa)</w:t>
      </w:r>
      <w:r>
        <w:rPr>
          <w:rFonts w:ascii="Arial" w:cs="Arial" w:eastAsia="Arial" w:hAnsi="Arial"/>
          <w:sz w:val="18"/>
          <w:szCs w:val="18"/>
          <w:color w:val="auto"/>
        </w:rPr>
        <w:t xml:space="preserv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w:t>
      </w:r>
      <w:r>
        <w:rPr>
          <w:rFonts w:ascii="Arial" w:cs="Arial" w:eastAsia="Arial" w:hAnsi="Arial"/>
          <w:sz w:val="18"/>
          <w:szCs w:val="18"/>
          <w:u w:val="single" w:color="auto"/>
          <w:color w:val="auto"/>
        </w:rPr>
        <w:t>Section 6.04(b)</w:t>
      </w:r>
      <w:r>
        <w:rPr>
          <w:rFonts w:ascii="Arial" w:cs="Arial" w:eastAsia="Arial" w:hAnsi="Arial"/>
          <w:sz w:val="18"/>
          <w:szCs w:val="18"/>
          <w:color w:val="auto"/>
        </w:rPr>
        <w:t xml:space="preserve"> (to the extent permitted by the provisions thereof) and not in reliance on this </w:t>
      </w:r>
      <w:r>
        <w:rPr>
          <w:rFonts w:ascii="Arial" w:cs="Arial" w:eastAsia="Arial" w:hAnsi="Arial"/>
          <w:sz w:val="18"/>
          <w:szCs w:val="18"/>
          <w:u w:val="single" w:color="auto"/>
          <w:color w:val="auto"/>
        </w:rPr>
        <w:t>Section 6.04(aa)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29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xml:space="preserve">Without duplication of amounts provided for in </w:t>
      </w:r>
      <w:r>
        <w:rPr>
          <w:rFonts w:ascii="Arial" w:cs="Arial" w:eastAsia="Arial" w:hAnsi="Arial"/>
          <w:sz w:val="18"/>
          <w:szCs w:val="18"/>
          <w:u w:val="single" w:color="auto"/>
          <w:color w:val="auto"/>
        </w:rPr>
        <w:t>Section 6.04(t)</w:t>
      </w:r>
      <w:r>
        <w:rPr>
          <w:rFonts w:ascii="Arial" w:cs="Arial" w:eastAsia="Arial" w:hAnsi="Arial"/>
          <w:sz w:val="18"/>
          <w:szCs w:val="18"/>
          <w:color w:val="auto"/>
        </w:rPr>
        <w:t xml:space="preserve">, loans and advances to any Parent Entity in lieu of, and not in excess of the amount of (after giving effect to any other loans, advances or Restricted Payments in respect thereof), Restricted Payments to the extent permitted to be made to such Parent Entity in accordance with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1300" w:hanging="644"/>
        <w:spacing w:after="0"/>
        <w:tabs>
          <w:tab w:leader="none" w:pos="13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Investments in Rwanda Trading Company SA in an amount not to exceed $10,000,000 in the aggregate;</w:t>
      </w:r>
    </w:p>
    <w:p>
      <w:pPr>
        <w:spacing w:after="0" w:line="238" w:lineRule="exact"/>
        <w:rPr>
          <w:rFonts w:ascii="Arial" w:cs="Arial" w:eastAsia="Arial" w:hAnsi="Arial"/>
          <w:sz w:val="18"/>
          <w:szCs w:val="18"/>
          <w:color w:val="auto"/>
        </w:rPr>
      </w:pPr>
    </w:p>
    <w:p>
      <w:pPr>
        <w:ind w:firstLine="656"/>
        <w:spacing w:after="0" w:line="316" w:lineRule="auto"/>
        <w:tabs>
          <w:tab w:leader="none" w:pos="129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xml:space="preserve">Investments consisting of Liens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Indebtedness (including guarantees)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in each case other than by reference to Investments permitted under this </w:t>
      </w:r>
      <w:r>
        <w:rPr>
          <w:rFonts w:ascii="Arial" w:cs="Arial" w:eastAsia="Arial" w:hAnsi="Arial"/>
          <w:sz w:val="18"/>
          <w:szCs w:val="18"/>
          <w:u w:val="single" w:color="auto"/>
          <w:color w:val="auto"/>
        </w:rPr>
        <w:t>Section 6.04</w:t>
      </w:r>
      <w:r>
        <w:rPr>
          <w:rFonts w:ascii="Arial" w:cs="Arial" w:eastAsia="Arial" w:hAnsi="Arial"/>
          <w:sz w:val="18"/>
          <w:szCs w:val="18"/>
          <w:color w:val="auto"/>
        </w:rPr>
        <w:t>; and</w:t>
      </w:r>
    </w:p>
    <w:p>
      <w:pPr>
        <w:spacing w:after="0" w:line="129" w:lineRule="exact"/>
        <w:rPr>
          <w:rFonts w:ascii="Arial" w:cs="Arial" w:eastAsia="Arial" w:hAnsi="Arial"/>
          <w:sz w:val="18"/>
          <w:szCs w:val="18"/>
          <w:color w:val="auto"/>
        </w:rPr>
      </w:pPr>
    </w:p>
    <w:p>
      <w:pPr>
        <w:ind w:firstLine="656"/>
        <w:spacing w:after="0" w:line="287" w:lineRule="auto"/>
        <w:tabs>
          <w:tab w:leader="none" w:pos="1296" w:val="left"/>
        </w:tabs>
        <w:numPr>
          <w:ilvl w:val="1"/>
          <w:numId w:val="283"/>
        </w:numPr>
        <w:rPr>
          <w:rFonts w:ascii="Arial" w:cs="Arial" w:eastAsia="Arial" w:hAnsi="Arial"/>
          <w:sz w:val="19"/>
          <w:szCs w:val="19"/>
          <w:color w:val="auto"/>
        </w:rPr>
      </w:pPr>
      <w:r>
        <w:rPr>
          <w:rFonts w:ascii="Arial" w:cs="Arial" w:eastAsia="Arial" w:hAnsi="Arial"/>
          <w:sz w:val="19"/>
          <w:szCs w:val="19"/>
          <w:color w:val="auto"/>
        </w:rPr>
        <w:t>Intercompany current liabilities owed to Unrestricted Subsidiaries or joint ventures incurred in the ordinary course of business in connection with the cash management operations of the Borrower and its Subsidiaries.</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 an Investment need not be permitted solely by reference to one category of permitted Investments (or any portion thereof) described in </w:t>
      </w:r>
      <w:r>
        <w:rPr>
          <w:rFonts w:ascii="Arial" w:cs="Arial" w:eastAsia="Arial" w:hAnsi="Arial"/>
          <w:sz w:val="18"/>
          <w:szCs w:val="18"/>
          <w:u w:val="single" w:color="auto"/>
          <w:color w:val="auto"/>
        </w:rPr>
        <w:t>Sections 6.04(a)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(ee)</w:t>
      </w:r>
      <w:r>
        <w:rPr>
          <w:rFonts w:ascii="Arial" w:cs="Arial" w:eastAsia="Arial" w:hAnsi="Arial"/>
          <w:sz w:val="18"/>
          <w:szCs w:val="18"/>
          <w:color w:val="auto"/>
        </w:rPr>
        <w:t xml:space="preserve"> but may be permitted in part under any relevant combination thereof and (B) in the event that an Investment (or any portion thereof) meets the criteria of one or more of the categories of permitted Investments (or any portion thereof) described in </w:t>
      </w:r>
      <w:r>
        <w:rPr>
          <w:rFonts w:ascii="Arial" w:cs="Arial" w:eastAsia="Arial" w:hAnsi="Arial"/>
          <w:sz w:val="18"/>
          <w:szCs w:val="18"/>
          <w:u w:val="single" w:color="auto"/>
          <w:color w:val="auto"/>
        </w:rPr>
        <w:t>Sections 6.04(a)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(ee)</w:t>
      </w:r>
      <w:r>
        <w:rPr>
          <w:rFonts w:ascii="Arial" w:cs="Arial" w:eastAsia="Arial" w:hAnsi="Arial"/>
          <w:sz w:val="18"/>
          <w:szCs w:val="18"/>
          <w:color w:val="auto"/>
        </w:rPr>
        <w:t xml:space="preserve">, the Borrower may, in its sole discretion, divide, classify or reclassify such Investment (or any portion thereof) in any manner that complies with this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and (C)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Investments described in </w:t>
      </w:r>
      <w:r>
        <w:rPr>
          <w:rFonts w:ascii="Arial" w:cs="Arial" w:eastAsia="Arial" w:hAnsi="Arial"/>
          <w:sz w:val="18"/>
          <w:szCs w:val="18"/>
          <w:u w:val="single" w:color="auto"/>
          <w:color w:val="auto"/>
        </w:rPr>
        <w:t>Schedule 6.04</w:t>
      </w:r>
      <w:r>
        <w:rPr>
          <w:rFonts w:ascii="Arial" w:cs="Arial" w:eastAsia="Arial" w:hAnsi="Arial"/>
          <w:sz w:val="18"/>
          <w:szCs w:val="18"/>
          <w:color w:val="auto"/>
        </w:rPr>
        <w:t xml:space="preserve"> shall be deemed outstanding under </w:t>
      </w:r>
      <w:r>
        <w:rPr>
          <w:rFonts w:ascii="Arial" w:cs="Arial" w:eastAsia="Arial" w:hAnsi="Arial"/>
          <w:sz w:val="18"/>
          <w:szCs w:val="18"/>
          <w:u w:val="single" w:color="auto"/>
          <w:color w:val="auto"/>
        </w:rPr>
        <w:t>Section 6.04(h)</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4" w:name="page305"/>
    <w:bookmarkEnd w:id="304"/>
    <w:p>
      <w:pPr>
        <w:jc w:val="both"/>
        <w:ind w:firstLine="648"/>
        <w:spacing w:after="0" w:line="243" w:lineRule="auto"/>
        <w:rPr>
          <w:sz w:val="20"/>
          <w:szCs w:val="20"/>
          <w:color w:val="auto"/>
        </w:rPr>
      </w:pPr>
      <w:r>
        <w:rPr>
          <w:rFonts w:ascii="Arial" w:cs="Arial" w:eastAsia="Arial" w:hAnsi="Arial"/>
          <w:sz w:val="20"/>
          <w:szCs w:val="20"/>
          <w:color w:val="auto"/>
        </w:rPr>
        <w:t xml:space="preserve">Any Investment in any person other than the Borrower or a Guarantor that is otherwise permitted by this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anything else herein to the contrary, the Borrower shall not, and shall not permit any of its Restricted Subsidiaries to, sell, lease, sublease, dispose of or otherwise transfer (including pursuant to an Investment) any Material Intellectual Property (other than any non-exclusive lease or sublease of such Material Intellectual Property in the ordinary course of business) that is owned by, or exclusively licensed to, the Borrower or any Restricted Subsidiary to any Unrestricted Subsidiary.</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Mergers, Consolidations, Sales of Assets and Acquisitions</w:t>
      </w:r>
      <w:r>
        <w:rPr>
          <w:rFonts w:ascii="Arial" w:cs="Arial" w:eastAsia="Arial" w:hAnsi="Arial"/>
          <w:sz w:val="20"/>
          <w:szCs w:val="20"/>
          <w:color w:val="auto"/>
        </w:rPr>
        <w:t xml:space="preserve">. (x) Merge into, amalgamate with or consolidate with any other person, or permit any other person to merge into, amalgamate with or consolidate with it, or (y) Dispose of (in one transaction or in a series of related transactions) all or any part of its assets (whether now owned or hereafter acquired) having a Fair Market Value in excess of $5,000,000 in a single transaction or a series of related transactions except that this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shall not prohibit:</w:t>
      </w:r>
    </w:p>
    <w:p>
      <w:pPr>
        <w:spacing w:after="0" w:line="194" w:lineRule="exact"/>
        <w:rPr>
          <w:sz w:val="20"/>
          <w:szCs w:val="20"/>
          <w:color w:val="auto"/>
        </w:rPr>
      </w:pPr>
    </w:p>
    <w:p>
      <w:pPr>
        <w:jc w:val="both"/>
        <w:ind w:firstLine="656"/>
        <w:spacing w:after="0" w:line="242" w:lineRule="auto"/>
        <w:tabs>
          <w:tab w:leader="none" w:pos="129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(i) the purchase and Disposition of inventory, equipment, accounts receivable or other assets in the ordinary course of business (including pursuant to a Permitted Sale Lease-Back Transaction) by the Borrower or any Subsidiary or in the conversion of accounts receivable and related assets to notes receivable or dispositions of accounts receivable and related assets in connection with the collection or compromise thereof, (ii) the acquisition or lease (pursuant to an operating lease) of any asset in the ordinary course of business by the Borrower or any Subsidiary or, with respect to operating leases, otherwise for Fair Market Value on market terms (as determined in good faith by the Borrower) or (iii) the Disposition of surplus, obsolete, damaged or worn-out equipment or other property in the ordinary course of business by the Borrower or any Subsidiary;</w:t>
      </w:r>
    </w:p>
    <w:p>
      <w:pPr>
        <w:spacing w:after="0" w:line="196" w:lineRule="exact"/>
        <w:rPr>
          <w:rFonts w:ascii="Arial" w:cs="Arial" w:eastAsia="Arial" w:hAnsi="Arial"/>
          <w:sz w:val="20"/>
          <w:szCs w:val="20"/>
          <w:color w:val="auto"/>
        </w:rPr>
      </w:pPr>
    </w:p>
    <w:p>
      <w:pPr>
        <w:ind w:left="1300" w:hanging="644"/>
        <w:spacing w:after="0"/>
        <w:tabs>
          <w:tab w:leader="none" w:pos="130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656"/>
        <w:spacing w:after="0" w:line="260" w:lineRule="auto"/>
        <w:tabs>
          <w:tab w:leader="none" w:pos="129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Dispositions to the Borrower or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Dispositions by a Loan Party to a Subsidiary that is not a Guarantor in reliance on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be made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Dispositions of any property subject to a Permitted Sale Lease-Back Transaction;</w:t>
      </w:r>
    </w:p>
    <w:p>
      <w:pPr>
        <w:spacing w:after="0" w:line="215"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Investments permitted by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6.04(m)(ii)</w:t>
      </w:r>
      <w:r>
        <w:rPr>
          <w:rFonts w:ascii="Arial" w:cs="Arial" w:eastAsia="Arial" w:hAnsi="Arial"/>
          <w:sz w:val="20"/>
          <w:szCs w:val="20"/>
          <w:color w:val="auto"/>
        </w:rPr>
        <w:t xml:space="preserve">), Permitted Liens, and Restricted Payments permitted by </w:t>
      </w:r>
      <w:r>
        <w:rPr>
          <w:rFonts w:ascii="Arial" w:cs="Arial" w:eastAsia="Arial" w:hAnsi="Arial"/>
          <w:sz w:val="20"/>
          <w:szCs w:val="20"/>
          <w:u w:val="single" w:color="auto"/>
          <w:color w:val="auto"/>
        </w:rPr>
        <w:t>Section 6.06</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5" w:name="page306"/>
    <w:bookmarkEnd w:id="305"/>
    <w:p>
      <w:pPr>
        <w:jc w:val="both"/>
        <w:ind w:firstLine="656"/>
        <w:spacing w:after="0" w:line="246" w:lineRule="auto"/>
        <w:tabs>
          <w:tab w:leader="none" w:pos="129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 xml:space="preserve">other Dispositions of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Net Proceeds thereof, if any, are applied in accordance with </w:t>
      </w:r>
      <w:r>
        <w:rPr>
          <w:rFonts w:ascii="Arial" w:cs="Arial" w:eastAsia="Arial" w:hAnsi="Arial"/>
          <w:sz w:val="20"/>
          <w:szCs w:val="20"/>
          <w:u w:val="single" w:color="auto"/>
          <w:color w:val="auto"/>
        </w:rPr>
        <w:t>Section 2.11(b)</w:t>
      </w:r>
      <w:r>
        <w:rPr>
          <w:rFonts w:ascii="Arial" w:cs="Arial" w:eastAsia="Arial" w:hAnsi="Arial"/>
          <w:sz w:val="20"/>
          <w:szCs w:val="20"/>
          <w:color w:val="auto"/>
        </w:rPr>
        <w:t xml:space="preserve"> to the extent required thereby, (ii) any such Dispositions shall comply with the final sentence of this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and (iii) after giving effect to such Disposition and any related transactions, no Event of Default shall have occurred and be continuing;</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 xml:space="preserve">Permitted Acquisitions (including any merger, consolidation or amalgamation in order to effect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any such merger, consolidation or amalgamation involving the Borrower, the Borrower is the surviving entity or the requirements of </w:t>
      </w:r>
      <w:r>
        <w:rPr>
          <w:rFonts w:ascii="Arial" w:cs="Arial" w:eastAsia="Arial" w:hAnsi="Arial"/>
          <w:sz w:val="19"/>
          <w:szCs w:val="19"/>
          <w:u w:val="single" w:color="auto"/>
          <w:color w:val="auto"/>
        </w:rPr>
        <w:t>Section 6.05(n)</w:t>
      </w:r>
      <w:r>
        <w:rPr>
          <w:rFonts w:ascii="Arial" w:cs="Arial" w:eastAsia="Arial" w:hAnsi="Arial"/>
          <w:sz w:val="19"/>
          <w:szCs w:val="19"/>
          <w:color w:val="auto"/>
        </w:rPr>
        <w:t xml:space="preserve"> are otherwise complied with;</w:t>
      </w:r>
    </w:p>
    <w:p>
      <w:pPr>
        <w:spacing w:after="0" w:line="169" w:lineRule="exact"/>
        <w:rPr>
          <w:rFonts w:ascii="Arial" w:cs="Arial" w:eastAsia="Arial" w:hAnsi="Arial"/>
          <w:sz w:val="19"/>
          <w:szCs w:val="19"/>
          <w:color w:val="auto"/>
        </w:rPr>
      </w:pPr>
    </w:p>
    <w:p>
      <w:pPr>
        <w:ind w:left="1300" w:hanging="644"/>
        <w:spacing w:after="0"/>
        <w:tabs>
          <w:tab w:leader="none" w:pos="130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leases, licenses or subleases or sublicenses of any real or personal property in the ordinary course of</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business;</w:t>
      </w:r>
    </w:p>
    <w:p>
      <w:pPr>
        <w:spacing w:after="0" w:line="199" w:lineRule="exact"/>
        <w:rPr>
          <w:rFonts w:ascii="Arial" w:cs="Arial" w:eastAsia="Arial" w:hAnsi="Arial"/>
          <w:sz w:val="19"/>
          <w:szCs w:val="19"/>
          <w:color w:val="auto"/>
        </w:rPr>
      </w:pPr>
    </w:p>
    <w:p>
      <w:pPr>
        <w:jc w:val="both"/>
        <w:ind w:firstLine="656"/>
        <w:spacing w:after="0" w:line="269" w:lineRule="auto"/>
        <w:tabs>
          <w:tab w:leader="none" w:pos="129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Dispositions of inventory or Dispositions or abandonment of Intellectual Property of the Borrower and its Subsidiaries determined in good faith by the management of the Borrower to be no longer economically practicable to maintain or useful or necessary in the operation of the business of the Borrower or any of the Subsidiaries;</w:t>
      </w:r>
    </w:p>
    <w:p>
      <w:pPr>
        <w:spacing w:after="0" w:line="169"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any exchange or swap of assets (other than cash and Permitted Investments) for other assets (other than cash and Permitted Investments) of comparable or greater value or usefulness to the business of the Borrower and the Subsidiaries as a whole, determined in good faith by the management of the Borrower; provided, that (i) the Fair Market Value of any such exchanges or swaps shall not, in the aggregate, exceed $5,000,000 in any fiscal year and (ii) such exchange or swap occurs within ninety (90) days of each other;</w:t>
      </w:r>
    </w:p>
    <w:p>
      <w:pPr>
        <w:spacing w:after="0" w:line="194"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the purchase and Disposition (including by capital contribution) of Permitted Receivables Facility Assets including pursuant to Qualified Receivables Facilities;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215" w:lineRule="exact"/>
        <w:rPr>
          <w:rFonts w:ascii="Arial" w:cs="Arial" w:eastAsia="Arial" w:hAnsi="Arial"/>
          <w:sz w:val="20"/>
          <w:szCs w:val="20"/>
          <w:color w:val="auto"/>
        </w:rPr>
      </w:pPr>
    </w:p>
    <w:p>
      <w:pPr>
        <w:jc w:val="both"/>
        <w:ind w:firstLine="656"/>
        <w:spacing w:after="0" w:line="270" w:lineRule="auto"/>
        <w:tabs>
          <w:tab w:leader="none" w:pos="129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if at the time thereof and immediately after giving effect thereto no Event of Default shall have occurred and be continuing or would result therefrom, any Subsidiary or any other person may be merged, amalgamated or consolidated with or into the Borrower or the Borrower may Dispose of substantially all (as determined by the Borrower) of its assets, or substantially all (as determined by the Borrower) of the stock of its direct subsidiaries to any Subsidiary or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(A) in the case of a merger, the Borrower shall be the surviving entity or (B) if the surviving entity is not the Borrower or in the case of such Disposition to any person (such other person,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 (1) the Successor Borrower shall be an entity organized or existing under the laws of the United States, any state thereof or the District of Columbia, (2) the Successor Borrower shall expressly assume all the obligations of the Borrower under this Agreement and the other Loan Documents pursuant to a supplement hereto or thereto in form reasonably satisfactory to the Administrative Agent, (3) each Guarantor, unless it is the other party to such merger, amalgamation, consolidation or Disposition, shall have by a supplement to the Guarantee Agreement, as applicable, confirmed that its guarantee thereunder shall apply to any Successor Borrower’s obligations under this Agreement, (4) each Guarantor, unless it is the other party to such merger, amalgamation, consolidation or Disposition,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6" w:name="page307"/>
    <w:bookmarkEnd w:id="306"/>
    <w:p>
      <w:pPr>
        <w:jc w:val="both"/>
        <w:spacing w:after="0" w:line="270" w:lineRule="auto"/>
        <w:rPr>
          <w:sz w:val="20"/>
          <w:szCs w:val="20"/>
          <w:color w:val="auto"/>
        </w:rPr>
      </w:pPr>
      <w:r>
        <w:rPr>
          <w:rFonts w:ascii="Arial" w:cs="Arial" w:eastAsia="Arial" w:hAnsi="Arial"/>
          <w:sz w:val="18"/>
          <w:szCs w:val="18"/>
          <w:color w:val="auto"/>
        </w:rPr>
        <w:t xml:space="preserve">by a supplement to any applicable Security Document affirmed that its obligations thereunder shall apply to its guarantee as reaffirmed pursuant to the foregoing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and (5) the Successor Borrower shall have delivered to the Administrative Agent (x) a certificate of a Responsible Officer stating that such merger, amalgamation, consolidation or Disposition does not violate this Agreement or any other Loan Document and (y) if requested by the Administrative Agent, an opinion of counsel to the effect that such merger, amalgamation, consolidation or Disposition does not violate this Agreement or any other Loan Document and covering such other matters as are contemplated by the Collateral and Guarantee Requirement to be covered in opinions of counsel (it being understood that if the foregoing are satisfied, the Successor Borrower shall succeed to, and be substituted for, and may exercise every right and power of, the Borrower under this Agreement and the other Loan Documents, with the same effect as if such Successor Borrower had been named as the Borrower herein and therein, and with respect to any such merger, amalgamation, consolidation or Disposition, the entity succeeded as Borrower shall be released from the obligation to pay the principal of and interest on the Loans and all of the Borrower’s other obligations and covenants under this Agreement and the other Loan Documents);</w:t>
      </w:r>
    </w:p>
    <w:p>
      <w:pPr>
        <w:spacing w:after="0" w:line="176" w:lineRule="exact"/>
        <w:rPr>
          <w:sz w:val="20"/>
          <w:szCs w:val="20"/>
          <w:color w:val="auto"/>
        </w:rPr>
      </w:pPr>
    </w:p>
    <w:p>
      <w:pPr>
        <w:jc w:val="both"/>
        <w:ind w:firstLine="656"/>
        <w:spacing w:after="0" w:line="246" w:lineRule="auto"/>
        <w:tabs>
          <w:tab w:leader="none" w:pos="1296"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any Subsidiary (other than the Borrower) may merge, amalgamate or consolidate with or into the Borrower or any other Subsidiary or Dispose of all or substantially all of its assets (upon voluntary liquidation or otherwise) to the Borrower or to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Dispositions by a Loan Party to a Subsidiary that is not a Guarantor in reliance on this </w:t>
      </w:r>
      <w:r>
        <w:rPr>
          <w:rFonts w:ascii="Arial" w:cs="Arial" w:eastAsia="Arial" w:hAnsi="Arial"/>
          <w:sz w:val="20"/>
          <w:szCs w:val="20"/>
          <w:u w:val="single" w:color="auto"/>
          <w:color w:val="auto"/>
        </w:rPr>
        <w:t>clause (o)</w:t>
      </w:r>
      <w:r>
        <w:rPr>
          <w:rFonts w:ascii="Arial" w:cs="Arial" w:eastAsia="Arial" w:hAnsi="Arial"/>
          <w:sz w:val="20"/>
          <w:szCs w:val="20"/>
          <w:color w:val="auto"/>
        </w:rPr>
        <w:t xml:space="preserve"> shall be made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firstLine="656"/>
        <w:spacing w:after="0" w:line="287" w:lineRule="auto"/>
        <w:tabs>
          <w:tab w:leader="none" w:pos="1296" w:val="left"/>
        </w:tabs>
        <w:numPr>
          <w:ilvl w:val="0"/>
          <w:numId w:val="286"/>
        </w:numPr>
        <w:rPr>
          <w:rFonts w:ascii="Arial" w:cs="Arial" w:eastAsia="Arial" w:hAnsi="Arial"/>
          <w:sz w:val="19"/>
          <w:szCs w:val="19"/>
          <w:color w:val="auto"/>
        </w:rPr>
      </w:pPr>
      <w:r>
        <w:rPr>
          <w:rFonts w:ascii="Arial" w:cs="Arial" w:eastAsia="Arial" w:hAnsi="Arial"/>
          <w:sz w:val="19"/>
          <w:szCs w:val="19"/>
          <w:color w:val="auto"/>
        </w:rPr>
        <w:t>any Subsidiary may liquidate or dissolve if the Borrower determines in good faith than such liquidation or dissolution is in the best interests of the Borrower and is not materially disadvantageous to the Lenders;</w:t>
      </w:r>
    </w:p>
    <w:p>
      <w:pPr>
        <w:spacing w:after="0" w:line="152" w:lineRule="exact"/>
        <w:rPr>
          <w:rFonts w:ascii="Arial" w:cs="Arial" w:eastAsia="Arial" w:hAnsi="Arial"/>
          <w:sz w:val="19"/>
          <w:szCs w:val="19"/>
          <w:color w:val="auto"/>
        </w:rPr>
      </w:pPr>
    </w:p>
    <w:p>
      <w:pPr>
        <w:jc w:val="both"/>
        <w:ind w:firstLine="656"/>
        <w:spacing w:after="0" w:line="259" w:lineRule="auto"/>
        <w:tabs>
          <w:tab w:leader="none" w:pos="1296" w:val="left"/>
        </w:tabs>
        <w:numPr>
          <w:ilvl w:val="0"/>
          <w:numId w:val="286"/>
        </w:numPr>
        <w:rPr>
          <w:rFonts w:ascii="Arial" w:cs="Arial" w:eastAsia="Arial" w:hAnsi="Arial"/>
          <w:sz w:val="19"/>
          <w:szCs w:val="19"/>
          <w:color w:val="auto"/>
        </w:rPr>
      </w:pPr>
      <w:r>
        <w:rPr>
          <w:rFonts w:ascii="Arial" w:cs="Arial" w:eastAsia="Arial" w:hAnsi="Arial"/>
          <w:sz w:val="19"/>
          <w:szCs w:val="19"/>
          <w:color w:val="auto"/>
        </w:rPr>
        <w:t xml:space="preserve">any Guarantor may merge, amalgamate or consolidate with or into any other person or Dispose of all or substantially all of its assets (upon voluntary liquidation or otherwise) to another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transaction constitutes a sale, Disposition or transfer of the Guarantor or the Disposition of all or substantially all of the assets of the Guarantor (in each case other than to the Borrower or a Subsidiary) to any person not otherwise prohibited by this Agreement and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Dispositions by a Loan Party to a Subsidiary that is not a Guarantor in reliance on this </w:t>
      </w:r>
      <w:r>
        <w:rPr>
          <w:rFonts w:ascii="Arial" w:cs="Arial" w:eastAsia="Arial" w:hAnsi="Arial"/>
          <w:sz w:val="19"/>
          <w:szCs w:val="19"/>
          <w:u w:val="single" w:color="auto"/>
          <w:color w:val="auto"/>
        </w:rPr>
        <w:t>clause (q)</w:t>
      </w:r>
      <w:r>
        <w:rPr>
          <w:rFonts w:ascii="Arial" w:cs="Arial" w:eastAsia="Arial" w:hAnsi="Arial"/>
          <w:sz w:val="19"/>
          <w:szCs w:val="19"/>
          <w:color w:val="auto"/>
        </w:rPr>
        <w:t xml:space="preserve"> shall be made in compliance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ind w:firstLine="656"/>
        <w:spacing w:after="0" w:line="316" w:lineRule="auto"/>
        <w:tabs>
          <w:tab w:leader="none" w:pos="129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Subsidiary (other than any Loan Party) may merge, amalgamate or consolidate with or into any other person or Dispose of all or substantially all of its assets (upon voluntary liquidation or otherwise) to another person; and</w:t>
      </w:r>
    </w:p>
    <w:p>
      <w:pPr>
        <w:spacing w:after="0" w:line="129" w:lineRule="exact"/>
        <w:rPr>
          <w:rFonts w:ascii="Arial" w:cs="Arial" w:eastAsia="Arial" w:hAnsi="Arial"/>
          <w:sz w:val="18"/>
          <w:szCs w:val="18"/>
          <w:color w:val="auto"/>
        </w:rPr>
      </w:pPr>
    </w:p>
    <w:p>
      <w:pPr>
        <w:jc w:val="both"/>
        <w:ind w:firstLine="656"/>
        <w:spacing w:after="0" w:line="250" w:lineRule="auto"/>
        <w:tabs>
          <w:tab w:leader="none" w:pos="1296" w:val="left"/>
        </w:tabs>
        <w:numPr>
          <w:ilvl w:val="0"/>
          <w:numId w:val="286"/>
        </w:numPr>
        <w:rPr>
          <w:rFonts w:ascii="Arial" w:cs="Arial" w:eastAsia="Arial" w:hAnsi="Arial"/>
          <w:sz w:val="20"/>
          <w:szCs w:val="20"/>
          <w:color w:val="auto"/>
        </w:rPr>
      </w:pPr>
      <w:r>
        <w:rPr>
          <w:rFonts w:ascii="Arial" w:cs="Arial" w:eastAsia="Arial" w:hAnsi="Arial"/>
          <w:sz w:val="20"/>
          <w:szCs w:val="20"/>
          <w:color w:val="auto"/>
        </w:rPr>
        <w:t>the Borrower and any Subsidiary may merge, amalgamate or consolidate with any person to effect a Disposition that is not a Disposition of all or substantially all of the assets of the Borrower and its Subsidiaries, taken as a whole.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above, no Disposition of assets under </w:t>
      </w:r>
      <w:r>
        <w:rPr>
          <w:rFonts w:ascii="Arial" w:cs="Arial" w:eastAsia="Arial" w:hAnsi="Arial"/>
          <w:sz w:val="20"/>
          <w:szCs w:val="20"/>
          <w:u w:val="single" w:color="auto"/>
          <w:color w:val="auto"/>
        </w:rPr>
        <w:t>Section 6.05(g)</w:t>
      </w:r>
      <w:r>
        <w:rPr>
          <w:rFonts w:ascii="Arial" w:cs="Arial" w:eastAsia="Arial" w:hAnsi="Arial"/>
          <w:sz w:val="20"/>
          <w:szCs w:val="20"/>
          <w:color w:val="auto"/>
        </w:rPr>
        <w:t xml:space="preserve"> shall in each case be permitted unless (i) such Disposition is for Fair Market Value, and (ii) at least 75% of the proceeds of such Disposition (except to Loan Parties) consist of cash or Permitted Investments;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provisions of this </w:t>
      </w:r>
      <w:r>
        <w:rPr>
          <w:rFonts w:ascii="Arial" w:cs="Arial" w:eastAsia="Arial" w:hAnsi="Arial"/>
          <w:sz w:val="20"/>
          <w:szCs w:val="20"/>
          <w:u w:val="single" w:color="auto"/>
          <w:color w:val="auto"/>
        </w:rPr>
        <w:t>clause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7" w:name="page308"/>
    <w:bookmarkEnd w:id="307"/>
    <w:p>
      <w:pPr>
        <w:jc w:val="both"/>
        <w:spacing w:after="0" w:line="275" w:lineRule="auto"/>
        <w:rPr>
          <w:sz w:val="20"/>
          <w:szCs w:val="20"/>
          <w:color w:val="auto"/>
        </w:rPr>
      </w:pPr>
      <w:r>
        <w:rPr>
          <w:rFonts w:ascii="Arial" w:cs="Arial" w:eastAsia="Arial" w:hAnsi="Arial"/>
          <w:sz w:val="18"/>
          <w:szCs w:val="18"/>
          <w:color w:val="auto"/>
        </w:rPr>
        <w:t xml:space="preserve">shall not apply to any individual transaction or series of related transactions involving assets with a Fair Market Value of less than $5,000,000;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clause (ii)</w:t>
      </w:r>
      <w:r>
        <w:rPr>
          <w:rFonts w:ascii="Arial" w:cs="Arial" w:eastAsia="Arial" w:hAnsi="Arial"/>
          <w:sz w:val="18"/>
          <w:szCs w:val="18"/>
          <w:color w:val="auto"/>
        </w:rPr>
        <w:t>, each of the following shall be deemed to be cash:</w:t>
      </w:r>
    </w:p>
    <w:p>
      <w:pPr>
        <w:spacing w:after="0" w:line="1" w:lineRule="exact"/>
        <w:rPr>
          <w:sz w:val="20"/>
          <w:szCs w:val="20"/>
          <w:color w:val="auto"/>
        </w:rPr>
      </w:pPr>
    </w:p>
    <w:p>
      <w:pPr>
        <w:jc w:val="both"/>
        <w:ind w:right="20" w:firstLine="63"/>
        <w:spacing w:after="0" w:line="299" w:lineRule="auto"/>
        <w:tabs>
          <w:tab w:leader="none" w:pos="33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the amount of any liabilities (as shown on the Borrower’s or such Subsidiary’s most recent balance sheet or in the notes thereto) that are assumed by the transferee of any such assets or are otherwise cancelled in connection with such transaction,</w:t>
      </w:r>
    </w:p>
    <w:p>
      <w:pPr>
        <w:jc w:val="both"/>
        <w:ind w:firstLine="8"/>
        <w:spacing w:after="0"/>
        <w:tabs>
          <w:tab w:leader="none" w:pos="321" w:val="left"/>
        </w:tabs>
        <w:numPr>
          <w:ilvl w:val="0"/>
          <w:numId w:val="288"/>
        </w:numPr>
        <w:rPr>
          <w:rFonts w:ascii="Arial" w:cs="Arial" w:eastAsia="Arial" w:hAnsi="Arial"/>
          <w:sz w:val="20"/>
          <w:szCs w:val="20"/>
          <w:color w:val="auto"/>
        </w:rPr>
      </w:pPr>
      <w:r>
        <w:rPr>
          <w:rFonts w:ascii="Arial" w:cs="Arial" w:eastAsia="Arial" w:hAnsi="Arial"/>
          <w:sz w:val="20"/>
          <w:szCs w:val="20"/>
          <w:color w:val="auto"/>
        </w:rPr>
        <w:t>any notes or other obligations or other securities or assets received by the Borrower or such Subsidiary from the transferee that are converted by the Borrower or such Subsidiary into cash within 180 days after receipt thereof (to the extent of the cash received) and (c) any Designated Non-Cash Consideration received by the Borrower or any of its Subsidiaries in such Disposition or any series of related Dispositions, having an aggregate Fair Market Value not to exceed, in the aggregate, the greater of $1,000,000 and 1.0% of Consolidated Total Assets when received (with the Fair Market Value of each item of Designated Non-Cash Consideration being measured at the time received and without giving effect to subsequent changes in value).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(i)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or (ii) directly or indirectly redeem, purchase, retire or otherwise acquire for value (or permit any Subsidiary to purchase or acquire) any of the Borrower’s Equity Interests or set aside any amount for any such purpose (other than through the issuance of Qualified Equity Interests) (all of the foregoing,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85" w:lineRule="exact"/>
        <w:rPr>
          <w:sz w:val="20"/>
          <w:szCs w:val="20"/>
          <w:color w:val="auto"/>
        </w:rPr>
      </w:pPr>
    </w:p>
    <w:p>
      <w:pPr>
        <w:jc w:val="both"/>
        <w:ind w:firstLine="656"/>
        <w:spacing w:after="0" w:line="246" w:lineRule="auto"/>
        <w:tabs>
          <w:tab w:leader="none" w:pos="1296" w:val="left"/>
        </w:tabs>
        <w:numPr>
          <w:ilvl w:val="0"/>
          <w:numId w:val="289"/>
        </w:numPr>
        <w:rPr>
          <w:rFonts w:ascii="Arial" w:cs="Arial" w:eastAsia="Arial" w:hAnsi="Arial"/>
          <w:sz w:val="20"/>
          <w:szCs w:val="20"/>
          <w:color w:val="auto"/>
        </w:rPr>
      </w:pPr>
      <w:r>
        <w:rPr>
          <w:rFonts w:ascii="Arial" w:cs="Arial" w:eastAsia="Arial" w:hAnsi="Arial"/>
          <w:sz w:val="20"/>
          <w:szCs w:val="20"/>
          <w:color w:val="auto"/>
        </w:rPr>
        <w:t>Restricted Payments may be made to the Borrower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Restricted Payments made by a non-Wholly Owned Subsidiary to the Borrower or any Subsidiary that is a direct or indirect parent of such Subsidiary must be made on a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basis (or more favorable basis from the perspective of the Borrower or such Subsidiary) based on its ownership interests in such non-Wholly Owned Subsidiary);</w:t>
      </w:r>
    </w:p>
    <w:p>
      <w:pPr>
        <w:spacing w:after="0" w:line="191"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Restricted Payments may be made by the Borrower to purchase or redeem or otherwise acquire for value the Equity Interests of the Borrower or any Parent Entity (including related stock appreciation rights or similar securities) held by then present or former directors, consultants, officers or employees of the Borrower, any Parent Entity, any of the Subsidiaries of the Borrower or by any Plan or any shareholders’ agreement then in effect upon such person’s death, disability, retirement or termination of employment or under the terms of any such Plan or any other agreement under which such shares of stock or related rights were issued;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purchases or redemptions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exceed in any fiscal year the greater of (x) $7,000,000 and (y) 10% of Adjusted Consolidated EBITDA for the most recently ended Test Period as of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(x) the amount of net proceeds contributed to the Borrower that were received by the Borrower during such calendar year from sales of Qualified Equity Interests of the Borrower or any Parent Entity to directors, consultants, officers or employees of the Borrower or any Subsidiary in connection with permitted employee compensation and incentive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proceeds are not included in any determination of the Available Amount or otherwise applied to increase any basket or exception under this Agreement, (y) the amount of net proceeds of any key-person life insurance policies received by the Borrower (or received by a Parent Entity and contributed to the Borrower)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8" w:name="page309"/>
    <w:bookmarkEnd w:id="308"/>
    <w:p>
      <w:pPr>
        <w:jc w:val="both"/>
        <w:spacing w:after="0" w:line="257" w:lineRule="auto"/>
        <w:rPr>
          <w:sz w:val="20"/>
          <w:szCs w:val="20"/>
          <w:color w:val="auto"/>
        </w:rPr>
      </w:pPr>
      <w:r>
        <w:rPr>
          <w:rFonts w:ascii="Arial" w:cs="Arial" w:eastAsia="Arial" w:hAnsi="Arial"/>
          <w:sz w:val="19"/>
          <w:szCs w:val="19"/>
          <w:color w:val="auto"/>
        </w:rPr>
        <w:t xml:space="preserve">such calendar year, and (z) permitted employee compensation and incentive arrangements paid in cash in lieu of the issuance of Qualified Equity Interests of the Borrower to directors, consultants, officers or employees of the Borrower any Parent Entity or any Subsidiary (which amounts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in any given fiscal year may be increased by carrying back amounts then otherwise available in the immediately subsequent fiscal year or, if not used in any given fiscal year, carried forward to any subsequent fiscal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cancellation of Indebtedness owing to the Borrower or any Subsidiary from members of management of any Parent Entity, the Borrower or its Subsidiaries in connection with a repurchase of Equity Interests of the Borrower or any Parent Entity will not be deemed to constitute a Restricted Payment for purposes of this </w:t>
      </w:r>
      <w:r>
        <w:rPr>
          <w:rFonts w:ascii="Arial" w:cs="Arial" w:eastAsia="Arial" w:hAnsi="Arial"/>
          <w:sz w:val="19"/>
          <w:szCs w:val="19"/>
          <w:u w:val="single" w:color="auto"/>
          <w:color w:val="auto"/>
        </w:rPr>
        <w:t>Section 6.06</w:t>
      </w:r>
      <w:r>
        <w:rPr>
          <w:rFonts w:ascii="Arial" w:cs="Arial" w:eastAsia="Arial" w:hAnsi="Arial"/>
          <w:sz w:val="19"/>
          <w:szCs w:val="19"/>
          <w:color w:val="auto"/>
        </w:rPr>
        <w:t>;</w:t>
      </w:r>
    </w:p>
    <w:p>
      <w:pPr>
        <w:spacing w:after="0" w:line="180" w:lineRule="exact"/>
        <w:rPr>
          <w:sz w:val="20"/>
          <w:szCs w:val="20"/>
          <w:color w:val="auto"/>
        </w:rPr>
      </w:pPr>
    </w:p>
    <w:p>
      <w:pPr>
        <w:jc w:val="both"/>
        <w:ind w:firstLine="656"/>
        <w:spacing w:after="0" w:line="274" w:lineRule="auto"/>
        <w:tabs>
          <w:tab w:leader="none" w:pos="129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Restricted Payments may be made by the Borrower for repurchases of Equity Interests of the Borrower or any other entity that is a direct or indirect parent of Borrower (a) deemed to occur upon the exercise of stock options, warrants, or similar rights if the Equity Interests represent all or a portion of the exercise price thereof, (b) in connection with the satisfaction of any withholding Tax obligations incurred relating to the vesting or exercise of stock options, warrants, restricted stock units or similar rights or (c) solely to offset the dilution of Holdings’ Equity Interests in the Borrower as a result of the exercise of stock options, warrants, restricted stock units or similar rights after the date hereof and for the purpose of maintaining Tax consolidation with Holdings (as determined by the Borrower);</w:t>
      </w:r>
    </w:p>
    <w:p>
      <w:pPr>
        <w:spacing w:after="0" w:line="168" w:lineRule="exact"/>
        <w:rPr>
          <w:rFonts w:ascii="Arial" w:cs="Arial" w:eastAsia="Arial" w:hAnsi="Arial"/>
          <w:sz w:val="18"/>
          <w:szCs w:val="18"/>
          <w:color w:val="auto"/>
        </w:rPr>
      </w:pPr>
    </w:p>
    <w:p>
      <w:pPr>
        <w:jc w:val="both"/>
        <w:ind w:firstLine="656"/>
        <w:spacing w:after="0" w:line="244" w:lineRule="auto"/>
        <w:tabs>
          <w:tab w:leader="none" w:pos="1296"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Restricted Payments may be made in an aggregate amount equal to a portion of the Available Amount on the date of such election that the Borrower elects to apply to this </w:t>
      </w:r>
      <w:r>
        <w:rPr>
          <w:rFonts w:ascii="Arial" w:cs="Arial" w:eastAsia="Arial" w:hAnsi="Arial"/>
          <w:sz w:val="20"/>
          <w:szCs w:val="20"/>
          <w:u w:val="single" w:color="auto"/>
          <w:color w:val="auto"/>
        </w:rPr>
        <w:t>Section 6.06(d)</w:t>
      </w:r>
      <w:r>
        <w:rPr>
          <w:rFonts w:ascii="Arial" w:cs="Arial" w:eastAsia="Arial" w:hAnsi="Arial"/>
          <w:sz w:val="20"/>
          <w:szCs w:val="20"/>
          <w:color w:val="auto"/>
        </w:rPr>
        <w:t xml:space="preserve">, so long as, solely in the case of amounts applied pursuant to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“Available Amount”, immediately after giving effect thereto, (i) no Event of Default shall have occurred and is continuing and (ii) Total Net Leverage Ratio on a Pro Forma Basis is not greater than 3.00 to 1.00;</w:t>
      </w:r>
    </w:p>
    <w:p>
      <w:pPr>
        <w:spacing w:after="0" w:line="194" w:lineRule="exact"/>
        <w:rPr>
          <w:rFonts w:ascii="Arial" w:cs="Arial" w:eastAsia="Arial" w:hAnsi="Arial"/>
          <w:sz w:val="20"/>
          <w:szCs w:val="20"/>
          <w:color w:val="auto"/>
        </w:rPr>
      </w:pPr>
    </w:p>
    <w:p>
      <w:pPr>
        <w:ind w:firstLine="656"/>
        <w:spacing w:after="0" w:line="260" w:lineRule="auto"/>
        <w:tabs>
          <w:tab w:leader="none" w:pos="1296" w:val="left"/>
        </w:tabs>
        <w:numPr>
          <w:ilvl w:val="0"/>
          <w:numId w:val="290"/>
        </w:numPr>
        <w:rPr>
          <w:rFonts w:ascii="Arial" w:cs="Arial" w:eastAsia="Arial" w:hAnsi="Arial"/>
          <w:sz w:val="20"/>
          <w:szCs w:val="20"/>
          <w:color w:val="auto"/>
        </w:rPr>
      </w:pPr>
      <w:r>
        <w:rPr>
          <w:rFonts w:ascii="Arial" w:cs="Arial" w:eastAsia="Arial" w:hAnsi="Arial"/>
          <w:sz w:val="20"/>
          <w:szCs w:val="20"/>
          <w:color w:val="auto"/>
        </w:rPr>
        <w:t>Restricted Payments made on the Closing Date in connection with the repurchase of common stock from shareholders in an amount not to exceed $50.0 million;</w:t>
      </w:r>
    </w:p>
    <w:p>
      <w:pPr>
        <w:spacing w:after="0" w:line="176" w:lineRule="exact"/>
        <w:rPr>
          <w:rFonts w:ascii="Arial" w:cs="Arial" w:eastAsia="Arial" w:hAnsi="Arial"/>
          <w:sz w:val="20"/>
          <w:szCs w:val="20"/>
          <w:color w:val="auto"/>
        </w:rPr>
      </w:pPr>
    </w:p>
    <w:p>
      <w:pPr>
        <w:ind w:right="20" w:firstLine="656"/>
        <w:spacing w:after="0" w:line="287" w:lineRule="auto"/>
        <w:tabs>
          <w:tab w:leader="none" w:pos="1296" w:val="left"/>
        </w:tabs>
        <w:numPr>
          <w:ilvl w:val="0"/>
          <w:numId w:val="290"/>
        </w:numPr>
        <w:rPr>
          <w:rFonts w:ascii="Arial" w:cs="Arial" w:eastAsia="Arial" w:hAnsi="Arial"/>
          <w:sz w:val="19"/>
          <w:szCs w:val="19"/>
          <w:color w:val="auto"/>
        </w:rPr>
      </w:pPr>
      <w:r>
        <w:rPr>
          <w:rFonts w:ascii="Arial" w:cs="Arial" w:eastAsia="Arial" w:hAnsi="Arial"/>
          <w:sz w:val="19"/>
          <w:szCs w:val="19"/>
          <w:color w:val="auto"/>
        </w:rPr>
        <w:t>Restricted Payments may be made to make payments, in cash, in lieu of the issuance of fractional shares, upon the exercise of warrants or upon the conversion or exchange of Equity Interests of any such person;</w:t>
      </w:r>
    </w:p>
    <w:p>
      <w:pPr>
        <w:spacing w:after="0" w:line="152"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other Restricted Payments may be made in an aggregate amount, taken together with all Junior Debt Restricted Payments made pursuant to </w:t>
      </w:r>
      <w:r>
        <w:rPr>
          <w:rFonts w:ascii="Arial" w:cs="Arial" w:eastAsia="Arial" w:hAnsi="Arial"/>
          <w:sz w:val="20"/>
          <w:szCs w:val="20"/>
          <w:u w:val="single" w:color="auto"/>
          <w:color w:val="auto"/>
        </w:rPr>
        <w:t>Section 6.07(b)</w:t>
      </w:r>
      <w:r>
        <w:rPr>
          <w:rFonts w:ascii="Arial" w:cs="Arial" w:eastAsia="Arial" w:hAnsi="Arial"/>
          <w:sz w:val="20"/>
          <w:szCs w:val="20"/>
          <w:color w:val="auto"/>
        </w:rPr>
        <w:t xml:space="preserve">, not to exceed the greater of $15,000,000 and 20% of Adjusted Consolidated EBITDA for the most recently ended Test Period as of such time when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Investments made pursuant to </w:t>
      </w:r>
      <w:r>
        <w:rPr>
          <w:rFonts w:ascii="Arial" w:cs="Arial" w:eastAsia="Arial" w:hAnsi="Arial"/>
          <w:sz w:val="20"/>
          <w:szCs w:val="20"/>
          <w:u w:val="single" w:color="auto"/>
          <w:color w:val="auto"/>
        </w:rPr>
        <w:t>Section 6.04(t)</w:t>
      </w:r>
      <w:r>
        <w:rPr>
          <w:rFonts w:ascii="Arial" w:cs="Arial" w:eastAsia="Arial" w:hAnsi="Arial"/>
          <w:sz w:val="20"/>
          <w:szCs w:val="20"/>
          <w:color w:val="auto"/>
        </w:rPr>
        <w:t xml:space="preserve"> in reliance upon the Reallocated RP/JDRP Amount utilizing the amounts available pursuant to this </w:t>
      </w:r>
      <w:r>
        <w:rPr>
          <w:rFonts w:ascii="Arial" w:cs="Arial" w:eastAsia="Arial" w:hAnsi="Arial"/>
          <w:sz w:val="20"/>
          <w:szCs w:val="20"/>
          <w:u w:val="single" w:color="auto"/>
          <w:color w:val="auto"/>
        </w:rPr>
        <w:t>Section 6.06(g)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6.07(b)</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General RP/JDRP Basket</w:t>
      </w:r>
      <w:r>
        <w:rPr>
          <w:rFonts w:ascii="Arial" w:cs="Arial" w:eastAsia="Arial" w:hAnsi="Arial"/>
          <w:sz w:val="20"/>
          <w:szCs w:val="20"/>
          <w:color w:val="auto"/>
        </w:rPr>
        <w:t>”), in each case, that remains outstanding under such General RP/JDRP Basket, shall reduce the amounts available pursuant to the General RP/JDRP Basket;</w:t>
      </w:r>
    </w:p>
    <w:p>
      <w:pPr>
        <w:spacing w:after="0" w:line="192"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additional Restricted Payments, so long as, immediately after giving effect thereto, (i) no Event of Default shall have occurred and is continuing and (ii) the Total Net Leverage Ratio on a Pro Forma Basis is not greater than 2.00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09" w:name="page310"/>
    <w:bookmarkEnd w:id="309"/>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prepayment, redemption, purchase, defeasance or other satisfaction of any Disqualified Stock or preferred Equity Interests of a Subsidiary (x) existing at the time a person becomes a Subsidiary or (y) assumed in connection with the acquisition of assets, in each case so long as such Indebtedness, Disqualified Stock or preferred Equity Interests was not incurred in contemplation of such person becoming a Subsidiary or such acquisition;</w:t>
      </w:r>
    </w:p>
    <w:p>
      <w:pPr>
        <w:spacing w:after="0" w:line="176" w:lineRule="exact"/>
        <w:rPr>
          <w:rFonts w:ascii="Arial" w:cs="Arial" w:eastAsia="Arial" w:hAnsi="Arial"/>
          <w:sz w:val="19"/>
          <w:szCs w:val="19"/>
          <w:color w:val="auto"/>
        </w:rPr>
      </w:pPr>
    </w:p>
    <w:p>
      <w:pPr>
        <w:ind w:left="1300" w:hanging="644"/>
        <w:spacing w:after="0"/>
        <w:tabs>
          <w:tab w:leader="none" w:pos="130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Borrower and the Subsidiaries may make Restricted Payments in cash:</w:t>
      </w:r>
    </w:p>
    <w:p>
      <w:pPr>
        <w:spacing w:after="0" w:line="215" w:lineRule="exact"/>
        <w:rPr>
          <w:rFonts w:ascii="Arial" w:cs="Arial" w:eastAsia="Arial" w:hAnsi="Arial"/>
          <w:sz w:val="20"/>
          <w:szCs w:val="20"/>
          <w:color w:val="auto"/>
        </w:rPr>
      </w:pPr>
    </w:p>
    <w:p>
      <w:pPr>
        <w:jc w:val="both"/>
        <w:ind w:left="660" w:firstLine="644"/>
        <w:spacing w:after="0" w:line="271" w:lineRule="auto"/>
        <w:tabs>
          <w:tab w:leader="none" w:pos="195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the proceeds of which shall be used by any Parent Entity to pay (or to make Restricted Payments to allow any direct or indirect parent of any Parent Entity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and are attributable to the ownership or operations of the Borrower and the Subsidiaries, (2) any reasonable and customary indemnification claims made by directors or officers of any Parent Entity (or any direct or indirect parent thereof) attributable to the ownership or operations of the Borrower and the Subsidiaries, (3) fees and expenses (x) due and payable by any of the Borrower and the Subsidiaries and (y) otherwise permitted to be paid by the Borrower and the Subsidiaries under this Agreement and (4) payments that would otherwise be permitted to be paid directly by the Borrower or the Subsidiaries pursuant to </w:t>
      </w:r>
      <w:r>
        <w:rPr>
          <w:rFonts w:ascii="Arial" w:cs="Arial" w:eastAsia="Arial" w:hAnsi="Arial"/>
          <w:sz w:val="18"/>
          <w:szCs w:val="18"/>
          <w:u w:val="single" w:color="auto"/>
          <w:color w:val="auto"/>
        </w:rPr>
        <w:t>Section 5.15(o)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1"/>
          <w:numId w:val="291"/>
        </w:numPr>
        <w:rPr>
          <w:rFonts w:ascii="Arial" w:cs="Arial" w:eastAsia="Arial" w:hAnsi="Arial"/>
          <w:sz w:val="20"/>
          <w:szCs w:val="20"/>
          <w:color w:val="auto"/>
        </w:rPr>
      </w:pPr>
      <w:r>
        <w:rPr>
          <w:rFonts w:ascii="Arial" w:cs="Arial" w:eastAsia="Arial" w:hAnsi="Arial"/>
          <w:sz w:val="20"/>
          <w:szCs w:val="20"/>
          <w:color w:val="auto"/>
        </w:rPr>
        <w:t>the proceeds of which shall be used by any Parent Entity to pay (or to make Restricted Payments to allow any direct or indirect parent of any Parent Entity to pay) franchise and similar Taxes, and other fees and expenses, required to maintain its corporate existence, to the extent attributable to the ownership or operations of the Borrower and the Subsidiaries;</w:t>
      </w:r>
    </w:p>
    <w:p>
      <w:pPr>
        <w:spacing w:after="0" w:line="191" w:lineRule="exact"/>
        <w:rPr>
          <w:rFonts w:ascii="Arial" w:cs="Arial" w:eastAsia="Arial" w:hAnsi="Arial"/>
          <w:sz w:val="20"/>
          <w:szCs w:val="20"/>
          <w:color w:val="auto"/>
        </w:rPr>
      </w:pPr>
    </w:p>
    <w:p>
      <w:pPr>
        <w:jc w:val="both"/>
        <w:ind w:left="660" w:firstLine="644"/>
        <w:spacing w:after="0" w:line="254" w:lineRule="auto"/>
        <w:tabs>
          <w:tab w:leader="none" w:pos="1956" w:val="left"/>
        </w:tabs>
        <w:numPr>
          <w:ilvl w:val="1"/>
          <w:numId w:val="291"/>
        </w:numPr>
        <w:rPr>
          <w:rFonts w:ascii="Arial" w:cs="Arial" w:eastAsia="Arial" w:hAnsi="Arial"/>
          <w:sz w:val="19"/>
          <w:szCs w:val="19"/>
          <w:color w:val="auto"/>
        </w:rPr>
      </w:pPr>
      <w:r>
        <w:rPr>
          <w:rFonts w:ascii="Arial" w:cs="Arial" w:eastAsia="Arial" w:hAnsi="Arial"/>
          <w:sz w:val="19"/>
          <w:szCs w:val="19"/>
          <w:color w:val="auto"/>
        </w:rPr>
        <w:t xml:space="preserve">with respect to any taxable period (or portion thereof) for which the Borrower and/or any of its Subsidiaries are members of a consolidated, combined, affiliated, unitary or similar income Tax group for U.S. federal and/or applicable state or local income Tax purposes of which a Parent Entity is the common parent, the proceeds of which will be used to pay the U.S. federal and/or state and local income Tax liability, as applicable, of such Parent Entity’s income Tax group that is attributable to the income of the Borrower and/or its Subsidiaries (including Unrestricted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that (w) no such payments with respect to such taxable period shall exceed the amount of such income Tax liability that would have been imposed on the Borrower and/or the applicable Subsidiaries for such taxable period had such entity(ies) filed on a stand-alone basis for all taxable periods ending after the Closing Date, (x) any such payments attributable to an Unrestricted Subsidiary shall be limited to the amount of any cash paid by such Unrestricted Subsidiary to the Borrower or any Restricted Subsidiary for such purpose, (y) such payments shall be reduced by any such income Taxes directly paid or withheld at the level of the Borrower or its Subsidiaries to the extent that such income Taxes directly paid or withheld reduce the U.S. federal and/or state and local income Tax liability of such Parent Entity’s income Tax group and (z) with respect to any taxable period (or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0" w:name="page311"/>
    <w:bookmarkEnd w:id="310"/>
    <w:p>
      <w:pPr>
        <w:ind w:left="660"/>
        <w:spacing w:after="0" w:line="260" w:lineRule="auto"/>
        <w:rPr>
          <w:sz w:val="20"/>
          <w:szCs w:val="20"/>
          <w:color w:val="auto"/>
        </w:rPr>
      </w:pPr>
      <w:r>
        <w:rPr>
          <w:rFonts w:ascii="Arial" w:cs="Arial" w:eastAsia="Arial" w:hAnsi="Arial"/>
          <w:sz w:val="20"/>
          <w:szCs w:val="20"/>
          <w:color w:val="auto"/>
        </w:rPr>
        <w:t xml:space="preserve">thereof) ended prior to the Closing Date, payments otherwise permitted pursuant to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shall be permitted only to the extent relating to Taxes paid after the Closing Date;</w:t>
      </w:r>
    </w:p>
    <w:p>
      <w:pPr>
        <w:spacing w:after="0" w:line="177" w:lineRule="exact"/>
        <w:rPr>
          <w:sz w:val="20"/>
          <w:szCs w:val="20"/>
          <w:color w:val="auto"/>
        </w:rPr>
      </w:pPr>
    </w:p>
    <w:p>
      <w:pPr>
        <w:jc w:val="both"/>
        <w:ind w:left="660" w:firstLine="644"/>
        <w:spacing w:after="0" w:line="257" w:lineRule="auto"/>
        <w:tabs>
          <w:tab w:leader="none" w:pos="1956" w:val="left"/>
        </w:tabs>
        <w:numPr>
          <w:ilvl w:val="1"/>
          <w:numId w:val="292"/>
        </w:numPr>
        <w:rPr>
          <w:rFonts w:ascii="Arial" w:cs="Arial" w:eastAsia="Arial" w:hAnsi="Arial"/>
          <w:sz w:val="19"/>
          <w:szCs w:val="19"/>
          <w:color w:val="auto"/>
        </w:rPr>
      </w:pPr>
      <w:r>
        <w:rPr>
          <w:rFonts w:ascii="Arial" w:cs="Arial" w:eastAsia="Arial" w:hAnsi="Arial"/>
          <w:sz w:val="19"/>
          <w:szCs w:val="19"/>
          <w:color w:val="auto"/>
        </w:rPr>
        <w:t xml:space="preserve">to finance any Investment permitted to be made pursuant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6.04(bb)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such Restricted Payment shall be made substantially concurrently with the closing of such Investment and (2) the applicable Parent Entity shall, immediately following the closing thereof, cause (x) all property acquired (whether assets or Equity Interests but not including any loans or advances made pursuant to </w:t>
      </w:r>
      <w:r>
        <w:rPr>
          <w:rFonts w:ascii="Arial" w:cs="Arial" w:eastAsia="Arial" w:hAnsi="Arial"/>
          <w:sz w:val="19"/>
          <w:szCs w:val="19"/>
          <w:u w:val="single" w:color="auto"/>
          <w:color w:val="auto"/>
        </w:rPr>
        <w:t>Section 6.04(e)</w:t>
      </w:r>
      <w:r>
        <w:rPr>
          <w:rFonts w:ascii="Arial" w:cs="Arial" w:eastAsia="Arial" w:hAnsi="Arial"/>
          <w:sz w:val="19"/>
          <w:szCs w:val="19"/>
          <w:color w:val="auto"/>
        </w:rPr>
        <w:t xml:space="preserve">) to be contributed to the Borrower or the Subsidiaries or (y) the person formed or acquired to merge into or consolidate with the Borrower or any of the Subsidiaries to the extent such merger, amalgamation or consolidation is permitted in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in order to consummate such Investment, in each case in accordance with the requirements of </w:t>
      </w:r>
      <w:r>
        <w:rPr>
          <w:rFonts w:ascii="Arial" w:cs="Arial" w:eastAsia="Arial" w:hAnsi="Arial"/>
          <w:sz w:val="19"/>
          <w:szCs w:val="19"/>
          <w:u w:val="single" w:color="auto"/>
          <w:color w:val="auto"/>
        </w:rPr>
        <w:t>Section 5.10</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1"/>
          <w:numId w:val="292"/>
        </w:numPr>
        <w:rPr>
          <w:rFonts w:ascii="Arial" w:cs="Arial" w:eastAsia="Arial" w:hAnsi="Arial"/>
          <w:sz w:val="20"/>
          <w:szCs w:val="20"/>
          <w:color w:val="auto"/>
        </w:rPr>
      </w:pPr>
      <w:r>
        <w:rPr>
          <w:rFonts w:ascii="Arial" w:cs="Arial" w:eastAsia="Arial" w:hAnsi="Arial"/>
          <w:sz w:val="20"/>
          <w:szCs w:val="20"/>
          <w:color w:val="auto"/>
        </w:rPr>
        <w:t>the proceeds of which shall be used to pay customary salary, bonus and other benefits payable to officers and employees of any Parent Entity to the extent such salaries, bonuses and other benefits are attributable to the ownership or operation of the Borrower and the Subsidiaries; and</w:t>
      </w:r>
    </w:p>
    <w:p>
      <w:pPr>
        <w:spacing w:after="0" w:line="185" w:lineRule="exact"/>
        <w:rPr>
          <w:rFonts w:ascii="Arial" w:cs="Arial" w:eastAsia="Arial" w:hAnsi="Arial"/>
          <w:sz w:val="20"/>
          <w:szCs w:val="20"/>
          <w:color w:val="auto"/>
        </w:rPr>
      </w:pPr>
    </w:p>
    <w:p>
      <w:pPr>
        <w:jc w:val="both"/>
        <w:ind w:left="660" w:firstLine="644"/>
        <w:spacing w:after="0" w:line="278" w:lineRule="auto"/>
        <w:tabs>
          <w:tab w:leader="none" w:pos="195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proceeds of which shall be used by any Parent Entity to pay (or to make Restricted Payments to allow any direct or indirect parent thereof to pay) fees and expenses related to any equity offering, debt offering or similar non-ordinary course transaction not prohibited by this Agreement (whether or not such offering or other transaction is successful), to the extent that the proceeds of such equity offering, debt offering or similar non-ordinary course transaction are contributed (or would be contributed) to the Borrower;</w:t>
      </w:r>
    </w:p>
    <w:p>
      <w:pPr>
        <w:spacing w:after="0" w:line="164" w:lineRule="exact"/>
        <w:rPr>
          <w:rFonts w:ascii="Arial" w:cs="Arial" w:eastAsia="Arial" w:hAnsi="Arial"/>
          <w:sz w:val="18"/>
          <w:szCs w:val="18"/>
          <w:color w:val="auto"/>
        </w:rPr>
      </w:pPr>
    </w:p>
    <w:p>
      <w:pPr>
        <w:jc w:val="both"/>
        <w:ind w:firstLine="656"/>
        <w:spacing w:after="0" w:line="244" w:lineRule="auto"/>
        <w:tabs>
          <w:tab w:leader="none" w:pos="1296"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redemption, repurchase, retirement or other acquisition of any Equity Interests (“</w:t>
      </w:r>
      <w:r>
        <w:rPr>
          <w:rFonts w:ascii="Arial" w:cs="Arial" w:eastAsia="Arial" w:hAnsi="Arial"/>
          <w:sz w:val="20"/>
          <w:szCs w:val="20"/>
          <w:u w:val="single" w:color="auto"/>
          <w:color w:val="auto"/>
        </w:rPr>
        <w:t>Retired Capital Stock</w:t>
      </w:r>
      <w:r>
        <w:rPr>
          <w:rFonts w:ascii="Arial" w:cs="Arial" w:eastAsia="Arial" w:hAnsi="Arial"/>
          <w:sz w:val="20"/>
          <w:szCs w:val="20"/>
          <w:color w:val="auto"/>
        </w:rPr>
        <w:t>”) of the Borrower or any Parent Entity, or subordinated Indebtedness of the Borrower or any Guarantor, in exchange for, or out of the proceeds of the issuance or sale of, Equity Interests of the Borrower or any Parent Entity or contributions to the equity capital of the Borrower (other than Disqualified Stock) (collectively, including any such contributions, “</w:t>
      </w:r>
      <w:r>
        <w:rPr>
          <w:rFonts w:ascii="Arial" w:cs="Arial" w:eastAsia="Arial" w:hAnsi="Arial"/>
          <w:sz w:val="20"/>
          <w:szCs w:val="20"/>
          <w:u w:val="single" w:color="auto"/>
          <w:color w:val="auto"/>
        </w:rPr>
        <w:t>Refunding Capital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Stock</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declaration and payment of accrued dividends on the Retired Capital Stock out of the proceeds of the issuance or sale (other than to a Subsidiary of the Borrower or to an employee stock ownership plan or any trust established by the Borrower or any of its Subsidiaries) of Refunding Capital Stock; and</w:t>
      </w:r>
    </w:p>
    <w:p>
      <w:pPr>
        <w:spacing w:after="0" w:line="185"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293"/>
        </w:numPr>
        <w:rPr>
          <w:rFonts w:ascii="Arial" w:cs="Arial" w:eastAsia="Arial" w:hAnsi="Arial"/>
          <w:sz w:val="19"/>
          <w:szCs w:val="19"/>
          <w:color w:val="auto"/>
        </w:rPr>
      </w:pPr>
      <w:r>
        <w:rPr>
          <w:rFonts w:ascii="Arial" w:cs="Arial" w:eastAsia="Arial" w:hAnsi="Arial"/>
          <w:sz w:val="19"/>
          <w:szCs w:val="19"/>
          <w:color w:val="auto"/>
        </w:rPr>
        <w:t>if immediately prior to the retirement of the Retired Capital Stock, the declaration and payment of dividends thereon was permitted pursuant to this covenant and has not been made as of such time (the “</w:t>
      </w:r>
      <w:r>
        <w:rPr>
          <w:rFonts w:ascii="Arial" w:cs="Arial" w:eastAsia="Arial" w:hAnsi="Arial"/>
          <w:sz w:val="19"/>
          <w:szCs w:val="19"/>
          <w:u w:val="single" w:color="auto"/>
          <w:color w:val="auto"/>
        </w:rPr>
        <w:t>Unpaid Amount</w:t>
      </w:r>
      <w:r>
        <w:rPr>
          <w:rFonts w:ascii="Arial" w:cs="Arial" w:eastAsia="Arial" w:hAnsi="Arial"/>
          <w:sz w:val="19"/>
          <w:szCs w:val="19"/>
          <w:color w:val="auto"/>
        </w:rPr>
        <w:t>”), the declaration and payment of dividends on the Refunding Capital Stock (other than Refunding Capital Stock the proceeds of which were used to redeem, repurchase, retire or otherwise acquire any Equity Interests of the Borrower or any direct or indirect parent of the Borrower) in an aggregate amount no greater than the Unpaid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1" w:name="page312"/>
    <w:bookmarkEnd w:id="311"/>
    <w:p>
      <w:pPr>
        <w:jc w:val="both"/>
        <w:ind w:firstLine="648"/>
        <w:spacing w:after="0" w:line="272"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 a Restricted Payment need not be permitted solely by reference to one category of permitted Restricted Payments (or any portion thereof) described in </w:t>
      </w:r>
      <w:r>
        <w:rPr>
          <w:rFonts w:ascii="Arial" w:cs="Arial" w:eastAsia="Arial" w:hAnsi="Arial"/>
          <w:sz w:val="18"/>
          <w:szCs w:val="18"/>
          <w:u w:val="single" w:color="auto"/>
          <w:color w:val="auto"/>
        </w:rPr>
        <w:t>Sections 6.06(a)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(n)</w:t>
      </w:r>
      <w:r>
        <w:rPr>
          <w:rFonts w:ascii="Arial" w:cs="Arial" w:eastAsia="Arial" w:hAnsi="Arial"/>
          <w:sz w:val="18"/>
          <w:szCs w:val="18"/>
          <w:color w:val="auto"/>
        </w:rPr>
        <w:t xml:space="preserve"> but may be permitted in part under any relevant combination thereof and (B) in the event that a Restricted Payment (or any portion thereof) meets the criteria of one or more of the categories of Restricted Payments (or any portion thereof) described in </w:t>
      </w:r>
      <w:r>
        <w:rPr>
          <w:rFonts w:ascii="Arial" w:cs="Arial" w:eastAsia="Arial" w:hAnsi="Arial"/>
          <w:sz w:val="18"/>
          <w:szCs w:val="18"/>
          <w:u w:val="single" w:color="auto"/>
          <w:color w:val="auto"/>
        </w:rPr>
        <w:t>Sections 6.06(a)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(n)</w:t>
      </w:r>
      <w:r>
        <w:rPr>
          <w:rFonts w:ascii="Arial" w:cs="Arial" w:eastAsia="Arial" w:hAnsi="Arial"/>
          <w:sz w:val="18"/>
          <w:szCs w:val="18"/>
          <w:color w:val="auto"/>
        </w:rPr>
        <w:t xml:space="preserve">, the Borrower may, in its sole discretion, divide, classify or reclassify such Restricted Payment (or any portion thereof) in any manner that complies with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and will be entitled to only include the amount and type of such Restricted Payment (or any portion thereof) in one or more (as relevant) of the above clauses (or any portion thereof) and such Restricted Payment (or any portion thereof) shall be treated as having been made or existing pursuant to only such clause or clauses (or any portion thereof).</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For the avoidance of doubt, an Unrestricted Subsidiary may purchase or otherwise acquire Indebtedness or Equity Interests of the Borrower, any Parent Entity or any of the Borrower’s Subsidiaries with value that such Unrestricted Subsidiary has obtained through Investments otherwise permitted under this Agreement and such purchase, acquisition, or transfer will not be deemed to be a “direct or indirect” action by the Borrower or its Subsidiaries.</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Notwithstanding anything herein to the contrary, the foregoing provisions of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will not prohibit the payment of any Restricted Payment or the consummation of any redemption, purchase, defeasance or other payment within sixty (60) days after the date of declaration thereof or the giving of notice, as applicable, if at the date of declaration or the giving of such notice such payment would have complied with the provisions of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(it being understood that such Restricted Payment shall be deemed to have been made on the date of declaration or notice for purposes of such provision).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6.07 </w:t>
      </w:r>
      <w:r>
        <w:rPr>
          <w:rFonts w:ascii="Arial" w:cs="Arial" w:eastAsia="Arial" w:hAnsi="Arial"/>
          <w:sz w:val="20"/>
          <w:szCs w:val="20"/>
          <w:u w:val="single" w:color="auto"/>
          <w:color w:val="auto"/>
        </w:rPr>
        <w:t>Junior Debt Restricted Payments</w:t>
      </w:r>
      <w:r>
        <w:rPr>
          <w:rFonts w:ascii="Arial" w:cs="Arial" w:eastAsia="Arial" w:hAnsi="Arial"/>
          <w:sz w:val="20"/>
          <w:szCs w:val="20"/>
          <w:color w:val="auto"/>
        </w:rPr>
        <w:t xml:space="preserve">. Make any Junior Debt Restricted Payment in excess of the greater of (i) $5,000,000 and (ii) 7.5% of Adjusted Consolidated EBITDA for the most recently ended Test Period as of such time in respect of any Junior Financing;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186" w:lineRule="exact"/>
        <w:rPr>
          <w:sz w:val="20"/>
          <w:szCs w:val="20"/>
          <w:color w:val="auto"/>
        </w:rPr>
      </w:pPr>
    </w:p>
    <w:p>
      <w:pPr>
        <w:jc w:val="both"/>
        <w:ind w:firstLine="656"/>
        <w:spacing w:after="0" w:line="244" w:lineRule="auto"/>
        <w:tabs>
          <w:tab w:leader="none" w:pos="1296"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Junior Debt Restricted Payments may be made in an aggregate amount equal to a portion of the Available Amount on the date of such election that the Borrower elects to apply to this </w:t>
      </w:r>
      <w:r>
        <w:rPr>
          <w:rFonts w:ascii="Arial" w:cs="Arial" w:eastAsia="Arial" w:hAnsi="Arial"/>
          <w:sz w:val="20"/>
          <w:szCs w:val="20"/>
          <w:u w:val="single" w:color="auto"/>
          <w:color w:val="auto"/>
        </w:rPr>
        <w:t>Section 6.07(a)</w:t>
      </w:r>
      <w:r>
        <w:rPr>
          <w:rFonts w:ascii="Arial" w:cs="Arial" w:eastAsia="Arial" w:hAnsi="Arial"/>
          <w:sz w:val="20"/>
          <w:szCs w:val="20"/>
          <w:color w:val="auto"/>
        </w:rPr>
        <w:t xml:space="preserve">, so long as, solely in the case of amounts applied pursuant to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“Available Amount”, immediately after giving effect thereto (i) no Event of Default shall have occurred and is continuing and (ii) the Total Net Leverage Ratio on a Pro Forma Basis is not greater than 3.00 to 1.00;</w:t>
      </w:r>
    </w:p>
    <w:p>
      <w:pPr>
        <w:spacing w:after="0" w:line="194" w:lineRule="exact"/>
        <w:rPr>
          <w:rFonts w:ascii="Arial" w:cs="Arial" w:eastAsia="Arial" w:hAnsi="Arial"/>
          <w:sz w:val="20"/>
          <w:szCs w:val="20"/>
          <w:color w:val="auto"/>
        </w:rPr>
      </w:pPr>
    </w:p>
    <w:p>
      <w:pPr>
        <w:jc w:val="both"/>
        <w:ind w:firstLine="656"/>
        <w:spacing w:after="0" w:line="259" w:lineRule="auto"/>
        <w:tabs>
          <w:tab w:leader="none" w:pos="1296" w:val="left"/>
        </w:tabs>
        <w:numPr>
          <w:ilvl w:val="0"/>
          <w:numId w:val="294"/>
        </w:numPr>
        <w:rPr>
          <w:rFonts w:ascii="Arial" w:cs="Arial" w:eastAsia="Arial" w:hAnsi="Arial"/>
          <w:sz w:val="19"/>
          <w:szCs w:val="19"/>
          <w:color w:val="auto"/>
        </w:rPr>
      </w:pPr>
      <w:r>
        <w:rPr>
          <w:rFonts w:ascii="Arial" w:cs="Arial" w:eastAsia="Arial" w:hAnsi="Arial"/>
          <w:sz w:val="19"/>
          <w:szCs w:val="19"/>
          <w:color w:val="auto"/>
        </w:rPr>
        <w:t xml:space="preserve">other Junior Debt Restricted Payments may be made in an aggregate amount, taken together with all Restricted Payments made pursuant to </w:t>
      </w:r>
      <w:r>
        <w:rPr>
          <w:rFonts w:ascii="Arial" w:cs="Arial" w:eastAsia="Arial" w:hAnsi="Arial"/>
          <w:sz w:val="19"/>
          <w:szCs w:val="19"/>
          <w:u w:val="single" w:color="auto"/>
          <w:color w:val="auto"/>
        </w:rPr>
        <w:t>Section 6.06(g)</w:t>
      </w:r>
      <w:r>
        <w:rPr>
          <w:rFonts w:ascii="Arial" w:cs="Arial" w:eastAsia="Arial" w:hAnsi="Arial"/>
          <w:sz w:val="19"/>
          <w:szCs w:val="19"/>
          <w:color w:val="auto"/>
        </w:rPr>
        <w:t xml:space="preserve">, not to exceed the greater of $15,000,000 and 20% of Adjusted Consolidated EBITDA for the most recently ended Test Period as of such time when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Investments made pursuant to </w:t>
      </w:r>
      <w:r>
        <w:rPr>
          <w:rFonts w:ascii="Arial" w:cs="Arial" w:eastAsia="Arial" w:hAnsi="Arial"/>
          <w:sz w:val="19"/>
          <w:szCs w:val="19"/>
          <w:u w:val="single" w:color="auto"/>
          <w:color w:val="auto"/>
        </w:rPr>
        <w:t>Section 6.04(t)</w:t>
      </w:r>
      <w:r>
        <w:rPr>
          <w:rFonts w:ascii="Arial" w:cs="Arial" w:eastAsia="Arial" w:hAnsi="Arial"/>
          <w:sz w:val="19"/>
          <w:szCs w:val="19"/>
          <w:color w:val="auto"/>
        </w:rPr>
        <w:t xml:space="preserve"> in reliance upon the Reallocated RP/JDRP Amount utilizing the amounts available pursuant to the General RP/JDRP Basket that remains outstanding under such General RP/JDRP Basket, shall reduce the amounts available pursuant to the General RP/JDRP Basket;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2" w:name="page313"/>
    <w:bookmarkEnd w:id="312"/>
    <w:p>
      <w:pPr>
        <w:jc w:val="both"/>
        <w:ind w:firstLine="656"/>
        <w:spacing w:after="0" w:line="250" w:lineRule="auto"/>
        <w:tabs>
          <w:tab w:leader="none" w:pos="1296" w:val="left"/>
        </w:tabs>
        <w:numPr>
          <w:ilvl w:val="0"/>
          <w:numId w:val="295"/>
        </w:numPr>
        <w:rPr>
          <w:rFonts w:ascii="Arial" w:cs="Arial" w:eastAsia="Arial" w:hAnsi="Arial"/>
          <w:sz w:val="20"/>
          <w:szCs w:val="20"/>
          <w:color w:val="auto"/>
        </w:rPr>
      </w:pPr>
      <w:r>
        <w:rPr>
          <w:rFonts w:ascii="Arial" w:cs="Arial" w:eastAsia="Arial" w:hAnsi="Arial"/>
          <w:sz w:val="20"/>
          <w:szCs w:val="20"/>
          <w:color w:val="auto"/>
        </w:rPr>
        <w:t>additional Junior Debt Restricted Payments, so long as immediately after giving effect thereto, (i) no Event of Default shall have occurred and is continuing and (ii) the Total Net Leverage Ratio on a Pro Forma Basis is not greater than 2.00 to 1.00.</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 a Junior Debt Restricted Payment need not be permitted solely by reference to one category of permitted Junior Debt Restricted Payments (or any portion thereof) described in </w:t>
      </w:r>
      <w:r>
        <w:rPr>
          <w:rFonts w:ascii="Arial" w:cs="Arial" w:eastAsia="Arial" w:hAnsi="Arial"/>
          <w:sz w:val="19"/>
          <w:szCs w:val="19"/>
          <w:u w:val="single" w:color="auto"/>
          <w:color w:val="auto"/>
        </w:rPr>
        <w:t>Sections 6.07(a)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but may be permitted in part under any relevant combination thereof and (B) in the event that a Junior Debt Restricted Payment (or any portion thereof) meets the criteria of one or more of the categories of Junior Debt Restricted Payments (or any portion thereof) described in </w:t>
      </w:r>
      <w:r>
        <w:rPr>
          <w:rFonts w:ascii="Arial" w:cs="Arial" w:eastAsia="Arial" w:hAnsi="Arial"/>
          <w:sz w:val="19"/>
          <w:szCs w:val="19"/>
          <w:u w:val="single" w:color="auto"/>
          <w:color w:val="auto"/>
        </w:rPr>
        <w:t>Sections 6.07(a)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the Borrower may, in its sole discretion, divide, classify or reclassify such Junior Debt Restricted Payment (or any portion thereof) in any manner that complies with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 will be entitled to only include the amount and type of such Junior Debt Restricted Payment (or any portion thereof) in one or more (as relevant) of the above clauses (or any portion thereof) and such Junior Debt Restricted Payment (or any portion thereof) shall be treated as having been made or existing pursuant to only such clause or clauses (or any portion thereof).</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Restrictions on Subsidiary Distributions and Negative Pledge Clauses</w:t>
      </w:r>
      <w:r>
        <w:rPr>
          <w:rFonts w:ascii="Arial" w:cs="Arial" w:eastAsia="Arial" w:hAnsi="Arial"/>
          <w:sz w:val="18"/>
          <w:szCs w:val="18"/>
          <w:color w:val="auto"/>
        </w:rPr>
        <w:t>. Permit the Borrower or any Subsidiary to enter into any agreement or instrument that by its terms restricts (A) the payment of dividends or other distributions or the making of cash advances to the Borrower or any Subsidiary that is a direct or indirect parent of such Subsidiary or (B) the granting of Liens by the Borrower or any Guarantor pursuant to the Security Documents, in each case other than those arising under any Loan Document, except, in each case, restrictions existing by reason of:</w:t>
      </w:r>
    </w:p>
    <w:p>
      <w:pPr>
        <w:spacing w:after="0" w:line="165" w:lineRule="exact"/>
        <w:rPr>
          <w:sz w:val="20"/>
          <w:szCs w:val="20"/>
          <w:color w:val="auto"/>
        </w:rPr>
      </w:pPr>
    </w:p>
    <w:p>
      <w:pPr>
        <w:ind w:left="1300" w:hanging="644"/>
        <w:spacing w:after="0"/>
        <w:tabs>
          <w:tab w:leader="none" w:pos="13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restrictions imposed by applicable law;</w:t>
      </w:r>
    </w:p>
    <w:p>
      <w:pPr>
        <w:spacing w:after="0" w:line="215"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contractual encumbrances or restrictions in effect on the Closing Date under Indebtedness existing on the Closing Date and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contained in any Indebtedness outstanding pursuant to </w:t>
      </w:r>
      <w:r>
        <w:rPr>
          <w:rFonts w:ascii="Arial" w:cs="Arial" w:eastAsia="Arial" w:hAnsi="Arial"/>
          <w:sz w:val="18"/>
          <w:szCs w:val="18"/>
          <w:u w:val="single" w:color="auto"/>
          <w:color w:val="auto"/>
        </w:rPr>
        <w:t>Section 6.01(z)</w:t>
      </w:r>
      <w:r>
        <w:rPr>
          <w:rFonts w:ascii="Arial" w:cs="Arial" w:eastAsia="Arial" w:hAnsi="Arial"/>
          <w:sz w:val="18"/>
          <w:szCs w:val="18"/>
          <w:color w:val="auto"/>
        </w:rPr>
        <w:t>, or any agreements related to any Permitted Refinancing Indebtedness in respect of any such Indebtedness that does not materially expand the scope of any such encumbrance or restriction (as determined in good faith by the Borrower);</w:t>
      </w:r>
    </w:p>
    <w:p>
      <w:pPr>
        <w:spacing w:after="0" w:line="161" w:lineRule="exact"/>
        <w:rPr>
          <w:rFonts w:ascii="Arial" w:cs="Arial" w:eastAsia="Arial" w:hAnsi="Arial"/>
          <w:sz w:val="18"/>
          <w:szCs w:val="18"/>
          <w:color w:val="auto"/>
        </w:rPr>
      </w:pPr>
    </w:p>
    <w:p>
      <w:pPr>
        <w:ind w:firstLine="656"/>
        <w:spacing w:after="0" w:line="260" w:lineRule="auto"/>
        <w:tabs>
          <w:tab w:leader="none" w:pos="1296"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any restriction on a Subsidiary imposed pursuant to an agreement entered into for the sale or disposition of the Equity Interests or assets of a Subsidiary pending the closing of such sale or disposition;</w:t>
      </w:r>
    </w:p>
    <w:p>
      <w:pPr>
        <w:spacing w:after="0" w:line="176" w:lineRule="exact"/>
        <w:rPr>
          <w:rFonts w:ascii="Arial" w:cs="Arial" w:eastAsia="Arial" w:hAnsi="Arial"/>
          <w:sz w:val="20"/>
          <w:szCs w:val="20"/>
          <w:color w:val="auto"/>
        </w:rPr>
      </w:pPr>
    </w:p>
    <w:p>
      <w:pPr>
        <w:ind w:firstLine="656"/>
        <w:spacing w:after="0" w:line="260" w:lineRule="auto"/>
        <w:tabs>
          <w:tab w:leader="none" w:pos="1296" w:val="left"/>
        </w:tabs>
        <w:numPr>
          <w:ilvl w:val="0"/>
          <w:numId w:val="296"/>
        </w:numPr>
        <w:rPr>
          <w:rFonts w:ascii="Arial" w:cs="Arial" w:eastAsia="Arial" w:hAnsi="Arial"/>
          <w:sz w:val="20"/>
          <w:szCs w:val="20"/>
          <w:color w:val="auto"/>
        </w:rPr>
      </w:pPr>
      <w:r>
        <w:rPr>
          <w:rFonts w:ascii="Arial" w:cs="Arial" w:eastAsia="Arial" w:hAnsi="Arial"/>
          <w:sz w:val="20"/>
          <w:szCs w:val="20"/>
          <w:color w:val="auto"/>
        </w:rPr>
        <w:t>customary provisions in joint venture agreements and other similar agreements applicable to joint ventures entered into in the ordinary course of business;</w:t>
      </w:r>
    </w:p>
    <w:p>
      <w:pPr>
        <w:spacing w:after="0" w:line="176" w:lineRule="exact"/>
        <w:rPr>
          <w:rFonts w:ascii="Arial" w:cs="Arial" w:eastAsia="Arial" w:hAnsi="Arial"/>
          <w:sz w:val="20"/>
          <w:szCs w:val="20"/>
          <w:color w:val="auto"/>
        </w:rPr>
      </w:pPr>
    </w:p>
    <w:p>
      <w:pPr>
        <w:ind w:firstLine="656"/>
        <w:spacing w:after="0" w:line="316" w:lineRule="auto"/>
        <w:tabs>
          <w:tab w:leader="none" w:pos="129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restrictions imposed by any agreement relating to secured Indebtedness permitted by this Agreement to the extent that such restrictions apply only to the specific property or assets securing such Indebtedness;</w:t>
      </w:r>
    </w:p>
    <w:p>
      <w:pPr>
        <w:spacing w:after="0" w:line="129"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any restrictions imposed by any agreement relating to Indebtedness incurred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Permitted Refinancing Indebtedness in respect thereof, to the extent such restrictions are not materially more restrictive, taken as a whole, than the restrictions contained in this Agreement (in each case, as determined in good faith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3" w:name="page314"/>
    <w:bookmarkEnd w:id="313"/>
    <w:p>
      <w:pPr>
        <w:ind w:firstLine="656"/>
        <w:spacing w:after="0" w:line="260"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customary provisions contained in leases or licenses of Intellectual Property and other similar agreements entered into in the ordinary course of business;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customary provisions restricting subletting or assignment of any lease governing a leasehold interest;</w:t>
      </w:r>
    </w:p>
    <w:p>
      <w:pPr>
        <w:spacing w:after="0" w:line="227" w:lineRule="exact"/>
        <w:rPr>
          <w:rFonts w:ascii="Arial" w:cs="Arial" w:eastAsia="Arial" w:hAnsi="Arial"/>
          <w:sz w:val="19"/>
          <w:szCs w:val="19"/>
          <w:color w:val="auto"/>
        </w:rPr>
      </w:pPr>
    </w:p>
    <w:p>
      <w:pPr>
        <w:ind w:firstLine="656"/>
        <w:spacing w:after="0" w:line="260"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customary provisions restricting assignment, mortgaging or hypothecation of any agreement entered into in the ordinary course of business;</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xml:space="preserve">customary restrictions and conditions contained in any agreement relating to the sale, transfer, lease or other disposition of any asset permitted under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pending the consummation of such sale, transfer, lease or other disposition;</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97"/>
        </w:numPr>
        <w:rPr>
          <w:rFonts w:ascii="Arial" w:cs="Arial" w:eastAsia="Arial" w:hAnsi="Arial"/>
          <w:sz w:val="19"/>
          <w:szCs w:val="19"/>
          <w:color w:val="auto"/>
        </w:rPr>
      </w:pPr>
      <w:r>
        <w:rPr>
          <w:rFonts w:ascii="Arial" w:cs="Arial" w:eastAsia="Arial" w:hAnsi="Arial"/>
          <w:sz w:val="19"/>
          <w:szCs w:val="19"/>
          <w:color w:val="auto"/>
        </w:rPr>
        <w:t xml:space="preserve">Permitted Liens and customary restrictions and conditions contained in the document relating thereto, so long as (1) such restrictions or conditions relate only to the specific asset subject to such Lien, and (2) such restrictions and conditions are not created for the purpose of avoiding the restrictions imposed by this </w:t>
      </w:r>
      <w:r>
        <w:rPr>
          <w:rFonts w:ascii="Arial" w:cs="Arial" w:eastAsia="Arial" w:hAnsi="Arial"/>
          <w:sz w:val="19"/>
          <w:szCs w:val="19"/>
          <w:u w:val="single" w:color="auto"/>
          <w:color w:val="auto"/>
        </w:rPr>
        <w:t>Section 6.08</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any agreement in effect at the time a subsidiary becomes a Subsidiary, so long as such agreement was not entered into in contemplation of such person becoming a Subsidiary;</w:t>
      </w:r>
    </w:p>
    <w:p>
      <w:pPr>
        <w:spacing w:after="0" w:line="176" w:lineRule="exact"/>
        <w:rPr>
          <w:rFonts w:ascii="Arial" w:cs="Arial" w:eastAsia="Arial" w:hAnsi="Arial"/>
          <w:sz w:val="20"/>
          <w:szCs w:val="20"/>
          <w:color w:val="auto"/>
        </w:rPr>
      </w:pPr>
    </w:p>
    <w:p>
      <w:pPr>
        <w:ind w:firstLine="656"/>
        <w:spacing w:after="0" w:line="287" w:lineRule="auto"/>
        <w:tabs>
          <w:tab w:leader="none" w:pos="1296" w:val="left"/>
        </w:tabs>
        <w:numPr>
          <w:ilvl w:val="0"/>
          <w:numId w:val="297"/>
        </w:numPr>
        <w:rPr>
          <w:rFonts w:ascii="Arial" w:cs="Arial" w:eastAsia="Arial" w:hAnsi="Arial"/>
          <w:sz w:val="19"/>
          <w:szCs w:val="19"/>
          <w:color w:val="auto"/>
        </w:rPr>
      </w:pPr>
      <w:r>
        <w:rPr>
          <w:rFonts w:ascii="Arial" w:cs="Arial" w:eastAsia="Arial" w:hAnsi="Arial"/>
          <w:sz w:val="19"/>
          <w:szCs w:val="19"/>
          <w:color w:val="auto"/>
        </w:rPr>
        <w:t xml:space="preserve">restrictions in agreements representing Indebtedness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a Subsidiary that is not a Guarantor that apply only to such Subsidiary and its Subsidiaries that are not Guarantors;</w:t>
      </w:r>
    </w:p>
    <w:p>
      <w:pPr>
        <w:spacing w:after="0" w:line="152" w:lineRule="exact"/>
        <w:rPr>
          <w:rFonts w:ascii="Arial" w:cs="Arial" w:eastAsia="Arial" w:hAnsi="Arial"/>
          <w:sz w:val="19"/>
          <w:szCs w:val="19"/>
          <w:color w:val="auto"/>
        </w:rPr>
      </w:pPr>
    </w:p>
    <w:p>
      <w:pPr>
        <w:ind w:right="20" w:firstLine="656"/>
        <w:spacing w:after="0" w:line="316" w:lineRule="auto"/>
        <w:tabs>
          <w:tab w:leader="none" w:pos="129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customary restrictions contained in leases, subleases, licenses or Equity Interests or asset sale agreements otherwise permitted hereby as long as such restrictions relate to the Equity Interests and assets subject thereto;</w:t>
      </w:r>
    </w:p>
    <w:p>
      <w:pPr>
        <w:spacing w:after="0" w:line="129" w:lineRule="exact"/>
        <w:rPr>
          <w:rFonts w:ascii="Arial" w:cs="Arial" w:eastAsia="Arial" w:hAnsi="Arial"/>
          <w:sz w:val="18"/>
          <w:szCs w:val="18"/>
          <w:color w:val="auto"/>
        </w:rPr>
      </w:pPr>
    </w:p>
    <w:p>
      <w:pPr>
        <w:ind w:firstLine="656"/>
        <w:spacing w:after="0" w:line="260"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restrictions on cash or other deposits imposed by customers under contracts entered into in the ordinary course of business;</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restrictions contained in any Permitted Receivables Facility Documents with respect to any Receivables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Entity;</w:t>
      </w:r>
    </w:p>
    <w:p>
      <w:pPr>
        <w:spacing w:after="0" w:line="199"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xml:space="preserve">any encumbrances or restrictions of the type referred to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imposed by any other instrument or agreement entered into after the Closing Date that contains encumbrances and restrictions that, as determined by the Borrower in good faith, will not materially adversely affect the Borrower’s ability to make payments on the Loans; and</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xml:space="preserve">any encumbrances or restrictions of the type referred to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(B) above imposed by any amendments, modifications, restatements, renewals, increases, supplements, refundings, replacements or refinancings of or similar arrangements to the contracts,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4" w:name="page315"/>
    <w:bookmarkEnd w:id="314"/>
    <w:p>
      <w:pPr>
        <w:jc w:val="both"/>
        <w:spacing w:after="0" w:line="278" w:lineRule="auto"/>
        <w:rPr>
          <w:sz w:val="20"/>
          <w:szCs w:val="20"/>
          <w:color w:val="auto"/>
        </w:rPr>
      </w:pPr>
      <w:r>
        <w:rPr>
          <w:rFonts w:ascii="Arial" w:cs="Arial" w:eastAsia="Arial" w:hAnsi="Arial"/>
          <w:sz w:val="18"/>
          <w:szCs w:val="18"/>
          <w:color w:val="auto"/>
        </w:rPr>
        <w:t xml:space="preserve">or obligations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(r)</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amendments, modifications, restatements, renewals, increases, supplements, refundings, replacements, refinancings or similar arrangements are, in the good faith judgment of the Borrower,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6.09</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0" w:lineRule="auto"/>
        <w:tabs>
          <w:tab w:leader="none" w:pos="1296"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xml:space="preserve">. Permit the Total Net Leverage Ratio as of the last day of any Test Period (commencing with the Test Period ending on the last day of the Test Period ending on September 30, 2022) to be greater than (i) in the case of the Test Periods ending on the last day of the first through sixth full fiscal quarters of the Borrower ending after the Closing Date, 4.50 to 1.00 and (ii) in the case of any Test Period ending on the last day of the seventh or any subsequent full fiscal quarter of the Borrower ending after the Closing Date and prior to the later of the Initial Term Facility Maturity Date or the Revolving Facility Maturity Date, 4.00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may elect (the “</w:t>
      </w:r>
      <w:r>
        <w:rPr>
          <w:rFonts w:ascii="Arial" w:cs="Arial" w:eastAsia="Arial" w:hAnsi="Arial"/>
          <w:sz w:val="18"/>
          <w:szCs w:val="18"/>
          <w:u w:val="single" w:color="auto"/>
          <w:color w:val="auto"/>
        </w:rPr>
        <w:t>Step-Up Election</w:t>
      </w:r>
      <w:r>
        <w:rPr>
          <w:rFonts w:ascii="Arial" w:cs="Arial" w:eastAsia="Arial" w:hAnsi="Arial"/>
          <w:sz w:val="18"/>
          <w:szCs w:val="18"/>
          <w:color w:val="auto"/>
        </w:rPr>
        <w:t>”) to increase the maximum Total Net Leverage Ratio permitted hereunder to 4.50 to 1.00 for the four immediately succeeding Test Period end dates following a Permitted Acquisition by providing a written notice to the Administrative Agent of such Step-Up Election prior to the last day of the first Test Period for which the Step-Up Election is to take effect (this sentence, the “</w:t>
      </w:r>
      <w:r>
        <w:rPr>
          <w:rFonts w:ascii="Arial" w:cs="Arial" w:eastAsia="Arial" w:hAnsi="Arial"/>
          <w:sz w:val="18"/>
          <w:szCs w:val="18"/>
          <w:u w:val="single" w:color="auto"/>
          <w:color w:val="auto"/>
        </w:rPr>
        <w:t>Total Net Leverage Ratio Financial Covenant</w:t>
      </w:r>
      <w:r>
        <w:rPr>
          <w:rFonts w:ascii="Arial" w:cs="Arial" w:eastAsia="Arial" w:hAnsi="Arial"/>
          <w:sz w:val="18"/>
          <w:szCs w:val="18"/>
          <w:color w:val="auto"/>
        </w:rPr>
        <w:t>”). The Borrower may make no more than two Step-Up Elections. Upon the expiration of a Step-Up Election, the maximum Total Net Leverage Ratio permitted under the Total Net Leverage Ratio Financial Covenant shall revert to the applicable Total Net Leverage Ratio for such Test Period set forth above until the Borrower makes another Step-Up Election, if applicable.</w:t>
      </w:r>
    </w:p>
    <w:p>
      <w:pPr>
        <w:spacing w:after="0" w:line="172"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298"/>
        </w:numPr>
        <w:rPr>
          <w:rFonts w:ascii="Arial" w:cs="Arial" w:eastAsia="Arial" w:hAnsi="Arial"/>
          <w:sz w:val="20"/>
          <w:szCs w:val="20"/>
          <w:color w:val="auto"/>
        </w:rPr>
      </w:pPr>
      <w:r>
        <w:rPr>
          <w:rFonts w:ascii="Arial" w:cs="Arial" w:eastAsia="Arial" w:hAnsi="Arial"/>
          <w:sz w:val="20"/>
          <w:szCs w:val="20"/>
          <w:u w:val="single" w:color="auto"/>
          <w:color w:val="auto"/>
        </w:rPr>
        <w:t>Interest Coverage Ratio</w:t>
      </w:r>
      <w:r>
        <w:rPr>
          <w:rFonts w:ascii="Arial" w:cs="Arial" w:eastAsia="Arial" w:hAnsi="Arial"/>
          <w:sz w:val="20"/>
          <w:szCs w:val="20"/>
          <w:color w:val="auto"/>
        </w:rPr>
        <w:t>. Permit the Interest Coverage Ratio as of the last day of any Test Period (commencing with the Test Period ending on the last day of the Test Period ending on September 30, 2022) to be less than 1.50 to 1.00 (this sentence, the “</w:t>
      </w:r>
      <w:r>
        <w:rPr>
          <w:rFonts w:ascii="Arial" w:cs="Arial" w:eastAsia="Arial" w:hAnsi="Arial"/>
          <w:sz w:val="20"/>
          <w:szCs w:val="20"/>
          <w:u w:val="single" w:color="auto"/>
          <w:color w:val="auto"/>
        </w:rPr>
        <w:t>Interest Coverage Ratio Financial Covenant</w:t>
      </w:r>
      <w:r>
        <w:rPr>
          <w:rFonts w:ascii="Arial" w:cs="Arial" w:eastAsia="Arial" w:hAnsi="Arial"/>
          <w:sz w:val="20"/>
          <w:szCs w:val="20"/>
          <w:color w:val="auto"/>
        </w:rPr>
        <w:t>” and, together with the Total Net Leverage Ratio Financial Covenant, the “</w:t>
      </w:r>
      <w:r>
        <w:rPr>
          <w:rFonts w:ascii="Arial" w:cs="Arial" w:eastAsia="Arial" w:hAnsi="Arial"/>
          <w:sz w:val="20"/>
          <w:szCs w:val="20"/>
          <w:u w:val="single" w:color="auto"/>
          <w:color w:val="auto"/>
        </w:rPr>
        <w:t>Financial Covenants</w:t>
      </w:r>
      <w:r>
        <w:rPr>
          <w:rFonts w:ascii="Arial" w:cs="Arial" w:eastAsia="Arial" w:hAnsi="Arial"/>
          <w:sz w:val="20"/>
          <w:szCs w:val="20"/>
          <w:color w:val="auto"/>
        </w:rPr>
        <w:t>”).</w:t>
      </w:r>
    </w:p>
    <w:p>
      <w:pPr>
        <w:spacing w:after="0" w:line="19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8"/>
          <w:szCs w:val="18"/>
          <w:u w:val="single" w:color="auto"/>
          <w:color w:val="auto"/>
        </w:rPr>
        <w:t>Limitations on Holdings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Holdings will not:</w:t>
      </w:r>
    </w:p>
    <w:p>
      <w:pPr>
        <w:spacing w:after="0" w:line="216" w:lineRule="exact"/>
        <w:rPr>
          <w:sz w:val="20"/>
          <w:szCs w:val="20"/>
          <w:color w:val="auto"/>
        </w:rPr>
      </w:pPr>
    </w:p>
    <w:p>
      <w:pPr>
        <w:jc w:val="both"/>
        <w:ind w:firstLine="656"/>
        <w:spacing w:after="0" w:line="313" w:lineRule="auto"/>
        <w:tabs>
          <w:tab w:leader="none" w:pos="129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hold any assets other than (i) the Equity Interests of (x) the Borrower (and/or intercompany advances to the Borrower), (y) Westrock Coffee International, LLC (or a successor thereof) or (z) any other subsidiary that would otherwise qualify as an “Excluded Subsidiary” or in each case other assets incidental thereto, (ii) assets, properties or rights that are not capable of being sold, assigned, transferred or conveyed to the Borrower without the consent of any other Person, or if such assignment or attempted assignment would constitute a breach thereof, or a violation of any Applicable Law, (iii) agreements relating to the issuance, sale, purchase, repurchase or registration of securities of Holdings, (iv) minute books and other corporate books and records of Holdings, (v) assets maintained on a temporary or pass through basis that are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5" w:name="page316"/>
    <w:bookmarkEnd w:id="315"/>
    <w:p>
      <w:pPr>
        <w:spacing w:after="0" w:line="260" w:lineRule="auto"/>
        <w:rPr>
          <w:sz w:val="20"/>
          <w:szCs w:val="20"/>
          <w:color w:val="auto"/>
        </w:rPr>
      </w:pPr>
      <w:r>
        <w:rPr>
          <w:rFonts w:ascii="Arial" w:cs="Arial" w:eastAsia="Arial" w:hAnsi="Arial"/>
          <w:sz w:val="20"/>
          <w:szCs w:val="20"/>
          <w:color w:val="auto"/>
        </w:rPr>
        <w:t>for subsequent payment of dividends or other payments not prohibited by this Agreement for contribution to the Borrower, and (vi) other miscellaneous non-material assets;</w:t>
      </w:r>
    </w:p>
    <w:p>
      <w:pPr>
        <w:spacing w:after="0" w:line="177" w:lineRule="exact"/>
        <w:rPr>
          <w:sz w:val="20"/>
          <w:szCs w:val="20"/>
          <w:color w:val="auto"/>
        </w:rPr>
      </w:pPr>
    </w:p>
    <w:p>
      <w:pPr>
        <w:jc w:val="both"/>
        <w:ind w:firstLine="656"/>
        <w:spacing w:after="0" w:line="242" w:lineRule="auto"/>
        <w:tabs>
          <w:tab w:leader="none" w:pos="1296" w:val="left"/>
        </w:tabs>
        <w:numPr>
          <w:ilvl w:val="1"/>
          <w:numId w:val="300"/>
        </w:numPr>
        <w:rPr>
          <w:rFonts w:ascii="Arial" w:cs="Arial" w:eastAsia="Arial" w:hAnsi="Arial"/>
          <w:sz w:val="20"/>
          <w:szCs w:val="20"/>
          <w:color w:val="auto"/>
        </w:rPr>
      </w:pPr>
      <w:r>
        <w:rPr>
          <w:rFonts w:ascii="Arial" w:cs="Arial" w:eastAsia="Arial" w:hAnsi="Arial"/>
          <w:sz w:val="20"/>
          <w:szCs w:val="20"/>
          <w:color w:val="auto"/>
        </w:rPr>
        <w:t xml:space="preserve">have any liabilities other than (i) the liabilities under the Loan Documents, (ii) Tax liabilities arising in the ordinary course of business, (iii) Indebtedness permitted under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(iv) liabilities that are incidental to being a publicly traded corporation including liabilities associated with common and preferred equity, employment contracts, employee benefit matters, indemnification obligations pursuant to purchase and sale agreements, banker engagement letters in connection with transactions permitted by this Agreement and legacy liabilities (if any) arising pursuant to contracts entered into in the ordinary course of business, (v) corporate, administrative and operating expenses in the ordinary course of business, (vi) nonconsensual obligations imposed by operation of law, (vii) liabilities under any contracts or agreements described in </w:t>
      </w:r>
      <w:r>
        <w:rPr>
          <w:rFonts w:ascii="Arial" w:cs="Arial" w:eastAsia="Arial" w:hAnsi="Arial"/>
          <w:sz w:val="20"/>
          <w:szCs w:val="20"/>
          <w:u w:val="single" w:color="auto"/>
          <w:color w:val="auto"/>
        </w:rPr>
        <w:t>clauses (a)(ii)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above, or (viii) other obligations not to exceed $5,000,000 individually or in the aggregate; or</w:t>
      </w:r>
    </w:p>
    <w:p>
      <w:pPr>
        <w:spacing w:after="0" w:line="194" w:lineRule="exact"/>
        <w:rPr>
          <w:rFonts w:ascii="Arial" w:cs="Arial" w:eastAsia="Arial" w:hAnsi="Arial"/>
          <w:sz w:val="20"/>
          <w:szCs w:val="20"/>
          <w:color w:val="auto"/>
        </w:rPr>
      </w:pPr>
    </w:p>
    <w:p>
      <w:pPr>
        <w:jc w:val="both"/>
        <w:ind w:right="20" w:firstLine="656"/>
        <w:spacing w:after="0" w:line="275" w:lineRule="auto"/>
        <w:tabs>
          <w:tab w:leader="none" w:pos="129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other than (i) issuing shares of its own Qualified Equity Interests, (ii) holding the assets and incurring the liabilities described in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 activities incidental and related thereto or</w:t>
      </w:r>
    </w:p>
    <w:p>
      <w:pPr>
        <w:ind w:left="360" w:hanging="352"/>
        <w:spacing w:after="0"/>
        <w:tabs>
          <w:tab w:leader="none" w:pos="36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making payments, dividends, distributions, issuances or other activities not prohibited by this Agreement.</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For the avoidance of doubt, notwithstanding anything herein to the contrary, nothing in this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shall prohibit any Subsidiary of Holdings (other than the Borrower or any of its Subsidiaries unless the Borrower or such Subsidiary of the Borrower is otherwise so permitted by </w:t>
      </w:r>
      <w:r>
        <w:rPr>
          <w:rFonts w:ascii="Arial" w:cs="Arial" w:eastAsia="Arial" w:hAnsi="Arial"/>
          <w:sz w:val="20"/>
          <w:szCs w:val="20"/>
          <w:u w:val="single" w:color="auto"/>
          <w:color w:val="auto"/>
        </w:rPr>
        <w:t>Section 6.05</w:t>
      </w:r>
      <w:r>
        <w:rPr>
          <w:rFonts w:ascii="Arial" w:cs="Arial" w:eastAsia="Arial" w:hAnsi="Arial"/>
          <w:sz w:val="20"/>
          <w:szCs w:val="20"/>
          <w:color w:val="auto"/>
        </w:rPr>
        <w:t>) from merging, amalgamating or consolidating with or into Holdings or any Subsidiary of Holdings or Dispose of all or substantially all of its assets (upon voluntary liquidation or otherwise) to Holdings or any Subsidiary of Holdings.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Events of Default</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In case of the happening of any of the following events (each, an “</w:t>
      </w:r>
      <w:r>
        <w:rPr>
          <w:rFonts w:ascii="Arial" w:cs="Arial" w:eastAsia="Arial" w:hAnsi="Arial"/>
          <w:sz w:val="19"/>
          <w:szCs w:val="19"/>
          <w:u w:val="single" w:color="auto"/>
          <w:color w:val="auto"/>
        </w:rPr>
        <w:t>Event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w:t>
      </w:r>
    </w:p>
    <w:p>
      <w:pPr>
        <w:spacing w:after="0" w:line="200" w:lineRule="exact"/>
        <w:rPr>
          <w:sz w:val="20"/>
          <w:szCs w:val="20"/>
          <w:color w:val="auto"/>
        </w:rPr>
      </w:pPr>
    </w:p>
    <w:p>
      <w:pPr>
        <w:jc w:val="both"/>
        <w:ind w:firstLine="656"/>
        <w:spacing w:after="0" w:line="278" w:lineRule="auto"/>
        <w:tabs>
          <w:tab w:leader="none" w:pos="129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Borrower or any Guarantor herein or in any other Loan Document or any certificate or document delivered pursuant hereto or thereto shall prove to have been false or misleading in any material respect when so made or deemed made and, to the extent capable of being cured, including by a restatement of any relevant financial statements, such false or misleading representation or warranty remains incorrect for a period of thirty (30) days after notice thereof from the Administrative Agent to the Borrower;</w:t>
      </w:r>
    </w:p>
    <w:p>
      <w:pPr>
        <w:spacing w:after="0" w:line="164" w:lineRule="exact"/>
        <w:rPr>
          <w:rFonts w:ascii="Arial" w:cs="Arial" w:eastAsia="Arial" w:hAnsi="Arial"/>
          <w:sz w:val="18"/>
          <w:szCs w:val="18"/>
          <w:color w:val="auto"/>
        </w:rPr>
      </w:pPr>
    </w:p>
    <w:p>
      <w:pPr>
        <w:jc w:val="both"/>
        <w:ind w:right="20" w:firstLine="656"/>
        <w:spacing w:after="0" w:line="250" w:lineRule="auto"/>
        <w:tabs>
          <w:tab w:leader="none" w:pos="129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default shall be made in the payment of any principal of any Loan or any reimbursement amount under any Letter of Credit when and as the same shall become due and payable, whether at the due date thereof or at a date fixed for prepayment thereof or by acceleration thereof or otherwise;</w:t>
      </w:r>
    </w:p>
    <w:p>
      <w:pPr>
        <w:spacing w:after="0" w:line="185" w:lineRule="exact"/>
        <w:rPr>
          <w:rFonts w:ascii="Arial" w:cs="Arial" w:eastAsia="Arial" w:hAnsi="Arial"/>
          <w:sz w:val="20"/>
          <w:szCs w:val="20"/>
          <w:color w:val="auto"/>
        </w:rPr>
      </w:pPr>
    </w:p>
    <w:p>
      <w:pPr>
        <w:ind w:firstLine="656"/>
        <w:spacing w:after="0" w:line="260" w:lineRule="auto"/>
        <w:tabs>
          <w:tab w:leader="none" w:pos="129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default shall be made in the payment of any interest on any Loan or in the payment of any other amount (other than an amount referred to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due under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6" w:name="page317"/>
    <w:bookmarkEnd w:id="316"/>
    <w:p>
      <w:pPr>
        <w:ind w:right="20"/>
        <w:spacing w:after="0" w:line="260" w:lineRule="auto"/>
        <w:rPr>
          <w:sz w:val="20"/>
          <w:szCs w:val="20"/>
          <w:color w:val="auto"/>
        </w:rPr>
      </w:pPr>
      <w:r>
        <w:rPr>
          <w:rFonts w:ascii="Arial" w:cs="Arial" w:eastAsia="Arial" w:hAnsi="Arial"/>
          <w:sz w:val="20"/>
          <w:szCs w:val="20"/>
          <w:color w:val="auto"/>
        </w:rPr>
        <w:t>Document, when and as the same shall become due and payable, and such default shall continue unremedied for a period of five (5) Business Days;</w:t>
      </w:r>
    </w:p>
    <w:p>
      <w:pPr>
        <w:spacing w:after="0" w:line="177" w:lineRule="exact"/>
        <w:rPr>
          <w:sz w:val="20"/>
          <w:szCs w:val="20"/>
          <w:color w:val="auto"/>
        </w:rPr>
      </w:pPr>
    </w:p>
    <w:p>
      <w:pPr>
        <w:ind w:firstLine="656"/>
        <w:spacing w:after="0" w:line="316" w:lineRule="auto"/>
        <w:tabs>
          <w:tab w:leader="none" w:pos="129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the Borrower of any covenant, condition or agreement contained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(solely with respect to the Borrower), </w:t>
      </w:r>
      <w:r>
        <w:rPr>
          <w:rFonts w:ascii="Arial" w:cs="Arial" w:eastAsia="Arial" w:hAnsi="Arial"/>
          <w:sz w:val="18"/>
          <w:szCs w:val="18"/>
          <w:u w:val="single" w:color="auto"/>
          <w:color w:val="auto"/>
        </w:rPr>
        <w:t>5.05(a)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5.08</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firstLine="656"/>
        <w:spacing w:after="0" w:line="275" w:lineRule="auto"/>
        <w:tabs>
          <w:tab w:leader="none" w:pos="129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the Borrower or any of the Guarantors of any covenant, condition or agreement contained in any Loan Document (other than those specified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w:t>
      </w:r>
    </w:p>
    <w:p>
      <w:pPr>
        <w:ind w:right="20" w:firstLine="8"/>
        <w:spacing w:after="0" w:line="244" w:lineRule="auto"/>
        <w:tabs>
          <w:tab w:leader="none" w:pos="326" w:val="left"/>
        </w:tabs>
        <w:numPr>
          <w:ilvl w:val="0"/>
          <w:numId w:val="304"/>
        </w:numPr>
        <w:rPr>
          <w:rFonts w:ascii="Arial" w:cs="Arial" w:eastAsia="Arial" w:hAnsi="Arial"/>
          <w:sz w:val="20"/>
          <w:szCs w:val="20"/>
          <w:u w:val="single" w:color="auto"/>
          <w:color w:val="auto"/>
        </w:rPr>
      </w:pPr>
      <w:r>
        <w:rPr>
          <w:rFonts w:ascii="Arial" w:cs="Arial" w:eastAsia="Arial" w:hAnsi="Arial"/>
          <w:sz w:val="20"/>
          <w:szCs w:val="20"/>
          <w:color w:val="auto"/>
        </w:rPr>
        <w:t>above) and such default shall continue unremedied for a period of thirty (30) days after notice thereof from the Administrative Agent to the Borrower;</w:t>
      </w:r>
    </w:p>
    <w:p>
      <w:pPr>
        <w:spacing w:after="0" w:line="191" w:lineRule="exact"/>
        <w:rPr>
          <w:rFonts w:ascii="Arial" w:cs="Arial" w:eastAsia="Arial" w:hAnsi="Arial"/>
          <w:sz w:val="20"/>
          <w:szCs w:val="20"/>
          <w:u w:val="single" w:color="auto"/>
          <w:color w:val="auto"/>
        </w:rPr>
      </w:pPr>
    </w:p>
    <w:p>
      <w:pPr>
        <w:jc w:val="both"/>
        <w:ind w:firstLine="656"/>
        <w:spacing w:after="0" w:line="269" w:lineRule="auto"/>
        <w:tabs>
          <w:tab w:leader="none" w:pos="1296" w:val="left"/>
        </w:tabs>
        <w:numPr>
          <w:ilvl w:val="1"/>
          <w:numId w:val="304"/>
        </w:numPr>
        <w:rPr>
          <w:rFonts w:ascii="Arial" w:cs="Arial" w:eastAsia="Arial" w:hAnsi="Arial"/>
          <w:sz w:val="18"/>
          <w:szCs w:val="18"/>
          <w:color w:val="auto"/>
        </w:rPr>
      </w:pPr>
      <w:r>
        <w:rPr>
          <w:rFonts w:ascii="Arial" w:cs="Arial" w:eastAsia="Arial" w:hAnsi="Arial"/>
          <w:sz w:val="18"/>
          <w:szCs w:val="18"/>
          <w:color w:val="auto"/>
        </w:rPr>
        <w:t xml:space="preserve">(i) any event or condition occurs that (A) results in any Material Indebtedness becoming due prior to its scheduled maturity or (B) enables or permits (with all applicable grace periods having expired) the holder or holders of any Material Indebtedness or any trustee or agent on its or their behalf to cause any such Material Indebtedness to become due, or to require the prepayment, repurchase, redemption or defeasance thereof, prior to its scheduled maturity, in each case without such Material Indebtedness having been discharged, or any such event of or condition having been cured promptly; or (ii) the Borrower or any of the Subsidiaries shall fail to pay the principal of any Material Indebtedness at the stated final maturity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apply to (1) any secured Indebtedness that becomes due as a result of a disposition, transfer, condemnation, insured loss or similar event with respect to the property or assets securing such Indebtedness, (2) termination events or similar events occurring under any Hedging Agreement that constitutes Material Indebtedness (other than at the stated final maturity thereof), (3) any breach or default that is (A) remedied by the Borrower or the applicable Subsidiary or (B) waived (including in the form of an amendment) by the required holders of the applicable item of Indebtedness, in each case, prior to the acceleration of Loans and Commitments pursuant to this </w:t>
      </w:r>
      <w:r>
        <w:rPr>
          <w:rFonts w:ascii="Arial" w:cs="Arial" w:eastAsia="Arial" w:hAnsi="Arial"/>
          <w:sz w:val="18"/>
          <w:szCs w:val="18"/>
          <w:u w:val="single" w:color="auto"/>
          <w:color w:val="auto"/>
        </w:rPr>
        <w:t>Section 7.01</w:t>
      </w:r>
      <w:r>
        <w:rPr>
          <w:rFonts w:ascii="Arial" w:cs="Arial" w:eastAsia="Arial" w:hAnsi="Arial"/>
          <w:sz w:val="18"/>
          <w:szCs w:val="18"/>
          <w:color w:val="auto"/>
        </w:rPr>
        <w:t>, (4) any customary offer to repurchase provisions upon an asset sale, (5) customary debt and equity proceeds prepayment requirements contained in any bridge or other interim credit facility, (6) Indebtedness of any person assumed in connection with the acquisition of such person to the extent that such Indebtedness is repaid as required by the terms thereof as a result of the acquisition of such person or (7) the redemption of any Indebtedness incurred to finance an acquisition pursuant to any special mandatory redemption feature that is triggered as a result of the failure of such acquisition to occur;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304"/>
        </w:numPr>
        <w:rPr>
          <w:rFonts w:ascii="Arial" w:cs="Arial" w:eastAsia="Arial" w:hAnsi="Arial"/>
          <w:sz w:val="20"/>
          <w:szCs w:val="20"/>
          <w:color w:val="auto"/>
        </w:rPr>
      </w:pPr>
      <w:r>
        <w:rPr>
          <w:rFonts w:ascii="Arial" w:cs="Arial" w:eastAsia="Arial" w:hAnsi="Arial"/>
          <w:sz w:val="20"/>
          <w:szCs w:val="20"/>
          <w:color w:val="auto"/>
        </w:rPr>
        <w:t>there shall have occurred a Change of Control;</w:t>
      </w:r>
    </w:p>
    <w:p>
      <w:pPr>
        <w:spacing w:after="0" w:line="215" w:lineRule="exact"/>
        <w:rPr>
          <w:rFonts w:ascii="Arial" w:cs="Arial" w:eastAsia="Arial" w:hAnsi="Arial"/>
          <w:sz w:val="20"/>
          <w:szCs w:val="20"/>
          <w:color w:val="auto"/>
        </w:rPr>
      </w:pPr>
    </w:p>
    <w:p>
      <w:pPr>
        <w:jc w:val="both"/>
        <w:ind w:firstLine="656"/>
        <w:spacing w:after="0" w:line="242" w:lineRule="auto"/>
        <w:tabs>
          <w:tab w:leader="none" w:pos="1296" w:val="left"/>
        </w:tabs>
        <w:numPr>
          <w:ilvl w:val="1"/>
          <w:numId w:val="304"/>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in a court of competent jurisdiction seeking (i) relief in respect of the Borrower or any Material Subsidiary, or of a substantial part of the property or assets of the Borrower or any Material Subsidiary, under the Bankruptcy Code or any other federal, state or foreign bankruptcy, insolvency, receivership or any other Debtor Relief Law, (ii) the appointment of a receiver, trustee, custodian, sequestrator, conservator, examiner, liquidator or similar official for the Borrower or any Material Subsidiary or for a substantial part of the property or assets of the Borrower or any Material Subsidiary or (iii) the winding-up, liquidation, reorganization, dissolution, compromise, arrangement or other relief of the Borrower or any Material Subsidiary (except in a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7" w:name="page318"/>
    <w:bookmarkEnd w:id="317"/>
    <w:p>
      <w:pPr>
        <w:spacing w:after="0" w:line="260" w:lineRule="auto"/>
        <w:rPr>
          <w:sz w:val="20"/>
          <w:szCs w:val="20"/>
          <w:color w:val="auto"/>
        </w:rPr>
      </w:pPr>
      <w:r>
        <w:rPr>
          <w:rFonts w:ascii="Arial" w:cs="Arial" w:eastAsia="Arial" w:hAnsi="Arial"/>
          <w:sz w:val="20"/>
          <w:szCs w:val="20"/>
          <w:color w:val="auto"/>
        </w:rPr>
        <w:t>permitted hereunder); and such proceeding or petition shall continue undismissed for sixty (60) days or an order or decree approving or ordering any of the foregoing shall be entered;</w:t>
      </w:r>
    </w:p>
    <w:p>
      <w:pPr>
        <w:spacing w:after="0" w:line="177" w:lineRule="exact"/>
        <w:rPr>
          <w:sz w:val="20"/>
          <w:szCs w:val="20"/>
          <w:color w:val="auto"/>
        </w:rPr>
      </w:pPr>
    </w:p>
    <w:p>
      <w:pPr>
        <w:jc w:val="both"/>
        <w:ind w:firstLine="656"/>
        <w:spacing w:after="0" w:line="268" w:lineRule="auto"/>
        <w:tabs>
          <w:tab w:leader="none" w:pos="129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the Borrower or any Material Subsidiary shall (i) voluntarily commence any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proceeding or the filing of any petition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above, (iii) apply for or consent to the appointment of a receiver, trustee, custodian, sequestrator, conservator, examiner, liquidator or similar official for the Borrower or any Material Subsidiary or for a substantial part of the property or assets of the Borrower or any Material Subsidiary, (iv) file an answer admitting the material allegations of a petition filed against it in any such proceeding,</w:t>
      </w:r>
    </w:p>
    <w:p>
      <w:pPr>
        <w:spacing w:after="0" w:line="4" w:lineRule="exact"/>
        <w:rPr>
          <w:rFonts w:ascii="Arial" w:cs="Arial" w:eastAsia="Arial" w:hAnsi="Arial"/>
          <w:sz w:val="18"/>
          <w:szCs w:val="18"/>
          <w:color w:val="auto"/>
        </w:rPr>
      </w:pPr>
    </w:p>
    <w:p>
      <w:pPr>
        <w:ind w:right="20" w:firstLine="8"/>
        <w:spacing w:after="0" w:line="244" w:lineRule="auto"/>
        <w:tabs>
          <w:tab w:leader="none" w:pos="299" w:val="left"/>
        </w:tabs>
        <w:numPr>
          <w:ilvl w:val="0"/>
          <w:numId w:val="306"/>
        </w:numPr>
        <w:rPr>
          <w:rFonts w:ascii="Arial" w:cs="Arial" w:eastAsia="Arial" w:hAnsi="Arial"/>
          <w:sz w:val="20"/>
          <w:szCs w:val="20"/>
          <w:color w:val="auto"/>
        </w:rPr>
      </w:pPr>
      <w:r>
        <w:rPr>
          <w:rFonts w:ascii="Arial" w:cs="Arial" w:eastAsia="Arial" w:hAnsi="Arial"/>
          <w:sz w:val="20"/>
          <w:szCs w:val="20"/>
          <w:color w:val="auto"/>
        </w:rPr>
        <w:t>make a general assignment for the benefit of creditors or (vi) become unable or fail generally to pay its debts as they become due;</w:t>
      </w:r>
    </w:p>
    <w:p>
      <w:pPr>
        <w:spacing w:after="0" w:line="191" w:lineRule="exact"/>
        <w:rPr>
          <w:rFonts w:ascii="Arial" w:cs="Arial" w:eastAsia="Arial" w:hAnsi="Arial"/>
          <w:sz w:val="20"/>
          <w:szCs w:val="20"/>
          <w:color w:val="auto"/>
        </w:rPr>
      </w:pPr>
    </w:p>
    <w:p>
      <w:pPr>
        <w:jc w:val="both"/>
        <w:ind w:firstLine="656"/>
        <w:spacing w:after="0" w:line="260" w:lineRule="auto"/>
        <w:tabs>
          <w:tab w:leader="none" w:pos="1296" w:val="left"/>
        </w:tabs>
        <w:numPr>
          <w:ilvl w:val="1"/>
          <w:numId w:val="306"/>
        </w:numPr>
        <w:rPr>
          <w:rFonts w:ascii="Arial" w:cs="Arial" w:eastAsia="Arial" w:hAnsi="Arial"/>
          <w:sz w:val="19"/>
          <w:szCs w:val="19"/>
          <w:color w:val="auto"/>
        </w:rPr>
      </w:pPr>
      <w:r>
        <w:rPr>
          <w:rFonts w:ascii="Arial" w:cs="Arial" w:eastAsia="Arial" w:hAnsi="Arial"/>
          <w:sz w:val="19"/>
          <w:szCs w:val="19"/>
          <w:color w:val="auto"/>
        </w:rPr>
        <w:t>the failure by the Borrower or any Material Subsidiary to pay one or more final judgments aggregating in excess of the greater of (x) $7,000,000 and (y) 10% of Adjusted Consolidated EBITDA for the most recently ended Test Period as of such time, which judgments are not discharged or effectively waived or stayed for a period of sixty (60) consecutive days, or any action shall be legally taken by a judgment creditor to attach or levy upon assets or properties of the Borrower or any Material Subsidiary to enforce any such judgment;</w:t>
      </w:r>
    </w:p>
    <w:p>
      <w:pPr>
        <w:spacing w:after="0" w:line="180" w:lineRule="exact"/>
        <w:rPr>
          <w:rFonts w:ascii="Arial" w:cs="Arial" w:eastAsia="Arial" w:hAnsi="Arial"/>
          <w:sz w:val="19"/>
          <w:szCs w:val="19"/>
          <w:color w:val="auto"/>
        </w:rPr>
      </w:pPr>
    </w:p>
    <w:p>
      <w:pPr>
        <w:jc w:val="both"/>
        <w:ind w:firstLine="656"/>
        <w:spacing w:after="0" w:line="243" w:lineRule="auto"/>
        <w:tabs>
          <w:tab w:leader="none" w:pos="1296" w:val="left"/>
        </w:tabs>
        <w:numPr>
          <w:ilvl w:val="1"/>
          <w:numId w:val="306"/>
        </w:numPr>
        <w:rPr>
          <w:rFonts w:ascii="Arial" w:cs="Arial" w:eastAsia="Arial" w:hAnsi="Arial"/>
          <w:sz w:val="20"/>
          <w:szCs w:val="20"/>
          <w:color w:val="auto"/>
        </w:rPr>
      </w:pPr>
      <w:r>
        <w:rPr>
          <w:rFonts w:ascii="Arial" w:cs="Arial" w:eastAsia="Arial" w:hAnsi="Arial"/>
          <w:sz w:val="20"/>
          <w:szCs w:val="20"/>
          <w:color w:val="auto"/>
        </w:rPr>
        <w:t>(i) an ERISA Event occurs that has resulted or would reasonably be expected to result in liability of the Borrower or any Subsidiary or any ERISA Affiliate under Title IV of ERISA in an aggregate amount that would reasonably be expected to result in a Material Adverse Effect or (ii) any of the Borrower or any Subsidiary or any ERISA Affiliate fails to pay when due, after the expiration of any applicable grace period, any installment payment with respect to its Withdrawal Liability under Section 4201 of ERISA under a Multiemployer Plan in an aggregate amount that would reasonably be expected to have a Material Adverse Effect;</w:t>
      </w:r>
    </w:p>
    <w:p>
      <w:pPr>
        <w:spacing w:after="0" w:line="195" w:lineRule="exact"/>
        <w:rPr>
          <w:rFonts w:ascii="Arial" w:cs="Arial" w:eastAsia="Arial" w:hAnsi="Arial"/>
          <w:sz w:val="20"/>
          <w:szCs w:val="20"/>
          <w:color w:val="auto"/>
        </w:rPr>
      </w:pPr>
    </w:p>
    <w:p>
      <w:pPr>
        <w:jc w:val="both"/>
        <w:ind w:firstLine="656"/>
        <w:spacing w:after="0" w:line="269" w:lineRule="auto"/>
        <w:tabs>
          <w:tab w:leader="none" w:pos="1296"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 any security interest purported to be created by any Security Document and to extend to assets that constitute a material portion of the Collateral shall cease to be, or shall be asserted in writing by the Borrower or any other Loan Party not to be, a valid and perfected security interest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the limitations of foreign laws, rules and regulations as they apply to pledges of Equity Interests in Foreign Subsidiaries (other than Foreign Subsidiaries that are Loan Parties) or the application thereof, or from the Collateral Agent no longer maintaining possession of certificates actually delivered to it representing securities pledged under the Collateral Agreement or any Uniform Commercial Code financing statement having lapsed as a result of a Uniform Commercial Code continuation statements not having been filed in a timely manner (so long as such failure does not result from the breach or non-compliance with the Loan Documents by any Loan Party) or (ii) a material portion of the Guarantees pursuant to the Loan Documents by the Guarantors guaranteeing the Obligations, shall cease to be in full force and effect (other than in accordance with the terms thereof), or shall be asserted in writing by the Borrower or any Guarantor not to be in effect or not to be legal, valid and binding obligations (other than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8" w:name="page319"/>
    <w:bookmarkEnd w:id="318"/>
    <w:p>
      <w:pPr>
        <w:jc w:val="both"/>
        <w:spacing w:after="0" w:line="246" w:lineRule="auto"/>
        <w:rPr>
          <w:sz w:val="20"/>
          <w:szCs w:val="20"/>
          <w:color w:val="auto"/>
        </w:rPr>
      </w:pPr>
      <w:r>
        <w:rPr>
          <w:rFonts w:ascii="Arial" w:cs="Arial" w:eastAsia="Arial" w:hAnsi="Arial"/>
          <w:sz w:val="20"/>
          <w:szCs w:val="20"/>
          <w:color w:val="auto"/>
        </w:rPr>
        <w:t xml:space="preserve">accordance with the terms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Event of Default shall occur under this </w:t>
      </w:r>
      <w:r>
        <w:rPr>
          <w:rFonts w:ascii="Arial" w:cs="Arial" w:eastAsia="Arial" w:hAnsi="Arial"/>
          <w:sz w:val="20"/>
          <w:szCs w:val="20"/>
          <w:u w:val="single" w:color="auto"/>
          <w:color w:val="auto"/>
        </w:rPr>
        <w:t>Section 7.01(l)</w:t>
      </w:r>
      <w:r>
        <w:rPr>
          <w:rFonts w:ascii="Arial" w:cs="Arial" w:eastAsia="Arial" w:hAnsi="Arial"/>
          <w:sz w:val="20"/>
          <w:szCs w:val="20"/>
          <w:color w:val="auto"/>
        </w:rPr>
        <w:t xml:space="preserve"> if the Loan Parties cooperate with the Collateral Agent to replace or perfect such security interest and Lien, such security interest and Lien is promptly replaced or perfected (as needed) and the rights, powers and privileges of the Secured Parties are not materially adversely affected by such replacement; or</w:t>
      </w:r>
    </w:p>
    <w:p>
      <w:pPr>
        <w:spacing w:after="0" w:line="191" w:lineRule="exact"/>
        <w:rPr>
          <w:sz w:val="20"/>
          <w:szCs w:val="20"/>
          <w:color w:val="auto"/>
        </w:rPr>
      </w:pPr>
    </w:p>
    <w:p>
      <w:pPr>
        <w:jc w:val="both"/>
        <w:ind w:firstLine="656"/>
        <w:spacing w:after="0" w:line="268" w:lineRule="auto"/>
        <w:tabs>
          <w:tab w:leader="none" w:pos="129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(i) any material provision of any Loan Document shall for any reason (other than as expressly permitted hereunder or thereunder or satisfaction in full of all the Obligations (other than contingent indemnification obligations as to which no claim has been asserted and obligations and liabilities under Secured Cash Management Agreements, Secured Hedge Agreements and Secured Supplier Receivables Agreements)) cease to be a legal, valid and binding obligation of any party thereto in accordance with its terms or (ii) any Loan Document shall for any reason be asserted in writing by the Borrower or any Guarantor not to be a legal, valid and binding obligation of any party thereto, then, and in every such event (other than an event with respect to the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and at any time thereafter during the continuance of such event, the Administrative Agent, at the request of the Required Lenders, shall, by notice to the Borrower, take any or all of the following actions, at the same or different times: (i) terminate forthwith the Commitments,</w:t>
      </w:r>
    </w:p>
    <w:p>
      <w:pPr>
        <w:spacing w:after="0" w:line="1" w:lineRule="exact"/>
        <w:rPr>
          <w:rFonts w:ascii="Arial" w:cs="Arial" w:eastAsia="Arial" w:hAnsi="Arial"/>
          <w:sz w:val="18"/>
          <w:szCs w:val="18"/>
          <w:color w:val="auto"/>
        </w:rPr>
      </w:pPr>
    </w:p>
    <w:p>
      <w:pPr>
        <w:jc w:val="both"/>
        <w:ind w:firstLine="8"/>
        <w:spacing w:after="0" w:line="267" w:lineRule="auto"/>
        <w:tabs>
          <w:tab w:leader="none" w:pos="3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premium (including Applicable Margin)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 Loan Document to the contrary notwithstanding and (iii) if the Loans have been declared due and payable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demand Cash Collateral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and in any event with respect to the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the Commitments shall automatically terminate and the principal of the Loans then outstanding, together with accrued interest thereon, premium (including Applicable Margin)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without presentment, demand, protest or any other notice of any kind, all of which are hereby expressly waived by the Borrower, anything contained herein or in any other Loan Document to the contrary notwithstanding;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Event of Default (other than an Event of Default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 with respect to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or, for the avoidance of doubt, an Event of Default under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 above</w:t>
      </w:r>
      <w:r>
        <w:rPr>
          <w:rFonts w:ascii="Arial" w:cs="Arial" w:eastAsia="Arial" w:hAnsi="Arial"/>
          <w:sz w:val="18"/>
          <w:szCs w:val="18"/>
          <w:color w:val="auto"/>
        </w:rPr>
        <w:t xml:space="preserve">), neither the Required Lenders nor the Administrative Agent may take any action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paragraph after the date that is two years after the earlier of (x) notice to the Administrative Agent of the Default or Event of Default or (y) disclosure to the Lenders of the applicable event leading to such Default or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it is understood and agreed that a press release, a filing with the SEC or a posting to the applicable Platform for the Facilities shall constitute notice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two year limitation shall apply if prior to the expiration of such two year period, the Administrative Agent has commenced any remedial action with respect to such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19" w:name="page320"/>
    <w:bookmarkEnd w:id="319"/>
    <w:p>
      <w:pPr>
        <w:ind w:left="660"/>
        <w:spacing w:after="0"/>
        <w:tabs>
          <w:tab w:leader="none" w:pos="1940" w:val="left"/>
          <w:tab w:leader="none" w:pos="3320" w:val="left"/>
        </w:tabs>
        <w:rPr>
          <w:sz w:val="20"/>
          <w:szCs w:val="20"/>
          <w:color w:val="auto"/>
        </w:rPr>
      </w:pPr>
      <w:r>
        <w:rPr>
          <w:rFonts w:ascii="Arial" w:cs="Arial" w:eastAsia="Arial" w:hAnsi="Arial"/>
          <w:sz w:val="20"/>
          <w:szCs w:val="20"/>
          <w:color w:val="auto"/>
        </w:rPr>
        <w:t>Section 7.02</w:t>
      </w:r>
      <w:r>
        <w:rPr>
          <w:sz w:val="20"/>
          <w:szCs w:val="20"/>
          <w:color w:val="auto"/>
        </w:rPr>
        <w:tab/>
      </w:r>
      <w:r>
        <w:rPr>
          <w:rFonts w:ascii="Arial" w:cs="Arial" w:eastAsia="Arial" w:hAnsi="Arial"/>
          <w:sz w:val="20"/>
          <w:szCs w:val="20"/>
          <w:u w:val="single" w:color="auto"/>
          <w:color w:val="auto"/>
        </w:rPr>
        <w:t>Right to Cure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In case of the happening of any of the following events (each, an “</w:t>
      </w:r>
      <w:r>
        <w:rPr>
          <w:rFonts w:ascii="Arial" w:cs="Arial" w:eastAsia="Arial" w:hAnsi="Arial"/>
          <w:sz w:val="20"/>
          <w:szCs w:val="20"/>
          <w:u w:val="single" w:color="auto"/>
          <w:color w:val="auto"/>
        </w:rPr>
        <w:t>Event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w:t>
      </w:r>
    </w:p>
    <w:p>
      <w:pPr>
        <w:spacing w:after="0" w:line="200" w:lineRule="exact"/>
        <w:rPr>
          <w:sz w:val="20"/>
          <w:szCs w:val="20"/>
          <w:color w:val="auto"/>
        </w:rPr>
      </w:pPr>
    </w:p>
    <w:p>
      <w:pPr>
        <w:jc w:val="both"/>
        <w:ind w:firstLine="656"/>
        <w:spacing w:after="0" w:line="270" w:lineRule="auto"/>
        <w:tabs>
          <w:tab w:leader="none" w:pos="129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otherwise contained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in the event of any Event of Default with respect to the Financial Covenants and upon the receipt of a Specified Equity Contribution within the time period specified, and subject to the satisfaction of the other conditions with respect to a Specified Equity Contribution set forth in the definition thereof, Adjusted Consolidated EBITDA shall be increased with respect to such applicable fiscal quarter and any Test Period that contains such fiscal quarter by the amount of such Specified Equity Contribution (the “</w:t>
      </w:r>
      <w:r>
        <w:rPr>
          <w:rFonts w:ascii="Arial" w:cs="Arial" w:eastAsia="Arial" w:hAnsi="Arial"/>
          <w:sz w:val="18"/>
          <w:szCs w:val="18"/>
          <w:u w:val="single" w:color="auto"/>
          <w:color w:val="auto"/>
        </w:rPr>
        <w:t>Cure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solely for the purpose of measuring compliance with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w:t>
      </w:r>
      <w:r>
        <w:rPr>
          <w:rFonts w:ascii="Arial" w:cs="Arial" w:eastAsia="Arial" w:hAnsi="Arial"/>
          <w:sz w:val="18"/>
          <w:szCs w:val="18"/>
          <w:u w:val="single" w:color="auto"/>
          <w:color w:val="auto"/>
        </w:rPr>
        <w:t>Section 6.09</w:t>
      </w:r>
      <w:r>
        <w:rPr>
          <w:rFonts w:ascii="Arial" w:cs="Arial" w:eastAsia="Arial" w:hAnsi="Arial"/>
          <w:sz w:val="18"/>
          <w:szCs w:val="18"/>
          <w:color w:val="auto"/>
        </w:rPr>
        <w:t>, they shall be deemed to have been in compliance therewith as of the relevant date of determination with the same effect as though there had been no failure to comply therewith at such date, and the applicable breach or default hereunder that had occurred shall be deemed cured for the purposes of this Agreement.</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parties hereby acknowledge that notwithstanding any other provision in this Agreement to the contrary,</w:t>
      </w:r>
    </w:p>
    <w:p>
      <w:pPr>
        <w:spacing w:after="0" w:line="38" w:lineRule="exact"/>
        <w:rPr>
          <w:rFonts w:ascii="Arial" w:cs="Arial" w:eastAsia="Arial" w:hAnsi="Arial"/>
          <w:sz w:val="18"/>
          <w:szCs w:val="18"/>
          <w:color w:val="auto"/>
        </w:rPr>
      </w:pPr>
    </w:p>
    <w:p>
      <w:pPr>
        <w:jc w:val="both"/>
        <w:ind w:firstLine="8"/>
        <w:spacing w:after="0"/>
        <w:tabs>
          <w:tab w:leader="none" w:pos="268"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the Cure Amount received pursuant to the occurrence of any Specified Equity Contribution shall be disregarded for purposes of calculating Adjusted Consolidated EBITDA in any determination of any financial ratio-based conditions, pricing or basket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(other than as applicable to </w:t>
      </w:r>
      <w:r>
        <w:rPr>
          <w:rFonts w:ascii="Arial" w:cs="Arial" w:eastAsia="Arial" w:hAnsi="Arial"/>
          <w:sz w:val="20"/>
          <w:szCs w:val="20"/>
          <w:u w:val="single" w:color="auto"/>
          <w:color w:val="auto"/>
        </w:rPr>
        <w:t>Section 6.09</w:t>
      </w:r>
      <w:r>
        <w:rPr>
          <w:rFonts w:ascii="Arial" w:cs="Arial" w:eastAsia="Arial" w:hAnsi="Arial"/>
          <w:sz w:val="20"/>
          <w:szCs w:val="20"/>
          <w:color w:val="auto"/>
        </w:rPr>
        <w:t>) and (ii) no Lender or Issuing Bank shall be required to make any Loans or L/C Disbursements, as applicable, hereunder, if an Event of Default with respect to the Financial Covenants has occurred and is continuing during the ten Business Day period during which a Specified Equity Contribution may be made (as provided in the definition of “Specified Equity Contribution”), unless and until the Cure Amount is actually received.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ind w:left="2380"/>
        <w:spacing w:after="0"/>
        <w:rPr>
          <w:sz w:val="20"/>
          <w:szCs w:val="20"/>
          <w:color w:val="auto"/>
        </w:rPr>
      </w:pPr>
      <w:r>
        <w:rPr>
          <w:rFonts w:ascii="Arial" w:cs="Arial" w:eastAsia="Arial" w:hAnsi="Arial"/>
          <w:sz w:val="20"/>
          <w:szCs w:val="20"/>
          <w:i w:val="1"/>
          <w:iCs w:val="1"/>
          <w:color w:val="auto"/>
        </w:rPr>
        <w:t>The Administrative Agent, the Collateral Agent and Other Agents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3" w:lineRule="auto"/>
        <w:tabs>
          <w:tab w:leader="none" w:pos="129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Lender hereby irrevocably appoints the entity named as Administrative Agent and Collateral Agent in the heading of this Agreement and its successors and assigns to serve as the administrative agent and collateral agent under the Loan Documents and each Lender authorizes the Administrative Agent and the Collateral Agent to take such actions as agent on its behalf and to exercise such powers under this Agreement and the other Loan Documents as are delegated to the Administrative Agent or the Collateral Agent, as applicable, under such agreements and to exercise such powers as are reasonably incidental thereto. Without limiting the foregoing, each Lender hereby authorizes the Administrative Agent and the Collateral Agent to execute and deliver, and to perform their respective obligations under, each of the Loan Documents to which the Administrative Agent or the Collateral Agent, as applicable, is a party, and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0" w:name="page321"/>
    <w:bookmarkEnd w:id="320"/>
    <w:p>
      <w:pPr>
        <w:spacing w:after="0" w:line="260" w:lineRule="auto"/>
        <w:rPr>
          <w:sz w:val="20"/>
          <w:szCs w:val="20"/>
          <w:color w:val="auto"/>
        </w:rPr>
      </w:pPr>
      <w:r>
        <w:rPr>
          <w:rFonts w:ascii="Arial" w:cs="Arial" w:eastAsia="Arial" w:hAnsi="Arial"/>
          <w:sz w:val="20"/>
          <w:szCs w:val="20"/>
          <w:color w:val="auto"/>
        </w:rPr>
        <w:t>all rights, powers and remedies that the Administrative Agent or the Collateral Agent may have under such Loan Documents.</w:t>
      </w:r>
    </w:p>
    <w:p>
      <w:pPr>
        <w:spacing w:after="0" w:line="177" w:lineRule="exact"/>
        <w:rPr>
          <w:sz w:val="20"/>
          <w:szCs w:val="20"/>
          <w:color w:val="auto"/>
        </w:rPr>
      </w:pPr>
    </w:p>
    <w:p>
      <w:pPr>
        <w:jc w:val="both"/>
        <w:ind w:firstLine="656"/>
        <w:spacing w:after="0" w:line="268" w:lineRule="auto"/>
        <w:tabs>
          <w:tab w:leader="none" w:pos="129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As to any matters not expressly provided for herein and in the other Loan Documents (including enforcement or collection), the Administrative Agent and the Collateral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Administrative Agent and the Collateral Agent shall not be required to take any action that (i) the Administrative Agent or the Collateral Agent, as applicable, in good faith believes exposes it to liability unless the Administrative Agent or the Collateral Agent, as applicable,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Administrative Agent and the Collateral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and the Collateral Agent shall not have any duty to disclose, and shall not be liable for the failure to disclose, any information relating to the Borrower, any Subsidiary or any Affiliate of any of the foregoing that is communicated to or obtained by the person serving as Administrative Agent or the Collateral Agent or any of their respective Affiliates in any capacity. Nothing in this Agreement shall require the Administrative Agent or the Collateral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312"/>
        </w:numPr>
        <w:rPr>
          <w:rFonts w:ascii="Arial" w:cs="Arial" w:eastAsia="Arial" w:hAnsi="Arial"/>
          <w:sz w:val="20"/>
          <w:szCs w:val="20"/>
          <w:color w:val="auto"/>
        </w:rPr>
      </w:pPr>
      <w:r>
        <w:rPr>
          <w:rFonts w:ascii="Arial" w:cs="Arial" w:eastAsia="Arial" w:hAnsi="Arial"/>
          <w:sz w:val="20"/>
          <w:szCs w:val="20"/>
          <w:color w:val="auto"/>
        </w:rPr>
        <w:t>In performing its functions and duties hereunder and under the other Loan Documents, each of the Administrative Agent and the Collateral Agent is acting solely on behalf of the Lenders (except in limited circumstances expressly provided for herein relating to the maintenance of the Register), and their respective duties are entirely mechanical and administrative in nature. Without limiting the generality of the foregoing:</w:t>
      </w:r>
    </w:p>
    <w:p>
      <w:pPr>
        <w:spacing w:after="0" w:line="191" w:lineRule="exact"/>
        <w:rPr>
          <w:rFonts w:ascii="Arial" w:cs="Arial" w:eastAsia="Arial" w:hAnsi="Arial"/>
          <w:sz w:val="20"/>
          <w:szCs w:val="20"/>
          <w:color w:val="auto"/>
        </w:rPr>
      </w:pPr>
    </w:p>
    <w:p>
      <w:pPr>
        <w:jc w:val="both"/>
        <w:ind w:left="660" w:firstLine="644"/>
        <w:spacing w:after="0" w:line="272" w:lineRule="auto"/>
        <w:tabs>
          <w:tab w:leader="none" w:pos="195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each of the Administrative Agent and the Collateral Agent does not assume and shall not be deemed to have assumed any obligation or duty or any other relationship as the agent, fiduciary or trustee of or for any Lender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or the Collateral Agent, as applicable,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1" w:name="page322"/>
    <w:bookmarkEnd w:id="321"/>
    <w:p>
      <w:pPr>
        <w:jc w:val="both"/>
        <w:ind w:left="660"/>
        <w:spacing w:after="0" w:line="250" w:lineRule="auto"/>
        <w:rPr>
          <w:sz w:val="20"/>
          <w:szCs w:val="20"/>
          <w:color w:val="auto"/>
        </w:rPr>
      </w:pPr>
      <w:r>
        <w:rPr>
          <w:rFonts w:ascii="Arial" w:cs="Arial" w:eastAsia="Arial" w:hAnsi="Arial"/>
          <w:sz w:val="20"/>
          <w:szCs w:val="20"/>
          <w:color w:val="auto"/>
        </w:rPr>
        <w:t>assert any claim against the Administrative Agent or the Collateral Agent based on an alleged breach of fiduciary duty by the Administrative Agent or the Collateral Agent in connection with this Agreement and/or the transactions contemplated hereby; and</w:t>
      </w:r>
    </w:p>
    <w:p>
      <w:pPr>
        <w:spacing w:after="0" w:line="186" w:lineRule="exact"/>
        <w:rPr>
          <w:sz w:val="20"/>
          <w:szCs w:val="20"/>
          <w:color w:val="auto"/>
        </w:rPr>
      </w:pPr>
    </w:p>
    <w:p>
      <w:pPr>
        <w:jc w:val="both"/>
        <w:ind w:left="660" w:firstLine="644"/>
        <w:spacing w:after="0" w:line="250" w:lineRule="auto"/>
        <w:tabs>
          <w:tab w:leader="none" w:pos="1956" w:val="left"/>
        </w:tabs>
        <w:numPr>
          <w:ilvl w:val="1"/>
          <w:numId w:val="313"/>
        </w:numPr>
        <w:rPr>
          <w:rFonts w:ascii="Arial" w:cs="Arial" w:eastAsia="Arial" w:hAnsi="Arial"/>
          <w:sz w:val="20"/>
          <w:szCs w:val="20"/>
          <w:color w:val="auto"/>
        </w:rPr>
      </w:pPr>
      <w:r>
        <w:rPr>
          <w:rFonts w:ascii="Arial" w:cs="Arial" w:eastAsia="Arial" w:hAnsi="Arial"/>
          <w:sz w:val="20"/>
          <w:szCs w:val="20"/>
          <w:color w:val="auto"/>
        </w:rPr>
        <w:t>nothing in this Agreement or any Loan Document shall require the Administrative Agent or the Collateral Agent to account to any Lender for any sum or the profit element of any sum received by the Administrative Agent or the Collateral Agent for its own account.</w:t>
      </w:r>
    </w:p>
    <w:p>
      <w:pPr>
        <w:spacing w:after="0" w:line="185"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314"/>
        </w:numPr>
        <w:rPr>
          <w:rFonts w:ascii="Arial" w:cs="Arial" w:eastAsia="Arial" w:hAnsi="Arial"/>
          <w:sz w:val="19"/>
          <w:szCs w:val="19"/>
          <w:color w:val="auto"/>
        </w:rPr>
      </w:pPr>
      <w:r>
        <w:rPr>
          <w:rFonts w:ascii="Arial" w:cs="Arial" w:eastAsia="Arial" w:hAnsi="Arial"/>
          <w:sz w:val="19"/>
          <w:szCs w:val="19"/>
          <w:color w:val="auto"/>
        </w:rPr>
        <w:t>Each of the Administrative Agent and the Collateral Agent may perform any of its duties and exercise its rights and powers hereunder or under any other Loan Document by or through any one or more sub-agents appointed by the Administrative Agent or the Collateral Agent. Each of the Administrative Agent and the Collateral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the Collateral Agent and any such sub-agent, and shall apply to their respective activities pursuant to this Agreement. Each of the Administrative Agent and the Collateral Agent shall not be responsible for the negligence or misconduct of any sub-agent except to the extent that a court of competent jurisdiction determines in a final and nonappealable judgment that the Administrative Agent or the Collateral Agent, as applicable, acted with gross negligence or willful misconduct in the selection of such sub-agent.</w:t>
      </w:r>
    </w:p>
    <w:p>
      <w:pPr>
        <w:spacing w:after="0" w:line="189"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314"/>
        </w:numPr>
        <w:rPr>
          <w:rFonts w:ascii="Arial" w:cs="Arial" w:eastAsia="Arial" w:hAnsi="Arial"/>
          <w:sz w:val="20"/>
          <w:szCs w:val="20"/>
          <w:color w:val="auto"/>
        </w:rPr>
      </w:pPr>
      <w:r>
        <w:rPr>
          <w:rFonts w:ascii="Arial" w:cs="Arial" w:eastAsia="Arial" w:hAnsi="Arial"/>
          <w:sz w:val="20"/>
          <w:szCs w:val="20"/>
          <w:color w:val="auto"/>
        </w:rPr>
        <w:t>No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85" w:lineRule="exact"/>
        <w:rPr>
          <w:rFonts w:ascii="Arial" w:cs="Arial" w:eastAsia="Arial" w:hAnsi="Arial"/>
          <w:sz w:val="20"/>
          <w:szCs w:val="20"/>
          <w:color w:val="auto"/>
        </w:rPr>
      </w:pPr>
    </w:p>
    <w:p>
      <w:pPr>
        <w:jc w:val="both"/>
        <w:ind w:firstLine="656"/>
        <w:spacing w:after="0" w:line="243" w:lineRule="auto"/>
        <w:tabs>
          <w:tab w:leader="none" w:pos="1296" w:val="left"/>
        </w:tabs>
        <w:numPr>
          <w:ilvl w:val="0"/>
          <w:numId w:val="314"/>
        </w:numPr>
        <w:rPr>
          <w:rFonts w:ascii="Arial" w:cs="Arial" w:eastAsia="Arial" w:hAnsi="Arial"/>
          <w:sz w:val="20"/>
          <w:szCs w:val="20"/>
          <w:color w:val="auto"/>
        </w:rPr>
      </w:pPr>
      <w:r>
        <w:rPr>
          <w:rFonts w:ascii="Arial" w:cs="Arial" w:eastAsia="Arial" w:hAnsi="Arial"/>
          <w:sz w:val="20"/>
          <w:szCs w:val="20"/>
          <w:color w:val="auto"/>
        </w:rPr>
        <w:t>In case of the pendency of any proceeding with respect to any Loan Party under any federal, state or foreign bankruptcy, insolvency, receivership or similar law now or hereafter in effect, each of the Administrative Agent and the Collateral Agent (irrespective of whether the principal of any Loan shall then be due and payable as herein expressed or by declaration or otherwise and irrespective of whether the Administrative Agent or the Collateral Agent, as applicable, shall have made any demand on the Borrower) shall be entitled and empowered (but not obligated) by intervention in such proceeding or otherwise:</w:t>
      </w:r>
    </w:p>
    <w:p>
      <w:pPr>
        <w:spacing w:after="0" w:line="195" w:lineRule="exact"/>
        <w:rPr>
          <w:rFonts w:ascii="Arial" w:cs="Arial" w:eastAsia="Arial" w:hAnsi="Arial"/>
          <w:sz w:val="20"/>
          <w:szCs w:val="20"/>
          <w:color w:val="auto"/>
        </w:rPr>
      </w:pPr>
    </w:p>
    <w:p>
      <w:pPr>
        <w:jc w:val="both"/>
        <w:ind w:left="660" w:firstLine="644"/>
        <w:spacing w:after="0" w:line="282" w:lineRule="auto"/>
        <w:tabs>
          <w:tab w:leader="none" w:pos="195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Administrative Agent and the Collateral Agent (including any claim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9.05</w:t>
      </w:r>
      <w:r>
        <w:rPr>
          <w:rFonts w:ascii="Arial" w:cs="Arial" w:eastAsia="Arial" w:hAnsi="Arial"/>
          <w:sz w:val="18"/>
          <w:szCs w:val="18"/>
          <w:color w:val="auto"/>
        </w:rPr>
        <w:t>) allowed in such judicial proceeding; and</w:t>
      </w:r>
    </w:p>
    <w:p>
      <w:pPr>
        <w:spacing w:after="0" w:line="161" w:lineRule="exact"/>
        <w:rPr>
          <w:sz w:val="20"/>
          <w:szCs w:val="20"/>
          <w:color w:val="auto"/>
        </w:rPr>
      </w:pPr>
    </w:p>
    <w:p>
      <w:pPr>
        <w:ind w:left="660" w:firstLine="644"/>
        <w:spacing w:after="0" w:line="260" w:lineRule="auto"/>
        <w:tabs>
          <w:tab w:leader="none" w:pos="1956"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proceeding is hereby authorized by each Lender and each other Secured Party to make such payments to the Administrative Agent and the Collateral Agent and, in the event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2" w:name="page323"/>
    <w:bookmarkEnd w:id="322"/>
    <w:p>
      <w:pPr>
        <w:jc w:val="both"/>
        <w:spacing w:after="0" w:line="257" w:lineRule="auto"/>
        <w:rPr>
          <w:sz w:val="20"/>
          <w:szCs w:val="20"/>
          <w:color w:val="auto"/>
        </w:rPr>
      </w:pPr>
      <w:r>
        <w:rPr>
          <w:rFonts w:ascii="Arial" w:cs="Arial" w:eastAsia="Arial" w:hAnsi="Arial"/>
          <w:sz w:val="19"/>
          <w:szCs w:val="19"/>
          <w:color w:val="auto"/>
        </w:rPr>
        <w:t xml:space="preserve">Administrative Agent or the Collateral Agent shall consent to the making of such payments directly to the Lenders or the other Secured Parties, to pay to the Administrative Agent or the Collateral Agent, as applicable, any amount due to it, in its capacity as the Administrative Agent or the Collateral Agent, as applicable, under the Loan Documents (including under </w:t>
      </w:r>
      <w:r>
        <w:rPr>
          <w:rFonts w:ascii="Arial" w:cs="Arial" w:eastAsia="Arial" w:hAnsi="Arial"/>
          <w:sz w:val="19"/>
          <w:szCs w:val="19"/>
          <w:u w:val="single" w:color="auto"/>
          <w:color w:val="auto"/>
        </w:rPr>
        <w:t>Section 9.05</w:t>
      </w:r>
      <w:r>
        <w:rPr>
          <w:rFonts w:ascii="Arial" w:cs="Arial" w:eastAsia="Arial" w:hAnsi="Arial"/>
          <w:sz w:val="19"/>
          <w:szCs w:val="19"/>
          <w:color w:val="auto"/>
        </w:rPr>
        <w:t>). Nothing contained herein shall be deemed to authorize the Administrative Agent or the Collateral Agent to authorize or consent to or accept or adopt on behalf of any Lender any plan of reorganization, arrangement, adjustment or composition affecting the Obligations or the rights of any Lender or to authorize the Administrative Agent or the Collateral Agent to vote in respect of the claim of any Lender in any such proceeding.</w:t>
      </w:r>
    </w:p>
    <w:p>
      <w:pPr>
        <w:spacing w:after="0" w:line="171" w:lineRule="exact"/>
        <w:rPr>
          <w:sz w:val="20"/>
          <w:szCs w:val="20"/>
          <w:color w:val="auto"/>
        </w:rPr>
      </w:pPr>
    </w:p>
    <w:p>
      <w:pPr>
        <w:jc w:val="both"/>
        <w:ind w:firstLine="656"/>
        <w:spacing w:after="0" w:line="259" w:lineRule="auto"/>
        <w:tabs>
          <w:tab w:leader="none" w:pos="1296" w:val="left"/>
        </w:tabs>
        <w:numPr>
          <w:ilvl w:val="0"/>
          <w:numId w:val="316"/>
        </w:numPr>
        <w:rPr>
          <w:rFonts w:ascii="Arial" w:cs="Arial" w:eastAsia="Arial" w:hAnsi="Arial"/>
          <w:sz w:val="19"/>
          <w:szCs w:val="19"/>
          <w:color w:val="auto"/>
        </w:rPr>
      </w:pPr>
      <w:r>
        <w:rPr>
          <w:rFonts w:ascii="Arial" w:cs="Arial" w:eastAsia="Arial" w:hAnsi="Arial"/>
          <w:sz w:val="19"/>
          <w:szCs w:val="19"/>
          <w:color w:val="auto"/>
        </w:rPr>
        <w:t>The provisions of this Article are solely for the benefit of the Administrative Agent, the Collateral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Article.</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8"/>
          <w:szCs w:val="18"/>
          <w:u w:val="single" w:color="auto"/>
          <w:color w:val="auto"/>
        </w:rPr>
        <w:t>Administrative Agent’s and Collateral Agent’s Reliance; Limitation of Liability, Etc.</w:t>
      </w:r>
    </w:p>
    <w:p>
      <w:pPr>
        <w:spacing w:after="0" w:line="216" w:lineRule="exact"/>
        <w:rPr>
          <w:sz w:val="20"/>
          <w:szCs w:val="20"/>
          <w:color w:val="auto"/>
        </w:rPr>
      </w:pPr>
    </w:p>
    <w:p>
      <w:pPr>
        <w:ind w:left="1300" w:hanging="644"/>
        <w:spacing w:after="0"/>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Neither the Administrative Agent, the Collateral Agent nor any of their respective Related Parties shall be</w:t>
      </w:r>
    </w:p>
    <w:p>
      <w:pPr>
        <w:spacing w:after="0" w:line="38" w:lineRule="exact"/>
        <w:rPr>
          <w:rFonts w:ascii="Arial" w:cs="Arial" w:eastAsia="Arial" w:hAnsi="Arial"/>
          <w:sz w:val="18"/>
          <w:szCs w:val="18"/>
          <w:color w:val="auto"/>
        </w:rPr>
      </w:pPr>
    </w:p>
    <w:p>
      <w:pPr>
        <w:jc w:val="both"/>
        <w:ind w:firstLine="8"/>
        <w:spacing w:after="0" w:line="268" w:lineRule="auto"/>
        <w:tabs>
          <w:tab w:leader="none" w:pos="24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liable for any action taken or omitted to be taken by such party, the Administrative Agent, the Collateral Agent or any of their respective Related Parties under or in connection with this Agreement or the other Loan Documents (x) with the consent of or at the request of the Required Lenders (or such other number or percentage of the Lenders as shall be necessary, or as the Administrative Agent or the Collateral Agent, as applicable,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or the Collateral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or the Collateral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77" w:lineRule="exact"/>
        <w:rPr>
          <w:rFonts w:ascii="Arial" w:cs="Arial" w:eastAsia="Arial" w:hAnsi="Arial"/>
          <w:sz w:val="18"/>
          <w:szCs w:val="18"/>
          <w:color w:val="auto"/>
        </w:rPr>
      </w:pPr>
    </w:p>
    <w:p>
      <w:pPr>
        <w:jc w:val="both"/>
        <w:ind w:firstLine="656"/>
        <w:spacing w:after="0" w:line="260" w:lineRule="auto"/>
        <w:tabs>
          <w:tab w:leader="none" w:pos="1296" w:val="left"/>
        </w:tabs>
        <w:numPr>
          <w:ilvl w:val="1"/>
          <w:numId w:val="318"/>
        </w:numPr>
        <w:rPr>
          <w:rFonts w:ascii="Arial" w:cs="Arial" w:eastAsia="Arial" w:hAnsi="Arial"/>
          <w:sz w:val="19"/>
          <w:szCs w:val="19"/>
          <w:color w:val="auto"/>
        </w:rPr>
      </w:pPr>
      <w:r>
        <w:rPr>
          <w:rFonts w:ascii="Arial" w:cs="Arial" w:eastAsia="Arial" w:hAnsi="Arial"/>
          <w:sz w:val="19"/>
          <w:szCs w:val="19"/>
          <w:color w:val="auto"/>
        </w:rPr>
        <w:t xml:space="preserve">Each of the Administrative Agent and the Collateral Agent shall be deemed not to have knowledge of any (i) notice of any of the events or circumstances set forth or described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unless and until written notice thereof stating that it is a “notice under </w:t>
      </w:r>
      <w:r>
        <w:rPr>
          <w:rFonts w:ascii="Arial" w:cs="Arial" w:eastAsia="Arial" w:hAnsi="Arial"/>
          <w:sz w:val="19"/>
          <w:szCs w:val="19"/>
          <w:u w:val="single" w:color="auto"/>
          <w:color w:val="auto"/>
        </w:rPr>
        <w:t>Section 5.05</w:t>
      </w:r>
      <w:r>
        <w:rPr>
          <w:rFonts w:ascii="Arial" w:cs="Arial" w:eastAsia="Arial" w:hAnsi="Arial"/>
          <w:sz w:val="19"/>
          <w:szCs w:val="19"/>
          <w:color w:val="auto"/>
        </w:rPr>
        <w:t>” in respect of this Agreement and identifying the specific clause under said Section is given to the Administrative Agent or the Collateral Agent, as applicable, by the Borrower, or (ii) notice of any Default or Event of Default unless and until written notice thereof (stating that it is a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3" w:name="page324"/>
    <w:bookmarkEnd w:id="323"/>
    <w:p>
      <w:pPr>
        <w:jc w:val="both"/>
        <w:spacing w:after="0" w:line="267" w:lineRule="auto"/>
        <w:rPr>
          <w:sz w:val="20"/>
          <w:szCs w:val="20"/>
          <w:color w:val="auto"/>
        </w:rPr>
      </w:pPr>
      <w:r>
        <w:rPr>
          <w:rFonts w:ascii="Arial" w:cs="Arial" w:eastAsia="Arial" w:hAnsi="Arial"/>
          <w:sz w:val="18"/>
          <w:szCs w:val="18"/>
          <w:color w:val="auto"/>
        </w:rPr>
        <w:t xml:space="preserve">Default” or a “notice of an Event of Default”) is given to the Administrative Agent or the Collateral Agent, as applicable, by the Borrower or a Lender. Further, each of the Administrative Agent and the Collateral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(E)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in any Loan Document, other than to confirm receipt of items (which on their face purport to be such items) expressly required to be delivered to the Administrative Agent or the Collateral Agent, as applicable, or satisfaction of any condition that expressly refers to the matters described therein being acceptable or satisfactory to the Administrative Agent or the Collateral Agent, as applicable, or (F) the creation, perfection or priority of Liens on the Collateral or the value or sufficiency of the Collateral. Each of the Administrative Agent and the Collateral Agent shall not be responsible or have any liability for, or have any duty to ascertain, inquire into, monitor or enforce, compliance with the provisions hereof relating to Disqualified Lenders. Without limiting the generality of the foregoing, each of the Administrative Agent and the Collateral Agent shall not (x)‎ be obligated to ascertain, monitor or inquire as to</w:t>
      </w:r>
    </w:p>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whether any Lender or Participant or prospective Lender or Participant is a Disqualified Lender‎ or a Net Short Lender or (y) have any liability with respect to or arising out of any assignment or participation of Loans and/or Commitments, or disclosure of confidential information, to any ‎Disqualified Lender or a Net Short Lender.‎</w:t>
      </w:r>
    </w:p>
    <w:p>
      <w:pPr>
        <w:spacing w:after="0" w:line="196" w:lineRule="exact"/>
        <w:rPr>
          <w:sz w:val="20"/>
          <w:szCs w:val="20"/>
          <w:color w:val="auto"/>
        </w:rPr>
      </w:pPr>
    </w:p>
    <w:p>
      <w:pPr>
        <w:jc w:val="both"/>
        <w:ind w:firstLine="656"/>
        <w:spacing w:after="0" w:line="269" w:lineRule="auto"/>
        <w:tabs>
          <w:tab w:leader="none" w:pos="129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Without limiting the foregoing, each of the Administrative Agent and the Collateral Agent (i) may treat the payee of any promissory note as its holder until such promissory note has been assigned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(ii) may rely on the Register to the extent set forth in </w:t>
      </w:r>
      <w:r>
        <w:rPr>
          <w:rFonts w:ascii="Arial" w:cs="Arial" w:eastAsia="Arial" w:hAnsi="Arial"/>
          <w:sz w:val="18"/>
          <w:szCs w:val="18"/>
          <w:u w:val="single" w:color="auto"/>
          <w:color w:val="auto"/>
        </w:rPr>
        <w:t>Section 9.04(b)</w:t>
      </w:r>
      <w:r>
        <w:rPr>
          <w:rFonts w:ascii="Arial" w:cs="Arial" w:eastAsia="Arial" w:hAnsi="Arial"/>
          <w:sz w:val="18"/>
          <w:szCs w:val="18"/>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4" w:name="page325"/>
    <w:bookmarkEnd w:id="324"/>
    <w:p>
      <w:pPr>
        <w:ind w:left="660"/>
        <w:spacing w:after="0"/>
        <w:tabs>
          <w:tab w:leader="none" w:pos="1940" w:val="left"/>
        </w:tabs>
        <w:rPr>
          <w:sz w:val="20"/>
          <w:szCs w:val="20"/>
          <w:color w:val="auto"/>
        </w:rPr>
      </w:pPr>
      <w:r>
        <w:rPr>
          <w:rFonts w:ascii="Arial" w:cs="Arial" w:eastAsia="Arial" w:hAnsi="Arial"/>
          <w:sz w:val="20"/>
          <w:szCs w:val="20"/>
          <w:color w:val="auto"/>
        </w:rPr>
        <w:t>Section 8.03</w:t>
      </w:r>
      <w:r>
        <w:rPr>
          <w:sz w:val="20"/>
          <w:szCs w:val="20"/>
          <w:color w:val="auto"/>
        </w:rPr>
        <w:tab/>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296"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The Borrower agrees that the Administrative Agent and the Collateral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55" w:lineRule="auto"/>
        <w:tabs>
          <w:tab w:leader="none" w:pos="1296"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and the Collateral Agent are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89" w:lineRule="exact"/>
        <w:rPr>
          <w:rFonts w:ascii="Arial" w:cs="Arial" w:eastAsia="Arial" w:hAnsi="Arial"/>
          <w:sz w:val="19"/>
          <w:szCs w:val="19"/>
          <w:color w:val="auto"/>
        </w:rPr>
      </w:pPr>
    </w:p>
    <w:p>
      <w:pPr>
        <w:jc w:val="both"/>
        <w:ind w:firstLine="656"/>
        <w:spacing w:after="0"/>
        <w:tabs>
          <w:tab w:leader="none" w:pos="1296"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COLLATERAL AGENT, THE SUSTAINABILITY STRUCTURING AGENT, THE SYNDICATION AGENT, ANY ARRANGER OR ANY OF THEIR RESPECTIVE RELATED PARTIES (COLLECTIVELY, THE “</w:t>
      </w:r>
      <w:r>
        <w:rPr>
          <w:rFonts w:ascii="Arial" w:cs="Arial" w:eastAsia="Arial" w:hAnsi="Arial"/>
          <w:sz w:val="20"/>
          <w:szCs w:val="20"/>
          <w:u w:val="single" w:color="auto"/>
          <w:color w:val="auto"/>
        </w:rPr>
        <w:t>APPLICABLE PARTIES</w:t>
      </w:r>
      <w:r>
        <w:rPr>
          <w:rFonts w:ascii="Arial" w:cs="Arial" w:eastAsia="Arial" w:hAnsi="Arial"/>
          <w:sz w:val="20"/>
          <w:szCs w:val="20"/>
          <w:color w:val="auto"/>
        </w:rPr>
        <w:t>”) HAVE ANY LIABILITY TO ANY LOAN PARTY, ANY LENDER OR ANY OTHER PERSON OR ENTITY FOR DAMAGES OF ANY KIND, INCLUDING DIRECT OR INDIRECT, SPECIAL, INCIDENTAL OR CONSEQUENTIAL DAMAGES, LOSSES OR EXPENSES (WHETHER IN TORT, CONTRACT OR OTHERWISE) ARISING OUT OF ANY LOAN PARTY’S, THE ADMINISTRATIVE AGENT’S OR THE COLLATERAL AGENT’S TRANSMISSION OF COMMUNICATIONS THROUGH THE INTERNET OR THE APPROVED ELECTRONIC PLATFORM.</w:t>
      </w:r>
    </w:p>
    <w:p>
      <w:pPr>
        <w:spacing w:after="0" w:line="207"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320"/>
        </w:numPr>
        <w:rPr>
          <w:rFonts w:ascii="Arial" w:cs="Arial" w:eastAsia="Arial" w:hAnsi="Arial"/>
          <w:sz w:val="20"/>
          <w:szCs w:val="20"/>
          <w:color w:val="auto"/>
        </w:rPr>
      </w:pPr>
      <w:r>
        <w:rPr>
          <w:rFonts w:ascii="Arial" w:cs="Arial" w:eastAsia="Arial" w:hAnsi="Arial"/>
          <w:sz w:val="20"/>
          <w:szCs w:val="20"/>
          <w:color w:val="auto"/>
        </w:rPr>
        <w:t>Each Lender agrees that notice to it (as provided in the next clause) specifying that Communications have been posted to the Approved Electronic Platform shall constitute effective delivery of the Communications to such Lender for purposes of the Loan Documents.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5" w:name="page326"/>
    <w:bookmarkEnd w:id="325"/>
    <w:p>
      <w:pPr>
        <w:jc w:val="both"/>
        <w:spacing w:after="0" w:line="250" w:lineRule="auto"/>
        <w:rPr>
          <w:sz w:val="20"/>
          <w:szCs w:val="20"/>
          <w:color w:val="auto"/>
        </w:rPr>
      </w:pPr>
      <w:r>
        <w:rPr>
          <w:rFonts w:ascii="Arial" w:cs="Arial" w:eastAsia="Arial" w:hAnsi="Arial"/>
          <w:sz w:val="20"/>
          <w:szCs w:val="20"/>
          <w:color w:val="auto"/>
        </w:rPr>
        <w:t>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186" w:lineRule="exact"/>
        <w:rPr>
          <w:sz w:val="20"/>
          <w:szCs w:val="20"/>
          <w:color w:val="auto"/>
        </w:rPr>
      </w:pPr>
    </w:p>
    <w:p>
      <w:pPr>
        <w:jc w:val="both"/>
        <w:ind w:firstLine="656"/>
        <w:spacing w:after="0" w:line="246" w:lineRule="auto"/>
        <w:tabs>
          <w:tab w:leader="none" w:pos="1296" w:val="left"/>
        </w:tabs>
        <w:numPr>
          <w:ilvl w:val="0"/>
          <w:numId w:val="321"/>
        </w:numPr>
        <w:rPr>
          <w:rFonts w:ascii="Arial" w:cs="Arial" w:eastAsia="Arial" w:hAnsi="Arial"/>
          <w:sz w:val="20"/>
          <w:szCs w:val="20"/>
          <w:color w:val="auto"/>
        </w:rPr>
      </w:pPr>
      <w:r>
        <w:rPr>
          <w:rFonts w:ascii="Arial" w:cs="Arial" w:eastAsia="Arial" w:hAnsi="Arial"/>
          <w:sz w:val="20"/>
          <w:szCs w:val="20"/>
          <w:color w:val="auto"/>
        </w:rPr>
        <w:t>Each of the Lenders and the Borrower agrees that the Administrative Agent and the Collateral Agent may, but (except as may be required by applicable law) shall not be obligated to, store the Communications on the Approved Electronic Platform in accordance with the Administrative Agent’s and the Collateral Agent’s generally applicable document retention procedures and policies.</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321"/>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the Collateral Agent or any Lender to give any notice or other communication pursuant to any Loan Document in any other manner specified in such Loan Document.</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The Administrative Agent and Collateral Agent Individually</w:t>
      </w:r>
      <w:r>
        <w:rPr>
          <w:rFonts w:ascii="Arial" w:cs="Arial" w:eastAsia="Arial" w:hAnsi="Arial"/>
          <w:sz w:val="19"/>
          <w:szCs w:val="19"/>
          <w:color w:val="auto"/>
        </w:rPr>
        <w:t>. With respect to its Commitments and Loans, if any, the person serving as the Administrative Agent and as the Collateral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and/or the Collateral Agent in its individual capacity as a Lender or as one of the Required Lenders, as applicable. The person serving as the Administrative Agent and the Collateral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or the Collateral Agent and without any duty to account therefor to the Lenders.</w:t>
      </w:r>
    </w:p>
    <w:p>
      <w:pPr>
        <w:spacing w:after="0" w:line="19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8.05</w:t>
      </w:r>
      <w:r>
        <w:rPr>
          <w:sz w:val="20"/>
          <w:szCs w:val="20"/>
          <w:color w:val="auto"/>
        </w:rPr>
        <w:tab/>
      </w:r>
      <w:r>
        <w:rPr>
          <w:rFonts w:ascii="Arial" w:cs="Arial" w:eastAsia="Arial" w:hAnsi="Arial"/>
          <w:sz w:val="16"/>
          <w:szCs w:val="16"/>
          <w:u w:val="single" w:color="auto"/>
          <w:color w:val="auto"/>
        </w:rPr>
        <w:t>Successor Administrative Agent and Successor Collateral Agent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9" w:lineRule="auto"/>
        <w:tabs>
          <w:tab w:leader="none" w:pos="129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Each of the Administrative Agent and the Collateral Agent may resign at any time by giving thirty (30) days’ prior written notice thereof to the Lenders and the Borrower, whether or not a successor Administrative Agent and/or a successor Collateral Agent has been appointed. Upon any such resignation, the Required Lenders shall have the right to appoint a successor Administrative Agent. If no successor Administrative Agent nor successor Collateral Agent, as applicable, shall have been so appointed by the Required Lenders, and shall have accepted such appointment, within thirty</w:t>
      </w:r>
    </w:p>
    <w:p>
      <w:pPr>
        <w:spacing w:after="0" w:line="3" w:lineRule="exact"/>
        <w:rPr>
          <w:rFonts w:ascii="Arial" w:cs="Arial" w:eastAsia="Arial" w:hAnsi="Arial"/>
          <w:sz w:val="18"/>
          <w:szCs w:val="18"/>
          <w:color w:val="auto"/>
        </w:rPr>
      </w:pPr>
    </w:p>
    <w:p>
      <w:pPr>
        <w:jc w:val="both"/>
        <w:ind w:firstLine="8"/>
        <w:spacing w:after="0" w:line="254" w:lineRule="auto"/>
        <w:tabs>
          <w:tab w:leader="none" w:pos="392" w:val="left"/>
        </w:tabs>
        <w:numPr>
          <w:ilvl w:val="0"/>
          <w:numId w:val="323"/>
        </w:numPr>
        <w:rPr>
          <w:rFonts w:ascii="Arial" w:cs="Arial" w:eastAsia="Arial" w:hAnsi="Arial"/>
          <w:sz w:val="19"/>
          <w:szCs w:val="19"/>
          <w:color w:val="auto"/>
        </w:rPr>
      </w:pPr>
      <w:r>
        <w:rPr>
          <w:rFonts w:ascii="Arial" w:cs="Arial" w:eastAsia="Arial" w:hAnsi="Arial"/>
          <w:sz w:val="19"/>
          <w:szCs w:val="19"/>
          <w:color w:val="auto"/>
        </w:rPr>
        <w:t>days after the retiring Administrative Agent’s and/or Collateral Agent’s, as applicable, giving of notice of resignation, then the retiring Administrative Agent and/or Collateral Agent, as applicable, may, on behalf of the Lenders, appoint a successor Administrative Agent and/or Collateral Agent, as applicable,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or as Collateral Agent by a successor Collateral Agent, such successor Administrative Agent or Collateral Agent, as applicable, shall succeed to, and become vested with, all the rights, powers, privileges and duties of the retiring Administrative Agent or Collateral Agent, as applicable.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6" w:name="page327"/>
    <w:bookmarkEnd w:id="326"/>
    <w:p>
      <w:pPr>
        <w:jc w:val="both"/>
        <w:spacing w:after="0" w:line="257" w:lineRule="auto"/>
        <w:rPr>
          <w:sz w:val="20"/>
          <w:szCs w:val="20"/>
          <w:color w:val="auto"/>
        </w:rPr>
      </w:pPr>
      <w:r>
        <w:rPr>
          <w:rFonts w:ascii="Arial" w:cs="Arial" w:eastAsia="Arial" w:hAnsi="Arial"/>
          <w:sz w:val="19"/>
          <w:szCs w:val="19"/>
          <w:color w:val="auto"/>
        </w:rPr>
        <w:t>the acceptance of appointment as Administrative Agent by a successor Administrative Agent or as Collateral Agent by a successor Collateral Agent, the retiring Administrative Agent or Collateral Agent, as applicable, shall be discharged from its duties and obligations under this Agreement and the other Loan Documents. Prior to any retiring Administrative Agent’s and/or Collateral Agent’s resignation hereunder as Administrative Agent or Collateral Agent, as applicable, the retiring Administrative Agent or Collateral Agent, as applicable shall take such action as may be reasonably necessary to assign to the successor Administrative Agent its rights as Administrative Agent and/or to the successor Collateral Agent its rights as Collateral Agent, in each case, under the Loan Documents.</w:t>
      </w:r>
    </w:p>
    <w:p>
      <w:pPr>
        <w:spacing w:after="0" w:line="185" w:lineRule="exact"/>
        <w:rPr>
          <w:sz w:val="20"/>
          <w:szCs w:val="20"/>
          <w:color w:val="auto"/>
        </w:rPr>
      </w:pPr>
    </w:p>
    <w:p>
      <w:pPr>
        <w:jc w:val="both"/>
        <w:ind w:firstLine="656"/>
        <w:spacing w:after="0" w:line="267" w:lineRule="auto"/>
        <w:tabs>
          <w:tab w:leader="none" w:pos="129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Notwithstanding paragraph (a) of this Section, in the event no successor Administrative Agent or Collateral Agent, as applicable, shall have been so appointed and shall have accepted such appointment within thirty (30) days after the retiring Administrative Agent or Collateral Agent, as applicable, gives notice of its intent to resign, the retiring Administrative Agent or Collateral Agent, as applicable, may give notice of the effectiveness of its resignation to the Lenders and the Borrower, whereupon, on the date of effectiveness of such resignation stated in such notice, (i) the retiring Administrative Agent or Collateral Agent, as applicable, shall be discharged from its duties and obligations hereunder and under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maintaining any security interest granted to the Collateral Agent under any Security Document for the benefit of the Secured Parties, the retiring Collateral Agent shall continue to be vested with such security interest as collateral agent for the benefit of the Secured Parties, and continue to be entitled to the rights set forth in such Security Document and Loan Document, and, in the case of any Collateral in the possession of the Collateral Agent, shall continue to hold such Collateral, in each case until such time as a successor Collateral Agent is appointed and accepts such appointment in accordance with this Section (it being understood and agreed that the retiring Collateral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(A) all payments required to be made hereunder or under any other Loan Document to the Administrative Agent or the Collateral Agent for the account of any person other than the Administrative Agent or the Collateral Agent shall be made directly to such person and (B) all notices and other communications required or contemplated to be given or made to the Administrative Agent or the Collateral Agent shall directly be given or made to each Lender. Following the effectiveness of the Administrative Agent’s or the Collateral Agent’s resignation from its capacity as such, the provisions of this Article and</w:t>
      </w:r>
    </w:p>
    <w:p>
      <w:pPr>
        <w:jc w:val="both"/>
        <w:spacing w:after="0" w:line="274" w:lineRule="auto"/>
        <w:rPr>
          <w:rFonts w:ascii="Arial" w:cs="Arial" w:eastAsia="Arial" w:hAnsi="Arial"/>
          <w:sz w:val="18"/>
          <w:szCs w:val="18"/>
          <w:color w:val="auto"/>
        </w:rPr>
      </w:pPr>
      <w:r>
        <w:rPr>
          <w:rFonts w:ascii="Arial" w:cs="Arial" w:eastAsia="Arial" w:hAnsi="Arial"/>
          <w:sz w:val="18"/>
          <w:szCs w:val="18"/>
          <w:color w:val="auto"/>
        </w:rPr>
        <w:t xml:space="preserve">Section‎ 9.05, as well as any exculpatory, reimbursement and indemnification provisions set forth in any other Loan Document, shall continue in effect for the benefit of such retiring Administrative Agent or Collateral Agent, as applicable, its sub-agents and their respective Related Parties in respect of any actions taken or omitted to be taken by any of them while the retiring Administrative Agent was acting as Administrative Agent or the retiring Collateral Agent was acting as Collateral Agent, as applicable, and in respect of the matters referred to in the proviso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6540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654050" cy="8890"/>
                    </a:xfrm>
                    <a:prstGeom prst="rect">
                      <a:avLst/>
                    </a:prstGeom>
                    <a:noFill/>
                  </pic:spPr>
                </pic:pic>
              </a:graphicData>
            </a:graphic>
          </wp:anchor>
        </w:drawing>
      </w:r>
    </w:p>
    <w:p>
      <w:pPr>
        <w:spacing w:after="0" w:line="14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8.06</w:t>
      </w:r>
      <w:r>
        <w:rPr>
          <w:sz w:val="20"/>
          <w:szCs w:val="20"/>
          <w:color w:val="auto"/>
        </w:rPr>
        <w:tab/>
      </w:r>
      <w:r>
        <w:rPr>
          <w:rFonts w:ascii="Arial" w:cs="Arial" w:eastAsia="Arial" w:hAnsi="Arial"/>
          <w:sz w:val="18"/>
          <w:szCs w:val="18"/>
          <w:u w:val="single" w:color="auto"/>
          <w:color w:val="auto"/>
        </w:rPr>
        <w:t>Acknowledgements of Lenders</w:t>
      </w:r>
      <w:r>
        <w:rPr>
          <w:rFonts w:ascii="Arial" w:cs="Arial" w:eastAsia="Arial" w:hAnsi="Arial"/>
          <w:sz w:val="18"/>
          <w:szCs w:val="18"/>
          <w:color w:val="auto"/>
        </w:rPr>
        <w:t>.</w:t>
      </w:r>
    </w:p>
    <w:p>
      <w:pPr>
        <w:spacing w:after="0" w:line="216" w:lineRule="exact"/>
        <w:rPr>
          <w:sz w:val="20"/>
          <w:szCs w:val="20"/>
          <w:color w:val="auto"/>
        </w:rPr>
      </w:pPr>
    </w:p>
    <w:p>
      <w:pPr>
        <w:ind w:firstLine="656"/>
        <w:spacing w:after="0" w:line="260" w:lineRule="auto"/>
        <w:tabs>
          <w:tab w:leader="none" w:pos="129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Each Lender represents and warrants that (i) the Loan Documents set forth the terms of a commercial lending facility, (ii) it is engaged in making, acquiring or holding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7" w:name="page328"/>
    <w:bookmarkEnd w:id="327"/>
    <w:p>
      <w:pPr>
        <w:jc w:val="both"/>
        <w:spacing w:after="0" w:line="254" w:lineRule="auto"/>
        <w:rPr>
          <w:sz w:val="20"/>
          <w:szCs w:val="20"/>
          <w:color w:val="auto"/>
        </w:rPr>
      </w:pPr>
      <w:r>
        <w:rPr>
          <w:rFonts w:ascii="Arial" w:cs="Arial" w:eastAsia="Arial" w:hAnsi="Arial"/>
          <w:sz w:val="19"/>
          <w:szCs w:val="19"/>
          <w:color w:val="auto"/>
        </w:rPr>
        <w:t>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Collateral Agent, any Arranger, the Sustainability Structuring Agent, the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Collateral Agent, any Arranger, the Sustainability Structuring Agent, the 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sz w:val="20"/>
          <w:szCs w:val="20"/>
          <w:color w:val="auto"/>
        </w:rPr>
      </w:pPr>
    </w:p>
    <w:p>
      <w:pPr>
        <w:jc w:val="both"/>
        <w:ind w:firstLine="656"/>
        <w:spacing w:after="0" w:line="244" w:lineRule="auto"/>
        <w:tabs>
          <w:tab w:leader="none" w:pos="1296" w:val="left"/>
        </w:tabs>
        <w:numPr>
          <w:ilvl w:val="0"/>
          <w:numId w:val="326"/>
        </w:numPr>
        <w:rPr>
          <w:rFonts w:ascii="Arial" w:cs="Arial" w:eastAsia="Arial" w:hAnsi="Arial"/>
          <w:sz w:val="20"/>
          <w:szCs w:val="20"/>
          <w:color w:val="auto"/>
        </w:rPr>
      </w:pPr>
      <w:r>
        <w:rPr>
          <w:rFonts w:ascii="Arial" w:cs="Arial" w:eastAsia="Arial" w:hAnsi="Arial"/>
          <w:sz w:val="20"/>
          <w:szCs w:val="20"/>
          <w:color w:val="auto"/>
        </w:rPr>
        <w:t>Each Lender, by delivering its signature page to this Agreement on the Closing Date, or delivering its signature page to an Assignment and Acceptance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the Collateral Agent or the Lenders on the Closing Date.</w:t>
      </w:r>
    </w:p>
    <w:p>
      <w:pPr>
        <w:spacing w:after="0" w:line="194" w:lineRule="exact"/>
        <w:rPr>
          <w:rFonts w:ascii="Arial" w:cs="Arial" w:eastAsia="Arial" w:hAnsi="Arial"/>
          <w:sz w:val="20"/>
          <w:szCs w:val="20"/>
          <w:color w:val="auto"/>
        </w:rPr>
      </w:pPr>
    </w:p>
    <w:p>
      <w:pPr>
        <w:jc w:val="both"/>
        <w:ind w:firstLine="656"/>
        <w:spacing w:after="0" w:line="254" w:lineRule="auto"/>
        <w:tabs>
          <w:tab w:leader="none" w:pos="1296" w:val="left"/>
        </w:tabs>
        <w:numPr>
          <w:ilvl w:val="0"/>
          <w:numId w:val="326"/>
        </w:numPr>
        <w:rPr>
          <w:rFonts w:ascii="Arial" w:cs="Arial" w:eastAsia="Arial" w:hAnsi="Arial"/>
          <w:sz w:val="19"/>
          <w:szCs w:val="19"/>
          <w:color w:val="auto"/>
        </w:rPr>
      </w:pPr>
      <w:r>
        <w:rPr>
          <w:rFonts w:ascii="Arial" w:cs="Arial" w:eastAsia="Arial" w:hAnsi="Arial"/>
          <w:sz w:val="19"/>
          <w:szCs w:val="19"/>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9"/>
          <w:szCs w:val="19"/>
          <w:u w:val="single" w:color="auto"/>
          <w:color w:val="auto"/>
        </w:rPr>
        <w:t>Section 8.06(c)</w:t>
      </w:r>
      <w:r>
        <w:rPr>
          <w:rFonts w:ascii="Arial" w:cs="Arial" w:eastAsia="Arial" w:hAnsi="Arial"/>
          <w:sz w:val="19"/>
          <w:szCs w:val="19"/>
          <w:color w:val="auto"/>
        </w:rPr>
        <w:t xml:space="preserve"> 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8" w:name="page329"/>
    <w:bookmarkEnd w:id="328"/>
    <w:p>
      <w:pPr>
        <w:jc w:val="both"/>
        <w:ind w:firstLine="656"/>
        <w:spacing w:after="0" w:line="255" w:lineRule="auto"/>
        <w:tabs>
          <w:tab w:leader="none" w:pos="129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4"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94"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Each party’s obligations under this </w:t>
      </w:r>
      <w:r>
        <w:rPr>
          <w:rFonts w:ascii="Arial" w:cs="Arial" w:eastAsia="Arial" w:hAnsi="Arial"/>
          <w:sz w:val="19"/>
          <w:szCs w:val="19"/>
          <w:u w:val="single" w:color="auto"/>
          <w:color w:val="auto"/>
        </w:rPr>
        <w:t>Section 8.06(c)</w:t>
      </w:r>
      <w:r>
        <w:rPr>
          <w:rFonts w:ascii="Arial" w:cs="Arial" w:eastAsia="Arial" w:hAnsi="Arial"/>
          <w:sz w:val="19"/>
          <w:szCs w:val="19"/>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The Lenders agree to indemnify each Agent and the Revolving Facility Lenders agree to indemnify each Issuing Bank and the Swingline Lender, in each case in its capacity as such (to the extent not reimbursed by the Borrower and without limiting the obligation of the Borrower to do so), in the amount of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(based on its aggregate Revolving Facility Credit Exposure and, in the case of the indemnification of each Agent, outstanding Term Loans and unused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Swingline Loans owing to the Swingline Lender and of L/C Disbursements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or such Issuing Bank or the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the Swingline Lender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for the payment of any portion of such liabilities, obligations, losses, damages,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29" w:name="page330"/>
    <w:bookmarkEnd w:id="329"/>
    <w:p>
      <w:pPr>
        <w:jc w:val="both"/>
        <w:spacing w:after="0" w:line="271" w:lineRule="auto"/>
        <w:rPr>
          <w:sz w:val="20"/>
          <w:szCs w:val="20"/>
          <w:color w:val="auto"/>
        </w:rPr>
      </w:pPr>
      <w:r>
        <w:rPr>
          <w:rFonts w:ascii="Arial" w:cs="Arial" w:eastAsia="Arial" w:hAnsi="Arial"/>
          <w:sz w:val="18"/>
          <w:szCs w:val="18"/>
          <w:color w:val="auto"/>
        </w:rPr>
        <w:t xml:space="preserve">actions, judgments, suits, costs, expenses or disbursements that are found by a final and non-appealable decision of a court of competent jurisdiction to have resulted from such Agent’s, Issuing Bank’s or the Swingline Lender’s gross negligence, willful misconduct or a material breach of obligations under this Agreement or the other Loan Documents. The failure of any Lender to reimburse any Agent or Issuing Bank or the Swingline Lender, as the case may be, promptly upon demand for its ratable share of any amount required to be paid by the Lenders to such Agent, Issuing Bank or the Swingline Lender, as the case may be, as provided herein shall not relieve any other Lender of its obligation hereunder to reimburse such Agent, such Issuing Bank or the Swingline Lender, as the case may be, for its ratable share of such amount, but no Lender shall be responsible for the failure of any other Lender to reimburse such Agent, Issuing Bank or the Swingline Lender, as the case may be, for such other Lender’s ratable share of such amount. The agreements in this </w:t>
      </w: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shall survive the payment of the Loans and all other amounts payable hereunder.</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u w:val="single" w:color="auto"/>
          <w:color w:val="auto"/>
        </w:rPr>
        <w:t>Agent in Its Individual Capacity</w:t>
      </w:r>
      <w:r>
        <w:rPr>
          <w:rFonts w:ascii="Arial" w:cs="Arial" w:eastAsia="Arial" w:hAnsi="Arial"/>
          <w:sz w:val="20"/>
          <w:szCs w:val="20"/>
          <w:color w:val="auto"/>
        </w:rPr>
        <w:t>. The Agent and its affiliates may make loans to, accept deposits from, and generally engage in any kind of business with any Loan Party as though such Agent were not an Agent. With respect to its Loans made or renewed by it and with respect to any Letter of Credit issued, or Letter of Credit or Swingline Loan participated in, by it, the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8.09 </w:t>
      </w:r>
      <w:r>
        <w:rPr>
          <w:rFonts w:ascii="Arial" w:cs="Arial" w:eastAsia="Arial" w:hAnsi="Arial"/>
          <w:sz w:val="20"/>
          <w:szCs w:val="20"/>
          <w:u w:val="single" w:color="auto"/>
          <w:color w:val="auto"/>
        </w:rPr>
        <w:t>Security Documents and Collateral Agent</w:t>
      </w:r>
      <w:r>
        <w:rPr>
          <w:rFonts w:ascii="Arial" w:cs="Arial" w:eastAsia="Arial" w:hAnsi="Arial"/>
          <w:sz w:val="20"/>
          <w:szCs w:val="20"/>
          <w:color w:val="auto"/>
        </w:rPr>
        <w:t xml:space="preserve">. The Lenders and the other Secured Parties authorize the Collateral Agent to release any Collateral or Guarantors in accordance with </w:t>
      </w:r>
      <w:r>
        <w:rPr>
          <w:rFonts w:ascii="Arial" w:cs="Arial" w:eastAsia="Arial" w:hAnsi="Arial"/>
          <w:sz w:val="20"/>
          <w:szCs w:val="20"/>
          <w:u w:val="single" w:color="auto"/>
          <w:color w:val="auto"/>
        </w:rPr>
        <w:t>Section 9.18</w:t>
      </w:r>
      <w:r>
        <w:rPr>
          <w:rFonts w:ascii="Arial" w:cs="Arial" w:eastAsia="Arial" w:hAnsi="Arial"/>
          <w:sz w:val="20"/>
          <w:szCs w:val="20"/>
          <w:color w:val="auto"/>
        </w:rPr>
        <w:t xml:space="preserve"> or if approved, authorized or ratified in accordance with </w:t>
      </w:r>
      <w:r>
        <w:rPr>
          <w:rFonts w:ascii="Arial" w:cs="Arial" w:eastAsia="Arial" w:hAnsi="Arial"/>
          <w:sz w:val="20"/>
          <w:szCs w:val="20"/>
          <w:u w:val="single" w:color="auto"/>
          <w:color w:val="auto"/>
        </w:rPr>
        <w:t>Section 9.08</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Permitted Junior Intercreditor Agreement, any Permitted First Lien Intercreditor Agreement and any other intercreditor or subordination agreement (in form reasonably satisfactory to the Collateral Agent and deemed appropriate by it) with the collateral agent or other representative of holders of Indebtedness secured (and permitted to be secured) by a Lien on assets constituting a portion of the Collateral under (1) any of </w:t>
      </w:r>
      <w:r>
        <w:rPr>
          <w:rFonts w:ascii="Arial" w:cs="Arial" w:eastAsia="Arial" w:hAnsi="Arial"/>
          <w:sz w:val="18"/>
          <w:szCs w:val="18"/>
          <w:u w:val="single" w:color="auto"/>
          <w:color w:val="auto"/>
        </w:rPr>
        <w:t>Sections 6.02(c)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(z)</w:t>
      </w:r>
      <w:r>
        <w:rPr>
          <w:rFonts w:ascii="Arial" w:cs="Arial" w:eastAsia="Arial" w:hAnsi="Arial"/>
          <w:sz w:val="18"/>
          <w:szCs w:val="18"/>
          <w:color w:val="auto"/>
        </w:rPr>
        <w:t xml:space="preserve"> (and in accordance with the relevant requirements thereof) and (2) any other provision of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(it being acknowledged and agreed that the Collateral Agent shall be under no obligation to execute any Intercreditor Agreement pursuant to this </w:t>
      </w:r>
      <w:r>
        <w:rPr>
          <w:rFonts w:ascii="Arial" w:cs="Arial" w:eastAsia="Arial" w:hAnsi="Arial"/>
          <w:sz w:val="18"/>
          <w:szCs w:val="18"/>
          <w:u w:val="single" w:color="auto"/>
          <w:color w:val="auto"/>
        </w:rPr>
        <w:t>clause (2)</w:t>
      </w:r>
      <w:r>
        <w:rPr>
          <w:rFonts w:ascii="Arial" w:cs="Arial" w:eastAsia="Arial" w:hAnsi="Arial"/>
          <w:sz w:val="18"/>
          <w:szCs w:val="18"/>
          <w:color w:val="auto"/>
        </w:rPr>
        <w:t>, and may elect to do so, or not do so, in its sole and absolute discretion) (any of the foregoing, an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The Lenders and the other Secured Parties irrevocably agree that (x) the Collateral Agent may rely exclusively on a certificate of a Responsible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the other Secured Parties hereby agrees that it will take no actions contrary to the provisions of, if entered into and if applicable, any Intercreditor Agreement. Furthermore, the Lenders and the other Secured Parties hereby authorize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0" w:name="page331"/>
    <w:bookmarkEnd w:id="330"/>
    <w:p>
      <w:pPr>
        <w:spacing w:after="0" w:line="275" w:lineRule="auto"/>
        <w:rPr>
          <w:sz w:val="20"/>
          <w:szCs w:val="20"/>
          <w:color w:val="auto"/>
        </w:rPr>
      </w:pPr>
      <w:r>
        <w:rPr>
          <w:rFonts w:ascii="Arial" w:cs="Arial" w:eastAsia="Arial" w:hAnsi="Arial"/>
          <w:sz w:val="18"/>
          <w:szCs w:val="18"/>
          <w:color w:val="auto"/>
        </w:rPr>
        <w:t xml:space="preserve">and the Collateral Agent to release any Lien on any property granted to or held by the Administrative Agent or the Collateral Agent under any Loan Document (i) to the holder of any Lien on such property that is permitted by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or</w:t>
      </w:r>
    </w:p>
    <w:p>
      <w:pPr>
        <w:spacing w:after="0" w:line="1" w:lineRule="exact"/>
        <w:rPr>
          <w:sz w:val="20"/>
          <w:szCs w:val="20"/>
          <w:color w:val="auto"/>
        </w:rPr>
      </w:pPr>
    </w:p>
    <w:p>
      <w:pPr>
        <w:jc w:val="both"/>
        <w:ind w:firstLine="8"/>
        <w:spacing w:after="0" w:line="270" w:lineRule="auto"/>
        <w:tabs>
          <w:tab w:leader="none" w:pos="269" w:val="left"/>
        </w:tabs>
        <w:numPr>
          <w:ilvl w:val="0"/>
          <w:numId w:val="328"/>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in each case to the extent the contract or agreement pursuant to which such Lien is granted prohibits any other Liens on such property or (ii) that is or becomes Excluded Property; and the Administrative Agent and the Collateral Agent shall do so upon request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request, the Borrower shall have in each case delivered to the Administrative Agent, a certificate of a Responsible Officer of the Borrower certifying (x) that such Lien is permitted under this Agreement, (y) in the case of a request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sentence, that the contract or agreement pursuant to which such Lien is granted prohibits any other Lien on such property and (z) in the case of a request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this sentence, that (A) such property is or has become Excluded Property and (B) if such property has become Excluded Property as a result of a contractual restriction, such restriction does not violate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Right to Realize on Collateral and Enforce Guarantees</w:t>
      </w:r>
      <w:r>
        <w:rPr>
          <w:rFonts w:ascii="Arial" w:cs="Arial" w:eastAsia="Arial" w:hAnsi="Arial"/>
          <w:sz w:val="18"/>
          <w:szCs w:val="18"/>
          <w:color w:val="auto"/>
        </w:rPr>
        <w:t>. In case of the pendency of any proceeding under any Debtor Relief Laws or other judicial proceeding relative to any Loan Party, (i) the Administrative Agent and the Collateral Agent (irrespective of whether the principal of any Obligation shall then be due and payable as herein expressed or by declaration or otherwise and irrespective of whether the Administrative Agent or the Collateral Agent, as applicable, shall have made any demand on the Borrower) shall be entitled and empowered, by intervention in such proceeding or otherwise (A) to file and prove a claim for the whole amount of the principal and interest owing and unpaid in respect of any or all of the Obligations that are owing and unpaid and to file such other documents as may be necessary or advisable in order to have the claims of the Lenders, the Issuing Banks, the Administrative Agent and the Collateral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and the Collateral Agent and, if the Administrative Agent or the Collateral Agent, as applicable, shall consent to the making of such payments directly to the Lenders and the Issuing Banks, to pay to the Administrative Agent or the Collateral Agent, as applicable, any amount due for the reasonable compensation, expenses, disbursements and advances of the Administrative Agent or the Collateral Agent and its agents and counsel, and any other amounts due to the Administrative Agent or the Collateral Agent under the Loan Documents. Nothing contained herein shall be deemed to authorize the Administrative Agent or the Collateral Agent to authorize or consent to or accept or adopt on behalf of any Lender or Issuing Bank any plan of reorganization, arrangement, adjustment or composition affecting the Obligations or the rights of any Lender or Issuing Bank or to authorize the Administrative Agent or the Collateral Agent to vote in respect of the claim of any Lender or Issuing Bank in any such proceeding.</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1" w:name="page332"/>
    <w:bookmarkEnd w:id="331"/>
    <w:p>
      <w:pPr>
        <w:jc w:val="both"/>
        <w:spacing w:after="0" w:line="273" w:lineRule="auto"/>
        <w:rPr>
          <w:sz w:val="20"/>
          <w:szCs w:val="20"/>
          <w:color w:val="auto"/>
        </w:rPr>
      </w:pPr>
      <w:r>
        <w:rPr>
          <w:rFonts w:ascii="Arial" w:cs="Arial" w:eastAsia="Arial" w:hAnsi="Arial"/>
          <w:sz w:val="18"/>
          <w:szCs w:val="18"/>
          <w:color w:val="auto"/>
        </w:rPr>
        <w:t xml:space="preserve">that, notwithstanding the foregoing, the Lenders may exercise the set-off rights contained in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in the manner set forth therein,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Withholding Tax</w:t>
      </w:r>
      <w:r>
        <w:rPr>
          <w:rFonts w:ascii="Arial" w:cs="Arial" w:eastAsia="Arial" w:hAnsi="Arial"/>
          <w:sz w:val="18"/>
          <w:szCs w:val="18"/>
          <w:color w:val="auto"/>
        </w:rPr>
        <w:t xml:space="preserve">.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out-of-pocket expenses, whether or not such Taxes are correctly or legally imposed. Each Lender hereby authorizes the Administrative Agent to set off and apply any and all amounts at any time owing to such Lender under this Agreement, any other Loan Document or otherwise against any amount due to the Administrative Agent under this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8.11</w:t>
      </w:r>
      <w:r>
        <w:rPr>
          <w:rFonts w:ascii="Arial" w:cs="Arial" w:eastAsia="Arial" w:hAnsi="Arial"/>
          <w:sz w:val="18"/>
          <w:szCs w:val="18"/>
          <w:color w:val="auto"/>
        </w:rPr>
        <w:t>, the term “Lender” includes any Issuing Bank.</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8.12</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16" w:lineRule="exact"/>
        <w:rPr>
          <w:sz w:val="20"/>
          <w:szCs w:val="20"/>
          <w:color w:val="auto"/>
        </w:rPr>
      </w:pPr>
    </w:p>
    <w:p>
      <w:pPr>
        <w:ind w:left="1300" w:hanging="644"/>
        <w:spacing w:after="0"/>
        <w:tabs>
          <w:tab w:leader="none" w:pos="13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w:t>
      </w:r>
    </w:p>
    <w:p>
      <w:pPr>
        <w:spacing w:after="0" w:line="38" w:lineRule="exact"/>
        <w:rPr>
          <w:rFonts w:ascii="Arial" w:cs="Arial" w:eastAsia="Arial" w:hAnsi="Arial"/>
          <w:sz w:val="18"/>
          <w:szCs w:val="18"/>
          <w:color w:val="auto"/>
        </w:rPr>
      </w:pPr>
    </w:p>
    <w:p>
      <w:pPr>
        <w:jc w:val="both"/>
        <w:ind w:firstLine="8"/>
        <w:spacing w:after="0" w:line="260" w:lineRule="auto"/>
        <w:tabs>
          <w:tab w:leader="none" w:pos="289" w:val="left"/>
        </w:tabs>
        <w:numPr>
          <w:ilvl w:val="0"/>
          <w:numId w:val="330"/>
        </w:numPr>
        <w:rPr>
          <w:rFonts w:ascii="Arial" w:cs="Arial" w:eastAsia="Arial" w:hAnsi="Arial"/>
          <w:sz w:val="19"/>
          <w:szCs w:val="19"/>
          <w:color w:val="auto"/>
        </w:rPr>
      </w:pPr>
      <w:r>
        <w:rPr>
          <w:rFonts w:ascii="Arial" w:cs="Arial" w:eastAsia="Arial" w:hAnsi="Arial"/>
          <w:sz w:val="19"/>
          <w:szCs w:val="19"/>
          <w:color w:val="auto"/>
        </w:rPr>
        <w:t>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at least one of the following is and will be true:</w:t>
      </w:r>
    </w:p>
    <w:p>
      <w:pPr>
        <w:spacing w:after="0" w:line="178" w:lineRule="exact"/>
        <w:rPr>
          <w:rFonts w:ascii="Arial" w:cs="Arial" w:eastAsia="Arial" w:hAnsi="Arial"/>
          <w:sz w:val="19"/>
          <w:szCs w:val="19"/>
          <w:color w:val="auto"/>
        </w:rPr>
      </w:pPr>
    </w:p>
    <w:p>
      <w:pPr>
        <w:jc w:val="both"/>
        <w:ind w:left="660" w:firstLine="644"/>
        <w:spacing w:after="0" w:line="269" w:lineRule="auto"/>
        <w:tabs>
          <w:tab w:leader="none" w:pos="1956" w:val="left"/>
        </w:tabs>
        <w:numPr>
          <w:ilvl w:val="2"/>
          <w:numId w:val="330"/>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9" w:lineRule="exact"/>
        <w:rPr>
          <w:rFonts w:ascii="Arial" w:cs="Arial" w:eastAsia="Arial" w:hAnsi="Arial"/>
          <w:sz w:val="19"/>
          <w:szCs w:val="19"/>
          <w:color w:val="auto"/>
        </w:rPr>
      </w:pPr>
    </w:p>
    <w:p>
      <w:pPr>
        <w:jc w:val="both"/>
        <w:ind w:left="660" w:firstLine="644"/>
        <w:spacing w:after="0" w:line="282" w:lineRule="auto"/>
        <w:tabs>
          <w:tab w:leader="none" w:pos="1956" w:val="left"/>
        </w:tabs>
        <w:numPr>
          <w:ilvl w:val="2"/>
          <w:numId w:val="330"/>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2" w:name="page333"/>
    <w:bookmarkEnd w:id="332"/>
    <w:p>
      <w:pPr>
        <w:jc w:val="both"/>
        <w:ind w:left="660"/>
        <w:spacing w:after="0" w:line="246" w:lineRule="auto"/>
        <w:rPr>
          <w:sz w:val="20"/>
          <w:szCs w:val="20"/>
          <w:color w:val="auto"/>
        </w:rPr>
      </w:pPr>
      <w:r>
        <w:rPr>
          <w:rFonts w:ascii="Arial" w:cs="Arial" w:eastAsia="Arial" w:hAnsi="Arial"/>
          <w:sz w:val="20"/>
          <w:szCs w:val="20"/>
          <w:color w:val="auto"/>
        </w:rPr>
        <w:t>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1" w:lineRule="exact"/>
        <w:rPr>
          <w:sz w:val="20"/>
          <w:szCs w:val="20"/>
          <w:color w:val="auto"/>
        </w:rPr>
      </w:pPr>
    </w:p>
    <w:p>
      <w:pPr>
        <w:jc w:val="both"/>
        <w:ind w:left="660" w:firstLine="644"/>
        <w:spacing w:after="0" w:line="273" w:lineRule="auto"/>
        <w:tabs>
          <w:tab w:leader="none" w:pos="2039"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8" w:lineRule="exact"/>
        <w:rPr>
          <w:rFonts w:ascii="Arial" w:cs="Arial" w:eastAsia="Arial" w:hAnsi="Arial"/>
          <w:sz w:val="18"/>
          <w:szCs w:val="18"/>
          <w:color w:val="auto"/>
        </w:rPr>
      </w:pPr>
    </w:p>
    <w:p>
      <w:pPr>
        <w:ind w:left="660" w:right="20" w:firstLine="644"/>
        <w:spacing w:after="0" w:line="260" w:lineRule="auto"/>
        <w:tabs>
          <w:tab w:leader="none" w:pos="1956" w:val="left"/>
        </w:tabs>
        <w:numPr>
          <w:ilvl w:val="1"/>
          <w:numId w:val="331"/>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firstLine="656"/>
        <w:spacing w:after="0" w:line="271" w:lineRule="auto"/>
        <w:tabs>
          <w:tab w:leader="none" w:pos="129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In addition, unless either (1)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 (2) a Lender has provided another representation, warranty and covenant in accordance with </w:t>
      </w:r>
      <w:r>
        <w:rPr>
          <w:rFonts w:ascii="Arial" w:cs="Arial" w:eastAsia="Arial" w:hAnsi="Arial"/>
          <w:sz w:val="18"/>
          <w:szCs w:val="18"/>
          <w:u w:val="single" w:color="auto"/>
          <w:color w:val="auto"/>
        </w:rPr>
        <w:t>subclause (iv)</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each of the Administrative Agent and the Collateral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and the Collateral Agent under this Agreement, any Loan Document or any documents related hereto or thereto).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the term “Lender” includes any Issuing Bank.</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8.13</w:t>
      </w:r>
      <w:r>
        <w:rPr>
          <w:sz w:val="20"/>
          <w:szCs w:val="20"/>
          <w:color w:val="auto"/>
        </w:rPr>
        <w:tab/>
      </w:r>
      <w:r>
        <w:rPr>
          <w:rFonts w:ascii="Arial" w:cs="Arial" w:eastAsia="Arial" w:hAnsi="Arial"/>
          <w:sz w:val="18"/>
          <w:szCs w:val="18"/>
          <w:u w:val="single" w:color="auto"/>
          <w:color w:val="auto"/>
        </w:rPr>
        <w:t>Sustainability Structuring Agent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7" w:lineRule="auto"/>
        <w:tabs>
          <w:tab w:leader="none" w:pos="1296" w:val="left"/>
        </w:tabs>
        <w:numPr>
          <w:ilvl w:val="0"/>
          <w:numId w:val="333"/>
        </w:numPr>
        <w:rPr>
          <w:rFonts w:ascii="Arial" w:cs="Arial" w:eastAsia="Arial" w:hAnsi="Arial"/>
          <w:sz w:val="19"/>
          <w:szCs w:val="19"/>
          <w:color w:val="auto"/>
        </w:rPr>
      </w:pPr>
      <w:r>
        <w:rPr>
          <w:rFonts w:ascii="Arial" w:cs="Arial" w:eastAsia="Arial" w:hAnsi="Arial"/>
          <w:sz w:val="19"/>
          <w:szCs w:val="19"/>
          <w:color w:val="auto"/>
        </w:rPr>
        <w:t>Each party hereto hereby agrees that neither the Administrative Agent nor the Sustainability Structuring Agent shall have any responsibility for (or liability in respect of) reviewing, auditing or otherwise evaluating any representation, use of proceeds or reporting by the Borrower or any other Person with respect to any Sustainability Loan, the Sustainability Financing Framework or the Sustainability Margin Adjustment set forth in any Notice of Borrowing or Sustainability Loan Report (and the Administrative Agent and the Sustainability Structuring Agent may rely conclusively on any such certificate, without further inquiry). Each party hereto hereby agrees that the Administrative Agent and the Sustainability Structuring Agent make no assurances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3" w:name="page334"/>
    <w:bookmarkEnd w:id="333"/>
    <w:p>
      <w:pPr>
        <w:jc w:val="both"/>
        <w:spacing w:after="0" w:line="269" w:lineRule="auto"/>
        <w:rPr>
          <w:sz w:val="20"/>
          <w:szCs w:val="20"/>
          <w:color w:val="auto"/>
        </w:rPr>
      </w:pPr>
      <w:r>
        <w:rPr>
          <w:rFonts w:ascii="Arial" w:cs="Arial" w:eastAsia="Arial" w:hAnsi="Arial"/>
          <w:sz w:val="19"/>
          <w:szCs w:val="19"/>
          <w:color w:val="auto"/>
        </w:rPr>
        <w:t>as to (i) whether this Agreement meets any Borrower or Lender criteria or expectations with regard to environmental or social impact or sustainability performance, or (ii) whether the Sustainability Financing Framework and related sustainability undertakings included in the Agreement meet any industry standards for sustainable financing.</w:t>
      </w:r>
    </w:p>
    <w:p>
      <w:pPr>
        <w:spacing w:after="0" w:line="170" w:lineRule="exact"/>
        <w:rPr>
          <w:sz w:val="20"/>
          <w:szCs w:val="20"/>
          <w:color w:val="auto"/>
        </w:rPr>
      </w:pPr>
    </w:p>
    <w:p>
      <w:pPr>
        <w:ind w:firstLine="656"/>
        <w:spacing w:after="0" w:line="316" w:lineRule="auto"/>
        <w:tabs>
          <w:tab w:leader="none" w:pos="129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Sustainability Structuring Agent has not, and will not be deemed to have, assumed, and will not, and will not be deemed to, assume any advisory, agency or fiduciary responsibility in favor of the Borrower or any Lender.</w:t>
      </w:r>
    </w:p>
    <w:p>
      <w:pPr>
        <w:spacing w:after="0" w:line="129" w:lineRule="exact"/>
        <w:rPr>
          <w:rFonts w:ascii="Arial" w:cs="Arial" w:eastAsia="Arial" w:hAnsi="Arial"/>
          <w:sz w:val="18"/>
          <w:szCs w:val="18"/>
          <w:color w:val="auto"/>
        </w:rPr>
      </w:pPr>
    </w:p>
    <w:p>
      <w:pPr>
        <w:jc w:val="both"/>
        <w:ind w:firstLine="656"/>
        <w:spacing w:after="0" w:line="269" w:lineRule="auto"/>
        <w:tabs>
          <w:tab w:leader="none" w:pos="129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Sustainability Structuring Agent may resign at any time by giving thirty (30) days’ prior written notice thereof to the Revolving Facility Lenders and the Borrower, whether or not a successor Sustainability Structuring Agent has been appointed. Upon any such resignation, the Required Revolving Facility Lenders shall have the right to appoint a successor Sustainability Structuring Agent. If no successor Sustainability Structuring Agent shall have been so appointed by the Required Revolving Facility Lenders, and shall have accepted such appointment, within thirty (30) days after the retiring Sustainability Structuring Agent giving of notice of resignation, then the retiring Sustainability Structuring Agent may, on behalf of the Revolving Facility Lenders, appoint a successor Sustainability Structuring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Sustainability Structuring Agent by a successor Sustainability Structuring Agent, such successor Sustainability Structuring Agent shall succeed to, and become vested with, all the rights, powers, privileges and duties of the retiring Sustainability Structuring Agent. Upon the acceptance of appointment as Sustainability Structuring Agent by a successor Sustainability Structuring Agent, the retiring Sustainability Structuring Agent shall be discharged from its duties and obligations under this Agreement and the other Loan Documents. Prior to any retiring Sustainability Structuring Agent’s resignation hereunder as Sustainability Structuring Agent, the retiring Sustainability Structuring Agent shall take such action as may be reasonably necessary to assign to the successor Sustainability Structuring Agent its rights as Sustainability Structuring Agent under the Loan Documents.</w:t>
      </w:r>
    </w:p>
    <w:p>
      <w:pPr>
        <w:spacing w:after="0" w:line="173" w:lineRule="exact"/>
        <w:rPr>
          <w:rFonts w:ascii="Arial" w:cs="Arial" w:eastAsia="Arial" w:hAnsi="Arial"/>
          <w:sz w:val="18"/>
          <w:szCs w:val="18"/>
          <w:color w:val="auto"/>
        </w:rPr>
      </w:pPr>
    </w:p>
    <w:p>
      <w:pPr>
        <w:jc w:val="both"/>
        <w:ind w:firstLine="656"/>
        <w:spacing w:after="0" w:line="270" w:lineRule="auto"/>
        <w:tabs>
          <w:tab w:leader="none" w:pos="129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Section, in the event no successor Sustainability Structuring Agent shall have been so appointed and shall have accepted such appointment within thirty (30) days after the retiring Sustainability Structuring Agent gives notice of its intent to resign, the Sustainability Structuring Agent may give notice of the effectiveness of its resignation to the Revolving Facility Lenders and the Borrower, whereupon, on the date of effectiveness of such resignation stated in such notice, (x) the retiring Sustainability Structuring Agent shall be discharged from its duties and obligations hereunder and under the other Loan Documents and (y) the Required Revolving Facility Lenders shall succeed to and become vested with all the rights, powers, privileges and duties of the retiring Sustainability Structuring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all notices and other communications required or contemplated to be given or made to Sustainability Structuring Agent shall directly be given or made to each Revolving Facility Lender. Following the effectiveness of the Sustainability Structuring Agent’s resignation from its capacity as such, the provisions of this Article and Section‎ 9.05, as well as any exculpatory, reimbursement and indemnification provisions set forth in any other Loan Document, shall continue in effect for the benefit of such retiring Sustainability Structuring Agent, its sub-agents and their respective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5477510</wp:posOffset>
            </wp:positionH>
            <wp:positionV relativeFrom="paragraph">
              <wp:posOffset>-331470</wp:posOffset>
            </wp:positionV>
            <wp:extent cx="6369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4" w:name="page335"/>
    <w:bookmarkEnd w:id="334"/>
    <w:p>
      <w:pPr>
        <w:jc w:val="both"/>
        <w:spacing w:after="0" w:line="250" w:lineRule="auto"/>
        <w:rPr>
          <w:sz w:val="20"/>
          <w:szCs w:val="20"/>
          <w:color w:val="auto"/>
        </w:rPr>
      </w:pPr>
      <w:r>
        <w:rPr>
          <w:rFonts w:ascii="Arial" w:cs="Arial" w:eastAsia="Arial" w:hAnsi="Arial"/>
          <w:sz w:val="20"/>
          <w:szCs w:val="20"/>
          <w:color w:val="auto"/>
        </w:rPr>
        <w:t xml:space="preserve">Parties in respect of any actions taken or omitted to be taken by any of them while the retiring Sustainability Structuring Agent was acting as Sustainability Structuring Agent and in respect of the matters referred to in the proviso under </w:t>
      </w:r>
      <w:r>
        <w:rPr>
          <w:rFonts w:ascii="Arial" w:cs="Arial" w:eastAsia="Arial" w:hAnsi="Arial"/>
          <w:sz w:val="20"/>
          <w:szCs w:val="20"/>
          <w:u w:val="single" w:color="auto"/>
          <w:color w:val="auto"/>
        </w:rPr>
        <w:t>subclause (x)</w:t>
      </w:r>
      <w:r>
        <w:rPr>
          <w:rFonts w:ascii="Arial" w:cs="Arial" w:eastAsia="Arial" w:hAnsi="Arial"/>
          <w:sz w:val="20"/>
          <w:szCs w:val="20"/>
          <w:color w:val="auto"/>
        </w:rPr>
        <w:t xml:space="preserve">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Miscellaneous</w:t>
      </w:r>
    </w:p>
    <w:p>
      <w:pPr>
        <w:spacing w:after="0" w:line="2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8"/>
          <w:szCs w:val="18"/>
          <w:u w:val="single" w:color="auto"/>
          <w:color w:val="auto"/>
        </w:rPr>
        <w:t>Notices; Communications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0" w:lineRule="auto"/>
        <w:tabs>
          <w:tab w:leader="none" w:pos="1296" w:val="left"/>
        </w:tabs>
        <w:numPr>
          <w:ilvl w:val="0"/>
          <w:numId w:val="335"/>
        </w:numPr>
        <w:rPr>
          <w:rFonts w:ascii="Arial" w:cs="Arial" w:eastAsia="Arial" w:hAnsi="Arial"/>
          <w:sz w:val="19"/>
          <w:szCs w:val="19"/>
          <w:color w:val="auto"/>
        </w:rPr>
      </w:pPr>
      <w:r>
        <w:rPr>
          <w:rFonts w:ascii="Arial" w:cs="Arial" w:eastAsia="Arial" w:hAnsi="Arial"/>
          <w:sz w:val="19"/>
          <w:szCs w:val="19"/>
          <w:color w:val="auto"/>
        </w:rPr>
        <w:t xml:space="preserve">Except in the case of notices and other communications expressly permitted to be given by telephone (and except as provided in </w:t>
      </w:r>
      <w:r>
        <w:rPr>
          <w:rFonts w:ascii="Arial" w:cs="Arial" w:eastAsia="Arial" w:hAnsi="Arial"/>
          <w:sz w:val="19"/>
          <w:szCs w:val="19"/>
          <w:u w:val="single" w:color="auto"/>
          <w:color w:val="auto"/>
        </w:rPr>
        <w:t>Section 9.01(b)</w:t>
      </w:r>
      <w:r>
        <w:rPr>
          <w:rFonts w:ascii="Arial" w:cs="Arial" w:eastAsia="Arial" w:hAnsi="Arial"/>
          <w:sz w:val="19"/>
          <w:szCs w:val="19"/>
          <w:color w:val="auto"/>
        </w:rPr>
        <w:t xml:space="preserve">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spacing w:after="0" w:line="180"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1"/>
          <w:numId w:val="335"/>
        </w:numPr>
        <w:rPr>
          <w:rFonts w:ascii="Arial" w:cs="Arial" w:eastAsia="Arial" w:hAnsi="Arial"/>
          <w:sz w:val="20"/>
          <w:szCs w:val="20"/>
          <w:color w:val="auto"/>
        </w:rPr>
      </w:pPr>
      <w:r>
        <w:rPr>
          <w:rFonts w:ascii="Arial" w:cs="Arial" w:eastAsia="Arial" w:hAnsi="Arial"/>
          <w:sz w:val="20"/>
          <w:szCs w:val="20"/>
          <w:color w:val="auto"/>
        </w:rPr>
        <w:t xml:space="preserve">if to any Loan Party or the Administrative Agent, any Issuing Bank as of the Closing Date or the Swingline Lender, to the address, telecopier number, electronic mail address or telephone number specified for such person on </w:t>
      </w:r>
      <w:r>
        <w:rPr>
          <w:rFonts w:ascii="Arial" w:cs="Arial" w:eastAsia="Arial" w:hAnsi="Arial"/>
          <w:sz w:val="20"/>
          <w:szCs w:val="20"/>
          <w:u w:val="single" w:color="auto"/>
          <w:color w:val="auto"/>
        </w:rPr>
        <w:t>Schedule 9.01</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ind w:left="660" w:right="20" w:firstLine="644"/>
        <w:spacing w:after="0" w:line="260" w:lineRule="auto"/>
        <w:tabs>
          <w:tab w:leader="none" w:pos="1956" w:val="left"/>
        </w:tabs>
        <w:numPr>
          <w:ilvl w:val="1"/>
          <w:numId w:val="335"/>
        </w:numPr>
        <w:rPr>
          <w:rFonts w:ascii="Arial" w:cs="Arial" w:eastAsia="Arial" w:hAnsi="Arial"/>
          <w:sz w:val="20"/>
          <w:szCs w:val="20"/>
          <w:color w:val="auto"/>
        </w:rPr>
      </w:pPr>
      <w:r>
        <w:rPr>
          <w:rFonts w:ascii="Arial" w:cs="Arial" w:eastAsia="Arial" w:hAnsi="Arial"/>
          <w:sz w:val="20"/>
          <w:szCs w:val="20"/>
          <w:color w:val="auto"/>
        </w:rPr>
        <w:t>if to any other Lender or Issuing Bank, to the address, telecopier number, electronic mail address or telephone number specified in its Administrative Questionnaire.</w:t>
      </w:r>
    </w:p>
    <w:p>
      <w:pPr>
        <w:spacing w:after="0" w:line="176" w:lineRule="exact"/>
        <w:rPr>
          <w:rFonts w:ascii="Arial" w:cs="Arial" w:eastAsia="Arial" w:hAnsi="Arial"/>
          <w:sz w:val="20"/>
          <w:szCs w:val="20"/>
          <w:color w:val="auto"/>
        </w:rPr>
      </w:pPr>
    </w:p>
    <w:p>
      <w:pPr>
        <w:jc w:val="both"/>
        <w:ind w:firstLine="656"/>
        <w:spacing w:after="0" w:line="242" w:lineRule="auto"/>
        <w:tabs>
          <w:tab w:leader="none" w:pos="1296" w:val="left"/>
        </w:tabs>
        <w:numPr>
          <w:ilvl w:val="0"/>
          <w:numId w:val="335"/>
        </w:numPr>
        <w:rPr>
          <w:rFonts w:ascii="Arial" w:cs="Arial" w:eastAsia="Arial" w:hAnsi="Arial"/>
          <w:sz w:val="20"/>
          <w:szCs w:val="20"/>
          <w:color w:val="auto"/>
        </w:rPr>
      </w:pPr>
      <w:r>
        <w:rPr>
          <w:rFonts w:ascii="Arial" w:cs="Arial" w:eastAsia="Arial" w:hAnsi="Arial"/>
          <w:sz w:val="20"/>
          <w:szCs w:val="20"/>
          <w:color w:val="auto"/>
        </w:rPr>
        <w:t xml:space="preserve">Notices and other communications to the Lenders and the Issuing Banks hereunder may be delivered or furnished by electronic communication (including email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or Issuing Bank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Issuing Bank,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them; </w:t>
      </w:r>
      <w:r>
        <w:rPr>
          <w:rFonts w:ascii="Arial" w:cs="Arial" w:eastAsia="Arial" w:hAnsi="Arial"/>
          <w:sz w:val="20"/>
          <w:szCs w:val="20"/>
          <w:u w:val="single" w:color="auto"/>
          <w:color w:val="auto"/>
        </w:rPr>
        <w:t>provided</w:t>
      </w:r>
      <w:r>
        <w:rPr>
          <w:rFonts w:ascii="Arial" w:cs="Arial" w:eastAsia="Arial" w:hAnsi="Arial"/>
          <w:sz w:val="20"/>
          <w:szCs w:val="20"/>
          <w:color w:val="auto"/>
        </w:rPr>
        <w:t>, that approval of such procedures may be limited to particular notices or communications.</w:t>
      </w:r>
    </w:p>
    <w:p>
      <w:pPr>
        <w:spacing w:after="0" w:line="196" w:lineRule="exact"/>
        <w:rPr>
          <w:rFonts w:ascii="Arial" w:cs="Arial" w:eastAsia="Arial" w:hAnsi="Arial"/>
          <w:sz w:val="20"/>
          <w:szCs w:val="20"/>
          <w:color w:val="auto"/>
        </w:rPr>
      </w:pPr>
    </w:p>
    <w:p>
      <w:pPr>
        <w:jc w:val="both"/>
        <w:ind w:firstLine="656"/>
        <w:spacing w:after="0" w:line="260" w:lineRule="auto"/>
        <w:tabs>
          <w:tab w:leader="none" w:pos="1296" w:val="left"/>
        </w:tabs>
        <w:numPr>
          <w:ilvl w:val="0"/>
          <w:numId w:val="335"/>
        </w:numPr>
        <w:rPr>
          <w:rFonts w:ascii="Arial" w:cs="Arial" w:eastAsia="Arial" w:hAnsi="Arial"/>
          <w:sz w:val="19"/>
          <w:szCs w:val="19"/>
          <w:color w:val="auto"/>
        </w:rPr>
      </w:pPr>
      <w:r>
        <w:rPr>
          <w:rFonts w:ascii="Arial" w:cs="Arial" w:eastAsia="Arial" w:hAnsi="Arial"/>
          <w:sz w:val="19"/>
          <w:szCs w:val="19"/>
          <w:color w:val="auto"/>
        </w:rPr>
        <w:t xml:space="preserve">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Arial" w:cs="Arial" w:eastAsia="Arial" w:hAnsi="Arial"/>
          <w:sz w:val="19"/>
          <w:szCs w:val="19"/>
          <w:u w:val="single" w:color="auto"/>
          <w:color w:val="auto"/>
        </w:rPr>
        <w:t>Section 9.01(b)</w:t>
      </w:r>
      <w:r>
        <w:rPr>
          <w:rFonts w:ascii="Arial" w:cs="Arial" w:eastAsia="Arial" w:hAnsi="Arial"/>
          <w:sz w:val="19"/>
          <w:szCs w:val="19"/>
          <w:color w:val="auto"/>
        </w:rPr>
        <w:t xml:space="preserve"> above shall be effective as provided in such </w:t>
      </w:r>
      <w:r>
        <w:rPr>
          <w:rFonts w:ascii="Arial" w:cs="Arial" w:eastAsia="Arial" w:hAnsi="Arial"/>
          <w:sz w:val="19"/>
          <w:szCs w:val="19"/>
          <w:u w:val="single" w:color="auto"/>
          <w:color w:val="auto"/>
        </w:rPr>
        <w:t>Section 9.01(b)</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right="20" w:firstLine="656"/>
        <w:spacing w:after="0" w:line="260" w:lineRule="auto"/>
        <w:tabs>
          <w:tab w:leader="none" w:pos="1296" w:val="left"/>
        </w:tabs>
        <w:numPr>
          <w:ilvl w:val="0"/>
          <w:numId w:val="335"/>
        </w:numPr>
        <w:rPr>
          <w:rFonts w:ascii="Arial" w:cs="Arial" w:eastAsia="Arial" w:hAnsi="Arial"/>
          <w:sz w:val="20"/>
          <w:szCs w:val="20"/>
          <w:color w:val="auto"/>
        </w:rPr>
      </w:pPr>
      <w:r>
        <w:rPr>
          <w:rFonts w:ascii="Arial" w:cs="Arial" w:eastAsia="Arial" w:hAnsi="Arial"/>
          <w:sz w:val="20"/>
          <w:szCs w:val="20"/>
          <w:color w:val="auto"/>
        </w:rPr>
        <w:t>Any party hereto may change its address, telecopy number, electronic mail address or telephone number for notices and other communications hereunder by notice to the other parties hereto.</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335"/>
        </w:numPr>
        <w:rPr>
          <w:rFonts w:ascii="Arial" w:cs="Arial" w:eastAsia="Arial" w:hAnsi="Arial"/>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 5.04</w:t>
      </w:r>
      <w:r>
        <w:rPr>
          <w:rFonts w:ascii="Arial" w:cs="Arial" w:eastAsia="Arial" w:hAnsi="Arial"/>
          <w:sz w:val="20"/>
          <w:szCs w:val="20"/>
          <w:color w:val="auto"/>
        </w:rPr>
        <w:t xml:space="preserve"> (to the extent any such documents are included in materials otherwise filed with the SEC) may be delivered electronically (including as set forth in </w:t>
      </w:r>
      <w:r>
        <w:rPr>
          <w:rFonts w:ascii="Arial" w:cs="Arial" w:eastAsia="Arial" w:hAnsi="Arial"/>
          <w:sz w:val="20"/>
          <w:szCs w:val="20"/>
          <w:u w:val="single" w:color="auto"/>
          <w:color w:val="auto"/>
        </w:rPr>
        <w:t>Section 9.17</w:t>
      </w:r>
      <w:r>
        <w:rPr>
          <w:rFonts w:ascii="Arial" w:cs="Arial" w:eastAsia="Arial" w:hAnsi="Arial"/>
          <w:sz w:val="20"/>
          <w:szCs w:val="20"/>
          <w:color w:val="auto"/>
        </w:rPr>
        <w:t>) and if so delivered, shall be deemed to have been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5" w:name="page336"/>
    <w:bookmarkEnd w:id="335"/>
    <w:p>
      <w:pPr>
        <w:jc w:val="both"/>
        <w:spacing w:after="0" w:line="255" w:lineRule="auto"/>
        <w:rPr>
          <w:sz w:val="20"/>
          <w:szCs w:val="20"/>
          <w:color w:val="auto"/>
        </w:rPr>
      </w:pPr>
      <w:r>
        <w:rPr>
          <w:rFonts w:ascii="Arial" w:cs="Arial" w:eastAsia="Arial" w:hAnsi="Arial"/>
          <w:sz w:val="19"/>
          <w:szCs w:val="19"/>
          <w:color w:val="auto"/>
        </w:rPr>
        <w:t xml:space="preserve">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9.01</w:t>
      </w:r>
      <w:r>
        <w:rPr>
          <w:rFonts w:ascii="Arial" w:cs="Arial" w:eastAsia="Arial" w:hAnsi="Arial"/>
          <w:sz w:val="19"/>
          <w:szCs w:val="19"/>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 Except for such certificates required by </w:t>
      </w:r>
      <w:r>
        <w:rPr>
          <w:rFonts w:ascii="Arial" w:cs="Arial" w:eastAsia="Arial" w:hAnsi="Arial"/>
          <w:sz w:val="19"/>
          <w:szCs w:val="19"/>
          <w:u w:val="single" w:color="auto"/>
          <w:color w:val="auto"/>
        </w:rPr>
        <w:t>Section 5.04(c)</w:t>
      </w:r>
      <w:r>
        <w:rPr>
          <w:rFonts w:ascii="Arial" w:cs="Arial" w:eastAsia="Arial" w:hAnsi="Arial"/>
          <w:sz w:val="19"/>
          <w:szCs w:val="19"/>
          <w:color w:val="auto"/>
        </w:rPr>
        <w:t>,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xml:space="preserve">.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occurrence of the Termination Date or the termination of this Agreement or any other Loan Document or any provision hereof or thereof.</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become effective when it shall have been executed by the Borrower and the Administrative Agent and when the Administrative Agent shall have received copies hereof which, when taken together, bear the signatures of each of the other parties hereto, and thereafter shall be binding upon and inure to the benefit of the Borrower, the Administrative Agent, each Issuing Bank, the Swingline Lender and each Lender and their respective permitted successors and assigns.</w:t>
      </w:r>
    </w:p>
    <w:p>
      <w:pPr>
        <w:spacing w:after="0" w:line="19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5" w:lineRule="auto"/>
        <w:tabs>
          <w:tab w:leader="none" w:pos="1296" w:val="left"/>
        </w:tabs>
        <w:numPr>
          <w:ilvl w:val="0"/>
          <w:numId w:val="336"/>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(i) other than as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the Borrower may not assign or otherwise transfer any of its respective rights or obligations hereunder without the prior written consent of each Lender (and any attempted assignment or transfer by the Borrower without such consent shall be null and void), (ii) no assignment shall be made to any Defaulting Lender, or any persons who, upon becoming a Lender hereunder, would constitute any of the foregoing persons described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(iii) no Lender may assign or otherwise transfer its rights or obligations hereunder except in accordance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Nothing in this Agreement, expressed or implied, shall be construed to confer upon any person (other than the parties hereto, their respective successors and assigns permitted hereby (including any Affiliate of any Issuing Bank that issues any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6" w:name="page337"/>
    <w:bookmarkEnd w:id="336"/>
    <w:p>
      <w:pPr>
        <w:jc w:val="both"/>
        <w:spacing w:after="0" w:line="250" w:lineRule="auto"/>
        <w:rPr>
          <w:sz w:val="20"/>
          <w:szCs w:val="20"/>
          <w:color w:val="auto"/>
        </w:rPr>
      </w:pPr>
      <w:r>
        <w:rPr>
          <w:rFonts w:ascii="Arial" w:cs="Arial" w:eastAsia="Arial" w:hAnsi="Arial"/>
          <w:sz w:val="20"/>
          <w:szCs w:val="20"/>
          <w:color w:val="auto"/>
        </w:rPr>
        <w:t xml:space="preserve">Credit), Participants (to the extent provided in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9.04</w:t>
      </w:r>
      <w:r>
        <w:rPr>
          <w:rFonts w:ascii="Arial" w:cs="Arial" w:eastAsia="Arial" w:hAnsi="Arial"/>
          <w:sz w:val="20"/>
          <w:szCs w:val="20"/>
          <w:color w:val="auto"/>
        </w:rPr>
        <w:t>), and, to the extent expressly contemplated hereby, the Related Parties of each of the Agents, the Issuing Banks and the Lenders) any legal or equitable right, remedy or claim under or by reason of this Agreement or the other Loan Documents.</w:t>
      </w:r>
    </w:p>
    <w:p>
      <w:pPr>
        <w:spacing w:after="0" w:line="186" w:lineRule="exact"/>
        <w:rPr>
          <w:sz w:val="20"/>
          <w:szCs w:val="20"/>
          <w:color w:val="auto"/>
        </w:rPr>
      </w:pPr>
    </w:p>
    <w:p>
      <w:pPr>
        <w:jc w:val="both"/>
        <w:ind w:firstLine="656"/>
        <w:spacing w:after="0" w:line="243" w:lineRule="auto"/>
        <w:tabs>
          <w:tab w:leader="none" w:pos="1296" w:val="left"/>
        </w:tabs>
        <w:numPr>
          <w:ilvl w:val="0"/>
          <w:numId w:val="337"/>
        </w:numPr>
        <w:rPr>
          <w:rFonts w:ascii="Arial" w:cs="Arial" w:eastAsia="Arial" w:hAnsi="Arial"/>
          <w:sz w:val="20"/>
          <w:szCs w:val="20"/>
          <w:color w:val="auto"/>
        </w:rPr>
      </w:pPr>
      <w:r>
        <w:rPr>
          <w:rFonts w:ascii="Arial" w:cs="Arial" w:eastAsia="Arial" w:hAnsi="Arial"/>
          <w:sz w:val="20"/>
          <w:szCs w:val="20"/>
          <w:color w:val="auto"/>
        </w:rPr>
        <w:t xml:space="preserve">(i) Subject to the conditions set forth in </w:t>
      </w:r>
      <w:r>
        <w:rPr>
          <w:rFonts w:ascii="Arial" w:cs="Arial" w:eastAsia="Arial" w:hAnsi="Arial"/>
          <w:sz w:val="20"/>
          <w:szCs w:val="20"/>
          <w:u w:val="single" w:color="auto"/>
          <w:color w:val="auto"/>
        </w:rPr>
        <w:t>subclause (ii)</w:t>
      </w:r>
      <w:r>
        <w:rPr>
          <w:rFonts w:ascii="Arial" w:cs="Arial" w:eastAsia="Arial" w:hAnsi="Arial"/>
          <w:sz w:val="20"/>
          <w:szCs w:val="20"/>
          <w:color w:val="auto"/>
        </w:rPr>
        <w:t xml:space="preserve"> below, any Lender may assign to one or more assignees (other (I) than any natural person (or holding company, investment vehicle or trust for, or owned and operated for the primary benefit of, a natural person), (II) except to the extent permitted hereunder, the Borrower or any of its Subsidiaries or any of their respective Affiliates or (III) Disqualified Lender) (each, an “</w:t>
      </w:r>
      <w:r>
        <w:rPr>
          <w:rFonts w:ascii="Arial" w:cs="Arial" w:eastAsia="Arial" w:hAnsi="Arial"/>
          <w:sz w:val="20"/>
          <w:szCs w:val="20"/>
          <w:u w:val="single" w:color="auto"/>
          <w:color w:val="auto"/>
        </w:rPr>
        <w:t>Assignee</w:t>
      </w:r>
      <w:r>
        <w:rPr>
          <w:rFonts w:ascii="Arial" w:cs="Arial" w:eastAsia="Arial" w:hAnsi="Arial"/>
          <w:sz w:val="20"/>
          <w:szCs w:val="20"/>
          <w:color w:val="auto"/>
        </w:rPr>
        <w:t>”) all or a portion of its rights and obligations under this Agreement (including all or a portion of its Commitments and the Loans at the time owing to it) with the prior written consent of:</w:t>
      </w:r>
    </w:p>
    <w:p>
      <w:pPr>
        <w:spacing w:after="0" w:line="195" w:lineRule="exact"/>
        <w:rPr>
          <w:rFonts w:ascii="Arial" w:cs="Arial" w:eastAsia="Arial" w:hAnsi="Arial"/>
          <w:sz w:val="20"/>
          <w:szCs w:val="20"/>
          <w:color w:val="auto"/>
        </w:rPr>
      </w:pPr>
    </w:p>
    <w:p>
      <w:pPr>
        <w:jc w:val="both"/>
        <w:ind w:left="1300" w:firstLine="652"/>
        <w:spacing w:after="0" w:line="273" w:lineRule="auto"/>
        <w:tabs>
          <w:tab w:leader="none" w:pos="2596" w:val="left"/>
        </w:tabs>
        <w:numPr>
          <w:ilvl w:val="2"/>
          <w:numId w:val="337"/>
        </w:numPr>
        <w:rPr>
          <w:rFonts w:ascii="Arial" w:cs="Arial" w:eastAsia="Arial" w:hAnsi="Arial"/>
          <w:sz w:val="18"/>
          <w:szCs w:val="18"/>
          <w:color w:val="auto"/>
        </w:rPr>
      </w:pPr>
      <w:r>
        <w:rPr>
          <w:rFonts w:ascii="Arial" w:cs="Arial" w:eastAsia="Arial" w:hAnsi="Arial"/>
          <w:sz w:val="18"/>
          <w:szCs w:val="18"/>
          <w:color w:val="auto"/>
        </w:rPr>
        <w:t xml:space="preserve">the Borrower (such consent not to be unreasonably withheld, delayed or conditioned), which consent will be deemed to have been given if the Borrower has not responded within ten (10) Business Days after the delivery of any request for such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(x) for an assignment of a Term Loan to a Term Lender, Revolving Facility Lender or an Affiliate or an Approved Fund of any of the foregoing, (y) for an assignment of a Revolving Facility Commitment or Revolving Facility Loan to a Revolving Facility Lender, an Affiliate of a Revolving Facility Lender or Approved Fund with respect to a Revolving Facility Lender or (z) if an Event of Default under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has occurred and is continuing, for an assignment to any person;</w:t>
      </w:r>
    </w:p>
    <w:p>
      <w:pPr>
        <w:spacing w:after="0" w:line="168" w:lineRule="exact"/>
        <w:rPr>
          <w:rFonts w:ascii="Arial" w:cs="Arial" w:eastAsia="Arial" w:hAnsi="Arial"/>
          <w:sz w:val="18"/>
          <w:szCs w:val="18"/>
          <w:color w:val="auto"/>
        </w:rPr>
      </w:pPr>
    </w:p>
    <w:p>
      <w:pPr>
        <w:jc w:val="both"/>
        <w:ind w:left="1300" w:firstLine="652"/>
        <w:spacing w:after="0" w:line="263" w:lineRule="auto"/>
        <w:tabs>
          <w:tab w:leader="none" w:pos="2596" w:val="left"/>
        </w:tabs>
        <w:numPr>
          <w:ilvl w:val="2"/>
          <w:numId w:val="337"/>
        </w:numPr>
        <w:rPr>
          <w:rFonts w:ascii="Arial" w:cs="Arial" w:eastAsia="Arial" w:hAnsi="Arial"/>
          <w:sz w:val="19"/>
          <w:szCs w:val="19"/>
          <w:color w:val="auto"/>
        </w:rPr>
      </w:pPr>
      <w:r>
        <w:rPr>
          <w:rFonts w:ascii="Arial" w:cs="Arial" w:eastAsia="Arial" w:hAnsi="Arial"/>
          <w:sz w:val="19"/>
          <w:szCs w:val="19"/>
          <w:color w:val="auto"/>
        </w:rPr>
        <w:t xml:space="preserve">the Administrative Agent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Administrative Agent shall be required for an assignment of all or any portion of a Term Loan to (x) a Lender, an Affiliate of a Lender, or an Approved Fund, or (y) the Borrower or an Affiliate of the Borrower made in accordance with </w:t>
      </w:r>
      <w:r>
        <w:rPr>
          <w:rFonts w:ascii="Arial" w:cs="Arial" w:eastAsia="Arial" w:hAnsi="Arial"/>
          <w:sz w:val="19"/>
          <w:szCs w:val="19"/>
          <w:u w:val="single" w:color="auto"/>
          <w:color w:val="auto"/>
        </w:rPr>
        <w:t>Section 2.25</w:t>
      </w:r>
      <w:r>
        <w:rPr>
          <w:rFonts w:ascii="Arial" w:cs="Arial" w:eastAsia="Arial" w:hAnsi="Arial"/>
          <w:sz w:val="19"/>
          <w:szCs w:val="19"/>
          <w:color w:val="auto"/>
        </w:rPr>
        <w:t>; and</w:t>
      </w:r>
    </w:p>
    <w:p>
      <w:pPr>
        <w:spacing w:after="0" w:line="176" w:lineRule="exact"/>
        <w:rPr>
          <w:rFonts w:ascii="Arial" w:cs="Arial" w:eastAsia="Arial" w:hAnsi="Arial"/>
          <w:sz w:val="19"/>
          <w:szCs w:val="19"/>
          <w:color w:val="auto"/>
        </w:rPr>
      </w:pPr>
    </w:p>
    <w:p>
      <w:pPr>
        <w:jc w:val="both"/>
        <w:ind w:left="1300" w:firstLine="652"/>
        <w:spacing w:after="0" w:line="250" w:lineRule="auto"/>
        <w:tabs>
          <w:tab w:leader="none" w:pos="2596" w:val="left"/>
        </w:tabs>
        <w:numPr>
          <w:ilvl w:val="2"/>
          <w:numId w:val="337"/>
        </w:numPr>
        <w:rPr>
          <w:rFonts w:ascii="Arial" w:cs="Arial" w:eastAsia="Arial" w:hAnsi="Arial"/>
          <w:sz w:val="20"/>
          <w:szCs w:val="20"/>
          <w:color w:val="auto"/>
        </w:rPr>
      </w:pPr>
      <w:r>
        <w:rPr>
          <w:rFonts w:ascii="Arial" w:cs="Arial" w:eastAsia="Arial" w:hAnsi="Arial"/>
          <w:sz w:val="20"/>
          <w:szCs w:val="20"/>
          <w:color w:val="auto"/>
        </w:rPr>
        <w:t xml:space="preserve">the Issuing Bank and the Swingline Lender (such consent, in each case,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that no consent of the Issuing Bank and the Swingline Lender shall be required for an assignment of all or any portion of a Term Loan.</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 xml:space="preserve">Assignments (other than pursuant to </w:t>
      </w:r>
      <w:r>
        <w:rPr>
          <w:rFonts w:ascii="Arial" w:cs="Arial" w:eastAsia="Arial" w:hAnsi="Arial"/>
          <w:sz w:val="19"/>
          <w:szCs w:val="19"/>
          <w:u w:val="single" w:color="auto"/>
          <w:color w:val="auto"/>
        </w:rPr>
        <w:t>Section 2.25</w:t>
      </w:r>
      <w:r>
        <w:rPr>
          <w:rFonts w:ascii="Arial" w:cs="Arial" w:eastAsia="Arial" w:hAnsi="Arial"/>
          <w:sz w:val="19"/>
          <w:szCs w:val="19"/>
          <w:color w:val="auto"/>
        </w:rPr>
        <w:t>) shall be subject to the following additional</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conditions:</w:t>
      </w:r>
    </w:p>
    <w:p>
      <w:pPr>
        <w:spacing w:after="0" w:line="199" w:lineRule="exact"/>
        <w:rPr>
          <w:rFonts w:ascii="Arial" w:cs="Arial" w:eastAsia="Arial" w:hAnsi="Arial"/>
          <w:sz w:val="19"/>
          <w:szCs w:val="19"/>
          <w:color w:val="auto"/>
        </w:rPr>
      </w:pPr>
    </w:p>
    <w:p>
      <w:pPr>
        <w:jc w:val="both"/>
        <w:ind w:left="1300" w:firstLine="652"/>
        <w:spacing w:after="0" w:line="243" w:lineRule="auto"/>
        <w:tabs>
          <w:tab w:leader="none" w:pos="2596" w:val="left"/>
        </w:tabs>
        <w:numPr>
          <w:ilvl w:val="2"/>
          <w:numId w:val="337"/>
        </w:numPr>
        <w:rPr>
          <w:rFonts w:ascii="Arial" w:cs="Arial" w:eastAsia="Arial" w:hAnsi="Arial"/>
          <w:sz w:val="20"/>
          <w:szCs w:val="20"/>
          <w:color w:val="auto"/>
        </w:rPr>
      </w:pPr>
      <w:r>
        <w:rPr>
          <w:rFonts w:ascii="Arial" w:cs="Arial" w:eastAsia="Arial" w:hAnsi="Arial"/>
          <w:sz w:val="20"/>
          <w:szCs w:val="20"/>
          <w:color w:val="auto"/>
        </w:rPr>
        <w:t>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$1,000,000 in the case of Term Loans and (y) $5,000,000 in the case of Revolving Facility Loans or Revolving Facility Commitments, unless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37" w:name="page338"/>
    <w:bookmarkEnd w:id="337"/>
    <w:p>
      <w:pPr>
        <w:jc w:val="both"/>
        <w:ind w:left="840"/>
        <w:spacing w:after="0" w:line="282" w:lineRule="auto"/>
        <w:rPr>
          <w:sz w:val="20"/>
          <w:szCs w:val="20"/>
          <w:color w:val="auto"/>
        </w:rPr>
      </w:pPr>
      <w:r>
        <w:rPr>
          <w:rFonts w:ascii="Arial" w:cs="Arial" w:eastAsia="Arial" w:hAnsi="Arial"/>
          <w:sz w:val="18"/>
          <w:szCs w:val="18"/>
          <w:color w:val="auto"/>
        </w:rPr>
        <w:t xml:space="preserve">Borrower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an Event of Default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amounts shall be aggregated in respect of each Lender and its Affiliates or Approved Funds (with simultaneous assignments to or by two or more Related Funds being treated as one assignment), if any;</w:t>
      </w:r>
    </w:p>
    <w:p>
      <w:pPr>
        <w:spacing w:after="0" w:line="161" w:lineRule="exact"/>
        <w:rPr>
          <w:sz w:val="20"/>
          <w:szCs w:val="20"/>
          <w:color w:val="auto"/>
        </w:rPr>
      </w:pPr>
    </w:p>
    <w:p>
      <w:pPr>
        <w:jc w:val="both"/>
        <w:ind w:left="840" w:firstLine="652"/>
        <w:spacing w:after="0" w:line="246" w:lineRule="auto"/>
        <w:tabs>
          <w:tab w:leader="none" w:pos="2136" w:val="left"/>
        </w:tabs>
        <w:numPr>
          <w:ilvl w:val="0"/>
          <w:numId w:val="338"/>
        </w:numPr>
        <w:rPr>
          <w:rFonts w:ascii="Arial" w:cs="Arial" w:eastAsia="Arial" w:hAnsi="Arial"/>
          <w:sz w:val="20"/>
          <w:szCs w:val="20"/>
          <w:color w:val="auto"/>
        </w:rPr>
      </w:pPr>
      <w:r>
        <w:rPr>
          <w:rFonts w:ascii="Arial" w:cs="Arial" w:eastAsia="Arial" w:hAnsi="Arial"/>
          <w:sz w:val="20"/>
          <w:szCs w:val="20"/>
          <w:color w:val="auto"/>
        </w:rPr>
        <w:t xml:space="preserve">each partial assignment shall be made as an assignment of a proportionate part of all the assigning Lender’s rights and obligations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shall not be construed to prohibit the assignment of a proportionate part of all the assigning Lender’s rights and obligations in respect of one Class of Commitments or Loans;</w:t>
      </w:r>
    </w:p>
    <w:p>
      <w:pPr>
        <w:spacing w:after="0" w:line="191" w:lineRule="exact"/>
        <w:rPr>
          <w:rFonts w:ascii="Arial" w:cs="Arial" w:eastAsia="Arial" w:hAnsi="Arial"/>
          <w:sz w:val="20"/>
          <w:szCs w:val="20"/>
          <w:color w:val="auto"/>
        </w:rPr>
      </w:pPr>
    </w:p>
    <w:p>
      <w:pPr>
        <w:jc w:val="both"/>
        <w:ind w:left="840" w:firstLine="652"/>
        <w:spacing w:after="0" w:line="257" w:lineRule="auto"/>
        <w:tabs>
          <w:tab w:leader="none" w:pos="2136" w:val="left"/>
        </w:tabs>
        <w:numPr>
          <w:ilvl w:val="0"/>
          <w:numId w:val="338"/>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(1) execute and deliver to the Administrative Agent an Assignment and Acceptance and any form required to be delivered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prospective Assignee shall represent and warrant in the Assignment and Acceptance (for the benefit of the Borrower) that it meets the requirements to be an Assignee hereunder;</w:t>
      </w:r>
    </w:p>
    <w:p>
      <w:pPr>
        <w:spacing w:after="0" w:line="180" w:lineRule="exact"/>
        <w:rPr>
          <w:rFonts w:ascii="Arial" w:cs="Arial" w:eastAsia="Arial" w:hAnsi="Arial"/>
          <w:sz w:val="19"/>
          <w:szCs w:val="19"/>
          <w:color w:val="auto"/>
        </w:rPr>
      </w:pPr>
    </w:p>
    <w:p>
      <w:pPr>
        <w:jc w:val="both"/>
        <w:ind w:left="840" w:firstLine="652"/>
        <w:spacing w:after="0" w:line="243" w:lineRule="auto"/>
        <w:tabs>
          <w:tab w:leader="none" w:pos="2136"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95" w:lineRule="exact"/>
        <w:rPr>
          <w:rFonts w:ascii="Arial" w:cs="Arial" w:eastAsia="Arial" w:hAnsi="Arial"/>
          <w:sz w:val="20"/>
          <w:szCs w:val="20"/>
          <w:color w:val="auto"/>
        </w:rPr>
      </w:pPr>
    </w:p>
    <w:p>
      <w:pPr>
        <w:ind w:left="840" w:firstLine="652"/>
        <w:spacing w:after="0" w:line="260" w:lineRule="auto"/>
        <w:tabs>
          <w:tab w:leader="none" w:pos="2136" w:val="left"/>
        </w:tabs>
        <w:numPr>
          <w:ilvl w:val="0"/>
          <w:numId w:val="338"/>
        </w:numPr>
        <w:rPr>
          <w:rFonts w:ascii="Arial" w:cs="Arial" w:eastAsia="Arial" w:hAnsi="Arial"/>
          <w:sz w:val="20"/>
          <w:szCs w:val="20"/>
          <w:color w:val="auto"/>
        </w:rPr>
      </w:pPr>
      <w:r>
        <w:rPr>
          <w:rFonts w:ascii="Arial" w:cs="Arial" w:eastAsia="Arial" w:hAnsi="Arial"/>
          <w:sz w:val="20"/>
          <w:szCs w:val="20"/>
          <w:color w:val="auto"/>
        </w:rPr>
        <w:t xml:space="preserve">the Assignee shall not be (1) the Borrower or any of the Borrower’s Affiliates or Subsidiaries except in accordance with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or (2) a Disqualified Lender.</w:t>
      </w:r>
    </w:p>
    <w:p>
      <w:pPr>
        <w:spacing w:after="0" w:line="177" w:lineRule="exact"/>
        <w:rPr>
          <w:sz w:val="20"/>
          <w:szCs w:val="20"/>
          <w:color w:val="auto"/>
        </w:rPr>
      </w:pPr>
    </w:p>
    <w:p>
      <w:pPr>
        <w:jc w:val="both"/>
        <w:ind w:left="200" w:firstLine="648"/>
        <w:spacing w:after="0" w:line="246"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9.04</w:t>
      </w:r>
      <w:r>
        <w:rPr>
          <w:rFonts w:ascii="Arial" w:cs="Arial" w:eastAsia="Arial" w:hAnsi="Arial"/>
          <w:sz w:val="20"/>
          <w:szCs w:val="20"/>
          <w:color w:val="auto"/>
        </w:rPr>
        <w:t>, “</w:t>
      </w:r>
      <w:r>
        <w:rPr>
          <w:rFonts w:ascii="Arial" w:cs="Arial" w:eastAsia="Arial" w:hAnsi="Arial"/>
          <w:sz w:val="20"/>
          <w:szCs w:val="20"/>
          <w:u w:val="single" w:color="auto"/>
          <w:color w:val="auto"/>
        </w:rPr>
        <w:t>Approved Fund</w:t>
      </w:r>
      <w:r>
        <w:rPr>
          <w:rFonts w:ascii="Arial" w:cs="Arial" w:eastAsia="Arial" w:hAnsi="Arial"/>
          <w:sz w:val="20"/>
          <w:szCs w:val="20"/>
          <w:color w:val="auto"/>
        </w:rPr>
        <w:t>” shall mean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spacing w:after="0" w:line="191" w:lineRule="exact"/>
        <w:rPr>
          <w:sz w:val="20"/>
          <w:szCs w:val="20"/>
          <w:color w:val="auto"/>
        </w:rPr>
      </w:pPr>
    </w:p>
    <w:p>
      <w:pPr>
        <w:jc w:val="both"/>
        <w:ind w:left="200" w:firstLine="648"/>
        <w:spacing w:after="0" w:line="282" w:lineRule="auto"/>
        <w:rPr>
          <w:sz w:val="20"/>
          <w:szCs w:val="20"/>
          <w:color w:val="auto"/>
        </w:rPr>
      </w:pPr>
      <w:r>
        <w:rPr>
          <w:rFonts w:ascii="Arial" w:cs="Arial" w:eastAsia="Arial" w:hAnsi="Arial"/>
          <w:sz w:val="18"/>
          <w:szCs w:val="18"/>
          <w:color w:val="auto"/>
        </w:rPr>
        <w:t>Notwithstanding the foregoing or anything to the contrary herein, no Lender shall be permitted to assign or transfer any portion of its rights and obligations under this Agreement to any person that, at the time of such assignment or transfer, is a Defaulting Lender. Any assigning Lender shall, in connection with any potential assignment, provide to the Borrower a copy of its request (including the name of the prospective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338" w:name="page339"/>
    <w:bookmarkEnd w:id="338"/>
    <w:p>
      <w:pPr>
        <w:ind w:left="200" w:right="20"/>
        <w:spacing w:after="0" w:line="260" w:lineRule="auto"/>
        <w:rPr>
          <w:sz w:val="20"/>
          <w:szCs w:val="20"/>
          <w:color w:val="auto"/>
        </w:rPr>
      </w:pPr>
      <w:r>
        <w:rPr>
          <w:rFonts w:ascii="Arial" w:cs="Arial" w:eastAsia="Arial" w:hAnsi="Arial"/>
          <w:sz w:val="20"/>
          <w:szCs w:val="20"/>
          <w:color w:val="auto"/>
        </w:rPr>
        <w:t xml:space="preserve">concurrently with its delivery of the same request to the Administrative Agent irrespective of whether or not an Event of Default under </w:t>
      </w:r>
      <w:r>
        <w:rPr>
          <w:rFonts w:ascii="Arial" w:cs="Arial" w:eastAsia="Arial" w:hAnsi="Arial"/>
          <w:sz w:val="20"/>
          <w:szCs w:val="20"/>
          <w:u w:val="single" w:color="auto"/>
          <w:color w:val="auto"/>
        </w:rPr>
        <w:t>Section 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w:t>
      </w:r>
      <w:r>
        <w:rPr>
          <w:rFonts w:ascii="Arial" w:cs="Arial" w:eastAsia="Arial" w:hAnsi="Arial"/>
          <w:sz w:val="20"/>
          <w:szCs w:val="20"/>
          <w:color w:val="auto"/>
        </w:rPr>
        <w:t xml:space="preserve"> has occurred and is continuing.</w:t>
      </w:r>
    </w:p>
    <w:p>
      <w:pPr>
        <w:spacing w:after="0" w:line="177" w:lineRule="exact"/>
        <w:rPr>
          <w:sz w:val="20"/>
          <w:szCs w:val="20"/>
          <w:color w:val="auto"/>
        </w:rPr>
      </w:pPr>
    </w:p>
    <w:p>
      <w:pPr>
        <w:jc w:val="both"/>
        <w:ind w:left="200" w:firstLine="644"/>
        <w:spacing w:after="0" w:line="267" w:lineRule="auto"/>
        <w:tabs>
          <w:tab w:leader="none" w:pos="149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Subject to acceptance and recording thereof pursuant to this </w:t>
      </w:r>
      <w:r>
        <w:rPr>
          <w:rFonts w:ascii="Arial" w:cs="Arial" w:eastAsia="Arial" w:hAnsi="Arial"/>
          <w:sz w:val="18"/>
          <w:szCs w:val="18"/>
          <w:u w:val="single" w:color="auto"/>
          <w:color w:val="auto"/>
        </w:rPr>
        <w:t>subclause (iii)</w:t>
      </w:r>
      <w:r>
        <w:rPr>
          <w:rFonts w:ascii="Arial" w:cs="Arial" w:eastAsia="Arial" w:hAnsi="Arial"/>
          <w:sz w:val="18"/>
          <w:szCs w:val="18"/>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9.05</w:t>
      </w:r>
      <w:r>
        <w:rPr>
          <w:rFonts w:ascii="Arial" w:cs="Arial" w:eastAsia="Arial" w:hAnsi="Arial"/>
          <w:sz w:val="18"/>
          <w:szCs w:val="18"/>
          <w:color w:val="auto"/>
        </w:rPr>
        <w:t xml:space="preserve"> (subject to the limitations and requirements of those Sections, including the requirements of </w:t>
      </w:r>
      <w:r>
        <w:rPr>
          <w:rFonts w:ascii="Arial" w:cs="Arial" w:eastAsia="Arial" w:hAnsi="Arial"/>
          <w:sz w:val="18"/>
          <w:szCs w:val="18"/>
          <w:u w:val="single" w:color="auto"/>
          <w:color w:val="auto"/>
        </w:rPr>
        <w:t>Sections 2.17(d)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2.17(f)</w:t>
      </w:r>
      <w:r>
        <w:rPr>
          <w:rFonts w:ascii="Arial" w:cs="Arial" w:eastAsia="Arial" w:hAnsi="Arial"/>
          <w:sz w:val="18"/>
          <w:szCs w:val="18"/>
          <w:color w:val="auto"/>
        </w:rPr>
        <w:t xml:space="preserve">)). Any assignment or transfer by a Lender of rights or obligations under this Agreement that does not comply with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(except to the extent such participation is not permitted by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such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in which case such assignment or transfer shall be null and void). The Administrative Agent, acting solely for this purpose as a non-fiduciary agent of the Borrower, shall maintain at one of its offices a copy of each Assignment and Acceptance delivered to it and a register for the recordation of the names and addresses of the Lenders, and the applicable Commitments of, and principal and interest amounts of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Banks, the Swingline Lender and any Lender, at any reasonable time and from time to time upon reasonable prior notice. Upon its receipt of a duly completed Assignment and Acceptance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8"/>
          <w:szCs w:val="18"/>
          <w:u w:val="single" w:color="auto"/>
          <w:color w:val="auto"/>
        </w:rPr>
        <w:t>clause (b)(ii)(C)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if applicable, and any written consent to such assignment required by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Administrative Agent shall accept such Assignment and Acceptance and promptly record the information contained therein in the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the assigning Lender or the assignee shall have failed to make any payment required to be made by it pursuant to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8.07</w:t>
      </w:r>
      <w:r>
        <w:rPr>
          <w:rFonts w:ascii="Arial" w:cs="Arial" w:eastAsia="Arial" w:hAnsi="Arial"/>
          <w:sz w:val="18"/>
          <w:szCs w:val="18"/>
          <w:color w:val="auto"/>
        </w:rPr>
        <w:t xml:space="preserve">,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w:t>
      </w:r>
      <w:r>
        <w:rPr>
          <w:rFonts w:ascii="Arial" w:cs="Arial" w:eastAsia="Arial" w:hAnsi="Arial"/>
          <w:sz w:val="18"/>
          <w:szCs w:val="18"/>
          <w:u w:val="single" w:color="auto"/>
          <w:color w:val="auto"/>
        </w:rPr>
        <w:t>subclause (iii)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339" w:name="page340"/>
    <w:bookmarkEnd w:id="339"/>
    <w:p>
      <w:pPr>
        <w:jc w:val="both"/>
        <w:ind w:firstLine="656"/>
        <w:spacing w:after="0" w:line="268" w:lineRule="auto"/>
        <w:tabs>
          <w:tab w:leader="none" w:pos="129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(i) Any Lender may, without the consent of the Borrower (except as provided in </w:t>
      </w:r>
      <w:r>
        <w:rPr>
          <w:rFonts w:ascii="Arial" w:cs="Arial" w:eastAsia="Arial" w:hAnsi="Arial"/>
          <w:sz w:val="18"/>
          <w:szCs w:val="18"/>
          <w:u w:val="single" w:color="auto"/>
          <w:color w:val="auto"/>
        </w:rPr>
        <w:t>Section 9.04(c)(iii)</w:t>
      </w:r>
      <w:r>
        <w:rPr>
          <w:rFonts w:ascii="Arial" w:cs="Arial" w:eastAsia="Arial" w:hAnsi="Arial"/>
          <w:sz w:val="18"/>
          <w:szCs w:val="18"/>
          <w:color w:val="auto"/>
        </w:rPr>
        <w:t>) or the Administrative Agent or any Issuing Bank or the Swingline Lender, sell participations in Loans and Commitments to one or more banks or other entities other than any person that, at the time of such participation, is (I) a Defaulting Lender, (II) the Borrower or any of its Subsidiaries or any of their respective Affiliates, (III) a Disqualified Lender or (IV) a natural person (or holding company, investment vehicle or trust for, or owned and operated for the primary benefit of, a natural person)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(i) such Lender shall retain the sole right to enforce this Agreement and the other Loan Documents and to approve any amendment, modification or waiver of any provision of this Agreement and the other Loan Documents and (ii) that the prospective Participant represents and warrants in the agreement to sell such participation (for the benefit of the Borrower) that it meets the requirements to be a Participant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may provide that such Lender will not, without the consent of the Participant, agree to any amendment, modification or waiver that both (1) directly effects (A) reductions or forgiveness of principal, interest or fees payable in respect of the Loans participated, (B) extensions of final maturity or scheduled amortization of, or date for payment of interest or fees on the Loans in which such participant participates, (C) releases of all or substantially all of the value of the Guarantees, taken as a whole and (D) releases of all or substantially all of the value of the Collateral, taken as a whole and (2) directly affects such Participant (but, for the avoidance of doubt, not any waiver of any Default or Event of Default). Subject to </w:t>
      </w:r>
      <w:r>
        <w:rPr>
          <w:rFonts w:ascii="Arial" w:cs="Arial" w:eastAsia="Arial" w:hAnsi="Arial"/>
          <w:sz w:val="18"/>
          <w:szCs w:val="18"/>
          <w:u w:val="single" w:color="auto"/>
          <w:color w:val="auto"/>
        </w:rPr>
        <w:t>clause (c)(iii)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(subject to the limitations and requirements of those Sections and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including the requirements of </w:t>
      </w:r>
      <w:r>
        <w:rPr>
          <w:rFonts w:ascii="Arial" w:cs="Arial" w:eastAsia="Arial" w:hAnsi="Arial"/>
          <w:sz w:val="18"/>
          <w:szCs w:val="18"/>
          <w:u w:val="single" w:color="auto"/>
          <w:color w:val="auto"/>
        </w:rPr>
        <w:t>Sections 2.17(d)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2.17(f)</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Sections 2.17(d)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2.17(f)</w:t>
      </w:r>
      <w:r>
        <w:rPr>
          <w:rFonts w:ascii="Arial" w:cs="Arial" w:eastAsia="Arial" w:hAnsi="Arial"/>
          <w:sz w:val="18"/>
          <w:szCs w:val="18"/>
          <w:color w:val="auto"/>
        </w:rPr>
        <w:t xml:space="preserve"> shall be delivered solely to the participating Lender)) to the same extent as if it were a Lender and had acquired its interest by assignment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To the extent permitted by law, each Participant also shall be entitled to the benefits of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shall be subject to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as though it were a Lender.</w:t>
      </w:r>
    </w:p>
    <w:p>
      <w:pPr>
        <w:spacing w:after="0" w:line="171" w:lineRule="exact"/>
        <w:rPr>
          <w:rFonts w:ascii="Arial" w:cs="Arial" w:eastAsia="Arial" w:hAnsi="Arial"/>
          <w:sz w:val="18"/>
          <w:szCs w:val="18"/>
          <w:color w:val="auto"/>
        </w:rPr>
      </w:pPr>
    </w:p>
    <w:p>
      <w:pPr>
        <w:jc w:val="both"/>
        <w:ind w:left="660" w:firstLine="644"/>
        <w:spacing w:after="0" w:line="256" w:lineRule="auto"/>
        <w:tabs>
          <w:tab w:leader="none" w:pos="1956" w:val="left"/>
        </w:tabs>
        <w:numPr>
          <w:ilvl w:val="1"/>
          <w:numId w:val="340"/>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w:t>
      </w:r>
      <w:r>
        <w:rPr>
          <w:rFonts w:ascii="Arial" w:cs="Arial" w:eastAsia="Arial" w:hAnsi="Arial"/>
          <w:sz w:val="19"/>
          <w:szCs w:val="19"/>
          <w:u w:val="single" w:color="auto"/>
          <w:color w:val="auto"/>
        </w:rPr>
        <w:t>Section 9.04(c)</w:t>
      </w:r>
      <w:r>
        <w:rPr>
          <w:rFonts w:ascii="Arial" w:cs="Arial" w:eastAsia="Arial" w:hAnsi="Arial"/>
          <w:sz w:val="19"/>
          <w:szCs w:val="19"/>
          <w:color w:val="auto"/>
        </w:rPr>
        <w:t>, no Lender shall have any obligation to disclose all or any portion of a Participant Register to any person (including the identity of any Participant or any information relating to a Participant’s interest in any Commitments, Loans or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0" w:name="page341"/>
    <w:bookmarkEnd w:id="340"/>
    <w:p>
      <w:pPr>
        <w:jc w:val="both"/>
        <w:ind w:left="660"/>
        <w:spacing w:after="0" w:line="263" w:lineRule="auto"/>
        <w:rPr>
          <w:sz w:val="20"/>
          <w:szCs w:val="20"/>
          <w:color w:val="auto"/>
        </w:rPr>
      </w:pPr>
      <w:r>
        <w:rPr>
          <w:rFonts w:ascii="Arial" w:cs="Arial" w:eastAsia="Arial" w:hAnsi="Arial"/>
          <w:sz w:val="19"/>
          <w:szCs w:val="19"/>
          <w:color w:val="auto"/>
        </w:rPr>
        <w:t>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jc w:val="both"/>
        <w:ind w:left="660" w:firstLine="644"/>
        <w:spacing w:after="0" w:line="246" w:lineRule="auto"/>
        <w:tabs>
          <w:tab w:leader="none" w:pos="1956" w:val="left"/>
        </w:tabs>
        <w:numPr>
          <w:ilvl w:val="1"/>
          <w:numId w:val="341"/>
        </w:numPr>
        <w:rPr>
          <w:rFonts w:ascii="Arial" w:cs="Arial" w:eastAsia="Arial" w:hAnsi="Arial"/>
          <w:sz w:val="20"/>
          <w:szCs w:val="20"/>
          <w:color w:val="auto"/>
        </w:rPr>
      </w:pPr>
      <w:r>
        <w:rPr>
          <w:rFonts w:ascii="Arial" w:cs="Arial" w:eastAsia="Arial" w:hAnsi="Arial"/>
          <w:sz w:val="20"/>
          <w:szCs w:val="20"/>
          <w:color w:val="auto"/>
        </w:rPr>
        <w:t xml:space="preserve">A Participant shall not be entitled to receive any greater payment under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91" w:lineRule="exact"/>
        <w:rPr>
          <w:rFonts w:ascii="Arial" w:cs="Arial" w:eastAsia="Arial" w:hAnsi="Arial"/>
          <w:sz w:val="20"/>
          <w:szCs w:val="20"/>
          <w:color w:val="auto"/>
        </w:rPr>
      </w:pPr>
    </w:p>
    <w:p>
      <w:pPr>
        <w:jc w:val="both"/>
        <w:ind w:firstLine="656"/>
        <w:spacing w:after="0" w:line="257" w:lineRule="auto"/>
        <w:tabs>
          <w:tab w:leader="none" w:pos="1296" w:val="left"/>
        </w:tabs>
        <w:numPr>
          <w:ilvl w:val="0"/>
          <w:numId w:val="342"/>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pledge or assignment of a security interest shall release a Lender from any of its obligations hereunder or substitute any such pledgee or assignee for such Lender as a party hereto.</w:t>
      </w:r>
    </w:p>
    <w:p>
      <w:pPr>
        <w:spacing w:after="0" w:line="184" w:lineRule="exact"/>
        <w:rPr>
          <w:rFonts w:ascii="Arial" w:cs="Arial" w:eastAsia="Arial" w:hAnsi="Arial"/>
          <w:sz w:val="19"/>
          <w:szCs w:val="19"/>
          <w:color w:val="auto"/>
        </w:rPr>
      </w:pPr>
    </w:p>
    <w:p>
      <w:pPr>
        <w:ind w:firstLine="656"/>
        <w:spacing w:after="0" w:line="260" w:lineRule="auto"/>
        <w:tabs>
          <w:tab w:leader="none" w:pos="1296" w:val="left"/>
        </w:tabs>
        <w:numPr>
          <w:ilvl w:val="0"/>
          <w:numId w:val="342"/>
        </w:numPr>
        <w:rPr>
          <w:rFonts w:ascii="Arial" w:cs="Arial" w:eastAsia="Arial" w:hAnsi="Arial"/>
          <w:sz w:val="20"/>
          <w:szCs w:val="20"/>
          <w:color w:val="auto"/>
        </w:rPr>
      </w:pPr>
      <w:r>
        <w:rPr>
          <w:rFonts w:ascii="Arial" w:cs="Arial" w:eastAsia="Arial" w:hAnsi="Arial"/>
          <w:sz w:val="20"/>
          <w:szCs w:val="20"/>
          <w:color w:val="auto"/>
        </w:rPr>
        <w:t xml:space="preserve">The Borrower, upon receipt of written notice from the relevant Lender, agrees to issue Notes to any Lender requiring Notes to facilitate transactions of the type described in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above.</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296" w:val="left"/>
        </w:tabs>
        <w:numPr>
          <w:ilvl w:val="0"/>
          <w:numId w:val="342"/>
        </w:numPr>
        <w:rPr>
          <w:rFonts w:ascii="Arial" w:cs="Arial" w:eastAsia="Arial" w:hAnsi="Arial"/>
          <w:sz w:val="20"/>
          <w:szCs w:val="20"/>
          <w:color w:val="auto"/>
        </w:rPr>
      </w:pPr>
      <w:r>
        <w:rPr>
          <w:rFonts w:ascii="Arial" w:cs="Arial" w:eastAsia="Arial" w:hAnsi="Arial"/>
          <w:sz w:val="20"/>
          <w:szCs w:val="20"/>
          <w:color w:val="auto"/>
        </w:rPr>
        <w:t>Any Lender may, at any time, assign all or a portion of its rights and obligations under this Agreement to the Affiliated Lenders (and such Affiliated Lenders may contribute the same to the Borrower), subject to the following limitations:</w:t>
      </w:r>
    </w:p>
    <w:p>
      <w:pPr>
        <w:spacing w:after="0" w:line="185" w:lineRule="exact"/>
        <w:rPr>
          <w:rFonts w:ascii="Arial" w:cs="Arial" w:eastAsia="Arial" w:hAnsi="Arial"/>
          <w:sz w:val="20"/>
          <w:szCs w:val="20"/>
          <w:color w:val="auto"/>
        </w:rPr>
      </w:pPr>
    </w:p>
    <w:p>
      <w:pPr>
        <w:jc w:val="both"/>
        <w:ind w:left="660" w:firstLine="644"/>
        <w:spacing w:after="0" w:line="278" w:lineRule="auto"/>
        <w:tabs>
          <w:tab w:leader="none" w:pos="1956"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Affiliated Lenders will not receive information provided solely to Lenders by the Administrative Agent or any Lender and will not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provisions of this clause will not apply to any Affiliated Debt Fund;</w:t>
      </w:r>
    </w:p>
    <w:p>
      <w:pPr>
        <w:spacing w:after="0" w:line="165" w:lineRule="exact"/>
        <w:rPr>
          <w:sz w:val="20"/>
          <w:szCs w:val="20"/>
          <w:color w:val="auto"/>
        </w:rPr>
      </w:pPr>
    </w:p>
    <w:p>
      <w:pPr>
        <w:jc w:val="both"/>
        <w:ind w:left="660" w:firstLine="644"/>
        <w:spacing w:after="0" w:line="274" w:lineRule="auto"/>
        <w:tabs>
          <w:tab w:leader="none" w:pos="195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for purposes of any amendment, waiver or modification of any Loan Document (including such modifications pursuant to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or, subject to the second paragraph of </w:t>
      </w:r>
      <w:r>
        <w:rPr>
          <w:rFonts w:ascii="Arial" w:cs="Arial" w:eastAsia="Arial" w:hAnsi="Arial"/>
          <w:sz w:val="18"/>
          <w:szCs w:val="18"/>
          <w:u w:val="single" w:color="auto"/>
          <w:color w:val="auto"/>
        </w:rPr>
        <w:t>Section 9.08(b)</w:t>
      </w:r>
      <w:r>
        <w:rPr>
          <w:rFonts w:ascii="Arial" w:cs="Arial" w:eastAsia="Arial" w:hAnsi="Arial"/>
          <w:sz w:val="18"/>
          <w:szCs w:val="18"/>
          <w:color w:val="auto"/>
        </w:rPr>
        <w:t>, any plan of reorganization or similar dispositive restructuring plan pursuant to the Bankruptcy Code, that in either case does not require the consent of each Lender or each affected Lender or does not adversely affect such Affiliated Lender in any material respect as compared to other Lenders,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1" w:name="page342"/>
    <w:bookmarkEnd w:id="341"/>
    <w:p>
      <w:pPr>
        <w:ind w:left="660"/>
        <w:spacing w:after="0"/>
        <w:rPr>
          <w:sz w:val="20"/>
          <w:szCs w:val="20"/>
          <w:color w:val="auto"/>
        </w:rPr>
      </w:pPr>
      <w:r>
        <w:rPr>
          <w:rFonts w:ascii="Arial" w:cs="Arial" w:eastAsia="Arial" w:hAnsi="Arial"/>
          <w:sz w:val="16"/>
          <w:szCs w:val="16"/>
          <w:color w:val="auto"/>
        </w:rPr>
        <w:t>Bankruptcy Code is not deemed to have been so voted, then such vote will be (x) deemed not to be in good faith and</w:t>
      </w:r>
    </w:p>
    <w:p>
      <w:pPr>
        <w:spacing w:after="0" w:line="62" w:lineRule="exact"/>
        <w:rPr>
          <w:sz w:val="20"/>
          <w:szCs w:val="20"/>
          <w:color w:val="auto"/>
        </w:rPr>
      </w:pPr>
    </w:p>
    <w:p>
      <w:pPr>
        <w:jc w:val="both"/>
        <w:ind w:left="660" w:hanging="4"/>
        <w:spacing w:after="0" w:line="241" w:lineRule="auto"/>
        <w:tabs>
          <w:tab w:leader="none" w:pos="997" w:val="left"/>
        </w:tabs>
        <w:numPr>
          <w:ilvl w:val="0"/>
          <w:numId w:val="344"/>
        </w:numPr>
        <w:rPr>
          <w:rFonts w:ascii="Arial" w:cs="Arial" w:eastAsia="Arial" w:hAnsi="Arial"/>
          <w:sz w:val="20"/>
          <w:szCs w:val="20"/>
          <w:color w:val="auto"/>
        </w:rPr>
      </w:pPr>
      <w:r>
        <w:rPr>
          <w:rFonts w:ascii="Arial" w:cs="Arial" w:eastAsia="Arial" w:hAnsi="Arial"/>
          <w:sz w:val="20"/>
          <w:szCs w:val="20"/>
          <w:color w:val="auto"/>
        </w:rPr>
        <w:t xml:space="preserve">“designated” pursuant to Section 1126(e) of the Bankruptcy Code such that the vote is not counted in determining whether the applicable class has accepted or rejected such plan in accordance with Section 1126(c) of the Bankruptcy Code; </w:t>
      </w:r>
      <w:r>
        <w:rPr>
          <w:rFonts w:ascii="Arial" w:cs="Arial" w:eastAsia="Arial" w:hAnsi="Arial"/>
          <w:sz w:val="20"/>
          <w:szCs w:val="20"/>
          <w:u w:val="single" w:color="auto"/>
          <w:color w:val="auto"/>
        </w:rPr>
        <w:t>provided</w:t>
      </w:r>
      <w:r>
        <w:rPr>
          <w:rFonts w:ascii="Arial" w:cs="Arial" w:eastAsia="Arial" w:hAnsi="Arial"/>
          <w:sz w:val="20"/>
          <w:szCs w:val="20"/>
          <w:color w:val="auto"/>
        </w:rPr>
        <w:t>, that Affiliated Debt Funds will not be subject to such voting limitations and will be entitled to vote as any other Lender;</w:t>
      </w:r>
    </w:p>
    <w:p>
      <w:pPr>
        <w:spacing w:after="0" w:line="194"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1"/>
          <w:numId w:val="344"/>
        </w:numPr>
        <w:rPr>
          <w:rFonts w:ascii="Arial" w:cs="Arial" w:eastAsia="Arial" w:hAnsi="Arial"/>
          <w:sz w:val="20"/>
          <w:szCs w:val="20"/>
          <w:color w:val="auto"/>
        </w:rPr>
      </w:pPr>
      <w:r>
        <w:rPr>
          <w:rFonts w:ascii="Arial" w:cs="Arial" w:eastAsia="Arial" w:hAnsi="Arial"/>
          <w:sz w:val="20"/>
          <w:szCs w:val="20"/>
          <w:color w:val="auto"/>
        </w:rPr>
        <w:t xml:space="preserve">the aggregate principal amount of Term Loans purchased by assignment pursuant to this </w:t>
      </w:r>
      <w:r>
        <w:rPr>
          <w:rFonts w:ascii="Arial" w:cs="Arial" w:eastAsia="Arial" w:hAnsi="Arial"/>
          <w:sz w:val="20"/>
          <w:szCs w:val="20"/>
          <w:u w:val="single" w:color="auto"/>
          <w:color w:val="auto"/>
        </w:rPr>
        <w:t>Section 9.04</w:t>
      </w:r>
      <w:r>
        <w:rPr>
          <w:rFonts w:ascii="Arial" w:cs="Arial" w:eastAsia="Arial" w:hAnsi="Arial"/>
          <w:sz w:val="20"/>
          <w:szCs w:val="20"/>
          <w:color w:val="auto"/>
        </w:rPr>
        <w:t xml:space="preserve"> and held at any one time by Affiliated Lenders (other than Affiliated Debt Funds) may not exceed 25.0% of the outstanding principal amount of all Term Loans calculated at the time such Term Loans are purchased (such percentage, the “</w:t>
      </w:r>
      <w:r>
        <w:rPr>
          <w:rFonts w:ascii="Arial" w:cs="Arial" w:eastAsia="Arial" w:hAnsi="Arial"/>
          <w:sz w:val="20"/>
          <w:szCs w:val="20"/>
          <w:u w:val="single" w:color="auto"/>
          <w:color w:val="auto"/>
        </w:rPr>
        <w:t>Affiliated Lender Cap</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to the extent any assignment to an Affiliated Lender (other than Affiliated Debt Funds) would result in the aggregate principal amount of all Term Loans held by Affiliated Lenders (other than Affiliated Debt Funds) exceeding the Affiliated Lender Cap, the assignment of such excess amount will be void ab initio; and</w:t>
      </w:r>
    </w:p>
    <w:p>
      <w:pPr>
        <w:spacing w:after="0" w:line="192" w:lineRule="exact"/>
        <w:rPr>
          <w:rFonts w:ascii="Arial" w:cs="Arial" w:eastAsia="Arial" w:hAnsi="Arial"/>
          <w:sz w:val="20"/>
          <w:szCs w:val="20"/>
          <w:color w:val="auto"/>
        </w:rPr>
      </w:pPr>
    </w:p>
    <w:p>
      <w:pPr>
        <w:jc w:val="both"/>
        <w:ind w:left="660" w:firstLine="644"/>
        <w:spacing w:after="0" w:line="259" w:lineRule="auto"/>
        <w:tabs>
          <w:tab w:leader="none" w:pos="1956" w:val="left"/>
        </w:tabs>
        <w:numPr>
          <w:ilvl w:val="1"/>
          <w:numId w:val="344"/>
        </w:numPr>
        <w:rPr>
          <w:rFonts w:ascii="Arial" w:cs="Arial" w:eastAsia="Arial" w:hAnsi="Arial"/>
          <w:sz w:val="19"/>
          <w:szCs w:val="19"/>
          <w:color w:val="auto"/>
        </w:rPr>
      </w:pPr>
      <w:r>
        <w:rPr>
          <w:rFonts w:ascii="Arial" w:cs="Arial" w:eastAsia="Arial" w:hAnsi="Arial"/>
          <w:sz w:val="19"/>
          <w:szCs w:val="19"/>
          <w:color w:val="auto"/>
        </w:rPr>
        <w:t xml:space="preserve">the assigning Lender and the Affiliated Lender purchasing such Lender’s Loans shall execute and deliver to the Administrative Agent an assignment agreement substantially in the form of </w:t>
      </w:r>
      <w:r>
        <w:rPr>
          <w:rFonts w:ascii="Arial" w:cs="Arial" w:eastAsia="Arial" w:hAnsi="Arial"/>
          <w:sz w:val="19"/>
          <w:szCs w:val="19"/>
          <w:u w:val="single" w:color="auto"/>
          <w:color w:val="auto"/>
        </w:rPr>
        <w:t>Exhibit N</w:t>
      </w:r>
      <w:r>
        <w:rPr>
          <w:rFonts w:ascii="Arial" w:cs="Arial" w:eastAsia="Arial" w:hAnsi="Arial"/>
          <w:sz w:val="19"/>
          <w:szCs w:val="19"/>
          <w:color w:val="auto"/>
        </w:rPr>
        <w:t xml:space="preserve"> hereto (an “</w:t>
      </w:r>
      <w:r>
        <w:rPr>
          <w:rFonts w:ascii="Arial" w:cs="Arial" w:eastAsia="Arial" w:hAnsi="Arial"/>
          <w:sz w:val="19"/>
          <w:szCs w:val="19"/>
          <w:u w:val="single" w:color="auto"/>
          <w:color w:val="auto"/>
        </w:rPr>
        <w:t>Affiliated Lender Assignment and Acceptance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each Affiliated Lender agrees to notify the Administrative Agent and the Borrower promptly (and in any event within ten (10) Business Days) if it acquires any person who is also a Lender, and each Lender agrees to notify the Administrative Agent and the Borrower promptly (and in any event within ten (10) Business Days) if it becomes an Affiliated Lender.</w:t>
      </w:r>
    </w:p>
    <w:p>
      <w:pPr>
        <w:spacing w:after="0" w:line="178" w:lineRule="exact"/>
        <w:rPr>
          <w:sz w:val="20"/>
          <w:szCs w:val="20"/>
          <w:color w:val="auto"/>
        </w:rPr>
      </w:pPr>
    </w:p>
    <w:p>
      <w:pPr>
        <w:jc w:val="both"/>
        <w:ind w:firstLine="656"/>
        <w:spacing w:after="0" w:line="246" w:lineRule="auto"/>
        <w:tabs>
          <w:tab w:leader="none" w:pos="1296" w:val="left"/>
        </w:tabs>
        <w:numPr>
          <w:ilvl w:val="0"/>
          <w:numId w:val="345"/>
        </w:numPr>
        <w:rPr>
          <w:rFonts w:ascii="Arial" w:cs="Arial" w:eastAsia="Arial" w:hAnsi="Arial"/>
          <w:sz w:val="20"/>
          <w:szCs w:val="20"/>
          <w:color w:val="auto"/>
        </w:rPr>
      </w:pPr>
      <w:r>
        <w:rPr>
          <w:rFonts w:ascii="Arial" w:cs="Arial" w:eastAsia="Arial" w:hAnsi="Arial"/>
          <w:sz w:val="20"/>
          <w:szCs w:val="20"/>
          <w:color w:val="auto"/>
        </w:rPr>
        <w:t xml:space="preserve">Each purchase of Term Loans pursuant to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for purposes of this Agreement, be deemed to be an automatic and immediate cancellation and extinguishment of such Term Loans and the Borrower shall, upon consummation of any such purchase, notify the Administrative Agent that the Register should be updated to record such event as if it were a prepayment of such Term Loans.</w:t>
      </w:r>
    </w:p>
    <w:p>
      <w:pPr>
        <w:spacing w:after="0" w:line="191" w:lineRule="exact"/>
        <w:rPr>
          <w:rFonts w:ascii="Arial" w:cs="Arial" w:eastAsia="Arial" w:hAnsi="Arial"/>
          <w:sz w:val="20"/>
          <w:szCs w:val="20"/>
          <w:color w:val="auto"/>
        </w:rPr>
      </w:pPr>
    </w:p>
    <w:p>
      <w:pPr>
        <w:jc w:val="both"/>
        <w:ind w:firstLine="656"/>
        <w:spacing w:after="0" w:line="270" w:lineRule="auto"/>
        <w:tabs>
          <w:tab w:leader="none" w:pos="129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the Swingline Lender or any other Lender hereunder (and interest accrued thereon) and (y) acquire (and fund as appropriate) its full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all Loans and participations in Letters of Credit and Swingline Loans in accordance with its Revolving Facility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in the event that any assignment of rights and obligations of any Defaulting Lender hereunder shall become effective under applicable law without compliance with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2" w:name="page343"/>
    <w:bookmarkEnd w:id="342"/>
    <w:p>
      <w:pPr>
        <w:spacing w:after="0" w:line="260"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clause (h)</w:t>
      </w:r>
      <w:r>
        <w:rPr>
          <w:rFonts w:ascii="Arial" w:cs="Arial" w:eastAsia="Arial" w:hAnsi="Arial"/>
          <w:sz w:val="20"/>
          <w:szCs w:val="20"/>
          <w:color w:val="auto"/>
        </w:rPr>
        <w:t>, then the assignee of such interest shall be deemed to be a Defaulting Lender for all purposes of this Agreement until such compliance occurs.</w:t>
      </w:r>
    </w:p>
    <w:p>
      <w:pPr>
        <w:spacing w:after="0" w:line="177" w:lineRule="exact"/>
        <w:rPr>
          <w:sz w:val="20"/>
          <w:szCs w:val="20"/>
          <w:color w:val="auto"/>
        </w:rPr>
      </w:pPr>
    </w:p>
    <w:p>
      <w:pPr>
        <w:ind w:left="1300" w:hanging="644"/>
        <w:spacing w:after="0"/>
        <w:tabs>
          <w:tab w:leader="none" w:pos="1300" w:val="left"/>
        </w:tabs>
        <w:numPr>
          <w:ilvl w:val="0"/>
          <w:numId w:val="346"/>
        </w:numPr>
        <w:rPr>
          <w:rFonts w:ascii="Arial" w:cs="Arial" w:eastAsia="Arial" w:hAnsi="Arial"/>
          <w:sz w:val="20"/>
          <w:szCs w:val="20"/>
          <w:color w:val="auto"/>
        </w:rPr>
      </w:pPr>
      <w:r>
        <w:rPr>
          <w:rFonts w:ascii="Arial" w:cs="Arial" w:eastAsia="Arial" w:hAnsi="Arial"/>
          <w:sz w:val="20"/>
          <w:szCs w:val="20"/>
          <w:u w:val="single" w:color="auto"/>
          <w:color w:val="auto"/>
        </w:rPr>
        <w:t>Disqualified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1"/>
          <w:numId w:val="346"/>
        </w:numPr>
        <w:rPr>
          <w:rFonts w:ascii="Arial" w:cs="Arial" w:eastAsia="Arial" w:hAnsi="Arial"/>
          <w:sz w:val="19"/>
          <w:szCs w:val="19"/>
          <w:color w:val="auto"/>
        </w:rPr>
      </w:pPr>
      <w:r>
        <w:rPr>
          <w:rFonts w:ascii="Arial" w:cs="Arial" w:eastAsia="Arial" w:hAnsi="Arial"/>
          <w:sz w:val="19"/>
          <w:szCs w:val="19"/>
          <w:color w:val="auto"/>
        </w:rPr>
        <w:t>No assignment or, to the extent the DQ List has been posted on the Platform for all Lenders, participation shall be made to any person that was a Disqualified Lender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on which the applicable Lender entered into a binding agreement to sell and assign or participate all or a portion of its rights and obligations under this Agreement to such person (unless the Borrower has consented to such assignment as otherwise contemplated by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in which case such person will not be considered a Disqualified Lender).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shall not retroactively be disqualified from becoming a Lender or participant and (y) the execution by the Borrower of an Assignment and Acceptance with respect to such assignee will not by itself result in such assignee no longer being considered a Disqualified Lender. Any assignment in violation of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shall not be void, but the other provisions of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shall apply.</w:t>
      </w:r>
    </w:p>
    <w:p>
      <w:pPr>
        <w:spacing w:after="0" w:line="184" w:lineRule="exact"/>
        <w:rPr>
          <w:rFonts w:ascii="Arial" w:cs="Arial" w:eastAsia="Arial" w:hAnsi="Arial"/>
          <w:sz w:val="19"/>
          <w:szCs w:val="19"/>
          <w:color w:val="auto"/>
        </w:rPr>
      </w:pPr>
    </w:p>
    <w:p>
      <w:pPr>
        <w:jc w:val="both"/>
        <w:ind w:left="660" w:firstLine="644"/>
        <w:spacing w:after="0" w:line="302" w:lineRule="auto"/>
        <w:tabs>
          <w:tab w:leader="none" w:pos="1956"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is made to any Disqualified Lender without the Borrower’s prior written consent in violation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if any person becomes a Disqualified Lender after the applicable Trade Date, the Borrower may, at its sole expense and effort, upon notice to the applicable Disqualified Lender and the Administrative Agent, (A) terminate any Revolving Facility Commitment of such Disqualified Lender and repay all obligations of the Borrower owing to such Disqualified Lender in connection with such Revolving Facility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that proceeds of Revolving Facility Loans may not be used for such purpose, (B) in the case of outstanding Term Loans held by Disqualified Lenders, purchase or prepay such Term Loan by paying the lesser of</w:t>
      </w:r>
    </w:p>
    <w:p>
      <w:pPr>
        <w:spacing w:after="0" w:line="1" w:lineRule="exact"/>
        <w:rPr>
          <w:rFonts w:ascii="Arial" w:cs="Arial" w:eastAsia="Arial" w:hAnsi="Arial"/>
          <w:sz w:val="16"/>
          <w:szCs w:val="16"/>
          <w:color w:val="auto"/>
        </w:rPr>
      </w:pPr>
    </w:p>
    <w:p>
      <w:pPr>
        <w:jc w:val="both"/>
        <w:ind w:left="660" w:hanging="4"/>
        <w:spacing w:after="0" w:line="254" w:lineRule="auto"/>
        <w:tabs>
          <w:tab w:leader="none" w:pos="945" w:val="left"/>
        </w:tabs>
        <w:numPr>
          <w:ilvl w:val="0"/>
          <w:numId w:val="347"/>
        </w:numPr>
        <w:rPr>
          <w:rFonts w:ascii="Arial" w:cs="Arial" w:eastAsia="Arial" w:hAnsi="Arial"/>
          <w:sz w:val="19"/>
          <w:szCs w:val="19"/>
          <w:color w:val="auto"/>
        </w:rPr>
      </w:pPr>
      <w:r>
        <w:rPr>
          <w:rFonts w:ascii="Arial" w:cs="Arial" w:eastAsia="Arial" w:hAnsi="Arial"/>
          <w:sz w:val="19"/>
          <w:szCs w:val="19"/>
          <w:color w:val="auto"/>
        </w:rPr>
        <w:t xml:space="preserve">the principal amount thereof and (y) the amount that such Disqualified Lender paid to acquire such Term Loans, in each case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interest, accrued fees and all other amounts (other than principal amounts) payable to 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proceeds of Revolving Facility Loans may not be used for such purposes and/or (C) require such Disqualified Lender to assign, without recourse (in accordance with and subject to the restrictions contained in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of its interest, rights and obligations under this Agreement to one or more eligible assignees at the lesser of (x) the principal amount thereof and (y) the amount that such Disqualified Lender paid to acquire such interests, rights and obligations, in each case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interest, accrued fees and all other amounts (other than principal amounts) payable to 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such assignment does not conflict with applicable laws.</w:t>
      </w:r>
    </w:p>
    <w:p>
      <w:pPr>
        <w:spacing w:after="0" w:line="184" w:lineRule="exact"/>
        <w:rPr>
          <w:rFonts w:ascii="Arial" w:cs="Arial" w:eastAsia="Arial" w:hAnsi="Arial"/>
          <w:sz w:val="19"/>
          <w:szCs w:val="19"/>
          <w:color w:val="auto"/>
        </w:rPr>
      </w:pPr>
    </w:p>
    <w:p>
      <w:pPr>
        <w:jc w:val="both"/>
        <w:ind w:left="660" w:firstLine="644"/>
        <w:spacing w:after="0" w:line="263" w:lineRule="auto"/>
        <w:tabs>
          <w:tab w:leader="none" w:pos="1956" w:val="left"/>
        </w:tabs>
        <w:numPr>
          <w:ilvl w:val="1"/>
          <w:numId w:val="347"/>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3" w:name="page344"/>
    <w:bookmarkEnd w:id="343"/>
    <w:p>
      <w:pPr>
        <w:ind w:left="660"/>
        <w:spacing w:after="0"/>
        <w:rPr>
          <w:sz w:val="20"/>
          <w:szCs w:val="20"/>
          <w:color w:val="auto"/>
        </w:rPr>
      </w:pPr>
      <w:r>
        <w:rPr>
          <w:rFonts w:ascii="Arial" w:cs="Arial" w:eastAsia="Arial" w:hAnsi="Arial"/>
          <w:sz w:val="18"/>
          <w:szCs w:val="18"/>
          <w:color w:val="auto"/>
        </w:rPr>
        <w:t>confidential communications from counsel to or financial advisors of the Administrative Agent or the Lenders and</w:t>
      </w:r>
    </w:p>
    <w:p>
      <w:pPr>
        <w:spacing w:after="0" w:line="39" w:lineRule="exact"/>
        <w:rPr>
          <w:sz w:val="20"/>
          <w:szCs w:val="20"/>
          <w:color w:val="auto"/>
        </w:rPr>
      </w:pPr>
    </w:p>
    <w:p>
      <w:pPr>
        <w:jc w:val="both"/>
        <w:ind w:left="660" w:hanging="4"/>
        <w:spacing w:after="0" w:line="268" w:lineRule="auto"/>
        <w:tabs>
          <w:tab w:leader="none" w:pos="98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applicable insolvency laws (a “</w:t>
      </w:r>
      <w:r>
        <w:rPr>
          <w:rFonts w:ascii="Arial" w:cs="Arial" w:eastAsia="Arial" w:hAnsi="Arial"/>
          <w:sz w:val="18"/>
          <w:szCs w:val="18"/>
          <w:u w:val="single" w:color="auto"/>
          <w:color w:val="auto"/>
        </w:rPr>
        <w:t>Bankruptcy Plan</w:t>
      </w:r>
      <w:r>
        <w:rPr>
          <w:rFonts w:ascii="Arial" w:cs="Arial" w:eastAsia="Arial" w:hAnsi="Arial"/>
          <w:sz w:val="18"/>
          <w:szCs w:val="18"/>
          <w:color w:val="auto"/>
        </w:rPr>
        <w:t xml:space="preserve">”), each Disqualified Lender party hereto hereby agrees (1) not to vote on such Bankruptcy Plan, (2) if such Disqualified Lender does vote on such Bankruptcy Plan notwithstanding the restriction in the foregoing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such vote will be deemed not to be in good faith and shall be “designated” pursuant to Section 1126(e) of the Bankruptcy Code (or any similar provision in any other applicable insolvency laws), and such vote shall not be counted in determining whether the applicable class has accepted or rejected such Bankruptcy Plan in accordance with Section 1126(c) of the Bankruptcy Code (or any similar provision in any other insolvency laws) and (3) not to contest any request by any party for a determination by the court hearing such proceeding (or other applicable court of competent jurisdiction) effectuating the foregoing </w:t>
      </w:r>
      <w:r>
        <w:rPr>
          <w:rFonts w:ascii="Arial" w:cs="Arial" w:eastAsia="Arial" w:hAnsi="Arial"/>
          <w:sz w:val="18"/>
          <w:szCs w:val="18"/>
          <w:u w:val="single" w:color="auto"/>
          <w:color w:val="auto"/>
        </w:rPr>
        <w:t>clause (2)</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660" w:firstLine="644"/>
        <w:spacing w:after="0" w:line="282" w:lineRule="auto"/>
        <w:tabs>
          <w:tab w:leader="none" w:pos="195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Administrative Agent shall have the right, and the Borrower hereby expressly authorizes the Administrative Agent, to (A) post the list of Disqualified Lenders provided by the Borrower and any updates thereto from time to time (collectively, the “</w:t>
      </w:r>
      <w:r>
        <w:rPr>
          <w:rFonts w:ascii="Arial" w:cs="Arial" w:eastAsia="Arial" w:hAnsi="Arial"/>
          <w:sz w:val="18"/>
          <w:szCs w:val="18"/>
          <w:u w:val="single" w:color="auto"/>
          <w:color w:val="auto"/>
        </w:rPr>
        <w:t>DQ List</w:t>
      </w:r>
      <w:r>
        <w:rPr>
          <w:rFonts w:ascii="Arial" w:cs="Arial" w:eastAsia="Arial" w:hAnsi="Arial"/>
          <w:sz w:val="18"/>
          <w:szCs w:val="18"/>
          <w:color w:val="auto"/>
        </w:rPr>
        <w:t>”) on the Platform, including that portion of the Platform that is designated for Public Lenders and/or (B) provide the DQ List to each Lender requesting the same.</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9.05</w:t>
      </w:r>
      <w:r>
        <w:rPr>
          <w:sz w:val="20"/>
          <w:szCs w:val="20"/>
          <w:color w:val="auto"/>
        </w:rPr>
        <w:tab/>
      </w:r>
      <w:r>
        <w:rPr>
          <w:rFonts w:ascii="Arial" w:cs="Arial" w:eastAsia="Arial" w:hAnsi="Arial"/>
          <w:sz w:val="18"/>
          <w:szCs w:val="18"/>
          <w:u w:val="single" w:color="auto"/>
          <w:color w:val="auto"/>
        </w:rPr>
        <w:t>Expenses; Indemnity; Limitation of Liability</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296"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The Borrower hereby agrees to pay (i) all reasonable and documented out-of-pocket expenses incurred by the Administrative Agent or the Collateral Agent, the Sustainability Structuring Agent, the Syndication Agent, the Arranger and their respective Affiliates in connection with the syndication and distribution (including via the internet or through a service such as Intralinks) of the credit facilities provided for herein, the preparation and administration (other than routine administrative procedures and excluding costs and expenses relating to assignments and participations of lenders) of this Agreement and the other Loan Documents, or any amendments, modifications or waivers of the provisions hereof or thereof (whether or not the transactions contemplated hereby or thereby shall be consummated), including the reasonable fees, charges and disbursements of one primary counsel for the Administrative Agent, the Collateral Agent, the Sustainability Structuring Agent, the Syndication Agent and the Arranger, and, if necessary, the reasonable fees, charges and disbursements of one local counsel per jurisdiction, (ii) all reasonable and documented out-of-pocket expenses incurred by any Issuing Bank in connection with the issuance, amendment, renewal or extension of any Letter of Credit or any demand for payment thereunder and (iii) all out-of-pocket expenses incurred by the Agents, any Issuing Bank or any Lender in connection with the enforcement of their rights in connection with this Agreement and any other Loan Document, in connection with the Loans made or the Letters of Credit issued hereunder, including all such out-of-pocket expenses incurred during any workout, restructuring or negotiations in respect of such Loans or Letters of Credit and including (but limited in the case of fees, charges and disbursements of counsel to) the fees, charges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4" w:name="page345"/>
    <w:bookmarkEnd w:id="344"/>
    <w:p>
      <w:pPr>
        <w:jc w:val="both"/>
        <w:spacing w:after="0" w:line="282" w:lineRule="auto"/>
        <w:rPr>
          <w:sz w:val="20"/>
          <w:szCs w:val="20"/>
          <w:color w:val="auto"/>
        </w:rPr>
      </w:pPr>
      <w:r>
        <w:rPr>
          <w:rFonts w:ascii="Arial" w:cs="Arial" w:eastAsia="Arial" w:hAnsi="Arial"/>
          <w:sz w:val="18"/>
          <w:szCs w:val="18"/>
          <w:color w:val="auto"/>
        </w:rPr>
        <w:t>disbursements of a single counsel for the Agents, the Lenders and the Issuing Banks, taken as a whole, and, if necessary, a single local counsel in each appropriate jurisdiction and (if appropriate) a single regulatory counsel for all such persons, taken as a whole (and, in the case of an actual or perceived conflict of interest where such person affected by such conflict informs the Borrower of such conflict and thereafter retains its own counsel, of another firm for such affected person).</w:t>
      </w:r>
    </w:p>
    <w:p>
      <w:pPr>
        <w:spacing w:after="0" w:line="161" w:lineRule="exact"/>
        <w:rPr>
          <w:sz w:val="20"/>
          <w:szCs w:val="20"/>
          <w:color w:val="auto"/>
        </w:rPr>
      </w:pPr>
    </w:p>
    <w:p>
      <w:pPr>
        <w:ind w:left="1300" w:hanging="644"/>
        <w:spacing w:after="0"/>
        <w:tabs>
          <w:tab w:leader="none" w:pos="1300" w:val="left"/>
        </w:tabs>
        <w:numPr>
          <w:ilvl w:val="0"/>
          <w:numId w:val="350"/>
        </w:numPr>
        <w:rPr>
          <w:rFonts w:ascii="Arial" w:cs="Arial" w:eastAsia="Arial" w:hAnsi="Arial"/>
          <w:sz w:val="20"/>
          <w:szCs w:val="20"/>
          <w:color w:val="auto"/>
        </w:rPr>
      </w:pPr>
      <w:r>
        <w:rPr>
          <w:rFonts w:ascii="Arial" w:cs="Arial" w:eastAsia="Arial" w:hAnsi="Arial"/>
          <w:sz w:val="20"/>
          <w:szCs w:val="20"/>
          <w:u w:val="single" w:color="auto"/>
          <w:color w:val="auto"/>
        </w:rPr>
        <w:t>Indemnity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303" w:lineRule="auto"/>
        <w:tabs>
          <w:tab w:leader="none" w:pos="1956"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The Borrower agrees to indemnify the Administrative Agent, the Collateral Agent, the Arranger, each Issuing Bank, the Sustainability Structuring Agent, the Syndication Agent, each Lender, each of their respective Affiliates, successors and assigns, and each of their respective Related Parties (each such person being called a “</w:t>
      </w:r>
      <w:r>
        <w:rPr>
          <w:rFonts w:ascii="Arial" w:cs="Arial" w:eastAsia="Arial" w:hAnsi="Arial"/>
          <w:sz w:val="16"/>
          <w:szCs w:val="16"/>
          <w:u w:val="single" w:color="auto"/>
          <w:color w:val="auto"/>
        </w:rPr>
        <w:t>Protected Person</w:t>
      </w:r>
      <w:r>
        <w:rPr>
          <w:rFonts w:ascii="Arial" w:cs="Arial" w:eastAsia="Arial" w:hAnsi="Arial"/>
          <w:sz w:val="16"/>
          <w:szCs w:val="16"/>
          <w:color w:val="auto"/>
        </w:rPr>
        <w:t xml:space="preserve">”), against, and to hold each Protected Person harmless from, any and all losses, claims, damages, liabilities and related expenses, including reasonable counsel fees, charges and disbursements (excluding the allocated costs of in house counsel and limited to not more than one counsel for all such Protected Persons, taken as a whole, and, if necessary, a single local counsel in each appropriate jurisdiction and (if appropriate) a single regulatory counsel for all such Protected Persons, taken as a whole (and, in the case of an actual or perceived conflict of interest where the Protected Person affected by such conflict informs the Borrower of such conflict and thereafter retains its own counsel, of another firm of counsel for such affected Protected Person)), incurred by or asserted against any Protected Person arising out of, in any way connected with, or as a result of (i) the execution or delivery of this Agreement or any other Loan Document or any agreement or instrument contemplated hereby or thereby, the performance by the parties hereto and thereto of their respective obligations hereunder and thereunder or the consummation of the Transactions and the other transactions contemplated hereby, (ii) any Loan or Letter of Credit or the use of proceeds therefrom (including any refusal by any Issuing Bank to honor a demand for payment under a Letter of Credit if the documents presented in connection with such demand do not strictly comply with the terms of such Letter of Credit) or (iii) any claim, litigation, investigation or proceeding relating to any of the foregoing, whether or not any Protected Person is a party thereto and regardless of whether such matter is initiated by a third party or by the Borrower, any of its subsidiaries, equity holders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as to any Protected Person, be available to the extent that such losses, claims, damages, liabilities or related expenses (x) are determined by a final, non-appealable judgment of a court of competent jurisdiction to have resulted from the gross negligence or willful misconduct of, or a material breach of obligations under this Agreement or the other Loan Documents by, such Protected Person or any of its Related Parties or</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jc w:val="both"/>
        <w:ind w:left="660" w:hanging="4"/>
        <w:spacing w:after="0" w:line="254" w:lineRule="auto"/>
        <w:tabs>
          <w:tab w:leader="none" w:pos="949" w:val="left"/>
        </w:tabs>
        <w:numPr>
          <w:ilvl w:val="0"/>
          <w:numId w:val="351"/>
        </w:numPr>
        <w:rPr>
          <w:rFonts w:ascii="Arial" w:cs="Arial" w:eastAsia="Arial" w:hAnsi="Arial"/>
          <w:sz w:val="19"/>
          <w:szCs w:val="19"/>
          <w:color w:val="auto"/>
        </w:rPr>
      </w:pPr>
      <w:r>
        <w:rPr>
          <w:rFonts w:ascii="Arial" w:cs="Arial" w:eastAsia="Arial" w:hAnsi="Arial"/>
          <w:sz w:val="19"/>
          <w:szCs w:val="19"/>
          <w:color w:val="auto"/>
        </w:rPr>
        <w:t xml:space="preserve">arose from any claim, action, suit, inquiry, litigation, investigation or proceeding that does not involve an act or omission of the Borrower or any of its Affiliates and is brought by a Protected Person against another Protected Person (other than any claim, action, suit, inquiry, litigation, investigation or proceeding against any Agent or Arranger in its capacity as such). None of the Protected Persons (or any of their respective affiliates) shall be responsible or liable to the Borrower or any of its subsidiaries, Affiliates or stockholders or any other person or entity for any special, indirect, consequential or punitive damages which may be alleged as a result of the Facilities or the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sentence shall not limit the Borrower’s indemnification obligations pursuant to this </w:t>
      </w:r>
      <w:r>
        <w:rPr>
          <w:rFonts w:ascii="Arial" w:cs="Arial" w:eastAsia="Arial" w:hAnsi="Arial"/>
          <w:sz w:val="19"/>
          <w:szCs w:val="19"/>
          <w:u w:val="single" w:color="auto"/>
          <w:color w:val="auto"/>
        </w:rPr>
        <w:t>Section 9.05(b)</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shall remain operative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5" w:name="page346"/>
    <w:bookmarkEnd w:id="345"/>
    <w:p>
      <w:pPr>
        <w:jc w:val="both"/>
        <w:ind w:left="660"/>
        <w:spacing w:after="0" w:line="276" w:lineRule="auto"/>
        <w:rPr>
          <w:sz w:val="20"/>
          <w:szCs w:val="20"/>
          <w:color w:val="auto"/>
        </w:rPr>
      </w:pPr>
      <w:r>
        <w:rPr>
          <w:rFonts w:ascii="Arial" w:cs="Arial" w:eastAsia="Arial" w:hAnsi="Arial"/>
          <w:sz w:val="18"/>
          <w:szCs w:val="18"/>
          <w:color w:val="auto"/>
        </w:rPr>
        <w:t xml:space="preserve">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shall be payable within fifteen (15) days after written demand therefor accompanied by reasonable documentation with respect to any reimbursement, indemnification or other amount requested.</w:t>
      </w:r>
    </w:p>
    <w:p>
      <w:pPr>
        <w:spacing w:after="0" w:line="165" w:lineRule="exact"/>
        <w:rPr>
          <w:sz w:val="20"/>
          <w:szCs w:val="20"/>
          <w:color w:val="auto"/>
        </w:rPr>
      </w:pPr>
    </w:p>
    <w:p>
      <w:pPr>
        <w:ind w:left="660" w:firstLine="644"/>
        <w:spacing w:after="0" w:line="260" w:lineRule="auto"/>
        <w:tabs>
          <w:tab w:leader="none" w:pos="1956" w:val="left"/>
        </w:tabs>
        <w:numPr>
          <w:ilvl w:val="1"/>
          <w:numId w:val="352"/>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9.05</w:t>
      </w:r>
      <w:r>
        <w:rPr>
          <w:rFonts w:ascii="Arial" w:cs="Arial" w:eastAsia="Arial" w:hAnsi="Arial"/>
          <w:sz w:val="20"/>
          <w:szCs w:val="20"/>
          <w:color w:val="auto"/>
        </w:rPr>
        <w:t xml:space="preserve"> shall not apply to any Taxes other than Taxes that represent losses, claims, damages, liabilities and expenses resulting from a non-Tax claim.</w:t>
      </w:r>
    </w:p>
    <w:p>
      <w:pPr>
        <w:spacing w:after="0" w:line="176"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fullest extent permitted by applicable law, the Borrower shall not assert, and hereby waives, any claim against any Protected Person,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Protected Person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w:t>
      </w:r>
    </w:p>
    <w:p>
      <w:pPr>
        <w:spacing w:after="0" w:line="168"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353"/>
        </w:numPr>
        <w:rPr>
          <w:rFonts w:ascii="Arial" w:cs="Arial" w:eastAsia="Arial" w:hAnsi="Arial"/>
          <w:sz w:val="20"/>
          <w:szCs w:val="20"/>
          <w:color w:val="auto"/>
        </w:rPr>
      </w:pPr>
      <w:r>
        <w:rPr>
          <w:rFonts w:ascii="Arial" w:cs="Arial" w:eastAsia="Arial" w:hAnsi="Arial"/>
          <w:sz w:val="20"/>
          <w:szCs w:val="20"/>
          <w:color w:val="auto"/>
        </w:rPr>
        <w:t xml:space="preserve">The agreements in this </w:t>
      </w:r>
      <w:r>
        <w:rPr>
          <w:rFonts w:ascii="Arial" w:cs="Arial" w:eastAsia="Arial" w:hAnsi="Arial"/>
          <w:sz w:val="20"/>
          <w:szCs w:val="20"/>
          <w:u w:val="single" w:color="auto"/>
          <w:color w:val="auto"/>
        </w:rPr>
        <w:t>Section 9.05</w:t>
      </w:r>
      <w:r>
        <w:rPr>
          <w:rFonts w:ascii="Arial" w:cs="Arial" w:eastAsia="Arial" w:hAnsi="Arial"/>
          <w:sz w:val="20"/>
          <w:szCs w:val="20"/>
          <w:color w:val="auto"/>
        </w:rPr>
        <w:t xml:space="preserve"> shall survive the resignation of the Administrative Agent, the Collateral Agent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the Borrower or any Subsidiary against any and all of the obligations of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recovery by any Lender or any Affiliate pursuant to its set-off rights under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is subject to the provisions of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6" w:name="page347"/>
    <w:bookmarkEnd w:id="346"/>
    <w:p>
      <w:pPr>
        <w:jc w:val="both"/>
        <w:spacing w:after="0" w:line="260" w:lineRule="auto"/>
        <w:rPr>
          <w:sz w:val="20"/>
          <w:szCs w:val="20"/>
          <w:color w:val="auto"/>
        </w:rPr>
      </w:pPr>
      <w:r>
        <w:rPr>
          <w:rFonts w:ascii="Arial" w:cs="Arial" w:eastAsia="Arial" w:hAnsi="Arial"/>
          <w:sz w:val="20"/>
          <w:szCs w:val="20"/>
          <w:color w:val="auto"/>
        </w:rPr>
        <w:t xml:space="preserve">right of set-off. The rights of each Lender and each Issuing Bank under this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are in addition to other rights and remedies (including other rights of set-off) that such Lender or such Issuing Bank may have.</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Applicable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AGREEMENT AND ANY CLAIM, CONTROVERSY, DISPUTE OR</w:t>
      </w:r>
      <w:r>
        <w:rPr>
          <w:rFonts w:ascii="Arial" w:cs="Arial" w:eastAsia="Arial" w:hAnsi="Arial"/>
          <w:sz w:val="20"/>
          <w:szCs w:val="20"/>
          <w:color w:val="auto"/>
        </w:rPr>
        <w:t xml:space="preserve"> </w:t>
      </w:r>
      <w:r>
        <w:rPr>
          <w:rFonts w:ascii="Arial" w:cs="Arial" w:eastAsia="Arial" w:hAnsi="Arial"/>
          <w:sz w:val="20"/>
          <w:szCs w:val="20"/>
          <w:b w:val="1"/>
          <w:bCs w:val="1"/>
          <w:color w:val="auto"/>
        </w:rPr>
        <w:t>CAUSE OF ACTION (WHETHER IN CONTRACT OR TORT OR OTHERWISE) BASED UPON, ARISING OUT OF OR RELATING TO THIS AGREEMENT SHALL BE CONSTRUED IN ACCORDANCE WITH AND GOVERNED BY THE LAWS OF THE STATE OF NEW YORK</w:t>
      </w:r>
      <w:r>
        <w:rPr>
          <w:rFonts w:ascii="Arial" w:cs="Arial" w:eastAsia="Arial" w:hAnsi="Arial"/>
          <w:sz w:val="20"/>
          <w:szCs w:val="20"/>
          <w:color w:val="auto"/>
        </w:rPr>
        <w: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9.08</w:t>
      </w:r>
      <w:r>
        <w:rPr>
          <w:sz w:val="20"/>
          <w:szCs w:val="20"/>
          <w:color w:val="auto"/>
        </w:rPr>
        <w:tab/>
      </w:r>
      <w:r>
        <w:rPr>
          <w:rFonts w:ascii="Arial" w:cs="Arial" w:eastAsia="Arial" w:hAnsi="Arial"/>
          <w:sz w:val="16"/>
          <w:szCs w:val="16"/>
          <w:u w:val="single" w:color="auto"/>
          <w:color w:val="auto"/>
        </w:rPr>
        <w:t>Waivers; Amendment</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4" w:lineRule="auto"/>
        <w:tabs>
          <w:tab w:leader="none" w:pos="1296"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No failure or delay of the Administrative Agent, the Collateral Agent, or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and then such waiver or consent shall be effective only in the specific instance and for the purpose for which given. No notice to or demand on the Borrower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Agent or any Lender or the applicable Issuing Bank may have had notice or knowledge of such Default or Event of Default at the time.</w:t>
      </w:r>
    </w:p>
    <w:p>
      <w:pPr>
        <w:spacing w:after="0" w:line="191"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354"/>
        </w:numPr>
        <w:rPr>
          <w:rFonts w:ascii="Arial" w:cs="Arial" w:eastAsia="Arial" w:hAnsi="Arial"/>
          <w:sz w:val="20"/>
          <w:szCs w:val="20"/>
          <w:color w:val="auto"/>
        </w:rPr>
      </w:pPr>
      <w:r>
        <w:rPr>
          <w:rFonts w:ascii="Arial" w:cs="Arial" w:eastAsia="Arial" w:hAnsi="Arial"/>
          <w:sz w:val="20"/>
          <w:szCs w:val="20"/>
          <w:color w:val="auto"/>
        </w:rPr>
        <w:t xml:space="preserve">Neither this Agreement nor any other Loan Document nor any provision hereof or thereof may be waived, amended or modified except (x) as provided in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2.21</w:t>
      </w:r>
      <w:r>
        <w:rPr>
          <w:rFonts w:ascii="Arial" w:cs="Arial" w:eastAsia="Arial" w:hAnsi="Arial"/>
          <w:sz w:val="20"/>
          <w:szCs w:val="20"/>
          <w:color w:val="auto"/>
        </w:rPr>
        <w:t xml:space="preserve">, </w:t>
      </w:r>
      <w:r>
        <w:rPr>
          <w:rFonts w:ascii="Arial" w:cs="Arial" w:eastAsia="Arial" w:hAnsi="Arial"/>
          <w:sz w:val="20"/>
          <w:szCs w:val="20"/>
          <w:u w:val="single" w:color="auto"/>
          <w:color w:val="auto"/>
        </w:rPr>
        <w:t>2.22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2.23</w:t>
      </w:r>
      <w:r>
        <w:rPr>
          <w:rFonts w:ascii="Arial" w:cs="Arial" w:eastAsia="Arial" w:hAnsi="Arial"/>
          <w:sz w:val="20"/>
          <w:szCs w:val="20"/>
          <w:color w:val="auto"/>
        </w:rPr>
        <w:t xml:space="preserve">, (y) in the case of this Agreement, pursuant to an agreement or agreements in writing entered into by the Borrower and the Required Lenders and (z) in the case of any other Loan Document, pursuant to an agreement or agreements in writing entered into by each Loan Party thereto and the Administrative Agent or the Collateral Agent, as applicable, and consented to by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agreement shall:</w:t>
      </w:r>
    </w:p>
    <w:p>
      <w:pPr>
        <w:spacing w:after="0" w:line="195"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1"/>
          <w:numId w:val="354"/>
        </w:numPr>
        <w:rPr>
          <w:rFonts w:ascii="Arial" w:cs="Arial" w:eastAsia="Arial" w:hAnsi="Arial"/>
          <w:sz w:val="19"/>
          <w:szCs w:val="19"/>
          <w:color w:val="auto"/>
        </w:rPr>
      </w:pPr>
      <w:r>
        <w:rPr>
          <w:rFonts w:ascii="Arial" w:cs="Arial" w:eastAsia="Arial" w:hAnsi="Arial"/>
          <w:sz w:val="19"/>
          <w:szCs w:val="19"/>
          <w:color w:val="auto"/>
        </w:rPr>
        <w:t xml:space="preserve">decrease or forgive the principal amount of, or extend the final maturity of, or decrease the rate of interest or Fees on, any Loan or any reimbursement obligation with respect to any L/C Disbursement,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Arial" w:cs="Arial" w:eastAsia="Arial" w:hAnsi="Arial"/>
          <w:sz w:val="19"/>
          <w:szCs w:val="19"/>
          <w:u w:val="single" w:color="auto"/>
          <w:color w:val="auto"/>
        </w:rPr>
        <w:t>provided</w:t>
      </w:r>
      <w:r>
        <w:rPr>
          <w:rFonts w:ascii="Arial" w:cs="Arial" w:eastAsia="Arial" w:hAnsi="Arial"/>
          <w:sz w:val="19"/>
          <w:szCs w:val="19"/>
          <w:color w:val="auto"/>
        </w:rPr>
        <w:t>, that (x) any amendment to the financial definitions in this Agreement shall not constitute a reduction in the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7" w:name="page348"/>
    <w:bookmarkEnd w:id="347"/>
    <w:p>
      <w:pPr>
        <w:jc w:val="both"/>
        <w:ind w:left="200"/>
        <w:spacing w:after="0" w:line="263"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even if the effect of such amendment would be to reduce the rate of interest on any Loan or any reimbursement obligation with respect to any L/C Disbursement or to reduce any fee payable hereunder and (y) only the consent of the Required Lenders shall be necessary to reduce or waive any obligation of the Borrower to pay interest or Fees at the applicable default rate set forth in </w:t>
      </w:r>
      <w:r>
        <w:rPr>
          <w:rFonts w:ascii="Arial" w:cs="Arial" w:eastAsia="Arial" w:hAnsi="Arial"/>
          <w:sz w:val="19"/>
          <w:szCs w:val="19"/>
          <w:u w:val="single" w:color="auto"/>
          <w:color w:val="auto"/>
        </w:rPr>
        <w:t>Section 2.13(d)</w:t>
      </w:r>
      <w:r>
        <w:rPr>
          <w:rFonts w:ascii="Arial" w:cs="Arial" w:eastAsia="Arial" w:hAnsi="Arial"/>
          <w:sz w:val="19"/>
          <w:szCs w:val="19"/>
          <w:color w:val="auto"/>
        </w:rPr>
        <w:t>;</w:t>
      </w:r>
    </w:p>
    <w:p>
      <w:pPr>
        <w:spacing w:after="0" w:line="176" w:lineRule="exact"/>
        <w:rPr>
          <w:sz w:val="20"/>
          <w:szCs w:val="20"/>
          <w:color w:val="auto"/>
        </w:rPr>
      </w:pPr>
    </w:p>
    <w:p>
      <w:pPr>
        <w:jc w:val="both"/>
        <w:ind w:left="200" w:firstLine="644"/>
        <w:spacing w:after="0" w:line="243" w:lineRule="auto"/>
        <w:tabs>
          <w:tab w:leader="none" w:pos="1496" w:val="left"/>
        </w:tabs>
        <w:numPr>
          <w:ilvl w:val="0"/>
          <w:numId w:val="355"/>
        </w:numPr>
        <w:rPr>
          <w:rFonts w:ascii="Arial" w:cs="Arial" w:eastAsia="Arial" w:hAnsi="Arial"/>
          <w:sz w:val="20"/>
          <w:szCs w:val="20"/>
          <w:color w:val="auto"/>
        </w:rPr>
      </w:pPr>
      <w:r>
        <w:rPr>
          <w:rFonts w:ascii="Arial" w:cs="Arial" w:eastAsia="Arial" w:hAnsi="Arial"/>
          <w:sz w:val="20"/>
          <w:szCs w:val="20"/>
          <w:color w:val="auto"/>
        </w:rPr>
        <w:t xml:space="preserve">increase or extend the Commitment of any Lender, or decrease the Commitment Fees, L/C Participation Fees or any other Fees without the prior written consent of such Lender (which, notwithstanding the foregoing, with respect to any such extension or decrease, such consent of such Lender shall be the only consent required hereunder to make such modification);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waivers or modifications of conditions precedent, covenants, Defaults or Events of Default, mandatory prepayments or of a mandatory reduction in the aggregate Commitments shall not constitute an increase or extension of the Commitments of any Lender for purposes of this </w:t>
      </w:r>
      <w:r>
        <w:rPr>
          <w:rFonts w:ascii="Arial" w:cs="Arial" w:eastAsia="Arial" w:hAnsi="Arial"/>
          <w:sz w:val="20"/>
          <w:szCs w:val="20"/>
          <w:u w:val="single" w:color="auto"/>
          <w:color w:val="auto"/>
        </w:rPr>
        <w:t>clause (ii)</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0"/>
          <w:numId w:val="355"/>
        </w:numPr>
        <w:rPr>
          <w:rFonts w:ascii="Arial" w:cs="Arial" w:eastAsia="Arial" w:hAnsi="Arial"/>
          <w:sz w:val="20"/>
          <w:szCs w:val="20"/>
          <w:color w:val="auto"/>
        </w:rPr>
      </w:pPr>
      <w:r>
        <w:rPr>
          <w:rFonts w:ascii="Arial" w:cs="Arial" w:eastAsia="Arial" w:hAnsi="Arial"/>
          <w:sz w:val="20"/>
          <w:szCs w:val="20"/>
          <w:color w:val="auto"/>
        </w:rPr>
        <w:t xml:space="preserve">extend or waive any Term Loan Installment Date or reduce the amount due on any Term Loan Installment Date, extend or waive any Revolving Facility Maturity Date or reduce the amount due on any Revolving Facility Maturity Date or extend any date on which payment of interest (other than interest payable at the applicable default rate of interest set forth in </w:t>
      </w:r>
      <w:r>
        <w:rPr>
          <w:rFonts w:ascii="Arial" w:cs="Arial" w:eastAsia="Arial" w:hAnsi="Arial"/>
          <w:sz w:val="20"/>
          <w:szCs w:val="20"/>
          <w:u w:val="single" w:color="auto"/>
          <w:color w:val="auto"/>
        </w:rPr>
        <w:t>Section 2.13(d)</w:t>
      </w:r>
      <w:r>
        <w:rPr>
          <w:rFonts w:ascii="Arial" w:cs="Arial" w:eastAsia="Arial" w:hAnsi="Arial"/>
          <w:sz w:val="20"/>
          <w:szCs w:val="20"/>
          <w:color w:val="auto"/>
        </w:rPr>
        <w:t>)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w:t>
      </w:r>
    </w:p>
    <w:p>
      <w:pPr>
        <w:spacing w:after="0" w:line="192" w:lineRule="exact"/>
        <w:rPr>
          <w:rFonts w:ascii="Arial" w:cs="Arial" w:eastAsia="Arial" w:hAnsi="Arial"/>
          <w:sz w:val="20"/>
          <w:szCs w:val="20"/>
          <w:color w:val="auto"/>
        </w:rPr>
      </w:pPr>
    </w:p>
    <w:p>
      <w:pPr>
        <w:jc w:val="both"/>
        <w:ind w:left="200" w:firstLine="644"/>
        <w:spacing w:after="0" w:line="291" w:lineRule="auto"/>
        <w:tabs>
          <w:tab w:leader="none" w:pos="149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amend the provisions of (x)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in a manner that would by its terms alter the payment waterfall or (y)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in a manner that would by its terms alter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sharing of payments required thereby, in either case, without the prior written consent of each Lender adversely affected thereby;</w:t>
      </w:r>
    </w:p>
    <w:p>
      <w:pPr>
        <w:spacing w:after="0" w:line="151" w:lineRule="exact"/>
        <w:rPr>
          <w:rFonts w:ascii="Arial" w:cs="Arial" w:eastAsia="Arial" w:hAnsi="Arial"/>
          <w:sz w:val="18"/>
          <w:szCs w:val="18"/>
          <w:color w:val="auto"/>
        </w:rPr>
      </w:pPr>
    </w:p>
    <w:p>
      <w:pPr>
        <w:jc w:val="both"/>
        <w:ind w:left="200" w:firstLine="644"/>
        <w:spacing w:after="0" w:line="257" w:lineRule="auto"/>
        <w:tabs>
          <w:tab w:leader="none" w:pos="1496" w:val="left"/>
        </w:tabs>
        <w:numPr>
          <w:ilvl w:val="0"/>
          <w:numId w:val="355"/>
        </w:numPr>
        <w:rPr>
          <w:rFonts w:ascii="Arial" w:cs="Arial" w:eastAsia="Arial" w:hAnsi="Arial"/>
          <w:sz w:val="19"/>
          <w:szCs w:val="19"/>
          <w:color w:val="auto"/>
        </w:rPr>
      </w:pPr>
      <w:r>
        <w:rPr>
          <w:rFonts w:ascii="Arial" w:cs="Arial" w:eastAsia="Arial" w:hAnsi="Arial"/>
          <w:sz w:val="19"/>
          <w:szCs w:val="19"/>
          <w:color w:val="auto"/>
        </w:rPr>
        <w:t xml:space="preserve">amend or modify the provisions of this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or the definition of the terms “Required Lenders,” “Majority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84"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0"/>
          <w:numId w:val="355"/>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9.18,</w:t>
      </w:r>
      <w:r>
        <w:rPr>
          <w:rFonts w:ascii="Arial" w:cs="Arial" w:eastAsia="Arial" w:hAnsi="Arial"/>
          <w:sz w:val="20"/>
          <w:szCs w:val="20"/>
          <w:color w:val="auto"/>
        </w:rPr>
        <w:t xml:space="preserve"> release all or substantially all of the value of the Collateral or all or substantially all of the value of the Guarantees provided by the Guarantors, taken as whole, without the prior written consent of each Lender;</w:t>
      </w:r>
    </w:p>
    <w:p>
      <w:pPr>
        <w:spacing w:after="0" w:line="185" w:lineRule="exact"/>
        <w:rPr>
          <w:rFonts w:ascii="Arial" w:cs="Arial" w:eastAsia="Arial" w:hAnsi="Arial"/>
          <w:sz w:val="20"/>
          <w:szCs w:val="20"/>
          <w:color w:val="auto"/>
        </w:rPr>
      </w:pPr>
    </w:p>
    <w:p>
      <w:pPr>
        <w:jc w:val="both"/>
        <w:ind w:left="200" w:firstLine="644"/>
        <w:spacing w:after="0" w:line="291" w:lineRule="auto"/>
        <w:tabs>
          <w:tab w:leader="none" w:pos="149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348" w:name="page349"/>
    <w:bookmarkEnd w:id="348"/>
    <w:p>
      <w:pPr>
        <w:jc w:val="both"/>
        <w:ind w:left="660"/>
        <w:spacing w:after="0" w:line="250" w:lineRule="auto"/>
        <w:rPr>
          <w:sz w:val="20"/>
          <w:szCs w:val="20"/>
          <w:color w:val="auto"/>
        </w:rPr>
      </w:pPr>
      <w:r>
        <w:rPr>
          <w:rFonts w:ascii="Arial" w:cs="Arial" w:eastAsia="Arial" w:hAnsi="Arial"/>
          <w:sz w:val="20"/>
          <w:szCs w:val="20"/>
          <w:color w:val="auto"/>
        </w:rPr>
        <w:t xml:space="preserve">agreed that the Required Lenders may waive, in whole or in part, any prepayment or Commitment reduction required by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so long as the application of any prepayment or Commitment reduction still required to be made is not changed);</w:t>
      </w:r>
    </w:p>
    <w:p>
      <w:pPr>
        <w:spacing w:after="0" w:line="186" w:lineRule="exact"/>
        <w:rPr>
          <w:sz w:val="20"/>
          <w:szCs w:val="20"/>
          <w:color w:val="auto"/>
        </w:rPr>
      </w:pPr>
    </w:p>
    <w:p>
      <w:pPr>
        <w:jc w:val="both"/>
        <w:ind w:left="660" w:firstLine="644"/>
        <w:spacing w:after="0" w:line="282" w:lineRule="auto"/>
        <w:tabs>
          <w:tab w:leader="none" w:pos="195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effect any waiver, amendment or modification to the conditions precedent for any credit extension under the Revolving Facility without the consent of the Majority Lenders participating in the Revolving Facility (but not, for the avoidance of doubt, in connection with the determination of whether any condition precedent for a credit extension under the Revolving Facility on the Closing Date shall have been satisfied); or</w:t>
      </w:r>
    </w:p>
    <w:p>
      <w:pPr>
        <w:spacing w:after="0" w:line="161" w:lineRule="exact"/>
        <w:rPr>
          <w:rFonts w:ascii="Arial" w:cs="Arial" w:eastAsia="Arial" w:hAnsi="Arial"/>
          <w:sz w:val="18"/>
          <w:szCs w:val="18"/>
          <w:color w:val="auto"/>
        </w:rPr>
      </w:pPr>
    </w:p>
    <w:p>
      <w:pPr>
        <w:jc w:val="both"/>
        <w:ind w:left="660" w:firstLine="644"/>
        <w:spacing w:after="0" w:line="255" w:lineRule="auto"/>
        <w:tabs>
          <w:tab w:leader="none" w:pos="2053" w:val="left"/>
        </w:tabs>
        <w:numPr>
          <w:ilvl w:val="0"/>
          <w:numId w:val="356"/>
        </w:numPr>
        <w:rPr>
          <w:rFonts w:ascii="Arial" w:cs="Arial" w:eastAsia="Arial" w:hAnsi="Arial"/>
          <w:sz w:val="19"/>
          <w:szCs w:val="19"/>
          <w:color w:val="auto"/>
        </w:rPr>
      </w:pPr>
      <w:r>
        <w:rPr>
          <w:rFonts w:ascii="Arial" w:cs="Arial" w:eastAsia="Arial" w:hAnsi="Arial"/>
          <w:sz w:val="19"/>
          <w:szCs w:val="19"/>
          <w:color w:val="auto"/>
        </w:rPr>
        <w:t xml:space="preserve">(A) subordinate any of the Facilities in right of payment to the prior payment of any other Indebtedness of the Loan Parties identified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thereof or (B) subordinate the Liens any of the Collateral to any other Lien on such Collateral securing any other Indebtedness of the Loan Parties identified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thereof, in each case, except as expressly provided in the Loan Documents (including any transaction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without the written consent of each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prior to the occurrence of an Event of Default, that only those Lenders that have not been provided a reasonable opportunity, as determined in good faith by the Borrower in consultation with the Administrative Agent, to participate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on the same terms in any new loans or other Indebtedness permitted to be issued as a result of such amendment, waiver or modification, shall be deemed directly affected by such amendment, waiver or modification,</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agreement shall amend, modify or otherwise affect the rights or duties of the Administrative Agent or the Collateral Agent, the Swingline Lender, the Issuing Banks, the Sustainability Structuring Agent and/or the Syndication Agent hereunder without the prior written consent of the Administrative Agent, the Collateral Agent, the Swingline Lender, each Issuing Bank, the Sustainability Structuring Agent and/or the Syndication Agent affected thereby, as applicable. Each Lender shall be bound by any waiver, amendment or modification authorized by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and any consent by any Lender pursuant to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shall bind any Assignee of such Lender.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notwithstanding the foregoing, this Agreement may be amended with the written consent of the Administrative Agent, the Borrower and the Lenders providing the Replacement Term Loans (as defined below) to permit the refinancing of all or a portion of the outstanding Term Loans of any Class (“</w:t>
      </w:r>
      <w:r>
        <w:rPr>
          <w:rFonts w:ascii="Arial" w:cs="Arial" w:eastAsia="Arial" w:hAnsi="Arial"/>
          <w:sz w:val="20"/>
          <w:szCs w:val="20"/>
          <w:u w:val="single" w:color="auto"/>
          <w:color w:val="auto"/>
        </w:rPr>
        <w:t>Refinanced Term Loans</w:t>
      </w:r>
      <w:r>
        <w:rPr>
          <w:rFonts w:ascii="Arial" w:cs="Arial" w:eastAsia="Arial" w:hAnsi="Arial"/>
          <w:sz w:val="20"/>
          <w:szCs w:val="20"/>
          <w:color w:val="auto"/>
        </w:rPr>
        <w:t>”) with one or more tranches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49" w:name="page350"/>
    <w:bookmarkEnd w:id="349"/>
    <w:p>
      <w:pPr>
        <w:jc w:val="both"/>
        <w:spacing w:after="0" w:line="257" w:lineRule="auto"/>
        <w:rPr>
          <w:sz w:val="20"/>
          <w:szCs w:val="20"/>
          <w:color w:val="auto"/>
        </w:rPr>
      </w:pPr>
      <w:r>
        <w:rPr>
          <w:rFonts w:ascii="Arial" w:cs="Arial" w:eastAsia="Arial" w:hAnsi="Arial"/>
          <w:sz w:val="19"/>
          <w:szCs w:val="19"/>
          <w:color w:val="auto"/>
        </w:rPr>
        <w:t>replacement term loans (“</w:t>
      </w:r>
      <w:r>
        <w:rPr>
          <w:rFonts w:ascii="Arial" w:cs="Arial" w:eastAsia="Arial" w:hAnsi="Arial"/>
          <w:sz w:val="19"/>
          <w:szCs w:val="19"/>
          <w:u w:val="single" w:color="auto"/>
          <w:color w:val="auto"/>
        </w:rPr>
        <w:t>Replacement Term Loans</w:t>
      </w:r>
      <w:r>
        <w:rPr>
          <w:rFonts w:ascii="Arial" w:cs="Arial" w:eastAsia="Arial" w:hAnsi="Arial"/>
          <w:sz w:val="19"/>
          <w:szCs w:val="19"/>
          <w:color w:val="auto"/>
        </w:rPr>
        <w:t xml:space="preserv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aggregate principal amount of such Replacement Term Loans shall not exceed the aggregate principal amount of such Refinanced Term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interest, fees, expenses and premium), (ii) the Applicable Margin for such Replacement Term Loans shall not be higher than the Applicable Margin for such Refinanced Term Loans, (iii) the Weighted Average Life to Maturity of such Replacement Term Loans shall not be shorter than the Weighted Average Life to Maturity of such Refinanced Term Loans, at the time of such refinancing and (iv) all other terms applicable to such Replacement Term Loans shall be as agreed between the Borrower and the Lenders providing such Replacement Term Loans.</w:t>
      </w:r>
    </w:p>
    <w:p>
      <w:pPr>
        <w:spacing w:after="0" w:line="185" w:lineRule="exact"/>
        <w:rPr>
          <w:sz w:val="20"/>
          <w:szCs w:val="20"/>
          <w:color w:val="auto"/>
        </w:rPr>
      </w:pPr>
    </w:p>
    <w:p>
      <w:pPr>
        <w:jc w:val="both"/>
        <w:ind w:firstLine="656"/>
        <w:spacing w:after="0" w:line="255" w:lineRule="auto"/>
        <w:tabs>
          <w:tab w:leader="none" w:pos="1296" w:val="left"/>
        </w:tabs>
        <w:numPr>
          <w:ilvl w:val="0"/>
          <w:numId w:val="357"/>
        </w:numPr>
        <w:rPr>
          <w:rFonts w:ascii="Arial" w:cs="Arial" w:eastAsia="Arial" w:hAnsi="Arial"/>
          <w:sz w:val="19"/>
          <w:szCs w:val="19"/>
          <w:color w:val="auto"/>
        </w:rPr>
      </w:pPr>
      <w:r>
        <w:rPr>
          <w:rFonts w:ascii="Arial" w:cs="Arial" w:eastAsia="Arial" w:hAnsi="Arial"/>
          <w:sz w:val="19"/>
          <w:szCs w:val="19"/>
          <w:color w:val="auto"/>
        </w:rPr>
        <w:t>Without the consent of any Lender or Issuing Bank, the Loan Parties, the Administrative Agent and the Collateral Agent may (in their respective sole discretion, or shall, to the extent required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(to the extent necessary or advisable under applicable local law) Junior Liens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86" w:lineRule="exact"/>
        <w:rPr>
          <w:rFonts w:ascii="Arial" w:cs="Arial" w:eastAsia="Arial" w:hAnsi="Arial"/>
          <w:sz w:val="19"/>
          <w:szCs w:val="19"/>
          <w:color w:val="auto"/>
        </w:rPr>
      </w:pPr>
    </w:p>
    <w:p>
      <w:pPr>
        <w:jc w:val="both"/>
        <w:ind w:firstLine="656"/>
        <w:spacing w:after="0" w:line="274" w:lineRule="auto"/>
        <w:tabs>
          <w:tab w:leader="none" w:pos="129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Notwithstanding the foregoing, this Agreement may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and for purposes of the relevant provisions of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firstLine="656"/>
        <w:spacing w:after="0" w:line="242" w:lineRule="auto"/>
        <w:tabs>
          <w:tab w:leader="none" w:pos="1296" w:val="left"/>
        </w:tabs>
        <w:numPr>
          <w:ilvl w:val="0"/>
          <w:numId w:val="357"/>
        </w:numPr>
        <w:rPr>
          <w:rFonts w:ascii="Arial" w:cs="Arial" w:eastAsia="Arial" w:hAnsi="Arial"/>
          <w:sz w:val="20"/>
          <w:szCs w:val="20"/>
          <w:color w:val="auto"/>
        </w:rPr>
      </w:pPr>
      <w:r>
        <w:rPr>
          <w:rFonts w:ascii="Arial" w:cs="Arial" w:eastAsia="Arial" w:hAnsi="Arial"/>
          <w:sz w:val="20"/>
          <w:szCs w:val="20"/>
          <w:color w:val="auto"/>
        </w:rPr>
        <w:t xml:space="preserve">Notwithstanding the foregoing, modifications to the Loan Documents may be made with the consent of the Borrower and the Administrative Agent (but without the consent of any Lender) (A) to integrate any Other Term Loan Commitments, Other Revolving Facility Commitments, Other Term Loans and Other Revolving Loans in a manner consistent with </w:t>
      </w:r>
      <w:r>
        <w:rPr>
          <w:rFonts w:ascii="Arial" w:cs="Arial" w:eastAsia="Arial" w:hAnsi="Arial"/>
          <w:sz w:val="20"/>
          <w:szCs w:val="20"/>
          <w:u w:val="single" w:color="auto"/>
          <w:color w:val="auto"/>
        </w:rPr>
        <w:t>Sections 2.21</w:t>
      </w:r>
      <w:r>
        <w:rPr>
          <w:rFonts w:ascii="Arial" w:cs="Arial" w:eastAsia="Arial" w:hAnsi="Arial"/>
          <w:sz w:val="20"/>
          <w:szCs w:val="20"/>
          <w:color w:val="auto"/>
        </w:rPr>
        <w:t xml:space="preserve">, </w:t>
      </w:r>
      <w:r>
        <w:rPr>
          <w:rFonts w:ascii="Arial" w:cs="Arial" w:eastAsia="Arial" w:hAnsi="Arial"/>
          <w:sz w:val="20"/>
          <w:szCs w:val="20"/>
          <w:u w:val="single" w:color="auto"/>
          <w:color w:val="auto"/>
        </w:rPr>
        <w:t>2.22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2.23</w:t>
      </w:r>
      <w:r>
        <w:rPr>
          <w:rFonts w:ascii="Arial" w:cs="Arial" w:eastAsia="Arial" w:hAnsi="Arial"/>
          <w:sz w:val="20"/>
          <w:szCs w:val="20"/>
          <w:color w:val="auto"/>
        </w:rPr>
        <w:t xml:space="preserve"> as may be necessary to establish such Other Term Loan Commitments, Other Revolving Facility Commitments,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 or (C) to cure any ambiguity, omission, error, defect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0" w:name="page351"/>
    <w:bookmarkEnd w:id="350"/>
    <w:p>
      <w:pPr>
        <w:jc w:val="both"/>
        <w:ind w:firstLine="656"/>
        <w:spacing w:after="0" w:line="243" w:lineRule="auto"/>
        <w:tabs>
          <w:tab w:leader="none" w:pos="1296" w:val="left"/>
        </w:tabs>
        <w:numPr>
          <w:ilvl w:val="0"/>
          <w:numId w:val="358"/>
        </w:numPr>
        <w:rPr>
          <w:rFonts w:ascii="Arial" w:cs="Arial" w:eastAsia="Arial" w:hAnsi="Arial"/>
          <w:sz w:val="20"/>
          <w:szCs w:val="20"/>
          <w:color w:val="auto"/>
        </w:rPr>
      </w:pPr>
      <w:r>
        <w:rPr>
          <w:rFonts w:ascii="Arial" w:cs="Arial" w:eastAsia="Arial" w:hAnsi="Arial"/>
          <w:sz w:val="20"/>
          <w:szCs w:val="20"/>
          <w:color w:val="auto"/>
        </w:rPr>
        <w:t>Notwithstanding the foregoing, modifications or waivers to the Sustainability Financing Framework (or any provision in any Loan Document requiring compliance with the Sustainability Financing Framework or any component thereof) may be made with the consent of (x) if such modifications or waivers will result, directly or indirectly, in an increase to the Sustainability Margin Adjustment, then the Borrower, the Administrative Agent, the Sustainability Structuring Agent and each of the Revolving Facility Lenders (but without the consent of any other Lender) or (y) if otherwise, then the Borrower, the Administrative Agent and the Sustainability Structuring Agent (but without the consent of any Lender).</w:t>
      </w:r>
    </w:p>
    <w:p>
      <w:pPr>
        <w:spacing w:after="0" w:line="192" w:lineRule="exact"/>
        <w:rPr>
          <w:rFonts w:ascii="Arial" w:cs="Arial" w:eastAsia="Arial" w:hAnsi="Arial"/>
          <w:sz w:val="20"/>
          <w:szCs w:val="20"/>
          <w:color w:val="auto"/>
        </w:rPr>
      </w:pPr>
    </w:p>
    <w:p>
      <w:pPr>
        <w:ind w:left="1300" w:hanging="644"/>
        <w:spacing w:after="0"/>
        <w:tabs>
          <w:tab w:leader="none" w:pos="130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656"/>
        <w:spacing w:after="0" w:line="267" w:lineRule="auto"/>
        <w:tabs>
          <w:tab w:leader="none" w:pos="129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Facility Lender (or its Affiliates) as of the Closing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8"/>
          <w:szCs w:val="18"/>
          <w:u w:val="single" w:color="auto"/>
          <w:color w:val="auto"/>
        </w:rPr>
        <w:t>Net Short Lender</w:t>
      </w:r>
      <w:r>
        <w:rPr>
          <w:rFonts w:ascii="Arial" w:cs="Arial" w:eastAsia="Arial" w:hAnsi="Arial"/>
          <w:sz w:val="18"/>
          <w:szCs w:val="18"/>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relevant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the other Loan Parties and any instrument issued or guaranteed by any of the Borrower or other Loan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Arial" w:cs="Arial" w:eastAsia="Arial" w:hAnsi="Arial"/>
          <w:sz w:val="18"/>
          <w:szCs w:val="18"/>
          <w:u w:val="single" w:color="auto"/>
          <w:color w:val="auto"/>
        </w:rPr>
        <w:t>ISDA CDS Definitions</w:t>
      </w:r>
      <w:r>
        <w:rPr>
          <w:rFonts w:ascii="Arial" w:cs="Arial" w:eastAsia="Arial" w:hAnsi="Arial"/>
          <w:sz w:val="18"/>
          <w:szCs w:val="18"/>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1" w:name="page352"/>
    <w:bookmarkEnd w:id="351"/>
    <w:p>
      <w:pPr>
        <w:jc w:val="both"/>
        <w:spacing w:after="0" w:line="270" w:lineRule="auto"/>
        <w:rPr>
          <w:sz w:val="20"/>
          <w:szCs w:val="20"/>
          <w:color w:val="auto"/>
        </w:rPr>
      </w:pPr>
      <w:r>
        <w:rPr>
          <w:rFonts w:ascii="Arial" w:cs="Arial" w:eastAsia="Arial" w:hAnsi="Arial"/>
          <w:sz w:val="18"/>
          <w:szCs w:val="18"/>
          <w:color w:val="auto"/>
        </w:rPr>
        <w:t>of such derivative transaction or (z) any of the Borrower or other Loan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five percent (5%) of the components of such index. In connection with any such determination, each Lender (other than (x) any Lender that is a Regulated Bank and (y) any Revolving Facility Lender or its Affiliates as of the Closing Date)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9.09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applicable interest rate, together with all fees and charges that are treated as interest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as provided for herein or in any other document executed in connection herewith, or otherwise contracted for, charged, received, taken or reserved by any Lender or any Issuing Bank,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that may be contracted for, charged, taken, received or reserved by such Lender or Issuing Bank in accordance with applicable law, the rate of interest payable hereunder, together with all Charges payable to such Lender or such Issuing Bank shall be limited to the Maximum Rate;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Fee Letter shall survive the execution and delivery of this Agreement and remain in full force and effect. Nothing in this Agreement or in the other Loan Documents, expressed or implied, is intended to confer upon any party other than the parties hereto and thereto (and the Protected Persons) rights, remedies, obligations or liabilities under or by reason of this Agreement or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2" w:name="page353"/>
    <w:bookmarkEnd w:id="352"/>
    <w:p>
      <w:pPr>
        <w:jc w:val="both"/>
        <w:ind w:firstLine="648"/>
        <w:spacing w:after="0" w:line="254"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jc w:val="both"/>
        <w:ind w:firstLine="8"/>
        <w:spacing w:after="0" w:line="241" w:lineRule="auto"/>
        <w:tabs>
          <w:tab w:leader="none" w:pos="324" w:val="left"/>
        </w:tabs>
        <w:numPr>
          <w:ilvl w:val="0"/>
          <w:numId w:val="359"/>
        </w:numPr>
        <w:rPr>
          <w:rFonts w:ascii="Arial" w:cs="Arial" w:eastAsia="Arial" w:hAnsi="Arial"/>
          <w:sz w:val="20"/>
          <w:szCs w:val="20"/>
          <w:color w:val="auto"/>
        </w:rPr>
      </w:pPr>
      <w:r>
        <w:rPr>
          <w:rFonts w:ascii="Arial" w:cs="Arial" w:eastAsia="Arial" w:hAnsi="Arial"/>
          <w:sz w:val="20"/>
          <w:szCs w:val="20"/>
          <w:color w:val="auto"/>
        </w:rPr>
        <w:t xml:space="preserve">ACKNOWLEDGES THAT IT AND THE OTHER PARTIES HERETO HAVE BEEN INDUCED TO ENTER INTO THIS AGREEMENT AND THE OTHER LOAN DOCUMENTS, AS APPLICABLE, BY, AMONG OTHER THINGS, THE MUTUAL WAIVERS AND CERTIFICATIONS IN THIS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9.12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 xml:space="preserve">. This Agreement may be executed in two or more counterparts, each of which shall constitute an original but all of which, when taken together, shall constitute but one contract, and shall become effective as provided in </w:t>
      </w:r>
      <w:r>
        <w:rPr>
          <w:rFonts w:ascii="Arial" w:cs="Arial" w:eastAsia="Arial" w:hAnsi="Arial"/>
          <w:sz w:val="18"/>
          <w:szCs w:val="18"/>
          <w:u w:val="single" w:color="auto"/>
          <w:color w:val="auto"/>
        </w:rPr>
        <w:t>Section 9.03</w:t>
      </w:r>
      <w:r>
        <w:rPr>
          <w:rFonts w:ascii="Arial" w:cs="Arial" w:eastAsia="Arial" w:hAnsi="Arial"/>
          <w:sz w:val="18"/>
          <w:szCs w:val="18"/>
          <w:color w:val="auto"/>
        </w:rPr>
        <w:t>. Delivery of an executed counterpart to this Agreement by facsimile transmission (or other electronic transmission pursuant to procedures approved by the Administrative Agent) shall be as effective as delivery of a manually signed original. The words “execution,” “signed,” “signature,” and words of like import in this Agreement and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the foregoing also applies to any amendment, extension or renewal of this Agreement or other Loan Document. Each of the Loan Parties hereto represents and warrants to the other parties hereto that it has the corporate capacity and authority to execute this Agreement and other Loan Documents through electronic means and there are no restrictions for doing so in such Loan Party’s organizational documents.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9.14 </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3" w:name="page354"/>
    <w:bookmarkEnd w:id="353"/>
    <w:p>
      <w:pPr>
        <w:ind w:left="660"/>
        <w:spacing w:after="0"/>
        <w:tabs>
          <w:tab w:leader="none" w:pos="1940" w:val="left"/>
        </w:tabs>
        <w:rPr>
          <w:sz w:val="20"/>
          <w:szCs w:val="20"/>
          <w:color w:val="auto"/>
        </w:rPr>
      </w:pPr>
      <w:r>
        <w:rPr>
          <w:rFonts w:ascii="Arial" w:cs="Arial" w:eastAsia="Arial" w:hAnsi="Arial"/>
          <w:sz w:val="20"/>
          <w:szCs w:val="20"/>
          <w:color w:val="auto"/>
        </w:rPr>
        <w:t>Section 9.15</w:t>
      </w:r>
      <w:r>
        <w:rPr>
          <w:sz w:val="20"/>
          <w:szCs w:val="20"/>
          <w:color w:val="auto"/>
        </w:rPr>
        <w:tab/>
      </w:r>
      <w:r>
        <w:rPr>
          <w:rFonts w:ascii="Arial" w:cs="Arial" w:eastAsia="Arial" w:hAnsi="Arial"/>
          <w:sz w:val="16"/>
          <w:szCs w:val="16"/>
          <w:u w:val="single" w:color="auto"/>
          <w:color w:val="auto"/>
        </w:rPr>
        <w:t>Jurisdiction; Consent to Service of Process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4" w:lineRule="auto"/>
        <w:tabs>
          <w:tab w:leader="none" w:pos="1296" w:val="left"/>
        </w:tabs>
        <w:numPr>
          <w:ilvl w:val="0"/>
          <w:numId w:val="360"/>
        </w:numPr>
        <w:rPr>
          <w:rFonts w:ascii="Arial" w:cs="Arial" w:eastAsia="Arial" w:hAnsi="Arial"/>
          <w:sz w:val="19"/>
          <w:szCs w:val="19"/>
          <w:color w:val="auto"/>
        </w:rPr>
      </w:pPr>
      <w:r>
        <w:rPr>
          <w:rFonts w:ascii="Arial" w:cs="Arial" w:eastAsia="Arial" w:hAnsi="Arial"/>
          <w:sz w:val="19"/>
          <w:szCs w:val="19"/>
          <w:color w:val="auto"/>
        </w:rPr>
        <w:t>The Borrower and each other Loan Party irrevocably and unconditionally agrees that it will not commence any action, litigation or proceeding of any kind or description, whether in law or equity, whether in contract or in tort or otherwise, against the Administrative Agent, the Collateral Agent, any Lender, any Issuing Bank, the Sustainability Structuring Agent, the Syndication Agent, any Arranger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Borrower or any other Loan Party or its properties in the courts of any jurisdiction.</w:t>
      </w:r>
    </w:p>
    <w:p>
      <w:pPr>
        <w:spacing w:after="0" w:line="190" w:lineRule="exact"/>
        <w:rPr>
          <w:rFonts w:ascii="Arial" w:cs="Arial" w:eastAsia="Arial" w:hAnsi="Arial"/>
          <w:sz w:val="19"/>
          <w:szCs w:val="19"/>
          <w:color w:val="auto"/>
        </w:rPr>
      </w:pPr>
    </w:p>
    <w:p>
      <w:pPr>
        <w:jc w:val="both"/>
        <w:ind w:firstLine="656"/>
        <w:spacing w:after="0" w:line="260" w:lineRule="auto"/>
        <w:tabs>
          <w:tab w:leader="none" w:pos="1296" w:val="left"/>
        </w:tabs>
        <w:numPr>
          <w:ilvl w:val="0"/>
          <w:numId w:val="360"/>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9.15</w:t>
      </w:r>
      <w:r>
        <w:rPr>
          <w:rFonts w:ascii="Arial" w:cs="Arial" w:eastAsia="Arial" w:hAnsi="Arial"/>
          <w:sz w:val="19"/>
          <w:szCs w:val="19"/>
          <w:color w:val="auto"/>
        </w:rPr>
        <w:t>. Each of the parties hereto hereby irrevocably waives, to the fullest extent permitted by law, the defense of an inconvenient forum to the maintenance of such action or proceeding in any such court.</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360"/>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service of process in the manner provided for notices in </w:t>
      </w:r>
      <w:r>
        <w:rPr>
          <w:rFonts w:ascii="Arial" w:cs="Arial" w:eastAsia="Arial" w:hAnsi="Arial"/>
          <w:sz w:val="20"/>
          <w:szCs w:val="20"/>
          <w:u w:val="single" w:color="auto"/>
          <w:color w:val="auto"/>
        </w:rPr>
        <w:t>Section 9.01</w:t>
      </w:r>
      <w:r>
        <w:rPr>
          <w:rFonts w:ascii="Arial" w:cs="Arial" w:eastAsia="Arial" w:hAnsi="Arial"/>
          <w:sz w:val="20"/>
          <w:szCs w:val="20"/>
          <w:color w:val="auto"/>
        </w:rPr>
        <w:t>. Nothing in this Agreement will affect the right of any party to this Agreement or any other Loan Document to serve process in any other manner permitted by law.</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the Lenders, each Issuing Bank and each of the Agents agrees that it shall maintain in confidence any information relating to the Borrower and any Subsidiary or their respective businesses furnished to it by or on behalf of the Borrower or any Subsidiary (other than information that (a) has become generally available to the public other than as a result of a disclosure by such party, (b) has been independently developed by such Lender, such Issuing Bank or such Agent without violating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or (c) was available to such Lender, such Issuing Bank or such Agent from a third party having, to such person’s knowledge, no obligations of confidentiality to the Borrower or any other Loan Party) and shall not reveal the same other than to its Related Parties and any numbering, administration or settlement service providers or to any person that approves or administers the Loans on behalf of such Lender (so long as each such person shall have been instructed to keep the same confidential in accordance with this </w:t>
      </w:r>
      <w:r>
        <w:rPr>
          <w:rFonts w:ascii="Arial" w:cs="Arial" w:eastAsia="Arial" w:hAnsi="Arial"/>
          <w:sz w:val="18"/>
          <w:szCs w:val="18"/>
          <w:u w:val="single" w:color="auto"/>
          <w:color w:val="auto"/>
        </w:rPr>
        <w:t>Section 9.16</w:t>
      </w:r>
      <w:r>
        <w:rPr>
          <w:rFonts w:ascii="Arial" w:cs="Arial" w:eastAsia="Arial" w:hAnsi="Arial"/>
          <w:sz w:val="18"/>
          <w:szCs w:val="18"/>
          <w:color w:val="auto"/>
        </w:rPr>
        <w:t>), except:</w:t>
      </w:r>
    </w:p>
    <w:p>
      <w:pPr>
        <w:spacing w:after="0" w:line="1" w:lineRule="exact"/>
        <w:rPr>
          <w:sz w:val="20"/>
          <w:szCs w:val="20"/>
          <w:color w:val="auto"/>
        </w:rPr>
      </w:pPr>
    </w:p>
    <w:p>
      <w:pPr>
        <w:ind w:left="380" w:hanging="322"/>
        <w:spacing w:after="0"/>
        <w:tabs>
          <w:tab w:leader="none" w:pos="380" w:val="left"/>
        </w:tabs>
        <w:numPr>
          <w:ilvl w:val="0"/>
          <w:numId w:val="361"/>
        </w:numPr>
        <w:rPr>
          <w:rFonts w:ascii="Arial" w:cs="Arial" w:eastAsia="Arial" w:hAnsi="Arial"/>
          <w:sz w:val="20"/>
          <w:szCs w:val="20"/>
          <w:color w:val="auto"/>
        </w:rPr>
      </w:pPr>
      <w:r>
        <w:rPr>
          <w:rFonts w:ascii="Arial" w:cs="Arial" w:eastAsia="Arial" w:hAnsi="Arial"/>
          <w:sz w:val="20"/>
          <w:szCs w:val="20"/>
          <w:color w:val="auto"/>
        </w:rPr>
        <w:t>to the extent necessary to comply with applicable laws or 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ind w:left="4820"/>
        <w:spacing w:after="0"/>
        <w:rPr>
          <w:rFonts w:ascii="Arial" w:cs="Arial" w:eastAsia="Arial" w:hAnsi="Arial"/>
          <w:sz w:val="20"/>
          <w:szCs w:val="20"/>
          <w:color w:val="auto"/>
        </w:rPr>
      </w:pPr>
      <w:r>
        <w:rPr>
          <w:rFonts w:ascii="Arial" w:cs="Arial" w:eastAsia="Arial" w:hAnsi="Arial"/>
          <w:sz w:val="20"/>
          <w:szCs w:val="20"/>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4" w:name="page355"/>
    <w:bookmarkEnd w:id="354"/>
    <w:p>
      <w:pPr>
        <w:jc w:val="both"/>
        <w:spacing w:after="0" w:line="268" w:lineRule="auto"/>
        <w:rPr>
          <w:sz w:val="20"/>
          <w:szCs w:val="20"/>
          <w:color w:val="auto"/>
        </w:rPr>
      </w:pPr>
      <w:r>
        <w:rPr>
          <w:rFonts w:ascii="Arial" w:cs="Arial" w:eastAsia="Arial" w:hAnsi="Arial"/>
          <w:sz w:val="18"/>
          <w:szCs w:val="18"/>
          <w:color w:val="auto"/>
        </w:rPr>
        <w:t xml:space="preserve">legal process or the requirements of any Governmental Authority purporting to have jurisdiction over such person or its Related Parties, the National Association of Insurance Commissioners or of any securities exchange on which securities of the disclosing party or any Affiliate of the disclosing party are listed or traded, (B) as part of reporting or review procedures to, or examinations by, Governmental Authorities or self-regulatory authorities, including the National Association of Insurance Commissioners or the National Association of Securities Dealers, Inc., (C) to its parent companies, Affiliates and their Related Parties including auditors, accountants, legal counsel and other advisors (so long as each such person shall have been instructed to keep the same confidential in accordance with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(D) in connection with the exercise of any remedies under this Agreement or any other Loan Document or any suit, action or proceeding relating to this Agreement or any other Loan Document or the enforcement of rights hereunder or thereunder, (E) to any pledgee under </w:t>
      </w:r>
      <w:r>
        <w:rPr>
          <w:rFonts w:ascii="Arial" w:cs="Arial" w:eastAsia="Arial" w:hAnsi="Arial"/>
          <w:sz w:val="18"/>
          <w:szCs w:val="18"/>
          <w:u w:val="single" w:color="auto"/>
          <w:color w:val="auto"/>
        </w:rPr>
        <w:t>Section 9.04(d)</w:t>
      </w:r>
      <w:r>
        <w:rPr>
          <w:rFonts w:ascii="Arial" w:cs="Arial" w:eastAsia="Arial" w:hAnsi="Arial"/>
          <w:sz w:val="18"/>
          <w:szCs w:val="18"/>
          <w:color w:val="auto"/>
        </w:rPr>
        <w:t xml:space="preserve"> or any other prospective assignee of, or prospective Participant in, any of its rights under this Agreement (so long as such person shall have been instructed to keep the same confidential in accordance with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(F) to any direct or indirect contractual counterparty (or its Related Parties) in Hedging Agreements or such contractual counterparty’s professional advisor (so long as such contractual counterparty or professional advisor to such contractual counterparty agrees to be bound by the provisions of this </w:t>
      </w:r>
      <w:r>
        <w:rPr>
          <w:rFonts w:ascii="Arial" w:cs="Arial" w:eastAsia="Arial" w:hAnsi="Arial"/>
          <w:sz w:val="18"/>
          <w:szCs w:val="18"/>
          <w:u w:val="single" w:color="auto"/>
          <w:color w:val="auto"/>
        </w:rPr>
        <w:t>Section 9.16</w:t>
      </w:r>
      <w:r>
        <w:rPr>
          <w:rFonts w:ascii="Arial" w:cs="Arial" w:eastAsia="Arial" w:hAnsi="Arial"/>
          <w:sz w:val="18"/>
          <w:szCs w:val="18"/>
          <w:color w:val="auto"/>
        </w:rPr>
        <w:t xml:space="preserve">), (G) on a confidential basis to (i) any rating agency in connection with rating the Borrower or its Subsidiaries or the facilities evidenced by this Agreement or (ii) the CUSIP Service Bureau or any similar agency in connection with the issuance and monitoring of CUSIP numbers with respect to the facilities evidenced by this Agreement, (H) with the prior written consent of the Borrower and (I) to any other party to this Agreement. In addition, the Agents, the Issuing Banks and the Lenders may disclose the existence of this Agreement and information about this Agreement to market data collectors, similar service providers to the lending industry, and service providers to the Agents, the Issuing Banks and the Lenders in connection with the administration and management of this Agreement, the other Loan Documents, the Commitments and the extensions of credit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person is advised and agrees to be bound by the provisions of this </w:t>
      </w:r>
      <w:r>
        <w:rPr>
          <w:rFonts w:ascii="Arial" w:cs="Arial" w:eastAsia="Arial" w:hAnsi="Arial"/>
          <w:sz w:val="18"/>
          <w:szCs w:val="18"/>
          <w:u w:val="single" w:color="auto"/>
          <w:color w:val="auto"/>
        </w:rPr>
        <w:t>Section 9.16</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Platform; Borrower Materials</w:t>
      </w:r>
      <w:r>
        <w:rPr>
          <w:rFonts w:ascii="Arial" w:cs="Arial" w:eastAsia="Arial" w:hAnsi="Arial"/>
          <w:sz w:val="18"/>
          <w:szCs w:val="18"/>
          <w:color w:val="auto"/>
        </w:rPr>
        <w:t>. The Borrower hereby acknowledges that (a) the Administrative Agent and/or the Arranger will make available to the Lenders and the Issuing Banks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may be “public-side” Lenders (i.e., Lenders that do not wish to receive material non-public information with respect to the Borrower or its Subsidiaries or any of their respective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may identify portions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the Arranger, the Issuing Banks and the Lenders to treat such Borrower Materials as solely containing information that is either (A) publicly available information or (B) not material (although it may be sensitive and proprietary) with respect to the Borrower or the Subsidiaries or any of their respective securities for purposes of United States federal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Borrower Materials shall be treated as set forth in </w:t>
      </w:r>
      <w:r>
        <w:rPr>
          <w:rFonts w:ascii="Arial" w:cs="Arial" w:eastAsia="Arial" w:hAnsi="Arial"/>
          <w:sz w:val="18"/>
          <w:szCs w:val="18"/>
          <w:u w:val="single" w:color="auto"/>
          <w:color w:val="auto"/>
        </w:rPr>
        <w:t>Section 9.16</w:t>
      </w:r>
      <w:r>
        <w:rPr>
          <w:rFonts w:ascii="Arial" w:cs="Arial" w:eastAsia="Arial" w:hAnsi="Arial"/>
          <w:sz w:val="18"/>
          <w:szCs w:val="18"/>
          <w:color w:val="auto"/>
        </w:rPr>
        <w:t>, to the extent such Borrower Materials constitute information subject to the terms thereof), (iii) all Borrower Materials marked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5" w:name="page356"/>
    <w:bookmarkEnd w:id="355"/>
    <w:p>
      <w:pPr>
        <w:jc w:val="both"/>
        <w:spacing w:after="0" w:line="255" w:lineRule="auto"/>
        <w:rPr>
          <w:sz w:val="20"/>
          <w:szCs w:val="20"/>
          <w:color w:val="auto"/>
        </w:rPr>
      </w:pPr>
      <w:r>
        <w:rPr>
          <w:rFonts w:ascii="Arial" w:cs="Arial" w:eastAsia="Arial" w:hAnsi="Arial"/>
          <w:sz w:val="19"/>
          <w:szCs w:val="19"/>
          <w:color w:val="auto"/>
        </w:rPr>
        <w:t>are permitted to be made available through a portion of the Platform designated “Public Investor,” and (iv) the Administrative Agent and the Arranger shall be entitled to treat any Borrower Materials that are not marked “PUBLIC” as being suitable only for posting on a portion of the Platform not designated “Public Investor.” THE PLATFORM IS PROVIDED “AS IS” AND “AS AVAILABLE.” THE ADMINISTRATIVE AGENT, ITS RELATED PARTIES AND THE ARRANGER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OF ITS RELATED PARTIES OR ANY ARRANGER IN CONNECTION WITH THE BORROWER MATERIALS OR THE PLATFORM.</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9.18</w:t>
      </w:r>
      <w:r>
        <w:rPr>
          <w:sz w:val="20"/>
          <w:szCs w:val="20"/>
          <w:color w:val="auto"/>
        </w:rPr>
        <w:tab/>
      </w:r>
      <w:r>
        <w:rPr>
          <w:rFonts w:ascii="Arial" w:cs="Arial" w:eastAsia="Arial" w:hAnsi="Arial"/>
          <w:sz w:val="16"/>
          <w:szCs w:val="16"/>
          <w:u w:val="single" w:color="auto"/>
          <w:color w:val="auto"/>
        </w:rPr>
        <w:t>Release of Liens and Guarantees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56"/>
        <w:spacing w:after="0" w:line="272" w:lineRule="auto"/>
        <w:tabs>
          <w:tab w:leader="none" w:pos="1296"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The Lenders, the Issuing Banks, the Swingline Lender and the other Secured Parties hereby irrevocably agree that the Liens granted to the Collateral Agent by the Loan Parties and/or Holdings on any Collateral shall (1) be automatically released: (i) in full upon the occurrence of the Termination Date as set forth in </w:t>
      </w:r>
      <w:r>
        <w:rPr>
          <w:rFonts w:ascii="Arial" w:cs="Arial" w:eastAsia="Arial" w:hAnsi="Arial"/>
          <w:sz w:val="18"/>
          <w:szCs w:val="18"/>
          <w:u w:val="single" w:color="auto"/>
          <w:color w:val="auto"/>
        </w:rPr>
        <w:t>Section 9.18(d)</w:t>
      </w:r>
      <w:r>
        <w:rPr>
          <w:rFonts w:ascii="Arial" w:cs="Arial" w:eastAsia="Arial" w:hAnsi="Arial"/>
          <w:sz w:val="18"/>
          <w:szCs w:val="18"/>
          <w:color w:val="auto"/>
        </w:rPr>
        <w:t xml:space="preserve"> below,</w:t>
      </w:r>
    </w:p>
    <w:p>
      <w:pPr>
        <w:jc w:val="both"/>
        <w:ind w:firstLine="8"/>
        <w:spacing w:after="0" w:line="267" w:lineRule="auto"/>
        <w:tabs>
          <w:tab w:leader="none" w:pos="29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upon the Disposition (other than any lease or license) of such Collateral by any Loan Party to a person that is not (and is not required to become) a Loan Party in a transaction permitted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(v) to the extent that the property constituting such Collateral is owned by any Guarantor, upon the release of such Guarantor from its obligations under the Guarantee in accordance with the Guarantee Agreement or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(and the Collateral Agent may rely conclusively on a certificate to that effect provided to it by any Loan Party upon its reasonable request without further inquiry), (vi) as required by the Collateral Agent to effect any Disposition of Collateral in connection with any exercise of remedies of the Collateral Agent pursuant to the Security Documents, (vii) in the case of Permitted Receivables Facility Assets, upon the Disposition thereof by any Loan Party to a Receivables Entity of such Permitted Receivables Facility Assets pursuant to a Qualified Receivables Facility or a Permitted Supplier Receivables Sale Program, or (viii) upon any asset or property becoming Excluded Property pursuant to a transaction that is not prohibited by this Agreement and (2) be released in the circumstances, and subject to the terms and conditions, provided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(and the Collateral Agent may rely conclusively on a certificate to that effect provided to it by any Loan Party upon its reasonable request without any further inquiry).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6" w:name="page357"/>
    <w:bookmarkEnd w:id="356"/>
    <w:p>
      <w:pPr>
        <w:spacing w:after="0" w:line="260" w:lineRule="auto"/>
        <w:rPr>
          <w:sz w:val="20"/>
          <w:szCs w:val="20"/>
          <w:color w:val="auto"/>
        </w:rPr>
      </w:pPr>
      <w:r>
        <w:rPr>
          <w:rFonts w:ascii="Arial" w:cs="Arial" w:eastAsia="Arial" w:hAnsi="Arial"/>
          <w:sz w:val="20"/>
          <w:szCs w:val="20"/>
          <w:color w:val="auto"/>
        </w:rPr>
        <w:t>Disposition, all of which shall continue to constitute part of the Collateral except to the extent otherwise released in accordance with the provisions of the Loan Documents.</w:t>
      </w:r>
    </w:p>
    <w:p>
      <w:pPr>
        <w:spacing w:after="0" w:line="177" w:lineRule="exact"/>
        <w:rPr>
          <w:sz w:val="20"/>
          <w:szCs w:val="20"/>
          <w:color w:val="auto"/>
        </w:rPr>
      </w:pPr>
    </w:p>
    <w:p>
      <w:pPr>
        <w:jc w:val="both"/>
        <w:ind w:firstLine="656"/>
        <w:spacing w:after="0" w:line="270" w:lineRule="auto"/>
        <w:tabs>
          <w:tab w:leader="none" w:pos="129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 addition, the Lenders, the Issuing Banks and the other Secured Parties hereby irrevocably agree that the respective Guarantor shall be automatically released from its respective Guarantee (i) upon consummation of any transaction permitted hereunder resulting in such Subsidiary ceasing to constitute a Subsidiary, (ii) in the case of any Guarantor which would not be required to be a Guarantor because it has become an Excluded Subsidiary (and the Administrative Agent and Collateral Agent may rely conclusively on a certificate to the foregoing effect without further inquiry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Guarantor that ceases to constitute a Subsidiary Loan Party or otherwise becomes an Excluded Subsidiary solely as a result of becoming a non-Wholly Owned Subsidiary shall only be released from its Guarantee if such Restricted Subsidiary became a non-Wholly Owned Subsidiary if such Wholly Owned Subsidiary became a non-Wholly Owned Subsidiary solely as a result of a Disposition or other transfer of less than all of such Subsidiary’s capital stock, unless such Disposition or other transfer of capital stock is a good faith Disposition to a bona fide unaffiliated third party for Fair Market Value for a bona fide business purpose) or (iii) if the release of such Guarantor is approved, authorized or ratified by the Required Lenders (or such other percentage of Lenders whose consent is required in accordance with </w:t>
      </w:r>
      <w:r>
        <w:rPr>
          <w:rFonts w:ascii="Arial" w:cs="Arial" w:eastAsia="Arial" w:hAnsi="Arial"/>
          <w:sz w:val="18"/>
          <w:szCs w:val="18"/>
          <w:u w:val="single" w:color="auto"/>
          <w:color w:val="auto"/>
        </w:rPr>
        <w:t>Section 9.08</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656"/>
        <w:spacing w:after="0" w:line="269" w:lineRule="auto"/>
        <w:tabs>
          <w:tab w:leader="none" w:pos="129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w:t>
      </w:r>
      <w:r>
        <w:rPr>
          <w:rFonts w:ascii="Arial" w:cs="Arial" w:eastAsia="Arial" w:hAnsi="Arial"/>
          <w:sz w:val="18"/>
          <w:szCs w:val="18"/>
          <w:u w:val="single" w:color="auto"/>
          <w:color w:val="auto"/>
        </w:rPr>
        <w:t>Section 9.18</w:t>
      </w:r>
      <w:r>
        <w:rPr>
          <w:rFonts w:ascii="Arial" w:cs="Arial" w:eastAsia="Arial" w:hAnsi="Arial"/>
          <w:sz w:val="18"/>
          <w:szCs w:val="18"/>
          <w:color w:val="auto"/>
        </w:rPr>
        <w:t xml:space="preserve">,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In connection with any release hereunder, the Administrative Agent and the Collateral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Administrative Agent shall have received a certificate of a Responsible Officer of the Borrower containing such certifications as the Administrative Agent shall reasonably request, (ii) the Administrative Agent or the Collateral Agent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or any Liens upon (or obligations of the Borrower or any Subsidiary in respect of) all interests retained by the Borrower or any Subsidiary, including (without limitation) the proceeds of the sale, all of which shall continue to constitute part of the Collateral. Any execution and delivery of documents pursuant to this </w:t>
      </w:r>
      <w:r>
        <w:rPr>
          <w:rFonts w:ascii="Arial" w:cs="Arial" w:eastAsia="Arial" w:hAnsi="Arial"/>
          <w:sz w:val="18"/>
          <w:szCs w:val="18"/>
          <w:u w:val="single" w:color="auto"/>
          <w:color w:val="auto"/>
        </w:rPr>
        <w:t>Section 9.18(c)</w:t>
      </w:r>
      <w:r>
        <w:rPr>
          <w:rFonts w:ascii="Arial" w:cs="Arial" w:eastAsia="Arial" w:hAnsi="Arial"/>
          <w:sz w:val="18"/>
          <w:szCs w:val="18"/>
          <w:color w:val="auto"/>
        </w:rPr>
        <w:t xml:space="preserve"> shall be without recourse to or warranty by the Administrative Agent or Collateral Agent.</w:t>
      </w:r>
    </w:p>
    <w:p>
      <w:pPr>
        <w:spacing w:after="0" w:line="171"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364"/>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any other Loan Document, on the Termination Date, upon request of the Borrower, the Administrative Agent and/or the Collateral Agent, as applicable, shall (without notice to, or vote or consent of, any Secured Party) take such actions as shall be required to release its security interest in all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7" w:name="page358"/>
    <w:bookmarkEnd w:id="357"/>
    <w:p>
      <w:pPr>
        <w:spacing w:after="0"/>
        <w:rPr>
          <w:sz w:val="20"/>
          <w:szCs w:val="20"/>
          <w:color w:val="auto"/>
        </w:rPr>
      </w:pPr>
      <w:r>
        <w:rPr>
          <w:rFonts w:ascii="Arial" w:cs="Arial" w:eastAsia="Arial" w:hAnsi="Arial"/>
          <w:sz w:val="19"/>
          <w:szCs w:val="19"/>
          <w:color w:val="auto"/>
        </w:rPr>
        <w:t>and to release all obligations under any Loan Document, whether or not on the date of such release there may be any</w:t>
      </w:r>
    </w:p>
    <w:p>
      <w:pPr>
        <w:spacing w:after="0" w:line="27" w:lineRule="exact"/>
        <w:rPr>
          <w:sz w:val="20"/>
          <w:szCs w:val="20"/>
          <w:color w:val="auto"/>
        </w:rPr>
      </w:pPr>
    </w:p>
    <w:p>
      <w:pPr>
        <w:jc w:val="both"/>
        <w:ind w:firstLine="8"/>
        <w:spacing w:after="0" w:line="268" w:lineRule="auto"/>
        <w:tabs>
          <w:tab w:leader="none" w:pos="25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obligations in respect of any Secured Hedge Agreements, any Secured Cash Management Agreements or any Secured Supplier Receivables Agreements and (ii) contingent indemnification obligations or expense reimbursement claims not then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interests in all Collateral and all obligations under the Loan Documents as contemplated by this </w:t>
      </w:r>
      <w:r>
        <w:rPr>
          <w:rFonts w:ascii="Arial" w:cs="Arial" w:eastAsia="Arial" w:hAnsi="Arial"/>
          <w:sz w:val="18"/>
          <w:szCs w:val="18"/>
          <w:u w:val="single" w:color="auto"/>
          <w:color w:val="auto"/>
        </w:rPr>
        <w:t>Section 9.18(d)</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656"/>
        <w:spacing w:after="0" w:line="256" w:lineRule="auto"/>
        <w:tabs>
          <w:tab w:leader="none" w:pos="1296" w:val="left"/>
        </w:tabs>
        <w:numPr>
          <w:ilvl w:val="1"/>
          <w:numId w:val="365"/>
        </w:numPr>
        <w:rPr>
          <w:rFonts w:ascii="Arial" w:cs="Arial" w:eastAsia="Arial" w:hAnsi="Arial"/>
          <w:sz w:val="19"/>
          <w:szCs w:val="19"/>
          <w:color w:val="auto"/>
        </w:rPr>
      </w:pPr>
      <w:r>
        <w:rPr>
          <w:rFonts w:ascii="Arial" w:cs="Arial" w:eastAsia="Arial" w:hAnsi="Arial"/>
          <w:sz w:val="19"/>
          <w:szCs w:val="19"/>
          <w:color w:val="auto"/>
        </w:rPr>
        <w:t>Obligations of the Borrower or any of its Subsidiaries under any Secured Cash Management Agreement, Secured Supplier Receivables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Cash Management Agreement, Secured Supplier Receivables Agreement or Secured Hedge Agreement. For the avoidance of doubt, no release of Collateral or Guarantors effected in the manner permitted by this Agreement shall require the consent of any holder of obligations under any Secured Cash Management Agreements, Secured Supplier Receivables Agreements or Secured Hedge Agreements.</w:t>
      </w:r>
    </w:p>
    <w:p>
      <w:pPr>
        <w:spacing w:after="0" w:line="1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each Loan Party in accordance with the USA PATRIOT Act.</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9.20 </w:t>
      </w:r>
      <w:r>
        <w:rPr>
          <w:rFonts w:ascii="Arial" w:cs="Arial" w:eastAsia="Arial" w:hAnsi="Arial"/>
          <w:sz w:val="20"/>
          <w:szCs w:val="20"/>
          <w:u w:val="single" w:color="auto"/>
          <w:color w:val="auto"/>
        </w:rPr>
        <w:t>Agency of the Borrower for the Loan Parties</w:t>
      </w:r>
      <w:r>
        <w:rPr>
          <w:rFonts w:ascii="Arial" w:cs="Arial" w:eastAsia="Arial" w:hAnsi="Arial"/>
          <w:sz w:val="20"/>
          <w:szCs w:val="20"/>
          <w:color w:val="auto"/>
        </w:rPr>
        <w:t>.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9.21 </w:t>
      </w:r>
      <w:r>
        <w:rPr>
          <w:rFonts w:ascii="Arial" w:cs="Arial" w:eastAsia="Arial" w:hAnsi="Arial"/>
          <w:sz w:val="20"/>
          <w:szCs w:val="20"/>
          <w:u w:val="single" w:color="auto"/>
          <w:color w:val="auto"/>
        </w:rPr>
        <w:t>No Liability of the Issuing Banks</w:t>
      </w:r>
      <w:r>
        <w:rPr>
          <w:rFonts w:ascii="Arial" w:cs="Arial" w:eastAsia="Arial" w:hAnsi="Arial"/>
          <w:sz w:val="20"/>
          <w:szCs w:val="20"/>
          <w:color w:val="auto"/>
        </w:rPr>
        <w:t>. The Borrower assumes all risks of the acts or omissions of any beneficiary or transferee of any Letter of Credit with respect to its use of such Letter of Credit. None of the Administrative Agent, the Revolving Facility Lenders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8" w:name="page359"/>
    <w:bookmarkEnd w:id="358"/>
    <w:p>
      <w:pPr>
        <w:jc w:val="both"/>
        <w:spacing w:after="0" w:line="269" w:lineRule="auto"/>
        <w:rPr>
          <w:sz w:val="20"/>
          <w:szCs w:val="20"/>
          <w:color w:val="auto"/>
        </w:rPr>
      </w:pPr>
      <w:r>
        <w:rPr>
          <w:rFonts w:ascii="Arial" w:cs="Arial" w:eastAsia="Arial" w:hAnsi="Arial"/>
          <w:sz w:val="18"/>
          <w:szCs w:val="18"/>
          <w:color w:val="auto"/>
        </w:rPr>
        <w:t>Issuing Bank, or any of their Related Parties,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damages (as opposed to special, indirect, consequential or punitive damages, claims in respect of which are hereby waived by the Borrower to the extent permitted by applicable law) suffered by the Borrower that the Borrower proves were caused by (i) 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in its sole discretion, either accept and make payment upon documents that appear on their face to be in substantial compliance with a Letter of Credit,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9.22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9.23 </w:t>
      </w:r>
      <w:r>
        <w:rPr>
          <w:rFonts w:ascii="Arial" w:cs="Arial" w:eastAsia="Arial" w:hAnsi="Arial"/>
          <w:sz w:val="20"/>
          <w:szCs w:val="20"/>
          <w:u w:val="single" w:color="auto"/>
          <w:color w:val="auto"/>
        </w:rPr>
        <w:t>Acknowledgment and Consent to Bail-In of EEA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59" w:name="page360"/>
    <w:bookmarkEnd w:id="359"/>
    <w:p>
      <w:pPr>
        <w:jc w:val="both"/>
        <w:spacing w:after="0" w:line="255" w:lineRule="auto"/>
        <w:rPr>
          <w:sz w:val="20"/>
          <w:szCs w:val="20"/>
          <w:color w:val="auto"/>
        </w:rPr>
      </w:pPr>
      <w:r>
        <w:rPr>
          <w:rFonts w:ascii="Arial" w:cs="Arial" w:eastAsia="Arial" w:hAnsi="Arial"/>
          <w:sz w:val="19"/>
          <w:szCs w:val="19"/>
          <w:color w:val="auto"/>
        </w:rPr>
        <w:t>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Section 9.24 </w:t>
      </w:r>
      <w:r>
        <w:rPr>
          <w:rFonts w:ascii="Arial" w:cs="Arial" w:eastAsia="Arial" w:hAnsi="Arial"/>
          <w:sz w:val="18"/>
          <w:szCs w:val="18"/>
          <w:u w:val="single" w:color="auto"/>
          <w:color w:val="auto"/>
        </w:rPr>
        <w:t>Acknowledgment Regarding Any Supported QFCs</w:t>
      </w:r>
      <w:r>
        <w:rPr>
          <w:rFonts w:ascii="Arial" w:cs="Arial" w:eastAsia="Arial" w:hAnsi="Arial"/>
          <w:sz w:val="18"/>
          <w:szCs w:val="18"/>
          <w:color w:val="auto"/>
        </w:rPr>
        <w:t>. To the extent that the Loan Documents provide support, through a guarantee or otherwise, for Hedging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ind w:left="4260"/>
        <w:spacing w:after="0"/>
        <w:tabs>
          <w:tab w:leader="none" w:pos="4900" w:val="left"/>
          <w:tab w:leader="none" w:pos="55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60" w:name="page361"/>
    <w:bookmarkEnd w:id="36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written above.</w:t>
      </w:r>
    </w:p>
    <w:p>
      <w:pPr>
        <w:spacing w:after="0" w:line="19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WESTROCK BEVERAGE SOLUTIONS, LLC</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(F/K/A WESTROCK COFFEE COMPANY, LLC)</w:t>
      </w:r>
    </w:p>
    <w:p>
      <w:pPr>
        <w:spacing w:after="0" w:line="21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 /s/ T. Christopher Pledger</w:t>
      </w:r>
    </w:p>
    <w:p>
      <w:pPr>
        <w:spacing w:after="0" w:line="16" w:lineRule="exact"/>
        <w:rPr>
          <w:sz w:val="20"/>
          <w:szCs w:val="20"/>
          <w:color w:val="auto"/>
        </w:rPr>
      </w:pPr>
    </w:p>
    <w:tbl>
      <w:tblPr>
        <w:tblLayout w:type="fixed"/>
        <w:tblInd w:w="5200" w:type="dxa"/>
        <w:tblCellMar>
          <w:top w:w="0" w:type="dxa"/>
          <w:left w:w="0" w:type="dxa"/>
          <w:bottom w:w="0" w:type="dxa"/>
          <w:right w:w="0" w:type="dxa"/>
        </w:tblCellMar>
      </w:tblPr>
      <w:tr>
        <w:trPr>
          <w:trHeight w:val="206"/>
        </w:trPr>
        <w:tc>
          <w:tcPr>
            <w:tcW w:w="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08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T. Christopher Pledger</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080" w:type="dxa"/>
            <w:vAlign w:val="bottom"/>
          </w:tcPr>
          <w:p>
            <w:pPr>
              <w:ind w:left="120"/>
              <w:spacing w:after="0"/>
              <w:rPr>
                <w:sz w:val="20"/>
                <w:szCs w:val="20"/>
                <w:color w:val="auto"/>
              </w:rPr>
            </w:pPr>
            <w:r>
              <w:rPr>
                <w:rFonts w:ascii="Arial" w:cs="Arial" w:eastAsia="Arial" w:hAnsi="Arial"/>
                <w:sz w:val="20"/>
                <w:szCs w:val="20"/>
                <w:color w:val="auto"/>
              </w:rPr>
              <w:t>Chief Financial Officer</w:t>
            </w:r>
          </w:p>
        </w:tc>
      </w:tr>
    </w:tbl>
    <w:p>
      <w:pPr>
        <w:spacing w:after="0" w:line="20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WESTROCK COFFEE COMPANY</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(F/K/A WESTROCK COFFEE HOLDINGS, LLC)</w:t>
      </w:r>
    </w:p>
    <w:p>
      <w:pPr>
        <w:spacing w:after="0" w:line="21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 /s/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10160</wp:posOffset>
            </wp:positionV>
            <wp:extent cx="30086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5180"/>
        <w:spacing w:after="0"/>
        <w:rPr>
          <w:sz w:val="20"/>
          <w:szCs w:val="20"/>
          <w:color w:val="auto"/>
        </w:rPr>
      </w:pPr>
      <w:r>
        <w:rPr>
          <w:rFonts w:ascii="Arial" w:cs="Arial" w:eastAsia="Arial" w:hAnsi="Arial"/>
          <w:sz w:val="20"/>
          <w:szCs w:val="20"/>
          <w:color w:val="auto"/>
        </w:rPr>
        <w:t>Name: T. Christopher Pledger</w:t>
      </w:r>
    </w:p>
    <w:p>
      <w:pPr>
        <w:spacing w:after="0" w:line="8"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361" w:name="page362"/>
    <w:bookmarkEnd w:id="361"/>
    <w:p>
      <w:pPr>
        <w:ind w:left="4400"/>
        <w:spacing w:after="0"/>
        <w:rPr>
          <w:sz w:val="20"/>
          <w:szCs w:val="20"/>
          <w:color w:val="auto"/>
        </w:rPr>
      </w:pPr>
      <w:r>
        <w:rPr>
          <w:rFonts w:ascii="Arial" w:cs="Arial" w:eastAsia="Arial" w:hAnsi="Arial"/>
          <w:sz w:val="20"/>
          <w:szCs w:val="20"/>
          <w:color w:val="auto"/>
        </w:rPr>
        <w:t>WELLS FARGO BANK, N.A.,</w:t>
      </w:r>
    </w:p>
    <w:p>
      <w:pPr>
        <w:spacing w:after="0" w:line="16" w:lineRule="exact"/>
        <w:rPr>
          <w:sz w:val="20"/>
          <w:szCs w:val="20"/>
          <w:color w:val="auto"/>
        </w:rPr>
      </w:pPr>
    </w:p>
    <w:p>
      <w:pPr>
        <w:ind w:left="4400" w:right="100"/>
        <w:spacing w:after="0" w:line="244" w:lineRule="auto"/>
        <w:rPr>
          <w:sz w:val="20"/>
          <w:szCs w:val="20"/>
          <w:color w:val="auto"/>
        </w:rPr>
      </w:pPr>
      <w:r>
        <w:rPr>
          <w:rFonts w:ascii="Arial" w:cs="Arial" w:eastAsia="Arial" w:hAnsi="Arial"/>
          <w:sz w:val="20"/>
          <w:szCs w:val="20"/>
          <w:color w:val="auto"/>
        </w:rPr>
        <w:t>as Collateral Agent, Administrative Agent, as Issuing Bank, as Swingline Lender and as a Lender</w:t>
      </w:r>
    </w:p>
    <w:p>
      <w:pPr>
        <w:spacing w:after="0" w:line="20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Christine Gardiner</w:t>
      </w:r>
    </w:p>
    <w:p>
      <w:pPr>
        <w:spacing w:after="0" w:line="16" w:lineRule="exact"/>
        <w:rPr>
          <w:sz w:val="20"/>
          <w:szCs w:val="20"/>
          <w:color w:val="auto"/>
        </w:rPr>
      </w:pPr>
    </w:p>
    <w:tbl>
      <w:tblPr>
        <w:tblLayout w:type="fixed"/>
        <w:tblInd w:w="4740" w:type="dxa"/>
        <w:tblCellMar>
          <w:top w:w="0" w:type="dxa"/>
          <w:left w:w="0" w:type="dxa"/>
          <w:bottom w:w="0" w:type="dxa"/>
          <w:right w:w="0" w:type="dxa"/>
        </w:tblCellMar>
      </w:tblPr>
      <w:tr>
        <w:trPr>
          <w:trHeight w:val="206"/>
        </w:trPr>
        <w:tc>
          <w:tcPr>
            <w:tcW w:w="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08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Christine Gardiner</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080" w:type="dxa"/>
            <w:vAlign w:val="bottom"/>
          </w:tcPr>
          <w:p>
            <w:pPr>
              <w:ind w:left="120"/>
              <w:spacing w:after="0"/>
              <w:rPr>
                <w:sz w:val="20"/>
                <w:szCs w:val="20"/>
                <w:color w:val="auto"/>
              </w:rPr>
            </w:pPr>
            <w:r>
              <w:rPr>
                <w:rFonts w:ascii="Arial" w:cs="Arial" w:eastAsia="Arial" w:hAnsi="Arial"/>
                <w:sz w:val="20"/>
                <w:szCs w:val="20"/>
                <w:color w:val="auto"/>
              </w:rPr>
              <w:t>Senior Vice President</w:t>
            </w:r>
          </w:p>
        </w:tc>
      </w:tr>
    </w:tbl>
    <w:p>
      <w:pPr>
        <w:spacing w:after="0" w:line="20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WELLS FARGO SECURITIES, LLC,</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as Sustainability Structuring Agent</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David Szmigielski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David Szmigielski</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5" w:right="999" w:bottom="1440" w:gutter="0" w:footer="0" w:header="0"/>
        </w:sectPr>
      </w:pPr>
    </w:p>
    <w:bookmarkStart w:id="362" w:name="page363"/>
    <w:bookmarkEnd w:id="362"/>
    <w:p>
      <w:pPr>
        <w:ind w:left="44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Kevin Couch</w:t>
      </w:r>
    </w:p>
    <w:p>
      <w:pPr>
        <w:spacing w:after="0" w:line="16" w:lineRule="exact"/>
        <w:rPr>
          <w:sz w:val="20"/>
          <w:szCs w:val="20"/>
          <w:color w:val="auto"/>
        </w:rPr>
      </w:pPr>
    </w:p>
    <w:tbl>
      <w:tblPr>
        <w:tblLayout w:type="fixed"/>
        <w:tblInd w:w="4740" w:type="dxa"/>
        <w:tblCellMar>
          <w:top w:w="0" w:type="dxa"/>
          <w:left w:w="0" w:type="dxa"/>
          <w:bottom w:w="0" w:type="dxa"/>
          <w:right w:w="0" w:type="dxa"/>
        </w:tblCellMar>
      </w:tblPr>
      <w:tr>
        <w:trPr>
          <w:trHeight w:val="206"/>
        </w:trPr>
        <w:tc>
          <w:tcPr>
            <w:tcW w:w="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08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Kevin Couch</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080" w:type="dxa"/>
            <w:vAlign w:val="bottom"/>
          </w:tcPr>
          <w:p>
            <w:pPr>
              <w:ind w:left="120"/>
              <w:spacing w:after="0"/>
              <w:rPr>
                <w:sz w:val="20"/>
                <w:szCs w:val="20"/>
                <w:color w:val="auto"/>
              </w:rPr>
            </w:pPr>
            <w:r>
              <w:rPr>
                <w:rFonts w:ascii="Arial" w:cs="Arial" w:eastAsia="Arial" w:hAnsi="Arial"/>
                <w:sz w:val="20"/>
                <w:szCs w:val="20"/>
                <w:color w:val="auto"/>
              </w:rPr>
              <w:t>Senior Vice President</w:t>
            </w:r>
          </w:p>
        </w:tc>
      </w:tr>
    </w:tbl>
    <w:p>
      <w:pPr>
        <w:spacing w:after="0" w:line="20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COÖPERATIEVE RABOBANK U.A.,</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NEW YORK BRANCH,</w:t>
      </w:r>
    </w:p>
    <w:p>
      <w:pPr>
        <w:ind w:left="4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Van Brandenburg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Van Brandenburg</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Irene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Irene Stephens</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Executive Director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SUMITOMO MITSUI BANKING</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CORPORATION, 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Rosa Pritsch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Rosa Pritsch</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Director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TRUIST BANK,</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Patricia J. Noneman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Patricia J. Noneman</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363" w:name="page364"/>
    <w:bookmarkEnd w:id="363"/>
    <w:p>
      <w:pPr>
        <w:ind w:left="4400"/>
        <w:spacing w:after="0"/>
        <w:rPr>
          <w:sz w:val="20"/>
          <w:szCs w:val="20"/>
          <w:color w:val="auto"/>
        </w:rPr>
      </w:pPr>
      <w:r>
        <w:rPr>
          <w:rFonts w:ascii="Arial" w:cs="Arial" w:eastAsia="Arial" w:hAnsi="Arial"/>
          <w:sz w:val="20"/>
          <w:szCs w:val="20"/>
          <w:color w:val="auto"/>
        </w:rPr>
        <w:t>FIRST SECURITY BANK,</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J.C. Halsell</w:t>
      </w:r>
    </w:p>
    <w:p>
      <w:pPr>
        <w:spacing w:after="0" w:line="16" w:lineRule="exact"/>
        <w:rPr>
          <w:sz w:val="20"/>
          <w:szCs w:val="20"/>
          <w:color w:val="auto"/>
        </w:rPr>
      </w:pPr>
    </w:p>
    <w:tbl>
      <w:tblPr>
        <w:tblLayout w:type="fixed"/>
        <w:tblInd w:w="4740" w:type="dxa"/>
        <w:tblCellMar>
          <w:top w:w="0" w:type="dxa"/>
          <w:left w:w="0" w:type="dxa"/>
          <w:bottom w:w="0" w:type="dxa"/>
          <w:right w:w="0" w:type="dxa"/>
        </w:tblCellMar>
      </w:tblPr>
      <w:tr>
        <w:trPr>
          <w:trHeight w:val="206"/>
        </w:trPr>
        <w:tc>
          <w:tcPr>
            <w:tcW w:w="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w:t>
            </w:r>
          </w:p>
        </w:tc>
        <w:tc>
          <w:tcPr>
            <w:tcW w:w="408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rPr>
              <w:t>J.C. Halsell</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080" w:type="dxa"/>
            <w:vAlign w:val="bottom"/>
          </w:tcPr>
          <w:p>
            <w:pPr>
              <w:ind w:left="120"/>
              <w:spacing w:after="0"/>
              <w:rPr>
                <w:sz w:val="20"/>
                <w:szCs w:val="20"/>
                <w:color w:val="auto"/>
              </w:rPr>
            </w:pPr>
            <w:r>
              <w:rPr>
                <w:rFonts w:ascii="Arial" w:cs="Arial" w:eastAsia="Arial" w:hAnsi="Arial"/>
                <w:sz w:val="20"/>
                <w:szCs w:val="20"/>
                <w:color w:val="auto"/>
              </w:rPr>
              <w:t>Senior Vice President</w:t>
            </w:r>
          </w:p>
        </w:tc>
      </w:tr>
    </w:tbl>
    <w:p>
      <w:pPr>
        <w:spacing w:after="0" w:line="20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First Horizon Bank,</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Kevin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Kevin M. Brown</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SVP</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Pinnacle Bank,</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Glynn M. Alexander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Glynn M. Alexander Jr.</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Executive Vice President</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STIFEL BANK &amp; TRUST,</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as a Lender</w:t>
      </w: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 /s/ Daniel P.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10160</wp:posOffset>
            </wp:positionV>
            <wp:extent cx="300863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0"/>
          <w:szCs w:val="20"/>
          <w:color w:val="auto"/>
        </w:rPr>
        <w:t>Name: Daniel P. McDonald</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364" w:name="page365"/>
    <w:bookmarkEnd w:id="364"/>
    <w:p>
      <w:pPr>
        <w:jc w:val="right"/>
        <w:spacing w:after="0"/>
        <w:rPr>
          <w:sz w:val="20"/>
          <w:szCs w:val="20"/>
          <w:color w:val="auto"/>
        </w:rPr>
      </w:pPr>
      <w:r>
        <w:rPr>
          <w:rFonts w:ascii="Arial" w:cs="Arial" w:eastAsia="Arial" w:hAnsi="Arial"/>
          <w:sz w:val="22"/>
          <w:szCs w:val="22"/>
          <w:b w:val="1"/>
          <w:bCs w:val="1"/>
          <w:color w:val="auto"/>
        </w:rPr>
        <w:t>EXHIBIT 10.4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THIS EMPLOYMENT AGREEMENT </w:t>
      </w:r>
      <w:r>
        <w:rPr>
          <w:rFonts w:ascii="Arial" w:cs="Arial" w:eastAsia="Arial" w:hAnsi="Arial"/>
          <w:sz w:val="22"/>
          <w:szCs w:val="22"/>
          <w:color w:val="auto"/>
        </w:rPr>
        <w:t>(this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August 26, 2022,</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Westrock Coffee Company (the “</w:t>
      </w:r>
      <w:r>
        <w:rPr>
          <w:rFonts w:ascii="Arial" w:cs="Arial" w:eastAsia="Arial" w:hAnsi="Arial"/>
          <w:sz w:val="22"/>
          <w:szCs w:val="22"/>
          <w:b w:val="1"/>
          <w:bCs w:val="1"/>
          <w:color w:val="auto"/>
        </w:rPr>
        <w:t>Company</w:t>
      </w:r>
      <w:r>
        <w:rPr>
          <w:rFonts w:ascii="Arial" w:cs="Arial" w:eastAsia="Arial" w:hAnsi="Arial"/>
          <w:sz w:val="22"/>
          <w:szCs w:val="22"/>
          <w:color w:val="auto"/>
        </w:rPr>
        <w:t>”) and Scott T. Ford (“</w:t>
      </w:r>
      <w:r>
        <w:rPr>
          <w:rFonts w:ascii="Arial" w:cs="Arial" w:eastAsia="Arial" w:hAnsi="Arial"/>
          <w:sz w:val="22"/>
          <w:szCs w:val="22"/>
          <w:b w:val="1"/>
          <w:bCs w:val="1"/>
          <w:color w:val="auto"/>
        </w:rPr>
        <w:t>Executive</w:t>
      </w:r>
      <w:r>
        <w:rPr>
          <w:rFonts w:ascii="Arial" w:cs="Arial" w:eastAsia="Arial" w:hAnsi="Arial"/>
          <w:sz w:val="22"/>
          <w:szCs w:val="22"/>
          <w:color w:val="auto"/>
        </w:rPr>
        <w:t>”, and together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Executive desire to enter into this Agreement to set forth the terms of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to the Company.</w:t>
      </w:r>
    </w:p>
    <w:p>
      <w:pPr>
        <w:spacing w:after="0" w:line="162"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foregoing, the mutual promises contained herein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acknowledged, the Parties agree as follows:</w:t>
      </w:r>
    </w:p>
    <w:p>
      <w:pPr>
        <w:spacing w:after="0" w:line="94" w:lineRule="exact"/>
        <w:rPr>
          <w:sz w:val="20"/>
          <w:szCs w:val="20"/>
          <w:color w:val="auto"/>
        </w:rPr>
      </w:pPr>
    </w:p>
    <w:p>
      <w:pPr>
        <w:jc w:val="both"/>
        <w:ind w:firstLine="1304"/>
        <w:spacing w:after="0" w:line="274" w:lineRule="auto"/>
        <w:tabs>
          <w:tab w:leader="none" w:pos="1944" w:val="left"/>
        </w:tabs>
        <w:numPr>
          <w:ilvl w:val="0"/>
          <w:numId w:val="366"/>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Period</w:t>
      </w:r>
      <w:r>
        <w:rPr>
          <w:rFonts w:ascii="Arial" w:cs="Arial" w:eastAsia="Arial" w:hAnsi="Arial"/>
          <w:sz w:val="19"/>
          <w:szCs w:val="19"/>
          <w:color w:val="auto"/>
        </w:rPr>
        <w:t>. The Company agrees to employ Executive, and Executive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serve the Company and its Affiliates (as defined below), subject to the terms and conditions of this Agreement, for the period commencing on the Effective Date and ending on the fifth anniversary of the Effective Date (the “</w:t>
      </w:r>
      <w:r>
        <w:rPr>
          <w:rFonts w:ascii="Arial" w:cs="Arial" w:eastAsia="Arial" w:hAnsi="Arial"/>
          <w:sz w:val="19"/>
          <w:szCs w:val="19"/>
          <w:b w:val="1"/>
          <w:bCs w:val="1"/>
          <w:color w:val="auto"/>
        </w:rPr>
        <w:t>Employment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commencing on the first anniversary of the Effective Date, and on each annual anniversary thereafter (such date and each annual anniversary thereof shall be hereinafter referred to as the “</w:t>
      </w:r>
      <w:r>
        <w:rPr>
          <w:rFonts w:ascii="Arial" w:cs="Arial" w:eastAsia="Arial" w:hAnsi="Arial"/>
          <w:sz w:val="19"/>
          <w:szCs w:val="19"/>
          <w:b w:val="1"/>
          <w:bCs w:val="1"/>
          <w:color w:val="auto"/>
        </w:rPr>
        <w:t>Renewal Date</w:t>
      </w:r>
      <w:r>
        <w:rPr>
          <w:rFonts w:ascii="Arial" w:cs="Arial" w:eastAsia="Arial" w:hAnsi="Arial"/>
          <w:sz w:val="19"/>
          <w:szCs w:val="19"/>
          <w:color w:val="auto"/>
        </w:rPr>
        <w:t>”), unless previously terminated, the Employment Period shall be automatically extended so as to terminate five years from such Renewal Date, unless at least 180 days prior to the Renewal Date either the Company or Executive shall give notice to the other party that the Employment Period shall not be so extended (a “</w:t>
      </w:r>
      <w:r>
        <w:rPr>
          <w:rFonts w:ascii="Arial" w:cs="Arial" w:eastAsia="Arial" w:hAnsi="Arial"/>
          <w:sz w:val="19"/>
          <w:szCs w:val="19"/>
          <w:b w:val="1"/>
          <w:bCs w:val="1"/>
          <w:color w:val="auto"/>
        </w:rPr>
        <w:t>Notice of Non-Renewal</w:t>
      </w:r>
      <w:r>
        <w:rPr>
          <w:rFonts w:ascii="Arial" w:cs="Arial" w:eastAsia="Arial" w:hAnsi="Arial"/>
          <w:sz w:val="19"/>
          <w:szCs w:val="19"/>
          <w:color w:val="auto"/>
        </w:rPr>
        <w:t>”). For purposes of this Agreement, the term “</w:t>
      </w:r>
      <w:r>
        <w:rPr>
          <w:rFonts w:ascii="Arial" w:cs="Arial" w:eastAsia="Arial" w:hAnsi="Arial"/>
          <w:sz w:val="19"/>
          <w:szCs w:val="19"/>
          <w:b w:val="1"/>
          <w:bCs w:val="1"/>
          <w:color w:val="auto"/>
        </w:rPr>
        <w:t>Affiliate</w:t>
      </w:r>
      <w:r>
        <w:rPr>
          <w:rFonts w:ascii="Arial" w:cs="Arial" w:eastAsia="Arial" w:hAnsi="Arial"/>
          <w:sz w:val="19"/>
          <w:szCs w:val="19"/>
          <w:color w:val="auto"/>
        </w:rPr>
        <w:t>” means an entity controlled by, controlling or under common control with the Company.</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366"/>
        </w:numPr>
        <w:rPr>
          <w:rFonts w:ascii="Arial" w:cs="Arial" w:eastAsia="Arial" w:hAnsi="Arial"/>
          <w:sz w:val="22"/>
          <w:szCs w:val="22"/>
          <w:color w:val="auto"/>
        </w:rPr>
      </w:pPr>
      <w:r>
        <w:rPr>
          <w:rFonts w:ascii="Arial" w:cs="Arial" w:eastAsia="Arial" w:hAnsi="Arial"/>
          <w:sz w:val="22"/>
          <w:szCs w:val="22"/>
          <w:b w:val="1"/>
          <w:bCs w:val="1"/>
          <w:u w:val="single" w:color="auto"/>
          <w:color w:val="auto"/>
        </w:rPr>
        <w:t>Position and Duties; Location; Standard of Services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80" w:lineRule="auto"/>
        <w:tabs>
          <w:tab w:leader="none" w:pos="1944" w:val="left"/>
        </w:tabs>
        <w:numPr>
          <w:ilvl w:val="0"/>
          <w:numId w:val="367"/>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 and Duties</w:t>
      </w:r>
      <w:r>
        <w:rPr>
          <w:rFonts w:ascii="Arial" w:cs="Arial" w:eastAsia="Arial" w:hAnsi="Arial"/>
          <w:sz w:val="19"/>
          <w:szCs w:val="19"/>
          <w:color w:val="auto"/>
        </w:rPr>
        <w:t>. During the Employment Period, Executive shall serve as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of the Company and shall perform customary and appropriate duties as may be reasonably assigned to Executive from time to time by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Executive shall have such responsibilities, power and authority as those normally associated with such position in public companies of a similar stature. Executive shall report solely and directly to the Board. In addition, during the Employment Period, Executive shall be appointed as a member of the Board.</w:t>
      </w:r>
    </w:p>
    <w:p>
      <w:pPr>
        <w:spacing w:after="0" w:line="144"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367"/>
        </w:numPr>
        <w:rPr>
          <w:rFonts w:ascii="Arial" w:cs="Arial" w:eastAsia="Arial" w:hAnsi="Arial"/>
          <w:sz w:val="22"/>
          <w:szCs w:val="22"/>
          <w:color w:val="auto"/>
        </w:rPr>
      </w:pPr>
      <w:r>
        <w:rPr>
          <w:rFonts w:ascii="Arial" w:cs="Arial" w:eastAsia="Arial" w:hAnsi="Arial"/>
          <w:sz w:val="22"/>
          <w:szCs w:val="22"/>
          <w:b w:val="1"/>
          <w:bCs w:val="1"/>
          <w:u w:val="single" w:color="auto"/>
          <w:color w:val="auto"/>
        </w:rPr>
        <w:t>Location</w:t>
      </w:r>
      <w:r>
        <w:rPr>
          <w:rFonts w:ascii="Arial" w:cs="Arial" w:eastAsia="Arial" w:hAnsi="Arial"/>
          <w:sz w:val="22"/>
          <w:szCs w:val="22"/>
          <w:color w:val="auto"/>
        </w:rPr>
        <w:t>. During the Employment Period, Executive’s principal place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the Company’s headquarters in Little Rock, Arkansas, subject to reasonable business travel at the Company’s request.</w:t>
      </w:r>
    </w:p>
    <w:p>
      <w:pPr>
        <w:spacing w:after="0" w:line="176" w:lineRule="exact"/>
        <w:rPr>
          <w:rFonts w:ascii="Arial" w:cs="Arial" w:eastAsia="Arial" w:hAnsi="Arial"/>
          <w:sz w:val="22"/>
          <w:szCs w:val="22"/>
          <w:color w:val="auto"/>
        </w:rPr>
      </w:pPr>
    </w:p>
    <w:p>
      <w:pPr>
        <w:jc w:val="both"/>
        <w:ind w:firstLine="1304"/>
        <w:spacing w:after="0" w:line="280" w:lineRule="auto"/>
        <w:tabs>
          <w:tab w:leader="none" w:pos="1944" w:val="left"/>
        </w:tabs>
        <w:numPr>
          <w:ilvl w:val="0"/>
          <w:numId w:val="367"/>
        </w:numPr>
        <w:rPr>
          <w:rFonts w:ascii="Arial" w:cs="Arial" w:eastAsia="Arial" w:hAnsi="Arial"/>
          <w:sz w:val="19"/>
          <w:szCs w:val="19"/>
          <w:color w:val="auto"/>
        </w:rPr>
      </w:pPr>
      <w:r>
        <w:rPr>
          <w:rFonts w:ascii="Arial" w:cs="Arial" w:eastAsia="Arial" w:hAnsi="Arial"/>
          <w:sz w:val="19"/>
          <w:szCs w:val="19"/>
          <w:b w:val="1"/>
          <w:bCs w:val="1"/>
          <w:u w:val="single" w:color="auto"/>
          <w:color w:val="auto"/>
        </w:rPr>
        <w:t>Standard of Services</w:t>
      </w:r>
      <w:r>
        <w:rPr>
          <w:rFonts w:ascii="Arial" w:cs="Arial" w:eastAsia="Arial" w:hAnsi="Arial"/>
          <w:sz w:val="19"/>
          <w:szCs w:val="19"/>
          <w:color w:val="auto"/>
        </w:rPr>
        <w:t>. During the Employment Period, Executive agrees to devote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full business attention and time to the business and affairs of the Company and its Affiliates and to use Executive’s reasonable best efforts to perform faithfully and efficiently such responsibilities. During the Employment Period, Executive may continue to serve as Chief Executive Officer and Chief Investment Officer of Westrock Asset Management, LLC, serve on corporate, civic, charitable or other boards or committees, deliver lectures, fulfill speaking engagements, publish, teach at educational institutions, manage or advise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65" w:name="page366"/>
    <w:bookmarkEnd w:id="365"/>
    <w:p>
      <w:pPr>
        <w:jc w:val="both"/>
        <w:spacing w:after="0" w:line="258" w:lineRule="auto"/>
        <w:rPr>
          <w:sz w:val="20"/>
          <w:szCs w:val="20"/>
          <w:color w:val="auto"/>
        </w:rPr>
      </w:pPr>
      <w:r>
        <w:rPr>
          <w:rFonts w:ascii="Arial" w:cs="Arial" w:eastAsia="Arial" w:hAnsi="Arial"/>
          <w:sz w:val="21"/>
          <w:szCs w:val="21"/>
          <w:color w:val="auto"/>
        </w:rPr>
        <w:t>investments or provide advice to other companies that do not compete and are not reasonably expected to compete with the Company in the future, in each case, so long as such activities do not materially interfere with the performance of Executive’s responsibilities in accordance with this Agreement.</w:t>
      </w:r>
    </w:p>
    <w:p>
      <w:pPr>
        <w:spacing w:after="0" w:line="161" w:lineRule="exact"/>
        <w:rPr>
          <w:sz w:val="20"/>
          <w:szCs w:val="20"/>
          <w:color w:val="auto"/>
        </w:rPr>
      </w:pPr>
    </w:p>
    <w:p>
      <w:pPr>
        <w:ind w:left="1960" w:hanging="656"/>
        <w:spacing w:after="0"/>
        <w:tabs>
          <w:tab w:leader="none" w:pos="1960" w:val="left"/>
        </w:tabs>
        <w:numPr>
          <w:ilvl w:val="0"/>
          <w:numId w:val="368"/>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and Employee Benefits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9" w:lineRule="auto"/>
        <w:tabs>
          <w:tab w:leader="none" w:pos="1944" w:val="left"/>
        </w:tabs>
        <w:numPr>
          <w:ilvl w:val="0"/>
          <w:numId w:val="369"/>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Base Salary</w:t>
      </w:r>
      <w:r>
        <w:rPr>
          <w:rFonts w:ascii="Arial" w:cs="Arial" w:eastAsia="Arial" w:hAnsi="Arial"/>
          <w:sz w:val="21"/>
          <w:szCs w:val="21"/>
          <w:color w:val="auto"/>
        </w:rPr>
        <w:t>. During the Employment Period, Executive shall receive an annual</w:t>
      </w:r>
      <w:r>
        <w:rPr>
          <w:rFonts w:ascii="Arial" w:cs="Arial" w:eastAsia="Arial" w:hAnsi="Arial"/>
          <w:sz w:val="21"/>
          <w:szCs w:val="21"/>
          <w:b w:val="1"/>
          <w:bCs w:val="1"/>
          <w:color w:val="auto"/>
        </w:rPr>
        <w:t xml:space="preserve"> </w:t>
      </w:r>
      <w:r>
        <w:rPr>
          <w:rFonts w:ascii="Arial" w:cs="Arial" w:eastAsia="Arial" w:hAnsi="Arial"/>
          <w:sz w:val="21"/>
          <w:szCs w:val="21"/>
          <w:color w:val="auto"/>
        </w:rPr>
        <w:t>base salary (the “</w:t>
      </w:r>
      <w:r>
        <w:rPr>
          <w:rFonts w:ascii="Arial" w:cs="Arial" w:eastAsia="Arial" w:hAnsi="Arial"/>
          <w:sz w:val="21"/>
          <w:szCs w:val="21"/>
          <w:b w:val="1"/>
          <w:bCs w:val="1"/>
          <w:color w:val="auto"/>
        </w:rPr>
        <w:t>Annual Base Salary</w:t>
      </w:r>
      <w:r>
        <w:rPr>
          <w:rFonts w:ascii="Arial" w:cs="Arial" w:eastAsia="Arial" w:hAnsi="Arial"/>
          <w:sz w:val="21"/>
          <w:szCs w:val="21"/>
          <w:color w:val="auto"/>
        </w:rPr>
        <w:t>”) of no less than $1,200,000, payable in accordance with the Company’s regular payroll practices. The Annual Base Salary shall be reviewed at least annually by the Board or an appropriate committee thereof (the Board or such committee, the “</w:t>
      </w:r>
      <w:r>
        <w:rPr>
          <w:rFonts w:ascii="Arial" w:cs="Arial" w:eastAsia="Arial" w:hAnsi="Arial"/>
          <w:sz w:val="21"/>
          <w:szCs w:val="21"/>
          <w:b w:val="1"/>
          <w:bCs w:val="1"/>
          <w:color w:val="auto"/>
        </w:rPr>
        <w:t>Committee</w:t>
      </w:r>
      <w:r>
        <w:rPr>
          <w:rFonts w:ascii="Arial" w:cs="Arial" w:eastAsia="Arial" w:hAnsi="Arial"/>
          <w:sz w:val="21"/>
          <w:szCs w:val="21"/>
          <w:color w:val="auto"/>
        </w:rPr>
        <w:t>”) for possible increase, as determined in the discretion of the Committee. The term “Annual Base Salary” as used in this Agreement shall refer to the Annual Base Salary as it may be so adjusted from time to time.</w:t>
      </w:r>
    </w:p>
    <w:p>
      <w:pPr>
        <w:spacing w:after="0" w:line="170" w:lineRule="exact"/>
        <w:rPr>
          <w:rFonts w:ascii="Arial" w:cs="Arial" w:eastAsia="Arial" w:hAnsi="Arial"/>
          <w:sz w:val="21"/>
          <w:szCs w:val="21"/>
          <w:color w:val="auto"/>
        </w:rPr>
      </w:pPr>
    </w:p>
    <w:p>
      <w:pPr>
        <w:jc w:val="both"/>
        <w:ind w:firstLine="1304"/>
        <w:spacing w:after="0" w:line="254" w:lineRule="auto"/>
        <w:tabs>
          <w:tab w:leader="none" w:pos="1944" w:val="left"/>
        </w:tabs>
        <w:numPr>
          <w:ilvl w:val="0"/>
          <w:numId w:val="369"/>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Bonus</w:t>
      </w:r>
      <w:r>
        <w:rPr>
          <w:rFonts w:ascii="Arial" w:cs="Arial" w:eastAsia="Arial" w:hAnsi="Arial"/>
          <w:sz w:val="21"/>
          <w:szCs w:val="21"/>
          <w:color w:val="auto"/>
        </w:rPr>
        <w:t>. During the Employment Period, Executive shall have the opportunity to</w:t>
      </w:r>
      <w:r>
        <w:rPr>
          <w:rFonts w:ascii="Arial" w:cs="Arial" w:eastAsia="Arial" w:hAnsi="Arial"/>
          <w:sz w:val="21"/>
          <w:szCs w:val="21"/>
          <w:b w:val="1"/>
          <w:bCs w:val="1"/>
          <w:color w:val="auto"/>
        </w:rPr>
        <w:t xml:space="preserve"> </w:t>
      </w:r>
      <w:r>
        <w:rPr>
          <w:rFonts w:ascii="Arial" w:cs="Arial" w:eastAsia="Arial" w:hAnsi="Arial"/>
          <w:sz w:val="21"/>
          <w:szCs w:val="21"/>
          <w:color w:val="auto"/>
        </w:rPr>
        <w:t>earn, for each fiscal year of the Company, an annual bonus (the “</w:t>
      </w:r>
      <w:r>
        <w:rPr>
          <w:rFonts w:ascii="Arial" w:cs="Arial" w:eastAsia="Arial" w:hAnsi="Arial"/>
          <w:sz w:val="21"/>
          <w:szCs w:val="21"/>
          <w:b w:val="1"/>
          <w:bCs w:val="1"/>
          <w:color w:val="auto"/>
        </w:rPr>
        <w:t>Annual Bonus</w:t>
      </w:r>
      <w:r>
        <w:rPr>
          <w:rFonts w:ascii="Arial" w:cs="Arial" w:eastAsia="Arial" w:hAnsi="Arial"/>
          <w:sz w:val="21"/>
          <w:szCs w:val="21"/>
          <w:color w:val="auto"/>
        </w:rPr>
        <w:t>”) pursuant to the terms of an annual incentive plan for senior executives of the Company, as in effect from time to time. Executive’s target Annual Bonus opportunity shall be 100% of the Annual Base Salary.</w:t>
      </w:r>
    </w:p>
    <w:p>
      <w:pPr>
        <w:spacing w:after="0" w:line="165" w:lineRule="exact"/>
        <w:rPr>
          <w:rFonts w:ascii="Arial" w:cs="Arial" w:eastAsia="Arial" w:hAnsi="Arial"/>
          <w:sz w:val="21"/>
          <w:szCs w:val="21"/>
          <w:color w:val="auto"/>
        </w:rPr>
      </w:pPr>
    </w:p>
    <w:p>
      <w:pPr>
        <w:ind w:firstLine="1304"/>
        <w:spacing w:after="0" w:line="256" w:lineRule="auto"/>
        <w:tabs>
          <w:tab w:leader="none" w:pos="1944" w:val="left"/>
        </w:tabs>
        <w:numPr>
          <w:ilvl w:val="0"/>
          <w:numId w:val="369"/>
        </w:numPr>
        <w:rPr>
          <w:rFonts w:ascii="Arial" w:cs="Arial" w:eastAsia="Arial" w:hAnsi="Arial"/>
          <w:sz w:val="22"/>
          <w:szCs w:val="22"/>
          <w:color w:val="auto"/>
        </w:rPr>
      </w:pPr>
      <w:r>
        <w:rPr>
          <w:rFonts w:ascii="Arial" w:cs="Arial" w:eastAsia="Arial" w:hAnsi="Arial"/>
          <w:sz w:val="22"/>
          <w:szCs w:val="22"/>
          <w:b w:val="1"/>
          <w:bCs w:val="1"/>
          <w:u w:val="single" w:color="auto"/>
          <w:color w:val="auto"/>
        </w:rPr>
        <w:t>Long-Term Incentive Awards</w:t>
      </w:r>
      <w:r>
        <w:rPr>
          <w:rFonts w:ascii="Arial" w:cs="Arial" w:eastAsia="Arial" w:hAnsi="Arial"/>
          <w:sz w:val="22"/>
          <w:szCs w:val="22"/>
          <w:color w:val="auto"/>
        </w:rPr>
        <w:t>. Executive shall be eligible to participate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equity incentive plan, as in effect from time to time.</w:t>
      </w:r>
    </w:p>
    <w:p>
      <w:pPr>
        <w:spacing w:after="0" w:line="162" w:lineRule="exact"/>
        <w:rPr>
          <w:rFonts w:ascii="Arial" w:cs="Arial" w:eastAsia="Arial" w:hAnsi="Arial"/>
          <w:sz w:val="22"/>
          <w:szCs w:val="22"/>
          <w:color w:val="auto"/>
        </w:rPr>
      </w:pPr>
    </w:p>
    <w:p>
      <w:pPr>
        <w:jc w:val="both"/>
        <w:ind w:firstLine="1304"/>
        <w:spacing w:after="0" w:line="237" w:lineRule="auto"/>
        <w:tabs>
          <w:tab w:leader="none" w:pos="1944" w:val="left"/>
        </w:tabs>
        <w:numPr>
          <w:ilvl w:val="0"/>
          <w:numId w:val="369"/>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Employee Benefit Plans</w:t>
      </w:r>
      <w:r>
        <w:rPr>
          <w:rFonts w:ascii="Arial" w:cs="Arial" w:eastAsia="Arial" w:hAnsi="Arial"/>
          <w:sz w:val="22"/>
          <w:szCs w:val="22"/>
          <w:color w:val="auto"/>
        </w:rPr>
        <w:t>. During the Employment Period, Executive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spacing w:after="0" w:line="181" w:lineRule="exact"/>
        <w:rPr>
          <w:rFonts w:ascii="Arial" w:cs="Arial" w:eastAsia="Arial" w:hAnsi="Arial"/>
          <w:sz w:val="22"/>
          <w:szCs w:val="22"/>
          <w:color w:val="auto"/>
        </w:rPr>
      </w:pPr>
    </w:p>
    <w:p>
      <w:pPr>
        <w:jc w:val="both"/>
        <w:ind w:firstLine="1304"/>
        <w:spacing w:after="0" w:line="260" w:lineRule="auto"/>
        <w:tabs>
          <w:tab w:leader="none" w:pos="1944" w:val="left"/>
        </w:tabs>
        <w:numPr>
          <w:ilvl w:val="0"/>
          <w:numId w:val="369"/>
        </w:numPr>
        <w:rPr>
          <w:rFonts w:ascii="Arial" w:cs="Arial" w:eastAsia="Arial" w:hAnsi="Arial"/>
          <w:sz w:val="21"/>
          <w:szCs w:val="2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color w:val="auto"/>
        </w:rPr>
        <w:t>. Executive shall be entitled to receive prompt reimbursement for all</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expenses (including travel, entertainment, professional dues and subscriptions) incurred by Executive, in accordance with the Company’s policies as in effect from time to time.</w:t>
      </w:r>
    </w:p>
    <w:p>
      <w:pPr>
        <w:spacing w:after="0" w:line="160" w:lineRule="exact"/>
        <w:rPr>
          <w:sz w:val="20"/>
          <w:szCs w:val="20"/>
          <w:color w:val="auto"/>
        </w:rPr>
      </w:pPr>
    </w:p>
    <w:p>
      <w:pPr>
        <w:ind w:left="1960" w:hanging="656"/>
        <w:spacing w:after="0"/>
        <w:tabs>
          <w:tab w:leader="none" w:pos="1960" w:val="left"/>
        </w:tabs>
        <w:numPr>
          <w:ilvl w:val="0"/>
          <w:numId w:val="370"/>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6" w:lineRule="auto"/>
        <w:tabs>
          <w:tab w:leader="none" w:pos="1944" w:val="left"/>
        </w:tabs>
        <w:numPr>
          <w:ilvl w:val="0"/>
          <w:numId w:val="371"/>
        </w:numPr>
        <w:rPr>
          <w:rFonts w:ascii="Arial" w:cs="Arial" w:eastAsia="Arial" w:hAnsi="Arial"/>
          <w:sz w:val="21"/>
          <w:szCs w:val="21"/>
          <w:color w:val="auto"/>
        </w:rPr>
      </w:pPr>
      <w:r>
        <w:rPr>
          <w:rFonts w:ascii="Arial" w:cs="Arial" w:eastAsia="Arial" w:hAnsi="Arial"/>
          <w:sz w:val="21"/>
          <w:szCs w:val="21"/>
          <w:b w:val="1"/>
          <w:bCs w:val="1"/>
          <w:u w:val="single" w:color="auto"/>
          <w:color w:val="auto"/>
        </w:rPr>
        <w:t>Death or Disability</w:t>
      </w:r>
      <w:r>
        <w:rPr>
          <w:rFonts w:ascii="Arial" w:cs="Arial" w:eastAsia="Arial" w:hAnsi="Arial"/>
          <w:sz w:val="21"/>
          <w:szCs w:val="21"/>
          <w:color w:val="auto"/>
        </w:rPr>
        <w:t>. Executive’s employment shall terminate automatically upon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Arial" w:cs="Arial" w:eastAsia="Arial" w:hAnsi="Arial"/>
          <w:sz w:val="15"/>
          <w:szCs w:val="15"/>
          <w:color w:val="auto"/>
        </w:rPr>
        <w:t>th</w:t>
      </w:r>
      <w:r>
        <w:rPr>
          <w:rFonts w:ascii="Arial" w:cs="Arial" w:eastAsia="Arial" w:hAnsi="Arial"/>
          <w:sz w:val="21"/>
          <w:szCs w:val="21"/>
          <w:color w:val="auto"/>
        </w:rPr>
        <w:t xml:space="preserve"> day after Executive’s receipt of such notice (the “</w:t>
      </w:r>
      <w:r>
        <w:rPr>
          <w:rFonts w:ascii="Arial" w:cs="Arial" w:eastAsia="Arial" w:hAnsi="Arial"/>
          <w:sz w:val="21"/>
          <w:szCs w:val="21"/>
          <w:b w:val="1"/>
          <w:bCs w:val="1"/>
          <w:color w:val="auto"/>
        </w:rPr>
        <w:t>Disability Effective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within the 30 days after such receipt, Executive shall not have returned to full-time performance of Executive’s duties. For purposes of this Agreement, “</w:t>
      </w:r>
      <w:r>
        <w:rPr>
          <w:rFonts w:ascii="Arial" w:cs="Arial" w:eastAsia="Arial" w:hAnsi="Arial"/>
          <w:sz w:val="21"/>
          <w:szCs w:val="21"/>
          <w:b w:val="1"/>
          <w:bCs w:val="1"/>
          <w:color w:val="auto"/>
        </w:rPr>
        <w:t>Disability</w:t>
      </w:r>
      <w:r>
        <w:rPr>
          <w:rFonts w:ascii="Arial" w:cs="Arial" w:eastAsia="Arial" w:hAnsi="Arial"/>
          <w:sz w:val="21"/>
          <w:szCs w:val="21"/>
          <w:color w:val="auto"/>
        </w:rPr>
        <w:t>” shall mean the absence of Executive from Executive’s duties with the Company on a full-time basis for 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6" w:name="page367"/>
    <w:bookmarkEnd w:id="366"/>
    <w:p>
      <w:pPr>
        <w:spacing w:after="0" w:line="251" w:lineRule="auto"/>
        <w:rPr>
          <w:sz w:val="20"/>
          <w:szCs w:val="20"/>
          <w:color w:val="auto"/>
        </w:rPr>
      </w:pPr>
      <w:r>
        <w:rPr>
          <w:rFonts w:ascii="Arial" w:cs="Arial" w:eastAsia="Arial" w:hAnsi="Arial"/>
          <w:sz w:val="22"/>
          <w:szCs w:val="22"/>
          <w:color w:val="auto"/>
        </w:rPr>
        <w:t>consecutive days, or for 180 days (which need not be consecutive) within a 365-day period, as a result of incapacity due to mental or physical illness.</w:t>
      </w:r>
    </w:p>
    <w:p>
      <w:pPr>
        <w:spacing w:after="0" w:line="167" w:lineRule="exact"/>
        <w:rPr>
          <w:sz w:val="20"/>
          <w:szCs w:val="20"/>
          <w:color w:val="auto"/>
        </w:rPr>
      </w:pPr>
    </w:p>
    <w:p>
      <w:pPr>
        <w:ind w:firstLine="1304"/>
        <w:spacing w:after="0" w:line="334" w:lineRule="auto"/>
        <w:tabs>
          <w:tab w:leader="none" w:pos="1944" w:val="left"/>
        </w:tabs>
        <w:numPr>
          <w:ilvl w:val="0"/>
          <w:numId w:val="372"/>
        </w:numPr>
        <w:rPr>
          <w:rFonts w:ascii="Arial" w:cs="Arial" w:eastAsia="Arial" w:hAnsi="Arial"/>
          <w:sz w:val="19"/>
          <w:szCs w:val="19"/>
          <w:color w:val="auto"/>
        </w:rPr>
      </w:pPr>
      <w:r>
        <w:rPr>
          <w:rFonts w:ascii="Arial" w:cs="Arial" w:eastAsia="Arial" w:hAnsi="Arial"/>
          <w:sz w:val="19"/>
          <w:szCs w:val="19"/>
          <w:b w:val="1"/>
          <w:bCs w:val="1"/>
          <w:u w:val="single" w:color="auto"/>
          <w:color w:val="auto"/>
        </w:rPr>
        <w:t>With or Without Cause</w:t>
      </w:r>
      <w:r>
        <w:rPr>
          <w:rFonts w:ascii="Arial" w:cs="Arial" w:eastAsia="Arial" w:hAnsi="Arial"/>
          <w:sz w:val="19"/>
          <w:szCs w:val="19"/>
          <w:color w:val="auto"/>
        </w:rPr>
        <w:t>. The Company may terminate Executive’s employment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Period either with or without Cause.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shall mean:</w:t>
      </w:r>
    </w:p>
    <w:p>
      <w:pPr>
        <w:spacing w:after="0" w:line="99" w:lineRule="exact"/>
        <w:rPr>
          <w:rFonts w:ascii="Arial" w:cs="Arial" w:eastAsia="Arial" w:hAnsi="Arial"/>
          <w:sz w:val="19"/>
          <w:szCs w:val="19"/>
          <w:color w:val="auto"/>
        </w:rPr>
      </w:pPr>
    </w:p>
    <w:p>
      <w:pPr>
        <w:ind w:left="2600" w:hanging="486"/>
        <w:spacing w:after="0"/>
        <w:tabs>
          <w:tab w:leader="none" w:pos="2600" w:val="left"/>
        </w:tabs>
        <w:numPr>
          <w:ilvl w:val="1"/>
          <w:numId w:val="372"/>
        </w:numPr>
        <w:rPr>
          <w:rFonts w:ascii="Arial" w:cs="Arial" w:eastAsia="Arial" w:hAnsi="Arial"/>
          <w:sz w:val="22"/>
          <w:szCs w:val="22"/>
          <w:color w:val="auto"/>
        </w:rPr>
      </w:pPr>
      <w:r>
        <w:rPr>
          <w:rFonts w:ascii="Arial" w:cs="Arial" w:eastAsia="Arial" w:hAnsi="Arial"/>
          <w:sz w:val="22"/>
          <w:szCs w:val="22"/>
          <w:color w:val="auto"/>
        </w:rPr>
        <w:t>Executive’s willful failure to substantially perform Executive’s duties;</w:t>
      </w:r>
    </w:p>
    <w:p>
      <w:pPr>
        <w:spacing w:after="0" w:line="206" w:lineRule="exact"/>
        <w:rPr>
          <w:rFonts w:ascii="Arial" w:cs="Arial" w:eastAsia="Arial" w:hAnsi="Arial"/>
          <w:sz w:val="22"/>
          <w:szCs w:val="22"/>
          <w:color w:val="auto"/>
        </w:rPr>
      </w:pPr>
    </w:p>
    <w:p>
      <w:pPr>
        <w:ind w:left="180" w:right="20" w:firstLine="1934"/>
        <w:spacing w:after="0" w:line="274" w:lineRule="auto"/>
        <w:tabs>
          <w:tab w:leader="none" w:pos="2610" w:val="left"/>
        </w:tabs>
        <w:numPr>
          <w:ilvl w:val="1"/>
          <w:numId w:val="372"/>
        </w:numPr>
        <w:rPr>
          <w:rFonts w:ascii="Arial" w:cs="Arial" w:eastAsia="Arial" w:hAnsi="Arial"/>
          <w:sz w:val="21"/>
          <w:szCs w:val="21"/>
          <w:color w:val="auto"/>
        </w:rPr>
      </w:pPr>
      <w:r>
        <w:rPr>
          <w:rFonts w:ascii="Arial" w:cs="Arial" w:eastAsia="Arial" w:hAnsi="Arial"/>
          <w:sz w:val="21"/>
          <w:szCs w:val="21"/>
          <w:color w:val="auto"/>
        </w:rPr>
        <w:t>any act of fraud, misappropriation, dishonesty, malfeasance or embezzlement by Executive in connection with the performance of Executive’s duties to the Company;</w:t>
      </w:r>
    </w:p>
    <w:p>
      <w:pPr>
        <w:spacing w:after="0" w:line="150" w:lineRule="exact"/>
        <w:rPr>
          <w:rFonts w:ascii="Arial" w:cs="Arial" w:eastAsia="Arial" w:hAnsi="Arial"/>
          <w:sz w:val="21"/>
          <w:szCs w:val="21"/>
          <w:color w:val="auto"/>
        </w:rPr>
      </w:pPr>
    </w:p>
    <w:p>
      <w:pPr>
        <w:ind w:left="180" w:firstLine="1934"/>
        <w:spacing w:after="0" w:line="250" w:lineRule="auto"/>
        <w:tabs>
          <w:tab w:leader="none" w:pos="2610" w:val="left"/>
        </w:tabs>
        <w:numPr>
          <w:ilvl w:val="1"/>
          <w:numId w:val="372"/>
        </w:numPr>
        <w:rPr>
          <w:rFonts w:ascii="Arial" w:cs="Arial" w:eastAsia="Arial" w:hAnsi="Arial"/>
          <w:sz w:val="22"/>
          <w:szCs w:val="22"/>
          <w:color w:val="auto"/>
        </w:rPr>
      </w:pPr>
      <w:r>
        <w:rPr>
          <w:rFonts w:ascii="Arial" w:cs="Arial" w:eastAsia="Arial" w:hAnsi="Arial"/>
          <w:sz w:val="22"/>
          <w:szCs w:val="22"/>
          <w:color w:val="auto"/>
        </w:rPr>
        <w:t>Executive’s material violation of any policies of the Company or any restrictive covenants applicable to Executive; or</w:t>
      </w:r>
    </w:p>
    <w:p>
      <w:pPr>
        <w:spacing w:after="0" w:line="174" w:lineRule="exact"/>
        <w:rPr>
          <w:rFonts w:ascii="Arial" w:cs="Arial" w:eastAsia="Arial" w:hAnsi="Arial"/>
          <w:sz w:val="22"/>
          <w:szCs w:val="22"/>
          <w:color w:val="auto"/>
        </w:rPr>
      </w:pPr>
    </w:p>
    <w:p>
      <w:pPr>
        <w:ind w:left="2600" w:hanging="486"/>
        <w:spacing w:after="0"/>
        <w:tabs>
          <w:tab w:leader="none" w:pos="2600" w:val="left"/>
        </w:tabs>
        <w:numPr>
          <w:ilvl w:val="1"/>
          <w:numId w:val="372"/>
        </w:numPr>
        <w:rPr>
          <w:rFonts w:ascii="Arial" w:cs="Arial" w:eastAsia="Arial" w:hAnsi="Arial"/>
          <w:sz w:val="22"/>
          <w:szCs w:val="22"/>
          <w:color w:val="auto"/>
        </w:rPr>
      </w:pPr>
      <w:r>
        <w:rPr>
          <w:rFonts w:ascii="Arial" w:cs="Arial" w:eastAsia="Arial" w:hAnsi="Arial"/>
          <w:sz w:val="22"/>
          <w:szCs w:val="22"/>
          <w:color w:val="auto"/>
        </w:rPr>
        <w:t xml:space="preserve">Executive’s conviction of, or entering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 felony.</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by a court of law pursuant to the dispute provisions of Section 11(a).</w:t>
      </w:r>
    </w:p>
    <w:p>
      <w:pPr>
        <w:spacing w:after="0" w:line="155" w:lineRule="exact"/>
        <w:rPr>
          <w:sz w:val="20"/>
          <w:szCs w:val="20"/>
          <w:color w:val="auto"/>
        </w:rPr>
      </w:pPr>
    </w:p>
    <w:p>
      <w:pPr>
        <w:jc w:val="both"/>
        <w:ind w:firstLine="1304"/>
        <w:spacing w:after="0" w:line="239" w:lineRule="auto"/>
        <w:tabs>
          <w:tab w:leader="none" w:pos="1944" w:val="left"/>
        </w:tabs>
        <w:numPr>
          <w:ilvl w:val="0"/>
          <w:numId w:val="373"/>
        </w:numPr>
        <w:rPr>
          <w:rFonts w:ascii="Arial" w:cs="Arial" w:eastAsia="Arial" w:hAnsi="Arial"/>
          <w:sz w:val="22"/>
          <w:szCs w:val="22"/>
          <w:color w:val="auto"/>
        </w:rPr>
      </w:pPr>
      <w:r>
        <w:rPr>
          <w:rFonts w:ascii="Arial" w:cs="Arial" w:eastAsia="Arial" w:hAnsi="Arial"/>
          <w:sz w:val="22"/>
          <w:szCs w:val="22"/>
          <w:b w:val="1"/>
          <w:bCs w:val="1"/>
          <w:u w:val="single" w:color="auto"/>
          <w:color w:val="auto"/>
        </w:rPr>
        <w:t>With or Without Good Reason</w:t>
      </w:r>
      <w:r>
        <w:rPr>
          <w:rFonts w:ascii="Arial" w:cs="Arial" w:eastAsia="Arial" w:hAnsi="Arial"/>
          <w:sz w:val="22"/>
          <w:szCs w:val="22"/>
          <w:color w:val="auto"/>
        </w:rPr>
        <w:t>. Executive’s employment may be terminated by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either with or without Good Reason. For purposes of this Agreement, “</w:t>
      </w:r>
      <w:r>
        <w:rPr>
          <w:rFonts w:ascii="Arial" w:cs="Arial" w:eastAsia="Arial" w:hAnsi="Arial"/>
          <w:sz w:val="22"/>
          <w:szCs w:val="22"/>
          <w:b w:val="1"/>
          <w:bCs w:val="1"/>
          <w:color w:val="auto"/>
        </w:rPr>
        <w:t>Good Reason</w:t>
      </w:r>
      <w:r>
        <w:rPr>
          <w:rFonts w:ascii="Arial" w:cs="Arial" w:eastAsia="Arial" w:hAnsi="Arial"/>
          <w:sz w:val="22"/>
          <w:szCs w:val="22"/>
          <w:color w:val="auto"/>
        </w:rPr>
        <w:t>” shall mean Executive’s voluntary resignation after any of the following actions are taken by the Company or any of its Affiliates without Executive’s written consent:</w:t>
      </w:r>
    </w:p>
    <w:p>
      <w:pPr>
        <w:spacing w:after="0" w:line="186" w:lineRule="exact"/>
        <w:rPr>
          <w:rFonts w:ascii="Arial" w:cs="Arial" w:eastAsia="Arial" w:hAnsi="Arial"/>
          <w:sz w:val="22"/>
          <w:szCs w:val="22"/>
          <w:color w:val="auto"/>
        </w:rPr>
      </w:pPr>
    </w:p>
    <w:p>
      <w:pPr>
        <w:ind w:left="180" w:firstLine="1934"/>
        <w:spacing w:after="0" w:line="250" w:lineRule="auto"/>
        <w:tabs>
          <w:tab w:leader="none" w:pos="2610" w:val="left"/>
        </w:tabs>
        <w:numPr>
          <w:ilvl w:val="1"/>
          <w:numId w:val="373"/>
        </w:numPr>
        <w:rPr>
          <w:rFonts w:ascii="Arial" w:cs="Arial" w:eastAsia="Arial" w:hAnsi="Arial"/>
          <w:sz w:val="22"/>
          <w:szCs w:val="22"/>
          <w:color w:val="auto"/>
        </w:rPr>
      </w:pPr>
      <w:r>
        <w:rPr>
          <w:rFonts w:ascii="Arial" w:cs="Arial" w:eastAsia="Arial" w:hAnsi="Arial"/>
          <w:sz w:val="22"/>
          <w:szCs w:val="22"/>
          <w:color w:val="auto"/>
        </w:rPr>
        <w:t>A material diminution in Executive’s title, authority, duties or responsibilities or a requirement that Executive report to any person or entity other than the Board;</w:t>
      </w:r>
    </w:p>
    <w:p>
      <w:pPr>
        <w:spacing w:after="0" w:line="174" w:lineRule="exact"/>
        <w:rPr>
          <w:rFonts w:ascii="Arial" w:cs="Arial" w:eastAsia="Arial" w:hAnsi="Arial"/>
          <w:sz w:val="22"/>
          <w:szCs w:val="22"/>
          <w:color w:val="auto"/>
        </w:rPr>
      </w:pPr>
    </w:p>
    <w:p>
      <w:pPr>
        <w:ind w:left="2600" w:hanging="486"/>
        <w:spacing w:after="0"/>
        <w:tabs>
          <w:tab w:leader="none" w:pos="2600" w:val="left"/>
        </w:tabs>
        <w:numPr>
          <w:ilvl w:val="1"/>
          <w:numId w:val="373"/>
        </w:numPr>
        <w:rPr>
          <w:rFonts w:ascii="Arial" w:cs="Arial" w:eastAsia="Arial" w:hAnsi="Arial"/>
          <w:sz w:val="19"/>
          <w:szCs w:val="19"/>
          <w:color w:val="auto"/>
        </w:rPr>
      </w:pPr>
      <w:r>
        <w:rPr>
          <w:rFonts w:ascii="Arial" w:cs="Arial" w:eastAsia="Arial" w:hAnsi="Arial"/>
          <w:sz w:val="19"/>
          <w:szCs w:val="19"/>
          <w:color w:val="auto"/>
        </w:rPr>
        <w:t>A material reduction in the Annual Base Salary or target Annual Bonus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7" w:name="page368"/>
    <w:bookmarkEnd w:id="367"/>
    <w:p>
      <w:pPr>
        <w:ind w:left="180" w:right="20" w:firstLine="1934"/>
        <w:spacing w:after="0" w:line="251" w:lineRule="auto"/>
        <w:tabs>
          <w:tab w:leader="none" w:pos="261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A relocation of Executive’s primary place of employment by more than 25 miles from Executive’s primary place of employment as set forth in the Employment Agreement; or</w:t>
      </w:r>
    </w:p>
    <w:p>
      <w:pPr>
        <w:spacing w:after="0" w:line="173" w:lineRule="exact"/>
        <w:rPr>
          <w:rFonts w:ascii="Arial" w:cs="Arial" w:eastAsia="Arial" w:hAnsi="Arial"/>
          <w:sz w:val="22"/>
          <w:szCs w:val="22"/>
          <w:color w:val="auto"/>
        </w:rPr>
      </w:pPr>
    </w:p>
    <w:p>
      <w:pPr>
        <w:ind w:left="2600" w:hanging="486"/>
        <w:spacing w:after="0"/>
        <w:tabs>
          <w:tab w:leader="none" w:pos="2600" w:val="left"/>
        </w:tabs>
        <w:numPr>
          <w:ilvl w:val="0"/>
          <w:numId w:val="374"/>
        </w:numPr>
        <w:rPr>
          <w:rFonts w:ascii="Arial" w:cs="Arial" w:eastAsia="Arial" w:hAnsi="Arial"/>
          <w:sz w:val="22"/>
          <w:szCs w:val="22"/>
          <w:color w:val="auto"/>
        </w:rPr>
      </w:pPr>
      <w:r>
        <w:rPr>
          <w:rFonts w:ascii="Arial" w:cs="Arial" w:eastAsia="Arial" w:hAnsi="Arial"/>
          <w:sz w:val="22"/>
          <w:szCs w:val="22"/>
          <w:color w:val="auto"/>
        </w:rPr>
        <w:t>The Company’s violation of the terms of this Agreement.</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Arial" w:cs="Arial" w:eastAsia="Arial" w:hAnsi="Arial"/>
          <w:sz w:val="19"/>
          <w:szCs w:val="19"/>
          <w:b w:val="1"/>
          <w:bCs w:val="1"/>
          <w:color w:val="auto"/>
        </w:rPr>
        <w:t>Cure Period</w:t>
      </w:r>
      <w:r>
        <w:rPr>
          <w:rFonts w:ascii="Arial" w:cs="Arial" w:eastAsia="Arial" w:hAnsi="Arial"/>
          <w:sz w:val="19"/>
          <w:szCs w:val="19"/>
          <w:color w:val="auto"/>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spacing w:after="0" w:line="151" w:lineRule="exact"/>
        <w:rPr>
          <w:sz w:val="20"/>
          <w:szCs w:val="20"/>
          <w:color w:val="auto"/>
        </w:rPr>
      </w:pPr>
    </w:p>
    <w:p>
      <w:pPr>
        <w:jc w:val="both"/>
        <w:ind w:left="80" w:firstLine="1224"/>
        <w:spacing w:after="0" w:line="280" w:lineRule="auto"/>
        <w:tabs>
          <w:tab w:leader="none" w:pos="1959" w:val="left"/>
        </w:tabs>
        <w:numPr>
          <w:ilvl w:val="0"/>
          <w:numId w:val="375"/>
        </w:numPr>
        <w:rPr>
          <w:rFonts w:ascii="Arial" w:cs="Arial" w:eastAsia="Arial" w:hAnsi="Arial"/>
          <w:sz w:val="19"/>
          <w:szCs w:val="19"/>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Executive’s employment may be terminated by Executive due to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Retirement</w:t>
      </w:r>
      <w:r>
        <w:rPr>
          <w:rFonts w:ascii="Arial" w:cs="Arial" w:eastAsia="Arial" w:hAnsi="Arial"/>
          <w:sz w:val="19"/>
          <w:szCs w:val="19"/>
          <w:color w:val="auto"/>
        </w:rPr>
        <w:t>” shall mean Executive’s voluntary resignation at a time when the</w:t>
      </w:r>
    </w:p>
    <w:p>
      <w:pPr>
        <w:jc w:val="both"/>
        <w:spacing w:after="0" w:line="246" w:lineRule="auto"/>
        <w:rPr>
          <w:sz w:val="20"/>
          <w:szCs w:val="20"/>
          <w:color w:val="auto"/>
        </w:rPr>
      </w:pPr>
      <w:r>
        <w:rPr>
          <w:rFonts w:ascii="Arial" w:cs="Arial" w:eastAsia="Arial" w:hAnsi="Arial"/>
          <w:sz w:val="21"/>
          <w:szCs w:val="21"/>
          <w:color w:val="auto"/>
        </w:rPr>
        <w:t xml:space="preserve">sum of Executive’s age and years of service equal at least 70,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Executive has attained at least age 55 with at least 10 years of service with the Company or any predecessor or successor entity. For purposes of determining Executive’s years of service, Executive’s start date shall be April 29, 2009, the date upon which the entity now known as Westrock Coffee Company, LLC was organized.</w:t>
      </w:r>
    </w:p>
    <w:p>
      <w:pPr>
        <w:spacing w:after="0" w:line="174" w:lineRule="exact"/>
        <w:rPr>
          <w:sz w:val="20"/>
          <w:szCs w:val="20"/>
          <w:color w:val="auto"/>
        </w:rPr>
      </w:pPr>
    </w:p>
    <w:p>
      <w:pPr>
        <w:jc w:val="both"/>
        <w:ind w:firstLine="1304"/>
        <w:spacing w:after="0" w:line="247" w:lineRule="auto"/>
        <w:tabs>
          <w:tab w:leader="none" w:pos="1944" w:val="left"/>
        </w:tabs>
        <w:numPr>
          <w:ilvl w:val="1"/>
          <w:numId w:val="37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 of Termination</w:t>
      </w:r>
      <w:r>
        <w:rPr>
          <w:rFonts w:ascii="Arial" w:cs="Arial" w:eastAsia="Arial" w:hAnsi="Arial"/>
          <w:sz w:val="21"/>
          <w:szCs w:val="21"/>
          <w:color w:val="auto"/>
        </w:rPr>
        <w:t>. Any termination of Executive’s employment by the Company with</w:t>
      </w:r>
      <w:r>
        <w:rPr>
          <w:rFonts w:ascii="Arial" w:cs="Arial" w:eastAsia="Arial" w:hAnsi="Arial"/>
          <w:sz w:val="21"/>
          <w:szCs w:val="21"/>
          <w:b w:val="1"/>
          <w:bCs w:val="1"/>
          <w:color w:val="auto"/>
        </w:rPr>
        <w:t xml:space="preserve"> </w:t>
      </w:r>
      <w:r>
        <w:rPr>
          <w:rFonts w:ascii="Arial" w:cs="Arial" w:eastAsia="Arial" w:hAnsi="Arial"/>
          <w:sz w:val="21"/>
          <w:szCs w:val="21"/>
          <w:color w:val="auto"/>
        </w:rPr>
        <w:t>or without Cause, or by Executive with or without Good Reason or due to Retirement, shall be communicated by Notice of Termination to the other party hereto given in accordance with Section 11(b). For purposes of this Agreement, a “</w:t>
      </w:r>
      <w:r>
        <w:rPr>
          <w:rFonts w:ascii="Arial" w:cs="Arial" w:eastAsia="Arial" w:hAnsi="Arial"/>
          <w:sz w:val="21"/>
          <w:szCs w:val="21"/>
          <w:b w:val="1"/>
          <w:bCs w:val="1"/>
          <w:color w:val="auto"/>
        </w:rPr>
        <w:t>Notice of Termination</w:t>
      </w:r>
      <w:r>
        <w:rPr>
          <w:rFonts w:ascii="Arial" w:cs="Arial" w:eastAsia="Arial" w:hAnsi="Arial"/>
          <w:sz w:val="21"/>
          <w:szCs w:val="21"/>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spacing w:after="0" w:line="171" w:lineRule="exact"/>
        <w:rPr>
          <w:rFonts w:ascii="Arial" w:cs="Arial" w:eastAsia="Arial" w:hAnsi="Arial"/>
          <w:sz w:val="21"/>
          <w:szCs w:val="21"/>
          <w:color w:val="auto"/>
        </w:rPr>
      </w:pPr>
    </w:p>
    <w:p>
      <w:pPr>
        <w:jc w:val="both"/>
        <w:ind w:firstLine="1304"/>
        <w:spacing w:after="0" w:line="272" w:lineRule="auto"/>
        <w:tabs>
          <w:tab w:leader="none" w:pos="1944" w:val="left"/>
        </w:tabs>
        <w:numPr>
          <w:ilvl w:val="1"/>
          <w:numId w:val="376"/>
        </w:numPr>
        <w:rPr>
          <w:rFonts w:ascii="Arial" w:cs="Arial" w:eastAsia="Arial" w:hAnsi="Arial"/>
          <w:sz w:val="19"/>
          <w:szCs w:val="19"/>
          <w:color w:val="auto"/>
        </w:rPr>
      </w:pPr>
      <w:r>
        <w:rPr>
          <w:rFonts w:ascii="Arial" w:cs="Arial" w:eastAsia="Arial" w:hAnsi="Arial"/>
          <w:sz w:val="19"/>
          <w:szCs w:val="19"/>
          <w:b w:val="1"/>
          <w:bCs w:val="1"/>
          <w:u w:val="single" w:color="auto"/>
          <w:color w:val="auto"/>
        </w:rPr>
        <w:t>Date of Termination</w:t>
      </w:r>
      <w:r>
        <w:rPr>
          <w:rFonts w:ascii="Arial" w:cs="Arial" w:eastAsia="Arial" w:hAnsi="Arial"/>
          <w:sz w:val="19"/>
          <w:szCs w:val="19"/>
          <w:color w:val="auto"/>
        </w:rPr>
        <w:t>. “</w:t>
      </w:r>
      <w:r>
        <w:rPr>
          <w:rFonts w:ascii="Arial" w:cs="Arial" w:eastAsia="Arial" w:hAnsi="Arial"/>
          <w:sz w:val="19"/>
          <w:szCs w:val="19"/>
          <w:b w:val="1"/>
          <w:bCs w:val="1"/>
          <w:color w:val="auto"/>
        </w:rPr>
        <w:t>Date of Termination</w:t>
      </w:r>
      <w:r>
        <w:rPr>
          <w:rFonts w:ascii="Arial" w:cs="Arial" w:eastAsia="Arial" w:hAnsi="Arial"/>
          <w:sz w:val="19"/>
          <w:szCs w:val="19"/>
          <w:color w:val="auto"/>
        </w:rPr>
        <w:t>” means (i) if Executive’s employment is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Arial" w:cs="Arial" w:eastAsia="Arial" w:hAnsi="Arial"/>
          <w:sz w:val="14"/>
          <w:szCs w:val="14"/>
          <w:color w:val="auto"/>
        </w:rPr>
        <w:t>th</w:t>
      </w:r>
      <w:r>
        <w:rPr>
          <w:rFonts w:ascii="Arial" w:cs="Arial" w:eastAsia="Arial" w:hAnsi="Arial"/>
          <w:sz w:val="19"/>
          <w:szCs w:val="19"/>
          <w:color w:val="auto"/>
        </w:rPr>
        <w:t xml:space="preserve"> day following receipt of the Notice of Termination or any later date specified therein or</w:t>
      </w:r>
    </w:p>
    <w:p>
      <w:pPr>
        <w:ind w:firstLine="8"/>
        <w:spacing w:after="0" w:line="236" w:lineRule="auto"/>
        <w:tabs>
          <w:tab w:leader="none" w:pos="38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if Executive’s employment is terminated by reason of death or Disability, the Date of Termination shall be the date of death of Executive or the Disability Effective Date, as the case may be.</w:t>
      </w:r>
    </w:p>
    <w:p>
      <w:pPr>
        <w:spacing w:after="0" w:line="180" w:lineRule="exact"/>
        <w:rPr>
          <w:sz w:val="20"/>
          <w:szCs w:val="20"/>
          <w:color w:val="auto"/>
        </w:rPr>
      </w:pPr>
    </w:p>
    <w:p>
      <w:pPr>
        <w:ind w:left="1960" w:hanging="656"/>
        <w:spacing w:after="0"/>
        <w:tabs>
          <w:tab w:leader="none" w:pos="1960" w:val="left"/>
        </w:tabs>
        <w:numPr>
          <w:ilvl w:val="0"/>
          <w:numId w:val="378"/>
        </w:numPr>
        <w:rPr>
          <w:rFonts w:ascii="Arial" w:cs="Arial" w:eastAsia="Arial" w:hAnsi="Arial"/>
          <w:sz w:val="22"/>
          <w:szCs w:val="22"/>
          <w:color w:val="auto"/>
        </w:rPr>
      </w:pPr>
      <w:r>
        <w:rPr>
          <w:rFonts w:ascii="Arial" w:cs="Arial" w:eastAsia="Arial" w:hAnsi="Arial"/>
          <w:sz w:val="22"/>
          <w:szCs w:val="22"/>
          <w:b w:val="1"/>
          <w:bCs w:val="1"/>
          <w:u w:val="single" w:color="auto"/>
          <w:color w:val="auto"/>
        </w:rPr>
        <w:t>Obligations of the Company upon Termination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7" w:lineRule="exact"/>
        <w:rPr>
          <w:rFonts w:ascii="Arial" w:cs="Arial" w:eastAsia="Arial" w:hAnsi="Arial"/>
          <w:sz w:val="22"/>
          <w:szCs w:val="22"/>
          <w:color w:val="auto"/>
        </w:rPr>
      </w:pPr>
    </w:p>
    <w:p>
      <w:pPr>
        <w:ind w:left="4840"/>
        <w:spacing w:after="0"/>
        <w:rPr>
          <w:rFonts w:ascii="Arial" w:cs="Arial" w:eastAsia="Arial" w:hAnsi="Arial"/>
          <w:sz w:val="22"/>
          <w:szCs w:val="22"/>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8" w:name="page369"/>
    <w:bookmarkEnd w:id="368"/>
    <w:p>
      <w:pPr>
        <w:jc w:val="both"/>
        <w:ind w:firstLine="1304"/>
        <w:spacing w:after="0" w:line="284" w:lineRule="auto"/>
        <w:tabs>
          <w:tab w:leader="none" w:pos="1944" w:val="left"/>
        </w:tabs>
        <w:numPr>
          <w:ilvl w:val="1"/>
          <w:numId w:val="379"/>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 Other Than for Cause, Death or Disability</w:t>
      </w:r>
      <w:r>
        <w:rPr>
          <w:rFonts w:ascii="Arial" w:cs="Arial" w:eastAsia="Arial" w:hAnsi="Arial"/>
          <w:sz w:val="19"/>
          <w:szCs w:val="19"/>
          <w:color w:val="auto"/>
        </w:rPr>
        <w:t>. If, during the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Period, the Company terminates Executive’s employment other than for Cause, death or Disability, or Executive terminates employment for Good Reason, then, in each case, subject to Executive’s execution within 50 days following the Date of Termination, and non-revocation, of a release of claims in the form attached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the Company and its Affiliates shall pay to Executive the following:</w:t>
      </w:r>
    </w:p>
    <w:p>
      <w:pPr>
        <w:spacing w:after="0" w:line="144" w:lineRule="exact"/>
        <w:rPr>
          <w:rFonts w:ascii="Arial" w:cs="Arial" w:eastAsia="Arial" w:hAnsi="Arial"/>
          <w:sz w:val="19"/>
          <w:szCs w:val="19"/>
          <w:color w:val="auto"/>
        </w:rPr>
      </w:pPr>
    </w:p>
    <w:p>
      <w:pPr>
        <w:jc w:val="both"/>
        <w:ind w:left="180" w:firstLine="1934"/>
        <w:spacing w:after="0" w:line="271" w:lineRule="auto"/>
        <w:tabs>
          <w:tab w:leader="none" w:pos="2610" w:val="left"/>
        </w:tabs>
        <w:numPr>
          <w:ilvl w:val="2"/>
          <w:numId w:val="379"/>
        </w:numPr>
        <w:rPr>
          <w:rFonts w:ascii="Arial" w:cs="Arial" w:eastAsia="Arial" w:hAnsi="Arial"/>
          <w:sz w:val="19"/>
          <w:szCs w:val="19"/>
          <w:color w:val="auto"/>
        </w:rPr>
      </w:pPr>
      <w:r>
        <w:rPr>
          <w:rFonts w:ascii="Arial" w:cs="Arial" w:eastAsia="Arial" w:hAnsi="Arial"/>
          <w:sz w:val="19"/>
          <w:szCs w:val="19"/>
          <w:color w:val="auto"/>
        </w:rPr>
        <w:t>the sum of (A) the portion of the Annual Base Salary due for the period through the Date of Termination to the extent not theretofore paid, (B) any accrued but unpaid vacation and (C) Executive’s business expenses that have not been reimbursed by the Company as of the Date of Termination that were incurred by Executive on or prior to the Date of Termination (the sum of the amounts described in clauses (A),</w:t>
      </w:r>
    </w:p>
    <w:p>
      <w:pPr>
        <w:spacing w:after="0" w:line="3" w:lineRule="exact"/>
        <w:rPr>
          <w:rFonts w:ascii="Arial" w:cs="Arial" w:eastAsia="Arial" w:hAnsi="Arial"/>
          <w:sz w:val="19"/>
          <w:szCs w:val="19"/>
          <w:color w:val="auto"/>
        </w:rPr>
      </w:pPr>
    </w:p>
    <w:p>
      <w:pPr>
        <w:ind w:left="180" w:hanging="10"/>
        <w:spacing w:after="0" w:line="236" w:lineRule="auto"/>
        <w:tabs>
          <w:tab w:leader="none" w:pos="529" w:val="left"/>
        </w:tabs>
        <w:numPr>
          <w:ilvl w:val="0"/>
          <w:numId w:val="380"/>
        </w:numPr>
        <w:rPr>
          <w:rFonts w:ascii="Arial" w:cs="Arial" w:eastAsia="Arial" w:hAnsi="Arial"/>
          <w:sz w:val="22"/>
          <w:szCs w:val="22"/>
          <w:color w:val="auto"/>
        </w:rPr>
      </w:pPr>
      <w:r>
        <w:rPr>
          <w:rFonts w:ascii="Arial" w:cs="Arial" w:eastAsia="Arial" w:hAnsi="Arial"/>
          <w:sz w:val="22"/>
          <w:szCs w:val="22"/>
          <w:color w:val="auto"/>
        </w:rPr>
        <w:t>and (C) shall be hereinafter referred to as the “</w:t>
      </w:r>
      <w:r>
        <w:rPr>
          <w:rFonts w:ascii="Arial" w:cs="Arial" w:eastAsia="Arial" w:hAnsi="Arial"/>
          <w:sz w:val="22"/>
          <w:szCs w:val="22"/>
          <w:b w:val="1"/>
          <w:bCs w:val="1"/>
          <w:color w:val="auto"/>
        </w:rPr>
        <w:t>Accrued Obligations</w:t>
      </w:r>
      <w:r>
        <w:rPr>
          <w:rFonts w:ascii="Arial" w:cs="Arial" w:eastAsia="Arial" w:hAnsi="Arial"/>
          <w:sz w:val="22"/>
          <w:szCs w:val="22"/>
          <w:color w:val="auto"/>
        </w:rPr>
        <w:t>”), which Accrued Obligations shall be paid in a lump sum in cash within 60 days following the Date of Termination;</w:t>
      </w:r>
    </w:p>
    <w:p>
      <w:pPr>
        <w:spacing w:after="0" w:line="186" w:lineRule="exact"/>
        <w:rPr>
          <w:rFonts w:ascii="Arial" w:cs="Arial" w:eastAsia="Arial" w:hAnsi="Arial"/>
          <w:sz w:val="22"/>
          <w:szCs w:val="22"/>
          <w:color w:val="auto"/>
        </w:rPr>
      </w:pPr>
    </w:p>
    <w:p>
      <w:pPr>
        <w:jc w:val="both"/>
        <w:ind w:left="180" w:firstLine="1934"/>
        <w:spacing w:after="0" w:line="238" w:lineRule="auto"/>
        <w:tabs>
          <w:tab w:leader="none" w:pos="2610" w:val="left"/>
        </w:tabs>
        <w:numPr>
          <w:ilvl w:val="2"/>
          <w:numId w:val="380"/>
        </w:numPr>
        <w:rPr>
          <w:rFonts w:ascii="Arial" w:cs="Arial" w:eastAsia="Arial" w:hAnsi="Arial"/>
          <w:sz w:val="22"/>
          <w:szCs w:val="22"/>
          <w:color w:val="auto"/>
        </w:rPr>
      </w:pPr>
      <w:r>
        <w:rPr>
          <w:rFonts w:ascii="Arial" w:cs="Arial" w:eastAsia="Arial" w:hAnsi="Arial"/>
          <w:sz w:val="22"/>
          <w:szCs w:val="22"/>
          <w:color w:val="auto"/>
        </w:rPr>
        <w:t>any unpaid Annual Bonus earned by Executive in respect of the fiscal year of the Company that was completed on or prior to the Date of Termination (the “</w:t>
      </w:r>
      <w:r>
        <w:rPr>
          <w:rFonts w:ascii="Arial" w:cs="Arial" w:eastAsia="Arial" w:hAnsi="Arial"/>
          <w:sz w:val="22"/>
          <w:szCs w:val="22"/>
          <w:b w:val="1"/>
          <w:bCs w:val="1"/>
          <w:color w:val="auto"/>
        </w:rPr>
        <w:t>Unpaid Annual Bonus</w:t>
      </w:r>
      <w:r>
        <w:rPr>
          <w:rFonts w:ascii="Arial" w:cs="Arial" w:eastAsia="Arial" w:hAnsi="Arial"/>
          <w:sz w:val="22"/>
          <w:szCs w:val="22"/>
          <w:color w:val="auto"/>
        </w:rPr>
        <w:t>”), which Unpaid Annual Bonus shall be paid in a lump sum in cash no later than March 15 following the year in which it was earned;</w:t>
      </w:r>
    </w:p>
    <w:p>
      <w:pPr>
        <w:spacing w:after="0" w:line="184" w:lineRule="exact"/>
        <w:rPr>
          <w:rFonts w:ascii="Arial" w:cs="Arial" w:eastAsia="Arial" w:hAnsi="Arial"/>
          <w:sz w:val="22"/>
          <w:szCs w:val="22"/>
          <w:color w:val="auto"/>
        </w:rPr>
      </w:pPr>
    </w:p>
    <w:p>
      <w:pPr>
        <w:jc w:val="both"/>
        <w:ind w:left="180" w:firstLine="1934"/>
        <w:spacing w:after="0" w:line="245" w:lineRule="auto"/>
        <w:tabs>
          <w:tab w:leader="none" w:pos="2610" w:val="left"/>
        </w:tabs>
        <w:numPr>
          <w:ilvl w:val="2"/>
          <w:numId w:val="380"/>
        </w:numPr>
        <w:rPr>
          <w:rFonts w:ascii="Arial" w:cs="Arial" w:eastAsia="Arial" w:hAnsi="Arial"/>
          <w:sz w:val="21"/>
          <w:szCs w:val="21"/>
          <w:color w:val="auto"/>
        </w:rPr>
      </w:pPr>
      <w:r>
        <w:rPr>
          <w:rFonts w:ascii="Arial" w:cs="Arial" w:eastAsia="Arial" w:hAnsi="Arial"/>
          <w:sz w:val="21"/>
          <w:szCs w:val="21"/>
          <w:color w:val="auto"/>
        </w:rPr>
        <w:t>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Arial" w:cs="Arial" w:eastAsia="Arial" w:hAnsi="Arial"/>
          <w:sz w:val="21"/>
          <w:szCs w:val="21"/>
          <w:b w:val="1"/>
          <w:bCs w:val="1"/>
          <w:color w:val="auto"/>
        </w:rPr>
        <w:t>Prorated Annual Bonus</w:t>
      </w:r>
      <w:r>
        <w:rPr>
          <w:rFonts w:ascii="Arial" w:cs="Arial" w:eastAsia="Arial" w:hAnsi="Arial"/>
          <w:sz w:val="21"/>
          <w:szCs w:val="21"/>
          <w:color w:val="auto"/>
        </w:rPr>
        <w:t xml:space="preserve">”), which Prorated Annual Bonus shall be paid in a lump sum in cash on the first regularly scheduled payroll date following the effective date of the Release,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4" w:lineRule="exact"/>
        <w:rPr>
          <w:rFonts w:ascii="Arial" w:cs="Arial" w:eastAsia="Arial" w:hAnsi="Arial"/>
          <w:sz w:val="21"/>
          <w:szCs w:val="21"/>
          <w:color w:val="auto"/>
        </w:rPr>
      </w:pPr>
    </w:p>
    <w:p>
      <w:pPr>
        <w:jc w:val="both"/>
        <w:ind w:left="180" w:firstLine="1934"/>
        <w:spacing w:after="0" w:line="279" w:lineRule="auto"/>
        <w:tabs>
          <w:tab w:leader="none" w:pos="2610" w:val="left"/>
        </w:tabs>
        <w:numPr>
          <w:ilvl w:val="2"/>
          <w:numId w:val="380"/>
        </w:numPr>
        <w:rPr>
          <w:rFonts w:ascii="Arial" w:cs="Arial" w:eastAsia="Arial" w:hAnsi="Arial"/>
          <w:sz w:val="19"/>
          <w:szCs w:val="19"/>
          <w:color w:val="auto"/>
        </w:rPr>
      </w:pPr>
      <w:r>
        <w:rPr>
          <w:rFonts w:ascii="Arial" w:cs="Arial" w:eastAsia="Arial" w:hAnsi="Arial"/>
          <w:sz w:val="19"/>
          <w:szCs w:val="19"/>
          <w:color w:val="auto"/>
        </w:rPr>
        <w:t xml:space="preserve">an amount equal to the product of (A) the Severance Multiple (as defined below) </w:t>
      </w:r>
      <w:r>
        <w:rPr>
          <w:rFonts w:ascii="Arial" w:cs="Arial" w:eastAsia="Arial" w:hAnsi="Arial"/>
          <w:sz w:val="19"/>
          <w:szCs w:val="19"/>
          <w:i w:val="1"/>
          <w:iCs w:val="1"/>
          <w:color w:val="auto"/>
        </w:rPr>
        <w:t xml:space="preserve">multiplied by </w:t>
      </w:r>
      <w:r>
        <w:rPr>
          <w:rFonts w:ascii="Arial" w:cs="Arial" w:eastAsia="Arial" w:hAnsi="Arial"/>
          <w:sz w:val="19"/>
          <w:szCs w:val="19"/>
          <w:color w:val="auto"/>
        </w:rPr>
        <w:t>(B) the sum of (x) the Annual Base Salary and (y) the target Annual Bonus opportunity as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the fiscal year of the Company in which the Date of Termination occurs, which amount shall be paid in a lump sum in cash on the first regularly scheduled payroll date following the effective date of the Release,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50" w:lineRule="exact"/>
        <w:rPr>
          <w:rFonts w:ascii="Arial" w:cs="Arial" w:eastAsia="Arial" w:hAnsi="Arial"/>
          <w:sz w:val="19"/>
          <w:szCs w:val="19"/>
          <w:color w:val="auto"/>
        </w:rPr>
      </w:pPr>
    </w:p>
    <w:p>
      <w:pPr>
        <w:jc w:val="both"/>
        <w:ind w:left="180" w:firstLine="1934"/>
        <w:spacing w:after="0" w:line="279" w:lineRule="auto"/>
        <w:tabs>
          <w:tab w:leader="none" w:pos="2610" w:val="left"/>
        </w:tabs>
        <w:numPr>
          <w:ilvl w:val="2"/>
          <w:numId w:val="380"/>
        </w:numPr>
        <w:rPr>
          <w:rFonts w:ascii="Arial" w:cs="Arial" w:eastAsia="Arial" w:hAnsi="Arial"/>
          <w:sz w:val="19"/>
          <w:szCs w:val="19"/>
          <w:color w:val="auto"/>
        </w:rPr>
      </w:pPr>
      <w:r>
        <w:rPr>
          <w:rFonts w:ascii="Arial" w:cs="Arial" w:eastAsia="Arial" w:hAnsi="Arial"/>
          <w:sz w:val="19"/>
          <w:szCs w:val="19"/>
          <w:color w:val="auto"/>
        </w:rPr>
        <w:t xml:space="preserve">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period for consideration and revocation of the Release spans two calendar years, then the payment shall be made no sooner than the first regularly scheduled payroll date in the second calendar year;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69" w:name="page370"/>
    <w:bookmarkEnd w:id="369"/>
    <w:p>
      <w:pPr>
        <w:jc w:val="both"/>
        <w:ind w:left="180" w:firstLine="1934"/>
        <w:spacing w:after="0" w:line="282" w:lineRule="auto"/>
        <w:tabs>
          <w:tab w:leader="none" w:pos="2610" w:val="left"/>
        </w:tabs>
        <w:numPr>
          <w:ilvl w:val="0"/>
          <w:numId w:val="381"/>
        </w:numPr>
        <w:rPr>
          <w:rFonts w:ascii="Arial" w:cs="Arial" w:eastAsia="Arial" w:hAnsi="Arial"/>
          <w:sz w:val="19"/>
          <w:szCs w:val="19"/>
          <w:color w:val="auto"/>
        </w:rPr>
      </w:pPr>
      <w:r>
        <w:rPr>
          <w:rFonts w:ascii="Arial" w:cs="Arial" w:eastAsia="Arial" w:hAnsi="Arial"/>
          <w:sz w:val="19"/>
          <w:szCs w:val="19"/>
          <w:color w:val="auto"/>
        </w:rPr>
        <w:t>to the extent not theretofore paid or provided, the Company and its Affiliates shall timely pay or provide to Executive, in accordance with the terms of the applicable plan, program, policy, practice or contract, any other amounts or benefits required to be paid or provided, or that Executive is eligible to receive under any plan, program, policy, practice or contract of the Company or its Affiliates, through the Date of Termination (such other amounts and benefits shall be hereinafter referred to as the “</w:t>
      </w:r>
      <w:r>
        <w:rPr>
          <w:rFonts w:ascii="Arial" w:cs="Arial" w:eastAsia="Arial" w:hAnsi="Arial"/>
          <w:sz w:val="19"/>
          <w:szCs w:val="19"/>
          <w:b w:val="1"/>
          <w:bCs w:val="1"/>
          <w:color w:val="auto"/>
        </w:rPr>
        <w:t>Other Benefits</w:t>
      </w:r>
      <w:r>
        <w:rPr>
          <w:rFonts w:ascii="Arial" w:cs="Arial" w:eastAsia="Arial" w:hAnsi="Arial"/>
          <w:sz w:val="19"/>
          <w:szCs w:val="19"/>
          <w:color w:val="auto"/>
        </w:rPr>
        <w:t>”).</w:t>
      </w:r>
    </w:p>
    <w:p>
      <w:pPr>
        <w:spacing w:after="0" w:line="14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Severance Multiple</w:t>
      </w:r>
      <w:r>
        <w:rPr>
          <w:rFonts w:ascii="Arial" w:cs="Arial" w:eastAsia="Arial" w:hAnsi="Arial"/>
          <w:sz w:val="19"/>
          <w:szCs w:val="19"/>
          <w:color w:val="auto"/>
        </w:rPr>
        <w:t>” shall mean two, unless a termination contemplated by this Section 5(a) occurs within one year following a Change in Control (as defined in the Westrock Coffee Company 2022 Equity Incentive Plan, as in effect on the Effective Date), in which case it shall mean three.</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spacing w:after="0" w:line="146" w:lineRule="exact"/>
        <w:rPr>
          <w:sz w:val="20"/>
          <w:szCs w:val="20"/>
          <w:color w:val="auto"/>
        </w:rPr>
      </w:pPr>
    </w:p>
    <w:p>
      <w:pPr>
        <w:jc w:val="both"/>
        <w:ind w:firstLine="1304"/>
        <w:spacing w:after="0" w:line="247" w:lineRule="auto"/>
        <w:tabs>
          <w:tab w:leader="none" w:pos="1944" w:val="left"/>
        </w:tabs>
        <w:numPr>
          <w:ilvl w:val="0"/>
          <w:numId w:val="382"/>
        </w:numPr>
        <w:rPr>
          <w:rFonts w:ascii="Arial" w:cs="Arial" w:eastAsia="Arial" w:hAnsi="Arial"/>
          <w:sz w:val="21"/>
          <w:szCs w:val="21"/>
          <w:color w:val="auto"/>
        </w:rPr>
      </w:pPr>
      <w:r>
        <w:rPr>
          <w:rFonts w:ascii="Arial" w:cs="Arial" w:eastAsia="Arial" w:hAnsi="Arial"/>
          <w:sz w:val="21"/>
          <w:szCs w:val="21"/>
          <w:b w:val="1"/>
          <w:bCs w:val="1"/>
          <w:u w:val="single" w:color="auto"/>
          <w:color w:val="auto"/>
        </w:rPr>
        <w:t>Death; Disability; Retirement</w:t>
      </w:r>
      <w:r>
        <w:rPr>
          <w:rFonts w:ascii="Arial" w:cs="Arial" w:eastAsia="Arial" w:hAnsi="Arial"/>
          <w:sz w:val="21"/>
          <w:szCs w:val="21"/>
          <w:color w:val="auto"/>
        </w:rPr>
        <w:t>. If Executive’s employment is terminated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spacing w:after="0" w:line="177"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382"/>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Termination</w:t>
      </w:r>
      <w:r>
        <w:rPr>
          <w:rFonts w:ascii="Arial" w:cs="Arial" w:eastAsia="Arial" w:hAnsi="Arial"/>
          <w:sz w:val="22"/>
          <w:szCs w:val="22"/>
          <w:color w:val="auto"/>
        </w:rPr>
        <w:t>. If Executive’s employment is terminated during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spacing w:after="0" w:line="181"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382"/>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Settlement</w:t>
      </w:r>
      <w:r>
        <w:rPr>
          <w:rFonts w:ascii="Arial" w:cs="Arial" w:eastAsia="Arial" w:hAnsi="Arial"/>
          <w:sz w:val="22"/>
          <w:szCs w:val="22"/>
          <w:color w:val="auto"/>
        </w:rPr>
        <w:t>. The payments and benefits provided under this Section 5 shall be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of the obligations of the Company and its Affiliates to Executive under this Agreement and any other plan, agreement, policy or arrangement of the Company and its Affiliates upon Executive’s termination of employment.</w:t>
      </w:r>
    </w:p>
    <w:p>
      <w:pPr>
        <w:spacing w:after="0" w:line="180" w:lineRule="exact"/>
        <w:rPr>
          <w:sz w:val="20"/>
          <w:szCs w:val="20"/>
          <w:color w:val="auto"/>
        </w:rPr>
      </w:pPr>
    </w:p>
    <w:p>
      <w:pPr>
        <w:jc w:val="both"/>
        <w:ind w:firstLine="1304"/>
        <w:spacing w:after="0" w:line="260" w:lineRule="auto"/>
        <w:tabs>
          <w:tab w:leader="none" w:pos="1944" w:val="left"/>
        </w:tabs>
        <w:numPr>
          <w:ilvl w:val="0"/>
          <w:numId w:val="383"/>
        </w:numPr>
        <w:rPr>
          <w:rFonts w:ascii="Arial" w:cs="Arial" w:eastAsia="Arial" w:hAnsi="Arial"/>
          <w:sz w:val="21"/>
          <w:szCs w:val="21"/>
          <w:color w:val="auto"/>
        </w:rPr>
      </w:pPr>
      <w:r>
        <w:rPr>
          <w:rFonts w:ascii="Arial" w:cs="Arial" w:eastAsia="Arial" w:hAnsi="Arial"/>
          <w:sz w:val="21"/>
          <w:szCs w:val="21"/>
          <w:b w:val="1"/>
          <w:bCs w:val="1"/>
          <w:u w:val="single" w:color="auto"/>
          <w:color w:val="auto"/>
        </w:rPr>
        <w:t>No Mitigation</w:t>
      </w:r>
      <w:r>
        <w:rPr>
          <w:rFonts w:ascii="Arial" w:cs="Arial" w:eastAsia="Arial" w:hAnsi="Arial"/>
          <w:sz w:val="21"/>
          <w:szCs w:val="21"/>
          <w:color w:val="auto"/>
        </w:rPr>
        <w:t>. In no event shall Executive be obligated to seek other employment or take</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action by way of mitigation of any amounts payable to Executive under Section 5 and such amounts shall not be reduced whether or not Executive obtains other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0" w:name="page371"/>
    <w:bookmarkEnd w:id="370"/>
    <w:p>
      <w:pPr>
        <w:ind w:left="1960" w:hanging="656"/>
        <w:spacing w:after="0"/>
        <w:tabs>
          <w:tab w:leader="none" w:pos="1960" w:val="left"/>
        </w:tabs>
        <w:numPr>
          <w:ilvl w:val="0"/>
          <w:numId w:val="384"/>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07" w:lineRule="exact"/>
        <w:rPr>
          <w:sz w:val="20"/>
          <w:szCs w:val="20"/>
          <w:color w:val="auto"/>
        </w:rPr>
      </w:pPr>
    </w:p>
    <w:p>
      <w:pPr>
        <w:jc w:val="both"/>
        <w:ind w:firstLine="1304"/>
        <w:spacing w:after="0" w:line="272" w:lineRule="auto"/>
        <w:tabs>
          <w:tab w:leader="none" w:pos="1944" w:val="left"/>
        </w:tabs>
        <w:numPr>
          <w:ilvl w:val="0"/>
          <w:numId w:val="385"/>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Executive shall hold in a fiduciary capacity for the benefit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all secret or confidential information, knowledge or data relating to 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Arial" w:cs="Arial" w:eastAsia="Arial" w:hAnsi="Arial"/>
          <w:sz w:val="19"/>
          <w:szCs w:val="19"/>
          <w:b w:val="1"/>
          <w:b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After termination of Executive’s employment with the Company, Executive shall not, without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spacing w:after="0" w:line="151" w:lineRule="exact"/>
        <w:rPr>
          <w:rFonts w:ascii="Arial" w:cs="Arial" w:eastAsia="Arial" w:hAnsi="Arial"/>
          <w:sz w:val="19"/>
          <w:szCs w:val="19"/>
          <w:color w:val="auto"/>
        </w:rPr>
      </w:pPr>
    </w:p>
    <w:p>
      <w:pPr>
        <w:jc w:val="both"/>
        <w:ind w:firstLine="1304"/>
        <w:spacing w:after="0" w:line="272" w:lineRule="auto"/>
        <w:tabs>
          <w:tab w:leader="none" w:pos="1944" w:val="left"/>
        </w:tabs>
        <w:numPr>
          <w:ilvl w:val="0"/>
          <w:numId w:val="385"/>
        </w:numPr>
        <w:rPr>
          <w:rFonts w:ascii="Arial" w:cs="Arial" w:eastAsia="Arial" w:hAnsi="Arial"/>
          <w:sz w:val="19"/>
          <w:szCs w:val="19"/>
          <w:color w:val="auto"/>
        </w:rPr>
      </w:pPr>
      <w:r>
        <w:rPr>
          <w:rFonts w:ascii="Arial" w:cs="Arial" w:eastAsia="Arial" w:hAnsi="Arial"/>
          <w:sz w:val="19"/>
          <w:szCs w:val="19"/>
          <w:b w:val="1"/>
          <w:bCs w:val="1"/>
          <w:u w:val="single" w:color="auto"/>
          <w:color w:val="auto"/>
        </w:rPr>
        <w:t>Inventions and Patents</w:t>
      </w:r>
      <w:r>
        <w:rPr>
          <w:rFonts w:ascii="Arial" w:cs="Arial" w:eastAsia="Arial" w:hAnsi="Arial"/>
          <w:sz w:val="19"/>
          <w:szCs w:val="19"/>
          <w:color w:val="auto"/>
        </w:rPr>
        <w:t>. Executive agrees that all inventions, innovations, improvements,</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Arial" w:cs="Arial" w:eastAsia="Arial" w:hAnsi="Arial"/>
          <w:sz w:val="19"/>
          <w:szCs w:val="19"/>
          <w:b w:val="1"/>
          <w:bCs w:val="1"/>
          <w:color w:val="auto"/>
        </w:rPr>
        <w:t>Work Product</w:t>
      </w:r>
      <w:r>
        <w:rPr>
          <w:rFonts w:ascii="Arial" w:cs="Arial" w:eastAsia="Arial" w:hAnsi="Arial"/>
          <w:sz w:val="19"/>
          <w:szCs w:val="19"/>
          <w:color w:val="auto"/>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304"/>
        <w:spacing w:after="0" w:line="245" w:lineRule="auto"/>
        <w:tabs>
          <w:tab w:leader="none" w:pos="1944" w:val="left"/>
        </w:tabs>
        <w:numPr>
          <w:ilvl w:val="0"/>
          <w:numId w:val="385"/>
        </w:numPr>
        <w:rPr>
          <w:rFonts w:ascii="Arial" w:cs="Arial" w:eastAsia="Arial" w:hAnsi="Arial"/>
          <w:sz w:val="21"/>
          <w:szCs w:val="21"/>
          <w:color w:val="auto"/>
        </w:rPr>
      </w:pPr>
      <w:r>
        <w:rPr>
          <w:rFonts w:ascii="Arial" w:cs="Arial" w:eastAsia="Arial" w:hAnsi="Arial"/>
          <w:sz w:val="21"/>
          <w:szCs w:val="21"/>
          <w:b w:val="1"/>
          <w:bCs w:val="1"/>
          <w:u w:val="single" w:color="auto"/>
          <w:color w:val="auto"/>
        </w:rPr>
        <w:t>Nonsolicitation</w:t>
      </w:r>
      <w:r>
        <w:rPr>
          <w:rFonts w:ascii="Arial" w:cs="Arial" w:eastAsia="Arial" w:hAnsi="Arial"/>
          <w:sz w:val="21"/>
          <w:szCs w:val="21"/>
          <w:color w:val="auto"/>
        </w:rPr>
        <w:t>. During the period commencing on the Effective Date and ending on the</w:t>
      </w:r>
      <w:r>
        <w:rPr>
          <w:rFonts w:ascii="Arial" w:cs="Arial" w:eastAsia="Arial" w:hAnsi="Arial"/>
          <w:sz w:val="21"/>
          <w:szCs w:val="21"/>
          <w:b w:val="1"/>
          <w:bCs w:val="1"/>
          <w:color w:val="auto"/>
        </w:rPr>
        <w:t xml:space="preserve"> </w:t>
      </w:r>
      <w:r>
        <w:rPr>
          <w:rFonts w:ascii="Arial" w:cs="Arial" w:eastAsia="Arial" w:hAnsi="Arial"/>
          <w:sz w:val="21"/>
          <w:szCs w:val="21"/>
          <w:color w:val="auto"/>
        </w:rPr>
        <w:t>second anniversary of the Date of Termination (the “</w:t>
      </w:r>
      <w:r>
        <w:rPr>
          <w:rFonts w:ascii="Arial" w:cs="Arial" w:eastAsia="Arial" w:hAnsi="Arial"/>
          <w:sz w:val="21"/>
          <w:szCs w:val="21"/>
          <w:b w:val="1"/>
          <w:bCs w:val="1"/>
          <w:color w:val="auto"/>
        </w:rPr>
        <w:t>Restricted Period</w:t>
      </w:r>
      <w:r>
        <w:rPr>
          <w:rFonts w:ascii="Arial" w:cs="Arial" w:eastAsia="Arial" w:hAnsi="Arial"/>
          <w:sz w:val="21"/>
          <w:szCs w:val="21"/>
          <w:color w:val="auto"/>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71" w:name="page372"/>
    <w:bookmarkEnd w:id="371"/>
    <w:p>
      <w:pPr>
        <w:jc w:val="center"/>
        <w:spacing w:after="0" w:line="297" w:lineRule="auto"/>
        <w:rPr>
          <w:sz w:val="20"/>
          <w:szCs w:val="20"/>
          <w:color w:val="auto"/>
        </w:rPr>
      </w:pPr>
      <w:r>
        <w:rPr>
          <w:rFonts w:ascii="Arial" w:cs="Arial" w:eastAsia="Arial" w:hAnsi="Arial"/>
          <w:sz w:val="19"/>
          <w:szCs w:val="19"/>
          <w:color w:val="auto"/>
        </w:rPr>
        <w:t>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spacing w:after="0" w:line="128" w:lineRule="exact"/>
        <w:rPr>
          <w:sz w:val="20"/>
          <w:szCs w:val="20"/>
          <w:color w:val="auto"/>
        </w:rPr>
      </w:pPr>
    </w:p>
    <w:p>
      <w:pPr>
        <w:jc w:val="both"/>
        <w:ind w:firstLine="1304"/>
        <w:spacing w:after="0" w:line="271" w:lineRule="auto"/>
        <w:tabs>
          <w:tab w:leader="none" w:pos="1944" w:val="left"/>
        </w:tabs>
        <w:numPr>
          <w:ilvl w:val="0"/>
          <w:numId w:val="386"/>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Executive acknowledges that, in the course of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the Company, Executive has become familiar, or shall become familiar, with the Company’s and its Affiliates’ trade secrets and with other Confidential Information concerning the Company, its Affiliates and their respective predecessors, and that 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activities) at any time during the one-year period ending with the Date of Termination, in any locale of 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1304"/>
        <w:spacing w:after="0" w:line="276" w:lineRule="auto"/>
        <w:tabs>
          <w:tab w:leader="none" w:pos="1944" w:val="left"/>
        </w:tabs>
        <w:numPr>
          <w:ilvl w:val="0"/>
          <w:numId w:val="386"/>
        </w:numPr>
        <w:rPr>
          <w:rFonts w:ascii="Arial" w:cs="Arial" w:eastAsia="Arial" w:hAnsi="Arial"/>
          <w:sz w:val="19"/>
          <w:szCs w:val="19"/>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 From and following the Effective Date: (i) Executive shall not make,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spacing w:after="0" w:line="149"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386"/>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color w:val="auto"/>
        </w:rPr>
        <w:t>. Executive acknowledges that all documents, records, files, lists,</w:t>
      </w:r>
      <w:r>
        <w:rPr>
          <w:rFonts w:ascii="Arial" w:cs="Arial" w:eastAsia="Arial" w:hAnsi="Arial"/>
          <w:sz w:val="19"/>
          <w:szCs w:val="19"/>
          <w:b w:val="1"/>
          <w:bCs w:val="1"/>
          <w:color w:val="auto"/>
        </w:rPr>
        <w:t xml:space="preserve"> </w:t>
      </w:r>
      <w:r>
        <w:rPr>
          <w:rFonts w:ascii="Arial" w:cs="Arial" w:eastAsia="Arial" w:hAnsi="Arial"/>
          <w:sz w:val="19"/>
          <w:szCs w:val="19"/>
          <w:color w:val="auto"/>
        </w:rPr>
        <w:t>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2" w:name="page373"/>
    <w:bookmarkEnd w:id="372"/>
    <w:p>
      <w:pPr>
        <w:jc w:val="both"/>
        <w:ind w:firstLine="1304"/>
        <w:spacing w:after="0" w:line="244" w:lineRule="auto"/>
        <w:tabs>
          <w:tab w:leader="none" w:pos="1944" w:val="left"/>
        </w:tabs>
        <w:numPr>
          <w:ilvl w:val="0"/>
          <w:numId w:val="387"/>
        </w:numPr>
        <w:rPr>
          <w:rFonts w:ascii="Arial" w:cs="Arial" w:eastAsia="Arial" w:hAnsi="Arial"/>
          <w:sz w:val="21"/>
          <w:szCs w:val="21"/>
          <w:color w:val="auto"/>
        </w:rPr>
      </w:pPr>
      <w:r>
        <w:rPr>
          <w:rFonts w:ascii="Arial" w:cs="Arial" w:eastAsia="Arial" w:hAnsi="Arial"/>
          <w:sz w:val="21"/>
          <w:szCs w:val="21"/>
          <w:b w:val="1"/>
          <w:bCs w:val="1"/>
          <w:u w:val="single" w:color="auto"/>
          <w:color w:val="auto"/>
        </w:rPr>
        <w:t>Trade Secrets; Whistleblower Rights</w:t>
      </w:r>
      <w:r>
        <w:rPr>
          <w:rFonts w:ascii="Arial" w:cs="Arial" w:eastAsia="Arial" w:hAnsi="Arial"/>
          <w:sz w:val="21"/>
          <w:szCs w:val="21"/>
          <w:color w:val="auto"/>
        </w:rPr>
        <w:t>. The Company hereby informs Executive that,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83" w:lineRule="exact"/>
        <w:rPr>
          <w:rFonts w:ascii="Arial" w:cs="Arial" w:eastAsia="Arial" w:hAnsi="Arial"/>
          <w:sz w:val="21"/>
          <w:szCs w:val="21"/>
          <w:color w:val="auto"/>
        </w:rPr>
      </w:pPr>
    </w:p>
    <w:p>
      <w:pPr>
        <w:ind w:left="1960" w:hanging="656"/>
        <w:spacing w:after="0"/>
        <w:tabs>
          <w:tab w:leader="none" w:pos="1960" w:val="left"/>
        </w:tabs>
        <w:numPr>
          <w:ilvl w:val="0"/>
          <w:numId w:val="387"/>
        </w:numPr>
        <w:rPr>
          <w:rFonts w:ascii="Arial" w:cs="Arial" w:eastAsia="Arial" w:hAnsi="Arial"/>
          <w:sz w:val="22"/>
          <w:szCs w:val="22"/>
          <w:color w:val="auto"/>
        </w:rPr>
      </w:pPr>
      <w:r>
        <w:rPr>
          <w:rFonts w:ascii="Arial" w:cs="Arial" w:eastAsia="Arial" w:hAnsi="Arial"/>
          <w:sz w:val="22"/>
          <w:szCs w:val="22"/>
          <w:b w:val="1"/>
          <w:bCs w:val="1"/>
          <w:u w:val="single" w:color="auto"/>
          <w:color w:val="auto"/>
        </w:rPr>
        <w:t>Executive Covenants Generally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180" w:firstLine="1934"/>
        <w:spacing w:after="0" w:line="275" w:lineRule="auto"/>
        <w:tabs>
          <w:tab w:leader="none" w:pos="2610" w:val="left"/>
        </w:tabs>
        <w:numPr>
          <w:ilvl w:val="1"/>
          <w:numId w:val="387"/>
        </w:numPr>
        <w:rPr>
          <w:rFonts w:ascii="Arial" w:cs="Arial" w:eastAsia="Arial" w:hAnsi="Arial"/>
          <w:sz w:val="19"/>
          <w:szCs w:val="19"/>
          <w:color w:val="auto"/>
        </w:rPr>
      </w:pPr>
      <w:r>
        <w:rPr>
          <w:rFonts w:ascii="Arial" w:cs="Arial" w:eastAsia="Arial" w:hAnsi="Arial"/>
          <w:sz w:val="19"/>
          <w:szCs w:val="19"/>
          <w:color w:val="auto"/>
        </w:rPr>
        <w:t>Executive’s covenants as set forth in this Section 7 are from time to time referred to herein as the “</w:t>
      </w:r>
      <w:r>
        <w:rPr>
          <w:rFonts w:ascii="Arial" w:cs="Arial" w:eastAsia="Arial" w:hAnsi="Arial"/>
          <w:sz w:val="19"/>
          <w:szCs w:val="19"/>
          <w:b w:val="1"/>
          <w:bCs w:val="1"/>
          <w:color w:val="auto"/>
        </w:rPr>
        <w:t>Executive Covenants</w:t>
      </w:r>
      <w:r>
        <w:rPr>
          <w:rFonts w:ascii="Arial" w:cs="Arial" w:eastAsia="Arial" w:hAnsi="Arial"/>
          <w:sz w:val="19"/>
          <w:szCs w:val="19"/>
          <w:color w:val="auto"/>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spacing w:after="0" w:line="157" w:lineRule="exact"/>
        <w:rPr>
          <w:rFonts w:ascii="Arial" w:cs="Arial" w:eastAsia="Arial" w:hAnsi="Arial"/>
          <w:sz w:val="19"/>
          <w:szCs w:val="19"/>
          <w:color w:val="auto"/>
        </w:rPr>
      </w:pPr>
    </w:p>
    <w:p>
      <w:pPr>
        <w:jc w:val="both"/>
        <w:ind w:left="180" w:firstLine="1934"/>
        <w:spacing w:after="0" w:line="236" w:lineRule="auto"/>
        <w:tabs>
          <w:tab w:leader="none" w:pos="261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spacing w:after="0" w:line="187" w:lineRule="exact"/>
        <w:rPr>
          <w:rFonts w:ascii="Arial" w:cs="Arial" w:eastAsia="Arial" w:hAnsi="Arial"/>
          <w:sz w:val="22"/>
          <w:szCs w:val="22"/>
          <w:color w:val="auto"/>
        </w:rPr>
      </w:pPr>
    </w:p>
    <w:p>
      <w:pPr>
        <w:jc w:val="both"/>
        <w:ind w:left="180" w:firstLine="1934"/>
        <w:spacing w:after="0" w:line="252" w:lineRule="auto"/>
        <w:tabs>
          <w:tab w:leader="none" w:pos="2610" w:val="left"/>
        </w:tabs>
        <w:numPr>
          <w:ilvl w:val="1"/>
          <w:numId w:val="387"/>
        </w:numPr>
        <w:rPr>
          <w:rFonts w:ascii="Arial" w:cs="Arial" w:eastAsia="Arial" w:hAnsi="Arial"/>
          <w:sz w:val="21"/>
          <w:szCs w:val="21"/>
          <w:color w:val="auto"/>
        </w:rPr>
      </w:pPr>
      <w:r>
        <w:rPr>
          <w:rFonts w:ascii="Arial" w:cs="Arial" w:eastAsia="Arial" w:hAnsi="Arial"/>
          <w:sz w:val="21"/>
          <w:szCs w:val="21"/>
          <w:color w:val="auto"/>
        </w:rPr>
        <w:t>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spacing w:after="0" w:line="173" w:lineRule="exact"/>
        <w:rPr>
          <w:rFonts w:ascii="Arial" w:cs="Arial" w:eastAsia="Arial" w:hAnsi="Arial"/>
          <w:sz w:val="21"/>
          <w:szCs w:val="21"/>
          <w:color w:val="auto"/>
        </w:rPr>
      </w:pPr>
    </w:p>
    <w:p>
      <w:pPr>
        <w:ind w:left="180" w:right="20" w:firstLine="1934"/>
        <w:spacing w:after="0" w:line="250" w:lineRule="auto"/>
        <w:tabs>
          <w:tab w:leader="none" w:pos="261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Any termination of (A) Executive’s employment, (B) the Employment Period or (C) this Agreement shall have no effect on the continuing operation of this Section 7.</w:t>
      </w:r>
    </w:p>
    <w:p>
      <w:pPr>
        <w:spacing w:after="0" w:line="174" w:lineRule="exact"/>
        <w:rPr>
          <w:rFonts w:ascii="Arial" w:cs="Arial" w:eastAsia="Arial" w:hAnsi="Arial"/>
          <w:sz w:val="22"/>
          <w:szCs w:val="22"/>
          <w:color w:val="auto"/>
        </w:rPr>
      </w:pPr>
    </w:p>
    <w:p>
      <w:pPr>
        <w:jc w:val="both"/>
        <w:ind w:left="180" w:firstLine="1934"/>
        <w:spacing w:after="0"/>
        <w:tabs>
          <w:tab w:leader="none" w:pos="2610" w:val="left"/>
        </w:tabs>
        <w:numPr>
          <w:ilvl w:val="1"/>
          <w:numId w:val="387"/>
        </w:numPr>
        <w:rPr>
          <w:rFonts w:ascii="Arial" w:cs="Arial" w:eastAsia="Arial" w:hAnsi="Arial"/>
          <w:sz w:val="22"/>
          <w:szCs w:val="22"/>
          <w:color w:val="auto"/>
        </w:rPr>
      </w:pPr>
      <w:r>
        <w:rPr>
          <w:rFonts w:ascii="Arial" w:cs="Arial" w:eastAsia="Arial" w:hAnsi="Arial"/>
          <w:sz w:val="22"/>
          <w:szCs w:val="22"/>
          <w:color w:val="auto"/>
        </w:rPr>
        <w:t>Executive acknowledges that the Company would be irreparably injured by a violation of this Section 7 and that it is impossible to measure in money the damages that shall accrue to the Company by reason of a failure by Executive to perform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73" w:name="page374"/>
    <w:bookmarkEnd w:id="373"/>
    <w:p>
      <w:pPr>
        <w:jc w:val="both"/>
        <w:ind w:left="180"/>
        <w:spacing w:after="0" w:line="274" w:lineRule="auto"/>
        <w:rPr>
          <w:sz w:val="20"/>
          <w:szCs w:val="20"/>
          <w:color w:val="auto"/>
        </w:rPr>
      </w:pPr>
      <w:r>
        <w:rPr>
          <w:rFonts w:ascii="Arial" w:cs="Arial" w:eastAsia="Arial" w:hAnsi="Arial"/>
          <w:sz w:val="19"/>
          <w:szCs w:val="19"/>
          <w:color w:val="auto"/>
        </w:rPr>
        <w:t>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 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 deemed automatically extended by) any period during which Executive is in violation of the provisions of Section 7(c) or (d), as applicable.</w:t>
      </w:r>
    </w:p>
    <w:p>
      <w:pPr>
        <w:spacing w:after="0" w:line="153" w:lineRule="exact"/>
        <w:rPr>
          <w:sz w:val="20"/>
          <w:szCs w:val="20"/>
          <w:color w:val="auto"/>
        </w:rPr>
      </w:pPr>
    </w:p>
    <w:p>
      <w:pPr>
        <w:ind w:left="1960" w:hanging="656"/>
        <w:spacing w:after="0"/>
        <w:tabs>
          <w:tab w:leader="none" w:pos="1960" w:val="left"/>
        </w:tabs>
        <w:numPr>
          <w:ilvl w:val="0"/>
          <w:numId w:val="388"/>
        </w:numPr>
        <w:rPr>
          <w:rFonts w:ascii="Arial" w:cs="Arial" w:eastAsia="Arial" w:hAnsi="Arial"/>
          <w:sz w:val="22"/>
          <w:szCs w:val="22"/>
          <w:color w:val="auto"/>
        </w:rPr>
      </w:pPr>
      <w:r>
        <w:rPr>
          <w:rFonts w:ascii="Arial" w:cs="Arial" w:eastAsia="Arial" w:hAnsi="Arial"/>
          <w:sz w:val="22"/>
          <w:szCs w:val="22"/>
          <w:b w:val="1"/>
          <w:bCs w:val="1"/>
          <w:u w:val="single" w:color="auto"/>
          <w:color w:val="auto"/>
        </w:rPr>
        <w:t>Treatment of Certain Payments</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44" w:lineRule="auto"/>
        <w:tabs>
          <w:tab w:leader="none" w:pos="1944" w:val="left"/>
        </w:tabs>
        <w:numPr>
          <w:ilvl w:val="0"/>
          <w:numId w:val="389"/>
        </w:numPr>
        <w:rPr>
          <w:rFonts w:ascii="Arial" w:cs="Arial" w:eastAsia="Arial" w:hAnsi="Arial"/>
          <w:sz w:val="21"/>
          <w:szCs w:val="21"/>
          <w:color w:val="auto"/>
        </w:rPr>
      </w:pPr>
      <w:r>
        <w:rPr>
          <w:rFonts w:ascii="Arial" w:cs="Arial" w:eastAsia="Arial" w:hAnsi="Arial"/>
          <w:sz w:val="21"/>
          <w:szCs w:val="21"/>
          <w:color w:val="auto"/>
        </w:rPr>
        <w:t>In the event that any payments or benefits under this Agreement or otherwise, either alone or together with other payments or benefits that Executive receives or is entitled to receive from the Company or any of its Affiliates (“</w:t>
      </w:r>
      <w:r>
        <w:rPr>
          <w:rFonts w:ascii="Arial" w:cs="Arial" w:eastAsia="Arial" w:hAnsi="Arial"/>
          <w:sz w:val="21"/>
          <w:szCs w:val="21"/>
          <w:b w:val="1"/>
          <w:bCs w:val="1"/>
          <w:color w:val="auto"/>
        </w:rPr>
        <w:t>Payments</w:t>
      </w:r>
      <w:r>
        <w:rPr>
          <w:rFonts w:ascii="Arial" w:cs="Arial" w:eastAsia="Arial" w:hAnsi="Arial"/>
          <w:sz w:val="21"/>
          <w:szCs w:val="21"/>
          <w:color w:val="auto"/>
        </w:rPr>
        <w:t>”) would subject Executive to the excise tax under Section 4999 of the Code, the Accounting Firm (as defined below) shall determine whether to reduce any of the Payments paid or payable pursuant to this Agreement (the “</w:t>
      </w:r>
      <w:r>
        <w:rPr>
          <w:rFonts w:ascii="Arial" w:cs="Arial" w:eastAsia="Arial" w:hAnsi="Arial"/>
          <w:sz w:val="21"/>
          <w:szCs w:val="21"/>
          <w:b w:val="1"/>
          <w:bCs w:val="1"/>
          <w:color w:val="auto"/>
        </w:rPr>
        <w:t>Agreement Payments</w:t>
      </w:r>
      <w:r>
        <w:rPr>
          <w:rFonts w:ascii="Arial" w:cs="Arial" w:eastAsia="Arial" w:hAnsi="Arial"/>
          <w:sz w:val="21"/>
          <w:szCs w:val="21"/>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88" w:lineRule="exact"/>
        <w:rPr>
          <w:rFonts w:ascii="Arial" w:cs="Arial" w:eastAsia="Arial" w:hAnsi="Arial"/>
          <w:sz w:val="21"/>
          <w:szCs w:val="21"/>
          <w:color w:val="auto"/>
        </w:rPr>
      </w:pPr>
    </w:p>
    <w:p>
      <w:pPr>
        <w:jc w:val="both"/>
        <w:ind w:firstLine="1304"/>
        <w:spacing w:after="0" w:line="243" w:lineRule="auto"/>
        <w:tabs>
          <w:tab w:leader="none" w:pos="1944" w:val="left"/>
        </w:tabs>
        <w:numPr>
          <w:ilvl w:val="0"/>
          <w:numId w:val="389"/>
        </w:numPr>
        <w:rPr>
          <w:rFonts w:ascii="Arial" w:cs="Arial" w:eastAsia="Arial" w:hAnsi="Arial"/>
          <w:sz w:val="21"/>
          <w:szCs w:val="21"/>
          <w:color w:val="auto"/>
        </w:rPr>
      </w:pPr>
      <w:r>
        <w:rPr>
          <w:rFonts w:ascii="Arial" w:cs="Arial" w:eastAsia="Arial" w:hAnsi="Arial"/>
          <w:sz w:val="21"/>
          <w:szCs w:val="21"/>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Arial" w:cs="Arial" w:eastAsia="Arial" w:hAnsi="Arial"/>
          <w:sz w:val="21"/>
          <w:szCs w:val="21"/>
          <w:b w:val="1"/>
          <w:bCs w:val="1"/>
          <w:color w:val="auto"/>
        </w:rPr>
        <w:t>24(c)</w:t>
      </w:r>
      <w:r>
        <w:rPr>
          <w:rFonts w:ascii="Arial" w:cs="Arial" w:eastAsia="Arial" w:hAnsi="Arial"/>
          <w:sz w:val="21"/>
          <w:szCs w:val="21"/>
          <w:color w:val="auto"/>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4" w:name="page375"/>
    <w:bookmarkEnd w:id="374"/>
    <w:p>
      <w:pPr>
        <w:jc w:val="both"/>
        <w:ind w:firstLine="1304"/>
        <w:spacing w:after="0" w:line="270" w:lineRule="auto"/>
        <w:tabs>
          <w:tab w:leader="none" w:pos="1944" w:val="left"/>
        </w:tabs>
        <w:numPr>
          <w:ilvl w:val="0"/>
          <w:numId w:val="390"/>
        </w:numPr>
        <w:rPr>
          <w:rFonts w:ascii="Arial" w:cs="Arial" w:eastAsia="Arial" w:hAnsi="Arial"/>
          <w:sz w:val="19"/>
          <w:szCs w:val="19"/>
          <w:color w:val="auto"/>
        </w:rPr>
      </w:pPr>
      <w:r>
        <w:rPr>
          <w:rFonts w:ascii="Arial" w:cs="Arial" w:eastAsia="Arial" w:hAnsi="Arial"/>
          <w:sz w:val="19"/>
          <w:szCs w:val="19"/>
          <w:color w:val="auto"/>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 “</w:t>
      </w:r>
      <w:r>
        <w:rPr>
          <w:rFonts w:ascii="Arial" w:cs="Arial" w:eastAsia="Arial" w:hAnsi="Arial"/>
          <w:sz w:val="19"/>
          <w:szCs w:val="19"/>
          <w:b w:val="1"/>
          <w:bCs w:val="1"/>
          <w:color w:val="auto"/>
        </w:rPr>
        <w:t>Overpayment</w:t>
      </w:r>
      <w:r>
        <w:rPr>
          <w:rFonts w:ascii="Arial" w:cs="Arial" w:eastAsia="Arial" w:hAnsi="Arial"/>
          <w:sz w:val="19"/>
          <w:szCs w:val="19"/>
          <w:color w:val="auto"/>
        </w:rPr>
        <w:t>”) or that additional amounts that shall have not been paid or distributed by the Company to or for the benefit of Executive pursuant to this Agreement could have been so paid or distributed (each, an “</w:t>
      </w:r>
      <w:r>
        <w:rPr>
          <w:rFonts w:ascii="Arial" w:cs="Arial" w:eastAsia="Arial" w:hAnsi="Arial"/>
          <w:sz w:val="19"/>
          <w:szCs w:val="19"/>
          <w:b w:val="1"/>
          <w:bCs w:val="1"/>
          <w:color w:val="auto"/>
        </w:rPr>
        <w:t>Underpayment</w:t>
      </w:r>
      <w:r>
        <w:rPr>
          <w:rFonts w:ascii="Arial" w:cs="Arial" w:eastAsia="Arial" w:hAnsi="Arial"/>
          <w:sz w:val="19"/>
          <w:szCs w:val="19"/>
          <w:color w:val="auto"/>
        </w:rPr>
        <w:t xml:space="preserve">”), in each case, consistent with the calculation of the Reduced Amount hereunder. In the event that the Accounting Firm, based upon the assertion of a 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390"/>
        </w:numPr>
        <w:rPr>
          <w:rFonts w:ascii="Arial" w:cs="Arial" w:eastAsia="Arial" w:hAnsi="Arial"/>
          <w:sz w:val="19"/>
          <w:szCs w:val="19"/>
          <w:color w:val="auto"/>
        </w:rPr>
      </w:pPr>
      <w:r>
        <w:rPr>
          <w:rFonts w:ascii="Arial" w:cs="Arial" w:eastAsia="Arial" w:hAnsi="Arial"/>
          <w:sz w:val="19"/>
          <w:szCs w:val="19"/>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58" w:lineRule="exact"/>
        <w:rPr>
          <w:rFonts w:ascii="Arial" w:cs="Arial" w:eastAsia="Arial" w:hAnsi="Arial"/>
          <w:sz w:val="19"/>
          <w:szCs w:val="19"/>
          <w:color w:val="auto"/>
        </w:rPr>
      </w:pPr>
    </w:p>
    <w:p>
      <w:pPr>
        <w:ind w:left="1960" w:hanging="656"/>
        <w:spacing w:after="0"/>
        <w:tabs>
          <w:tab w:leader="none" w:pos="1960" w:val="left"/>
        </w:tabs>
        <w:numPr>
          <w:ilvl w:val="0"/>
          <w:numId w:val="390"/>
        </w:numPr>
        <w:rPr>
          <w:rFonts w:ascii="Arial" w:cs="Arial" w:eastAsia="Arial" w:hAnsi="Arial"/>
          <w:sz w:val="21"/>
          <w:szCs w:val="21"/>
          <w:color w:val="auto"/>
        </w:rPr>
      </w:pPr>
      <w:r>
        <w:rPr>
          <w:rFonts w:ascii="Arial" w:cs="Arial" w:eastAsia="Arial" w:hAnsi="Arial"/>
          <w:sz w:val="21"/>
          <w:szCs w:val="21"/>
          <w:color w:val="auto"/>
        </w:rPr>
        <w:t>The following terms shall have the following meanings for purposes of this Section 8:</w:t>
      </w:r>
    </w:p>
    <w:p>
      <w:pPr>
        <w:spacing w:after="0" w:line="211" w:lineRule="exact"/>
        <w:rPr>
          <w:rFonts w:ascii="Arial" w:cs="Arial" w:eastAsia="Arial" w:hAnsi="Arial"/>
          <w:sz w:val="21"/>
          <w:szCs w:val="21"/>
          <w:color w:val="auto"/>
        </w:rPr>
      </w:pPr>
    </w:p>
    <w:p>
      <w:pPr>
        <w:jc w:val="both"/>
        <w:ind w:left="180" w:firstLine="1934"/>
        <w:spacing w:after="0" w:line="249" w:lineRule="auto"/>
        <w:tabs>
          <w:tab w:leader="none" w:pos="2610" w:val="left"/>
        </w:tabs>
        <w:numPr>
          <w:ilvl w:val="1"/>
          <w:numId w:val="39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Accounting Firm</w:t>
      </w:r>
      <w:r>
        <w:rPr>
          <w:rFonts w:ascii="Arial" w:cs="Arial" w:eastAsia="Arial" w:hAnsi="Arial"/>
          <w:sz w:val="21"/>
          <w:szCs w:val="21"/>
          <w:color w:val="auto"/>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spacing w:after="0" w:line="170" w:lineRule="exact"/>
        <w:rPr>
          <w:rFonts w:ascii="Arial" w:cs="Arial" w:eastAsia="Arial" w:hAnsi="Arial"/>
          <w:sz w:val="21"/>
          <w:szCs w:val="21"/>
          <w:color w:val="auto"/>
        </w:rPr>
      </w:pPr>
    </w:p>
    <w:p>
      <w:pPr>
        <w:jc w:val="both"/>
        <w:ind w:left="180" w:firstLine="1934"/>
        <w:spacing w:after="0" w:line="239" w:lineRule="auto"/>
        <w:tabs>
          <w:tab w:leader="none" w:pos="2610" w:val="left"/>
        </w:tabs>
        <w:numPr>
          <w:ilvl w:val="1"/>
          <w:numId w:val="3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Net After-Tax Receipt</w:t>
      </w:r>
      <w:r>
        <w:rPr>
          <w:rFonts w:ascii="Arial" w:cs="Arial" w:eastAsia="Arial" w:hAnsi="Arial"/>
          <w:sz w:val="22"/>
          <w:szCs w:val="22"/>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5" w:name="page376"/>
    <w:bookmarkEnd w:id="375"/>
    <w:p>
      <w:pPr>
        <w:jc w:val="both"/>
        <w:ind w:left="180"/>
        <w:spacing w:after="0"/>
        <w:rPr>
          <w:sz w:val="20"/>
          <w:szCs w:val="20"/>
          <w:color w:val="auto"/>
        </w:rPr>
      </w:pPr>
      <w:r>
        <w:rPr>
          <w:rFonts w:ascii="Arial" w:cs="Arial" w:eastAsia="Arial" w:hAnsi="Arial"/>
          <w:sz w:val="22"/>
          <w:szCs w:val="22"/>
          <w:color w:val="auto"/>
        </w:rPr>
        <w:t>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81" w:lineRule="exact"/>
        <w:rPr>
          <w:sz w:val="20"/>
          <w:szCs w:val="20"/>
          <w:color w:val="auto"/>
        </w:rPr>
      </w:pPr>
    </w:p>
    <w:p>
      <w:pPr>
        <w:jc w:val="both"/>
        <w:ind w:left="180" w:firstLine="1934"/>
        <w:spacing w:after="0" w:line="237" w:lineRule="auto"/>
        <w:tabs>
          <w:tab w:leader="none" w:pos="2610" w:val="left"/>
        </w:tabs>
        <w:numPr>
          <w:ilvl w:val="1"/>
          <w:numId w:val="3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Parachute Value</w:t>
      </w:r>
      <w:r>
        <w:rPr>
          <w:rFonts w:ascii="Arial" w:cs="Arial" w:eastAsia="Arial" w:hAnsi="Arial"/>
          <w:sz w:val="22"/>
          <w:szCs w:val="22"/>
          <w:color w:val="auto"/>
        </w:rPr>
        <w:t>” 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shall apply to such Payment.</w:t>
      </w:r>
    </w:p>
    <w:p>
      <w:pPr>
        <w:spacing w:after="0" w:line="181" w:lineRule="exact"/>
        <w:rPr>
          <w:rFonts w:ascii="Arial" w:cs="Arial" w:eastAsia="Arial" w:hAnsi="Arial"/>
          <w:sz w:val="22"/>
          <w:szCs w:val="22"/>
          <w:color w:val="auto"/>
        </w:rPr>
      </w:pPr>
    </w:p>
    <w:p>
      <w:pPr>
        <w:ind w:left="180" w:firstLine="1934"/>
        <w:spacing w:after="0" w:line="256" w:lineRule="auto"/>
        <w:tabs>
          <w:tab w:leader="none" w:pos="2610" w:val="left"/>
        </w:tabs>
        <w:numPr>
          <w:ilvl w:val="1"/>
          <w:numId w:val="3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Safe Harbor Amount</w:t>
      </w:r>
      <w:r>
        <w:rPr>
          <w:rFonts w:ascii="Arial" w:cs="Arial" w:eastAsia="Arial" w:hAnsi="Arial"/>
          <w:sz w:val="22"/>
          <w:szCs w:val="22"/>
          <w:color w:val="auto"/>
        </w:rPr>
        <w:t>” shall mean 2.99 times Executive’s “base amount,” within the meaning of Section 280G(b)(3) of the Code.</w:t>
      </w:r>
    </w:p>
    <w:p>
      <w:pPr>
        <w:spacing w:after="0" w:line="162" w:lineRule="exact"/>
        <w:rPr>
          <w:rFonts w:ascii="Arial" w:cs="Arial" w:eastAsia="Arial" w:hAnsi="Arial"/>
          <w:sz w:val="22"/>
          <w:szCs w:val="22"/>
          <w:color w:val="auto"/>
        </w:rPr>
      </w:pPr>
    </w:p>
    <w:p>
      <w:pPr>
        <w:jc w:val="both"/>
        <w:ind w:firstLine="1304"/>
        <w:spacing w:after="0" w:line="235" w:lineRule="auto"/>
        <w:tabs>
          <w:tab w:leader="none" w:pos="1944" w:val="left"/>
        </w:tabs>
        <w:numPr>
          <w:ilvl w:val="0"/>
          <w:numId w:val="392"/>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w:t>
      </w:r>
      <w:r>
        <w:rPr>
          <w:rFonts w:ascii="Arial" w:cs="Arial" w:eastAsia="Arial" w:hAnsi="Arial"/>
          <w:sz w:val="22"/>
          <w:szCs w:val="22"/>
          <w:color w:val="auto"/>
        </w:rPr>
        <w:t>. This Agreement is personal to Executive and without the prior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spacing w:after="0" w:line="183" w:lineRule="exact"/>
        <w:rPr>
          <w:rFonts w:ascii="Arial" w:cs="Arial" w:eastAsia="Arial" w:hAnsi="Arial"/>
          <w:sz w:val="22"/>
          <w:szCs w:val="22"/>
          <w:color w:val="auto"/>
        </w:rPr>
      </w:pPr>
    </w:p>
    <w:p>
      <w:pPr>
        <w:jc w:val="both"/>
        <w:ind w:firstLine="1304"/>
        <w:spacing w:after="0" w:line="271" w:lineRule="auto"/>
        <w:tabs>
          <w:tab w:leader="none" w:pos="1944" w:val="left"/>
        </w:tabs>
        <w:numPr>
          <w:ilvl w:val="0"/>
          <w:numId w:val="392"/>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The Company shall indemnify Executive and hold him harmless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960" w:hanging="656"/>
        <w:spacing w:after="0"/>
        <w:tabs>
          <w:tab w:leader="none" w:pos="1960" w:val="left"/>
        </w:tabs>
        <w:numPr>
          <w:ilvl w:val="0"/>
          <w:numId w:val="392"/>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39" w:lineRule="auto"/>
        <w:tabs>
          <w:tab w:leader="none" w:pos="1944" w:val="left"/>
        </w:tabs>
        <w:numPr>
          <w:ilvl w:val="0"/>
          <w:numId w:val="393"/>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Dispute Resolution</w:t>
      </w:r>
      <w:r>
        <w:rPr>
          <w:rFonts w:ascii="Arial" w:cs="Arial" w:eastAsia="Arial" w:hAnsi="Arial"/>
          <w:sz w:val="22"/>
          <w:szCs w:val="22"/>
          <w:color w:val="auto"/>
        </w:rPr>
        <w:t>. This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construed in accordance with the laws of the State of Arkansas, without reference to principles of conflict of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rights to indemnification shall be governed by and in accordance with the laws of the State of Delaware. The Parties irrevocably submit to the juris-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6" w:name="page377"/>
    <w:bookmarkEnd w:id="376"/>
    <w:p>
      <w:pPr>
        <w:jc w:val="both"/>
        <w:spacing w:after="0" w:line="244" w:lineRule="auto"/>
        <w:rPr>
          <w:sz w:val="20"/>
          <w:szCs w:val="20"/>
          <w:color w:val="auto"/>
        </w:rPr>
      </w:pPr>
      <w:r>
        <w:rPr>
          <w:rFonts w:ascii="Arial" w:cs="Arial" w:eastAsia="Arial" w:hAnsi="Arial"/>
          <w:sz w:val="21"/>
          <w:szCs w:val="21"/>
          <w:color w:val="auto"/>
        </w:rPr>
        <w:t>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 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spacing w:after="0" w:line="178" w:lineRule="exact"/>
        <w:rPr>
          <w:sz w:val="20"/>
          <w:szCs w:val="20"/>
          <w:color w:val="auto"/>
        </w:rPr>
      </w:pPr>
    </w:p>
    <w:p>
      <w:pPr>
        <w:jc w:val="both"/>
        <w:ind w:firstLine="1304"/>
        <w:spacing w:after="0" w:line="243" w:lineRule="auto"/>
        <w:tabs>
          <w:tab w:leader="none" w:pos="1944" w:val="left"/>
        </w:tabs>
        <w:numPr>
          <w:ilvl w:val="0"/>
          <w:numId w:val="394"/>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and other communications hereunder shall be in writing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given by hand delivery to the other party or by registered or certified mail, return receipt requested, postage prepaid, addressed as follows: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Executive</w:t>
      </w:r>
      <w:r>
        <w:rPr>
          <w:rFonts w:ascii="Arial" w:cs="Arial" w:eastAsia="Arial" w:hAnsi="Arial"/>
          <w:sz w:val="22"/>
          <w:szCs w:val="22"/>
          <w:color w:val="auto"/>
        </w:rPr>
        <w:t>: To the most recent address on file with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r>
        <w:rPr>
          <w:rFonts w:ascii="Arial" w:cs="Arial" w:eastAsia="Arial" w:hAnsi="Arial"/>
          <w:sz w:val="16"/>
          <w:szCs w:val="16"/>
          <w:color w:val="auto"/>
        </w:rPr>
        <w:t>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Westrock Coffee Company</w:t>
      </w:r>
    </w:p>
    <w:p>
      <w:pPr>
        <w:ind w:left="1300"/>
        <w:spacing w:after="0" w:line="238" w:lineRule="auto"/>
        <w:rPr>
          <w:sz w:val="20"/>
          <w:szCs w:val="20"/>
          <w:color w:val="auto"/>
        </w:rPr>
      </w:pPr>
      <w:r>
        <w:rPr>
          <w:rFonts w:ascii="Arial" w:cs="Arial" w:eastAsia="Arial" w:hAnsi="Arial"/>
          <w:sz w:val="22"/>
          <w:szCs w:val="22"/>
          <w:color w:val="auto"/>
        </w:rPr>
        <w:t>100 River Bluff Drive, Suite 210</w:t>
      </w:r>
    </w:p>
    <w:p>
      <w:pPr>
        <w:ind w:left="1300"/>
        <w:spacing w:after="0" w:line="230" w:lineRule="auto"/>
        <w:rPr>
          <w:sz w:val="20"/>
          <w:szCs w:val="20"/>
          <w:color w:val="auto"/>
        </w:rPr>
      </w:pPr>
      <w:r>
        <w:rPr>
          <w:rFonts w:ascii="Arial" w:cs="Arial" w:eastAsia="Arial" w:hAnsi="Arial"/>
          <w:sz w:val="22"/>
          <w:szCs w:val="22"/>
          <w:color w:val="auto"/>
        </w:rPr>
        <w:t>Little Rock, AR 72202</w:t>
      </w:r>
    </w:p>
    <w:p>
      <w:pPr>
        <w:ind w:left="1300"/>
        <w:spacing w:after="0" w:line="231" w:lineRule="auto"/>
        <w:rPr>
          <w:sz w:val="20"/>
          <w:szCs w:val="20"/>
          <w:color w:val="auto"/>
        </w:rPr>
      </w:pPr>
      <w:r>
        <w:rPr>
          <w:rFonts w:ascii="Arial" w:cs="Arial" w:eastAsia="Arial" w:hAnsi="Arial"/>
          <w:sz w:val="22"/>
          <w:szCs w:val="22"/>
          <w:color w:val="auto"/>
        </w:rPr>
        <w:t>Attn: Chief Legal Officer</w:t>
      </w:r>
    </w:p>
    <w:p>
      <w:pPr>
        <w:ind w:left="1300"/>
        <w:spacing w:after="0" w:line="230" w:lineRule="auto"/>
        <w:rPr>
          <w:sz w:val="20"/>
          <w:szCs w:val="20"/>
          <w:color w:val="auto"/>
        </w:rPr>
      </w:pPr>
      <w:r>
        <w:rPr>
          <w:rFonts w:ascii="Arial" w:cs="Arial" w:eastAsia="Arial" w:hAnsi="Arial"/>
          <w:sz w:val="22"/>
          <w:szCs w:val="22"/>
          <w:color w:val="auto"/>
        </w:rPr>
        <w:t>Email: mckinneyb@westrockcoffee.com</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Phone: 704-782-3121</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6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b w:val="1"/>
          <w:bCs w:val="1"/>
          <w:u w:val="single" w:color="auto"/>
          <w:color w:val="auto"/>
        </w:rPr>
        <w:t>Acknowledgements</w:t>
      </w:r>
      <w:r>
        <w:rPr>
          <w:rFonts w:ascii="Arial" w:cs="Arial" w:eastAsia="Arial" w:hAnsi="Arial"/>
          <w:sz w:val="21"/>
          <w:szCs w:val="21"/>
          <w:color w:val="auto"/>
        </w:rPr>
        <w:t>. 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spacing w:after="0" w:line="17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b w:val="1"/>
          <w:bCs w:val="1"/>
          <w:u w:val="single" w:color="auto"/>
          <w:color w:val="auto"/>
        </w:rPr>
        <w:t>Invalidity</w:t>
      </w:r>
      <w:r>
        <w:rPr>
          <w:rFonts w:ascii="Arial" w:cs="Arial" w:eastAsia="Arial" w:hAnsi="Arial"/>
          <w:sz w:val="22"/>
          <w:szCs w:val="22"/>
          <w:color w:val="auto"/>
        </w:rPr>
        <w:t>. If any term or provision of this Agreement or the application thereof to any person or circumstance shall to any extent be invalid or unenforceable, the remainder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206375</wp:posOffset>
            </wp:positionV>
            <wp:extent cx="15684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Note to Draft</w:t>
      </w:r>
      <w:r>
        <w:rPr>
          <w:rFonts w:ascii="Arial" w:cs="Arial" w:eastAsia="Arial" w:hAnsi="Arial"/>
          <w:sz w:val="18"/>
          <w:szCs w:val="18"/>
          <w:color w:val="auto"/>
        </w:rPr>
        <w:t>: Please confirm notice provision.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7" w:name="page378"/>
    <w:bookmarkEnd w:id="377"/>
    <w:p>
      <w:pPr>
        <w:jc w:val="both"/>
        <w:spacing w:after="0"/>
        <w:rPr>
          <w:sz w:val="20"/>
          <w:szCs w:val="20"/>
          <w:color w:val="auto"/>
        </w:rPr>
      </w:pPr>
      <w:r>
        <w:rPr>
          <w:rFonts w:ascii="Arial" w:cs="Arial" w:eastAsia="Arial" w:hAnsi="Arial"/>
          <w:sz w:val="22"/>
          <w:szCs w:val="22"/>
          <w:color w:val="auto"/>
        </w:rPr>
        <w:t>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81" w:lineRule="exact"/>
        <w:rPr>
          <w:sz w:val="20"/>
          <w:szCs w:val="20"/>
          <w:color w:val="auto"/>
        </w:rPr>
      </w:pPr>
    </w:p>
    <w:p>
      <w:pPr>
        <w:jc w:val="both"/>
        <w:ind w:firstLine="1304"/>
        <w:spacing w:after="0" w:line="243" w:lineRule="auto"/>
        <w:tabs>
          <w:tab w:leader="none" w:pos="1944" w:val="left"/>
        </w:tabs>
        <w:numPr>
          <w:ilvl w:val="0"/>
          <w:numId w:val="395"/>
        </w:numPr>
        <w:rPr>
          <w:rFonts w:ascii="Arial" w:cs="Arial" w:eastAsia="Arial" w:hAnsi="Arial"/>
          <w:sz w:val="22"/>
          <w:szCs w:val="22"/>
          <w:color w:val="auto"/>
        </w:rPr>
      </w:pPr>
      <w:r>
        <w:rPr>
          <w:rFonts w:ascii="Arial" w:cs="Arial" w:eastAsia="Arial" w:hAnsi="Arial"/>
          <w:sz w:val="22"/>
          <w:szCs w:val="22"/>
          <w:b w:val="1"/>
          <w:bCs w:val="1"/>
          <w:u w:val="single" w:color="auto"/>
          <w:color w:val="auto"/>
        </w:rPr>
        <w:t>Survivability</w:t>
      </w:r>
      <w:r>
        <w:rPr>
          <w:rFonts w:ascii="Arial" w:cs="Arial" w:eastAsia="Arial" w:hAnsi="Arial"/>
          <w:sz w:val="22"/>
          <w:szCs w:val="22"/>
          <w:color w:val="auto"/>
        </w:rPr>
        <w:t>. The provisions of this Agreement that by their terms call for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 to the termination of either Executive’s employment or this Agreement (including the terms of Sections 5, 7, 8 and 10) shall so survive such termination.</w:t>
      </w:r>
    </w:p>
    <w:p>
      <w:pPr>
        <w:spacing w:after="0" w:line="176" w:lineRule="exact"/>
        <w:rPr>
          <w:rFonts w:ascii="Arial" w:cs="Arial" w:eastAsia="Arial" w:hAnsi="Arial"/>
          <w:sz w:val="22"/>
          <w:szCs w:val="22"/>
          <w:color w:val="auto"/>
        </w:rPr>
      </w:pPr>
    </w:p>
    <w:p>
      <w:pPr>
        <w:jc w:val="both"/>
        <w:ind w:firstLine="1304"/>
        <w:spacing w:after="0" w:line="260" w:lineRule="auto"/>
        <w:tabs>
          <w:tab w:leader="none" w:pos="1944" w:val="left"/>
        </w:tabs>
        <w:numPr>
          <w:ilvl w:val="0"/>
          <w:numId w:val="395"/>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Headings; Construction</w:t>
      </w:r>
      <w:r>
        <w:rPr>
          <w:rFonts w:ascii="Arial" w:cs="Arial" w:eastAsia="Arial" w:hAnsi="Arial"/>
          <w:sz w:val="21"/>
          <w:szCs w:val="21"/>
          <w:color w:val="auto"/>
        </w:rPr>
        <w:t>. The section headings used in this Agreement are</w:t>
      </w:r>
      <w:r>
        <w:rPr>
          <w:rFonts w:ascii="Arial" w:cs="Arial" w:eastAsia="Arial" w:hAnsi="Arial"/>
          <w:sz w:val="21"/>
          <w:szCs w:val="21"/>
          <w:b w:val="1"/>
          <w:bCs w:val="1"/>
          <w:color w:val="auto"/>
        </w:rPr>
        <w:t xml:space="preserve"> </w:t>
      </w:r>
      <w:r>
        <w:rPr>
          <w:rFonts w:ascii="Arial" w:cs="Arial" w:eastAsia="Arial" w:hAnsi="Arial"/>
          <w:sz w:val="21"/>
          <w:szCs w:val="21"/>
          <w:color w:val="auto"/>
        </w:rPr>
        <w:t>included solely for convenience and shall not affect, or be used in connection with, the interpretation hereof. For purposes of this Agreement, the term “including” shall mean “including, without limitation.”</w:t>
      </w:r>
    </w:p>
    <w:p>
      <w:pPr>
        <w:spacing w:after="0" w:line="160" w:lineRule="exact"/>
        <w:rPr>
          <w:rFonts w:ascii="Arial" w:cs="Arial" w:eastAsia="Arial" w:hAnsi="Arial"/>
          <w:sz w:val="21"/>
          <w:szCs w:val="21"/>
          <w:color w:val="auto"/>
        </w:rPr>
      </w:pPr>
    </w:p>
    <w:p>
      <w:pPr>
        <w:ind w:firstLine="1304"/>
        <w:spacing w:after="0" w:line="334" w:lineRule="auto"/>
        <w:tabs>
          <w:tab w:leader="none" w:pos="1944" w:val="left"/>
        </w:tabs>
        <w:numPr>
          <w:ilvl w:val="0"/>
          <w:numId w:val="395"/>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several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be an original but all of which together shall constitute one and the same instrument.</w:t>
      </w:r>
    </w:p>
    <w:p>
      <w:pPr>
        <w:spacing w:after="0" w:line="93"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395"/>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 The Company may withhold from any amounts payable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such Federal, state, local or foreign taxes as shall be required to be withheld pursuant to any applicable law or regulation.</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395"/>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934"/>
        <w:spacing w:after="0" w:line="273" w:lineRule="auto"/>
        <w:tabs>
          <w:tab w:leader="none" w:pos="2610" w:val="left"/>
        </w:tabs>
        <w:numPr>
          <w:ilvl w:val="1"/>
          <w:numId w:val="395"/>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It is intended that payments and benefits made or provided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spacing w:after="0" w:line="149" w:lineRule="exact"/>
        <w:rPr>
          <w:rFonts w:ascii="Arial" w:cs="Arial" w:eastAsia="Arial" w:hAnsi="Arial"/>
          <w:sz w:val="19"/>
          <w:szCs w:val="19"/>
          <w:color w:val="auto"/>
        </w:rPr>
      </w:pPr>
    </w:p>
    <w:p>
      <w:pPr>
        <w:jc w:val="both"/>
        <w:ind w:left="180" w:firstLine="1934"/>
        <w:spacing w:after="0" w:line="276" w:lineRule="auto"/>
        <w:tabs>
          <w:tab w:leader="none" w:pos="2610" w:val="left"/>
        </w:tabs>
        <w:numPr>
          <w:ilvl w:val="1"/>
          <w:numId w:val="395"/>
        </w:numPr>
        <w:rPr>
          <w:rFonts w:ascii="Arial" w:cs="Arial" w:eastAsia="Arial" w:hAnsi="Arial"/>
          <w:sz w:val="19"/>
          <w:szCs w:val="19"/>
          <w:color w:val="auto"/>
        </w:rPr>
      </w:pPr>
      <w:r>
        <w:rPr>
          <w:rFonts w:ascii="Arial" w:cs="Arial" w:eastAsia="Arial" w:hAnsi="Arial"/>
          <w:sz w:val="19"/>
          <w:szCs w:val="19"/>
          <w:b w:val="1"/>
          <w:bCs w:val="1"/>
          <w:u w:val="single" w:color="auto"/>
          <w:color w:val="auto"/>
        </w:rPr>
        <w:t>Reimbursements and In-Kind Benefits</w:t>
      </w:r>
      <w:r>
        <w:rPr>
          <w:rFonts w:ascii="Arial" w:cs="Arial" w:eastAsia="Arial" w:hAnsi="Arial"/>
          <w:sz w:val="19"/>
          <w:szCs w:val="19"/>
          <w:color w:val="auto"/>
        </w:rPr>
        <w:t>. Notwithstanding anything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8" w:name="page379"/>
    <w:bookmarkEnd w:id="378"/>
    <w:p>
      <w:pPr>
        <w:ind w:left="180"/>
        <w:spacing w:after="0" w:line="251" w:lineRule="auto"/>
        <w:rPr>
          <w:sz w:val="20"/>
          <w:szCs w:val="20"/>
          <w:color w:val="auto"/>
        </w:rPr>
      </w:pPr>
      <w:r>
        <w:rPr>
          <w:rFonts w:ascii="Arial" w:cs="Arial" w:eastAsia="Arial" w:hAnsi="Arial"/>
          <w:sz w:val="22"/>
          <w:szCs w:val="22"/>
          <w:color w:val="auto"/>
        </w:rPr>
        <w:t>year following the year in which the expense is incurred; and (D) the right to reimbursement or in-kind benefits is not subject to liquidation or exchange for another benefit.</w:t>
      </w:r>
    </w:p>
    <w:p>
      <w:pPr>
        <w:spacing w:after="0" w:line="167" w:lineRule="exact"/>
        <w:rPr>
          <w:sz w:val="20"/>
          <w:szCs w:val="20"/>
          <w:color w:val="auto"/>
        </w:rPr>
      </w:pPr>
    </w:p>
    <w:p>
      <w:pPr>
        <w:jc w:val="both"/>
        <w:ind w:left="180" w:firstLine="1934"/>
        <w:spacing w:after="0" w:line="273" w:lineRule="auto"/>
        <w:tabs>
          <w:tab w:leader="none" w:pos="2610" w:val="left"/>
        </w:tabs>
        <w:numPr>
          <w:ilvl w:val="1"/>
          <w:numId w:val="396"/>
        </w:numPr>
        <w:rPr>
          <w:rFonts w:ascii="Arial" w:cs="Arial" w:eastAsia="Arial" w:hAnsi="Arial"/>
          <w:sz w:val="19"/>
          <w:szCs w:val="19"/>
          <w:color w:val="auto"/>
        </w:rPr>
      </w:pPr>
      <w:r>
        <w:rPr>
          <w:rFonts w:ascii="Arial" w:cs="Arial" w:eastAsia="Arial" w:hAnsi="Arial"/>
          <w:sz w:val="19"/>
          <w:szCs w:val="19"/>
          <w:b w:val="1"/>
          <w:bCs w:val="1"/>
          <w:u w:val="single" w:color="auto"/>
          <w:color w:val="auto"/>
        </w:rPr>
        <w:t>Delay of Payments</w:t>
      </w:r>
      <w:r>
        <w:rPr>
          <w:rFonts w:ascii="Arial" w:cs="Arial" w:eastAsia="Arial" w:hAnsi="Arial"/>
          <w:sz w:val="19"/>
          <w:szCs w:val="19"/>
          <w:color w:val="auto"/>
        </w:rPr>
        <w:t>. Notwithstanding any other provision of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(as determined in accordance with Section 409A of the Code) on account of Executive’s separation from service shall be accumulated and paid to Executive on the first business day of the seventh month following Executive’s separation from service (the “</w:t>
      </w:r>
      <w:r>
        <w:rPr>
          <w:rFonts w:ascii="Arial" w:cs="Arial" w:eastAsia="Arial" w:hAnsi="Arial"/>
          <w:sz w:val="19"/>
          <w:szCs w:val="19"/>
          <w:b w:val="1"/>
          <w:bCs w:val="1"/>
          <w:color w:val="auto"/>
        </w:rPr>
        <w:t>Delayed Payment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to the extent necessary to prevent the imposition of tax penalties on Executive under Section 409A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spacing w:after="0" w:line="149" w:lineRule="exact"/>
        <w:rPr>
          <w:rFonts w:ascii="Arial" w:cs="Arial" w:eastAsia="Arial" w:hAnsi="Arial"/>
          <w:sz w:val="19"/>
          <w:szCs w:val="19"/>
          <w:color w:val="auto"/>
        </w:rPr>
      </w:pPr>
    </w:p>
    <w:p>
      <w:pPr>
        <w:jc w:val="both"/>
        <w:ind w:firstLine="1304"/>
        <w:spacing w:after="0" w:line="278" w:lineRule="auto"/>
        <w:tabs>
          <w:tab w:leader="none" w:pos="1944" w:val="left"/>
        </w:tabs>
        <w:numPr>
          <w:ilvl w:val="0"/>
          <w:numId w:val="397"/>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No provision of this Agreement shall be modified or amended except by an</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spacing w:after="0" w:line="145" w:lineRule="exact"/>
        <w:rPr>
          <w:rFonts w:ascii="Arial" w:cs="Arial" w:eastAsia="Arial" w:hAnsi="Arial"/>
          <w:sz w:val="19"/>
          <w:szCs w:val="19"/>
          <w:color w:val="auto"/>
        </w:rPr>
      </w:pPr>
    </w:p>
    <w:p>
      <w:pPr>
        <w:jc w:val="both"/>
        <w:ind w:firstLine="1304"/>
        <w:spacing w:after="0" w:line="276" w:lineRule="auto"/>
        <w:tabs>
          <w:tab w:leader="none" w:pos="1944" w:val="left"/>
        </w:tabs>
        <w:numPr>
          <w:ilvl w:val="0"/>
          <w:numId w:val="397"/>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constitutes the entire agreement of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in respect of the terms and conditions of Executive’s employment with the Company and its Affiliates, including Executive’s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9" w:name="page380"/>
    <w:bookmarkEnd w:id="379"/>
    <w:p>
      <w:pPr>
        <w:spacing w:after="0" w:line="25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Executive and the Company have caused this Agreement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effective as of the Effective Date.</w:t>
      </w:r>
    </w:p>
    <w:p>
      <w:pPr>
        <w:spacing w:after="0" w:line="17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6985</wp:posOffset>
            </wp:positionV>
            <wp:extent cx="31375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Scott T. Ford</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WESTROCK COFFEE COMPANY</w:t>
      </w:r>
    </w:p>
    <w:p>
      <w:pPr>
        <w:spacing w:after="0" w:line="23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By:/s/ Bob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6985</wp:posOffset>
            </wp:positionV>
            <wp:extent cx="29317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5300"/>
        <w:spacing w:after="0"/>
        <w:rPr>
          <w:sz w:val="20"/>
          <w:szCs w:val="20"/>
          <w:color w:val="auto"/>
        </w:rPr>
      </w:pPr>
      <w:r>
        <w:rPr>
          <w:rFonts w:ascii="Arial" w:cs="Arial" w:eastAsia="Arial" w:hAnsi="Arial"/>
          <w:sz w:val="22"/>
          <w:szCs w:val="22"/>
          <w:color w:val="auto"/>
        </w:rPr>
        <w:t>Bob McKinney</w:t>
      </w:r>
    </w:p>
    <w:p>
      <w:pPr>
        <w:ind w:left="5300"/>
        <w:spacing w:after="0"/>
        <w:rPr>
          <w:sz w:val="20"/>
          <w:szCs w:val="20"/>
          <w:color w:val="auto"/>
        </w:rPr>
      </w:pPr>
      <w:r>
        <w:rPr>
          <w:rFonts w:ascii="Arial" w:cs="Arial" w:eastAsia="Arial" w:hAnsi="Arial"/>
          <w:sz w:val="22"/>
          <w:szCs w:val="22"/>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80" w:name="page381"/>
    <w:bookmarkEnd w:id="380"/>
    <w:p>
      <w:pPr>
        <w:jc w:val="center"/>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THIS GENERAL RELEASE OF CLAIMS </w:t>
      </w:r>
      <w:r>
        <w:rPr>
          <w:rFonts w:ascii="Arial" w:cs="Arial" w:eastAsia="Arial" w:hAnsi="Arial"/>
          <w:sz w:val="22"/>
          <w:szCs w:val="22"/>
          <w:color w:val="auto"/>
        </w:rPr>
        <w:t>(this “</w:t>
      </w:r>
      <w:r>
        <w:rPr>
          <w:rFonts w:ascii="Arial" w:cs="Arial" w:eastAsia="Arial" w:hAnsi="Arial"/>
          <w:sz w:val="22"/>
          <w:szCs w:val="22"/>
          <w:b w:val="1"/>
          <w:bCs w:val="1"/>
          <w:color w:val="auto"/>
        </w:rPr>
        <w:t>Release</w:t>
      </w:r>
      <w:r>
        <w:rPr>
          <w:rFonts w:ascii="Arial" w:cs="Arial" w:eastAsia="Arial" w:hAnsi="Arial"/>
          <w:sz w:val="22"/>
          <w:szCs w:val="22"/>
          <w:color w:val="auto"/>
        </w:rPr>
        <w:t>”) is executed by Scott T. Ford (“</w:t>
      </w:r>
      <w:r>
        <w:rPr>
          <w:rFonts w:ascii="Arial" w:cs="Arial" w:eastAsia="Arial" w:hAnsi="Arial"/>
          <w:sz w:val="22"/>
          <w:szCs w:val="22"/>
          <w:b w:val="1"/>
          <w:bCs w:val="1"/>
          <w:color w:val="auto"/>
        </w:rPr>
        <w:t>Executive</w:t>
      </w:r>
      <w:r>
        <w:rPr>
          <w:rFonts w:ascii="Arial" w:cs="Arial" w:eastAsia="Arial" w:hAnsi="Arial"/>
          <w:sz w:val="22"/>
          <w:szCs w:val="22"/>
          <w:color w:val="auto"/>
        </w:rPr>
        <w:t>”)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set forth on the signature page hereto. For purposes of this Release, reference is made to the Employment Agreement between Westrock Coffee Company (the “</w:t>
      </w:r>
      <w:r>
        <w:rPr>
          <w:rFonts w:ascii="Arial" w:cs="Arial" w:eastAsia="Arial" w:hAnsi="Arial"/>
          <w:sz w:val="22"/>
          <w:szCs w:val="22"/>
          <w:b w:val="1"/>
          <w:bCs w:val="1"/>
          <w:color w:val="auto"/>
        </w:rPr>
        <w:t>Company</w:t>
      </w:r>
      <w:r>
        <w:rPr>
          <w:rFonts w:ascii="Arial" w:cs="Arial" w:eastAsia="Arial" w:hAnsi="Arial"/>
          <w:sz w:val="22"/>
          <w:szCs w:val="22"/>
          <w:color w:val="auto"/>
        </w:rPr>
        <w:t>”) and Executive, dated as of [•], 2022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Terms that are capitalized but not defined herein shall have the meanings set forth in the Employment Agreement.</w:t>
      </w:r>
    </w:p>
    <w:p>
      <w:pPr>
        <w:spacing w:after="0" w:line="182" w:lineRule="exact"/>
        <w:rPr>
          <w:sz w:val="20"/>
          <w:szCs w:val="20"/>
          <w:color w:val="auto"/>
        </w:rPr>
      </w:pPr>
    </w:p>
    <w:p>
      <w:pPr>
        <w:ind w:left="660" w:hanging="328"/>
        <w:spacing w:after="0"/>
        <w:tabs>
          <w:tab w:leader="none" w:pos="660" w:val="left"/>
        </w:tabs>
        <w:numPr>
          <w:ilvl w:val="0"/>
          <w:numId w:val="398"/>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and Waiver of Claims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398"/>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In consideration of the payments and benefits afforded under the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after consultation with counsel, Executive and each of Executive’s respective heirs, executors, administrators, representatives, agents, successors and assigns (collectively, the “</w:t>
      </w:r>
      <w:r>
        <w:rPr>
          <w:rFonts w:ascii="Arial" w:cs="Arial" w:eastAsia="Arial" w:hAnsi="Arial"/>
          <w:sz w:val="19"/>
          <w:szCs w:val="19"/>
          <w:b w:val="1"/>
          <w:bCs w:val="1"/>
          <w:color w:val="auto"/>
        </w:rPr>
        <w:t>Releasors</w:t>
      </w:r>
      <w:r>
        <w:rPr>
          <w:rFonts w:ascii="Arial" w:cs="Arial" w:eastAsia="Arial" w:hAnsi="Arial"/>
          <w:sz w:val="19"/>
          <w:szCs w:val="19"/>
          <w:color w:val="auto"/>
        </w:rPr>
        <w:t>”) hereby irrevocably and unconditionally release and forever discharge the Company and its Affiliates and each of its officers, employees, directors and agents (“</w:t>
      </w:r>
      <w:r>
        <w:rPr>
          <w:rFonts w:ascii="Arial" w:cs="Arial" w:eastAsia="Arial" w:hAnsi="Arial"/>
          <w:sz w:val="19"/>
          <w:szCs w:val="19"/>
          <w:b w:val="1"/>
          <w:bCs w:val="1"/>
          <w:color w:val="auto"/>
        </w:rPr>
        <w:t>Releasees</w:t>
      </w:r>
      <w:r>
        <w:rPr>
          <w:rFonts w:ascii="Arial" w:cs="Arial" w:eastAsia="Arial" w:hAnsi="Arial"/>
          <w:sz w:val="19"/>
          <w:szCs w:val="19"/>
          <w:color w:val="auto"/>
        </w:rPr>
        <w:t>”) from any and all claims, actions, causes of action, rights, judgments, obligations, damages, demands, accountings or liabilities of whatever kind or character (collectively, “</w:t>
      </w:r>
      <w:r>
        <w:rPr>
          <w:rFonts w:ascii="Arial" w:cs="Arial" w:eastAsia="Arial" w:hAnsi="Arial"/>
          <w:sz w:val="19"/>
          <w:szCs w:val="19"/>
          <w:b w:val="1"/>
          <w:bCs w:val="1"/>
          <w:color w:val="auto"/>
        </w:rPr>
        <w:t>Claims</w:t>
      </w:r>
      <w:r>
        <w:rPr>
          <w:rFonts w:ascii="Arial" w:cs="Arial" w:eastAsia="Arial" w:hAnsi="Arial"/>
          <w:sz w:val="19"/>
          <w:szCs w:val="19"/>
          <w:color w:val="auto"/>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spacing w:after="0" w:line="152" w:lineRule="exact"/>
        <w:rPr>
          <w:rFonts w:ascii="Arial" w:cs="Arial" w:eastAsia="Arial" w:hAnsi="Arial"/>
          <w:sz w:val="19"/>
          <w:szCs w:val="19"/>
          <w:color w:val="auto"/>
        </w:rPr>
      </w:pPr>
    </w:p>
    <w:p>
      <w:pPr>
        <w:jc w:val="both"/>
        <w:ind w:firstLine="1304"/>
        <w:spacing w:after="0" w:line="244" w:lineRule="auto"/>
        <w:tabs>
          <w:tab w:leader="none" w:pos="1944" w:val="left"/>
        </w:tabs>
        <w:numPr>
          <w:ilvl w:val="1"/>
          <w:numId w:val="398"/>
        </w:numPr>
        <w:rPr>
          <w:rFonts w:ascii="Arial" w:cs="Arial" w:eastAsia="Arial" w:hAnsi="Arial"/>
          <w:sz w:val="21"/>
          <w:szCs w:val="21"/>
          <w:color w:val="auto"/>
        </w:rPr>
      </w:pPr>
      <w:r>
        <w:rPr>
          <w:rFonts w:ascii="Arial" w:cs="Arial" w:eastAsia="Arial" w:hAnsi="Arial"/>
          <w:sz w:val="21"/>
          <w:szCs w:val="21"/>
          <w:b w:val="1"/>
          <w:bCs w:val="1"/>
          <w:u w:val="single" w:color="auto"/>
          <w:color w:val="auto"/>
        </w:rPr>
        <w:t>Exceptions to Release</w:t>
      </w:r>
      <w:r>
        <w:rPr>
          <w:rFonts w:ascii="Arial" w:cs="Arial" w:eastAsia="Arial" w:hAnsi="Arial"/>
          <w:sz w:val="21"/>
          <w:szCs w:val="21"/>
          <w:color w:val="auto"/>
        </w:rPr>
        <w:t>. Notwithstanding anything contained herein to the contrary, this</w:t>
      </w:r>
      <w:r>
        <w:rPr>
          <w:rFonts w:ascii="Arial" w:cs="Arial" w:eastAsia="Arial" w:hAnsi="Arial"/>
          <w:sz w:val="21"/>
          <w:szCs w:val="21"/>
          <w:b w:val="1"/>
          <w:bCs w:val="1"/>
          <w:color w:val="auto"/>
        </w:rPr>
        <w:t xml:space="preserve"> </w:t>
      </w:r>
      <w:r>
        <w:rPr>
          <w:rFonts w:ascii="Arial" w:cs="Arial" w:eastAsia="Arial" w:hAnsi="Arial"/>
          <w:sz w:val="21"/>
          <w:szCs w:val="21"/>
          <w:color w:val="auto"/>
        </w:rPr>
        <w:t>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920750</wp:posOffset>
            </wp:positionV>
            <wp:extent cx="629221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81" w:name="page382"/>
    <w:bookmarkEnd w:id="381"/>
    <w:p>
      <w:pPr>
        <w:jc w:val="both"/>
        <w:spacing w:after="0" w:line="238" w:lineRule="auto"/>
        <w:rPr>
          <w:sz w:val="20"/>
          <w:szCs w:val="20"/>
          <w:color w:val="auto"/>
        </w:rPr>
      </w:pPr>
      <w:r>
        <w:rPr>
          <w:rFonts w:ascii="Arial" w:cs="Arial" w:eastAsia="Arial" w:hAnsi="Arial"/>
          <w:sz w:val="22"/>
          <w:szCs w:val="22"/>
          <w:color w:val="auto"/>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spacing w:after="0" w:line="179" w:lineRule="exact"/>
        <w:rPr>
          <w:sz w:val="20"/>
          <w:szCs w:val="20"/>
          <w:color w:val="auto"/>
        </w:rPr>
      </w:pPr>
    </w:p>
    <w:p>
      <w:pPr>
        <w:jc w:val="both"/>
        <w:ind w:firstLine="1304"/>
        <w:spacing w:after="0" w:line="271" w:lineRule="auto"/>
        <w:tabs>
          <w:tab w:leader="none" w:pos="1944" w:val="left"/>
        </w:tabs>
        <w:numPr>
          <w:ilvl w:val="1"/>
          <w:numId w:val="399"/>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Specific Release of ADEA Claims</w:t>
      </w:r>
      <w:r>
        <w:rPr>
          <w:rFonts w:ascii="Arial" w:cs="Arial" w:eastAsia="Arial" w:hAnsi="Arial"/>
          <w:sz w:val="19"/>
          <w:szCs w:val="19"/>
          <w:color w:val="auto"/>
        </w:rPr>
        <w:t>. In further consideration of the payments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Arial" w:cs="Arial" w:eastAsia="Arial" w:hAnsi="Arial"/>
          <w:sz w:val="19"/>
          <w:szCs w:val="19"/>
          <w:b w:val="1"/>
          <w:bCs w:val="1"/>
          <w:color w:val="auto"/>
        </w:rPr>
        <w:t>ADEA</w:t>
      </w:r>
      <w:r>
        <w:rPr>
          <w:rFonts w:ascii="Arial" w:cs="Arial" w:eastAsia="Arial" w:hAnsi="Arial"/>
          <w:sz w:val="19"/>
          <w:szCs w:val="19"/>
          <w:color w:val="auto"/>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Arial" w:cs="Arial" w:eastAsia="Arial" w:hAnsi="Arial"/>
          <w:sz w:val="19"/>
          <w:szCs w:val="19"/>
          <w:b w:val="1"/>
          <w:bCs w:val="1"/>
          <w:color w:val="auto"/>
        </w:rPr>
        <w:t>[twenty-one (21)] [forty-five (45)]</w:t>
      </w:r>
      <w:r>
        <w:rPr>
          <w:rFonts w:ascii="Arial" w:cs="Arial" w:eastAsia="Arial" w:hAnsi="Arial"/>
          <w:sz w:val="19"/>
          <w:szCs w:val="19"/>
          <w:color w:val="auto"/>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firstLine="1304"/>
        <w:spacing w:after="0" w:line="256" w:lineRule="auto"/>
        <w:tabs>
          <w:tab w:leader="none" w:pos="1944" w:val="left"/>
        </w:tabs>
        <w:numPr>
          <w:ilvl w:val="1"/>
          <w:numId w:val="399"/>
        </w:numPr>
        <w:rPr>
          <w:rFonts w:ascii="Arial" w:cs="Arial" w:eastAsia="Arial" w:hAnsi="Arial"/>
          <w:sz w:val="22"/>
          <w:szCs w:val="22"/>
          <w:color w:val="auto"/>
        </w:rPr>
      </w:pPr>
      <w:r>
        <w:rPr>
          <w:rFonts w:ascii="Arial" w:cs="Arial" w:eastAsia="Arial" w:hAnsi="Arial"/>
          <w:sz w:val="22"/>
          <w:szCs w:val="22"/>
          <w:b w:val="1"/>
          <w:bCs w:val="1"/>
          <w:u w:val="single" w:color="auto"/>
          <w:color w:val="auto"/>
        </w:rPr>
        <w:t>No Assignment</w:t>
      </w:r>
      <w:r>
        <w:rPr>
          <w:rFonts w:ascii="Arial" w:cs="Arial" w:eastAsia="Arial" w:hAnsi="Arial"/>
          <w:sz w:val="22"/>
          <w:szCs w:val="22"/>
          <w:color w:val="auto"/>
        </w:rPr>
        <w:t>. Executive represents and warrants that Executive has not assigned any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Claims being released under this Release.</w:t>
      </w:r>
    </w:p>
    <w:p>
      <w:pPr>
        <w:spacing w:after="0" w:line="162" w:lineRule="exact"/>
        <w:rPr>
          <w:rFonts w:ascii="Arial" w:cs="Arial" w:eastAsia="Arial" w:hAnsi="Arial"/>
          <w:sz w:val="22"/>
          <w:szCs w:val="22"/>
          <w:color w:val="auto"/>
        </w:rPr>
      </w:pPr>
    </w:p>
    <w:p>
      <w:pPr>
        <w:jc w:val="both"/>
        <w:ind w:firstLine="332"/>
        <w:spacing w:after="0" w:line="272" w:lineRule="auto"/>
        <w:tabs>
          <w:tab w:leader="none" w:pos="648" w:val="left"/>
        </w:tabs>
        <w:numPr>
          <w:ilvl w:val="0"/>
          <w:numId w:val="400"/>
        </w:numPr>
        <w:rPr>
          <w:rFonts w:ascii="Arial" w:cs="Arial" w:eastAsia="Arial" w:hAnsi="Arial"/>
          <w:sz w:val="19"/>
          <w:szCs w:val="19"/>
          <w:color w:val="auto"/>
        </w:rPr>
      </w:pPr>
      <w:r>
        <w:rPr>
          <w:rFonts w:ascii="Arial" w:cs="Arial" w:eastAsia="Arial" w:hAnsi="Arial"/>
          <w:sz w:val="19"/>
          <w:szCs w:val="19"/>
          <w:b w:val="1"/>
          <w:bCs w:val="1"/>
          <w:u w:val="single" w:color="auto"/>
          <w:color w:val="auto"/>
        </w:rPr>
        <w:t>Proceedings</w:t>
      </w:r>
      <w:r>
        <w:rPr>
          <w:rFonts w:ascii="Arial" w:cs="Arial" w:eastAsia="Arial" w:hAnsi="Arial"/>
          <w:sz w:val="19"/>
          <w:szCs w:val="19"/>
          <w:color w:val="auto"/>
        </w:rPr>
        <w:t>. Executive has not filed, and agrees not to initiate or cause to be initiated on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behalf, any complaint, charge, claim or proceeding against the Releasees with respect to any Claims released under Section 1(a) or (c) before any local, state or federal agency, court or other body (each, individually,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and agrees not to participate voluntarily in any Proceeding involving such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spacing w:after="0" w:line="398" w:lineRule="exact"/>
        <w:rPr>
          <w:rFonts w:ascii="Arial" w:cs="Arial" w:eastAsia="Arial" w:hAnsi="Arial"/>
          <w:sz w:val="19"/>
          <w:szCs w:val="19"/>
          <w:color w:val="auto"/>
        </w:rPr>
      </w:pPr>
    </w:p>
    <w:p>
      <w:pPr>
        <w:ind w:firstLine="332"/>
        <w:spacing w:after="0" w:line="334" w:lineRule="auto"/>
        <w:tabs>
          <w:tab w:leader="none" w:pos="648" w:val="left"/>
        </w:tabs>
        <w:numPr>
          <w:ilvl w:val="0"/>
          <w:numId w:val="400"/>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 Clause</w:t>
      </w:r>
      <w:r>
        <w:rPr>
          <w:rFonts w:ascii="Arial" w:cs="Arial" w:eastAsia="Arial" w:hAnsi="Arial"/>
          <w:sz w:val="19"/>
          <w:szCs w:val="19"/>
          <w:color w:val="auto"/>
        </w:rPr>
        <w:t>. In the event any provision or part of this Release is found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only that particular provision or part so found, and not the entire Release, shall be inoperative.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2" w:name="page383"/>
    <w:bookmarkEnd w:id="382"/>
    <w:p>
      <w:pPr>
        <w:ind w:firstLine="332"/>
        <w:spacing w:after="0" w:line="257" w:lineRule="auto"/>
        <w:tabs>
          <w:tab w:leader="none" w:pos="648" w:val="left"/>
        </w:tabs>
        <w:numPr>
          <w:ilvl w:val="0"/>
          <w:numId w:val="401"/>
        </w:numPr>
        <w:rPr>
          <w:rFonts w:ascii="Arial" w:cs="Arial" w:eastAsia="Arial" w:hAnsi="Arial"/>
          <w:sz w:val="22"/>
          <w:szCs w:val="22"/>
          <w:color w:val="auto"/>
        </w:rPr>
      </w:pPr>
      <w:r>
        <w:rPr>
          <w:rFonts w:ascii="Arial" w:cs="Arial" w:eastAsia="Arial" w:hAnsi="Arial"/>
          <w:sz w:val="22"/>
          <w:szCs w:val="22"/>
          <w:b w:val="1"/>
          <w:bCs w:val="1"/>
          <w:u w:val="single" w:color="auto"/>
          <w:color w:val="auto"/>
        </w:rPr>
        <w:t>No Admission</w:t>
      </w:r>
      <w:r>
        <w:rPr>
          <w:rFonts w:ascii="Arial" w:cs="Arial" w:eastAsia="Arial" w:hAnsi="Arial"/>
          <w:sz w:val="22"/>
          <w:szCs w:val="22"/>
          <w:color w:val="auto"/>
        </w:rPr>
        <w:t>. Nothing contained in this Release shall be deemed or construed as an admission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wrongdoing or liability on the part of the Releasees.</w:t>
      </w:r>
    </w:p>
    <w:p>
      <w:pPr>
        <w:spacing w:after="0" w:line="160" w:lineRule="exact"/>
        <w:rPr>
          <w:rFonts w:ascii="Arial" w:cs="Arial" w:eastAsia="Arial" w:hAnsi="Arial"/>
          <w:sz w:val="22"/>
          <w:szCs w:val="22"/>
          <w:color w:val="auto"/>
        </w:rPr>
      </w:pPr>
    </w:p>
    <w:p>
      <w:pPr>
        <w:jc w:val="both"/>
        <w:ind w:firstLine="332"/>
        <w:spacing w:after="0" w:line="239" w:lineRule="auto"/>
        <w:tabs>
          <w:tab w:leader="none" w:pos="648" w:val="left"/>
        </w:tabs>
        <w:numPr>
          <w:ilvl w:val="0"/>
          <w:numId w:val="40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Venue</w:t>
      </w:r>
      <w:r>
        <w:rPr>
          <w:rFonts w:ascii="Arial" w:cs="Arial" w:eastAsia="Arial" w:hAnsi="Arial"/>
          <w:sz w:val="22"/>
          <w:szCs w:val="22"/>
          <w:color w:val="auto"/>
        </w:rPr>
        <w:t>. All matters affecting this Release, including the validity thereof, are to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governed by, and interpreted and construed in accordance with, the laws of the State of Arkansas applicable to contracts executed in and to be performed in that State,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rights to indemnification shall be governed by and in accordance with the laws of the State of Delaware.</w:t>
      </w:r>
    </w:p>
    <w:p>
      <w:pPr>
        <w:spacing w:after="0" w:line="207" w:lineRule="exact"/>
        <w:rPr>
          <w:rFonts w:ascii="Arial" w:cs="Arial" w:eastAsia="Arial" w:hAnsi="Arial"/>
          <w:sz w:val="22"/>
          <w:szCs w:val="22"/>
          <w:color w:val="auto"/>
        </w:rPr>
      </w:pPr>
    </w:p>
    <w:p>
      <w:pPr>
        <w:ind w:firstLine="332"/>
        <w:spacing w:after="0" w:line="256" w:lineRule="auto"/>
        <w:tabs>
          <w:tab w:leader="none" w:pos="648" w:val="left"/>
        </w:tabs>
        <w:numPr>
          <w:ilvl w:val="0"/>
          <w:numId w:val="40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Release may be executed in counterparts and each counterpart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w:t>
      </w:r>
    </w:p>
    <w:p>
      <w:pPr>
        <w:spacing w:after="0" w:line="189" w:lineRule="exact"/>
        <w:rPr>
          <w:rFonts w:ascii="Arial" w:cs="Arial" w:eastAsia="Arial" w:hAnsi="Arial"/>
          <w:sz w:val="22"/>
          <w:szCs w:val="22"/>
          <w:color w:val="auto"/>
        </w:rPr>
      </w:pPr>
    </w:p>
    <w:p>
      <w:pPr>
        <w:jc w:val="both"/>
        <w:ind w:firstLine="332"/>
        <w:spacing w:after="0" w:line="239" w:lineRule="auto"/>
        <w:tabs>
          <w:tab w:leader="none" w:pos="648" w:val="left"/>
        </w:tabs>
        <w:numPr>
          <w:ilvl w:val="0"/>
          <w:numId w:val="401"/>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requests, demands or other communications under this Release shall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be deemed to have been duly given when delivered in person or deposited in the United States mail, postage prepaid, by registered or certified mail, return receipt requested, to the party to whom such notice is being given as follows:</w:t>
      </w:r>
    </w:p>
    <w:p>
      <w:pPr>
        <w:sectPr>
          <w:pgSz w:w="11900" w:h="16838" w:orient="portrait"/>
          <w:cols w:equalWidth="0" w:num="1">
            <w:col w:w="9920"/>
          </w:cols>
          <w:pgMar w:left="980" w:top="111" w:right="999" w:bottom="1440" w:gutter="0" w:footer="0" w:header="0"/>
        </w:sectPr>
      </w:pPr>
    </w:p>
    <w:p>
      <w:pPr>
        <w:spacing w:after="0" w:line="20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As to Employee: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100"/>
        <w:spacing w:after="0" w:line="250" w:lineRule="auto"/>
        <w:rPr>
          <w:sz w:val="20"/>
          <w:szCs w:val="20"/>
          <w:color w:val="auto"/>
        </w:rPr>
      </w:pPr>
      <w:r>
        <w:rPr>
          <w:rFonts w:ascii="Arial" w:cs="Arial" w:eastAsia="Arial" w:hAnsi="Arial"/>
          <w:sz w:val="22"/>
          <w:szCs w:val="22"/>
          <w:color w:val="auto"/>
        </w:rPr>
        <w:t>Executive’s last address on the books and records of the Company</w:t>
      </w:r>
    </w:p>
    <w:p>
      <w:pPr>
        <w:spacing w:after="0" w:line="175" w:lineRule="exact"/>
        <w:rPr>
          <w:sz w:val="20"/>
          <w:szCs w:val="20"/>
          <w:color w:val="auto"/>
        </w:rPr>
      </w:pPr>
    </w:p>
    <w:p>
      <w:pPr>
        <w:sectPr>
          <w:pgSz w:w="11900" w:h="16838" w:orient="portrait"/>
          <w:cols w:equalWidth="0" w:num="2">
            <w:col w:w="3100" w:space="720"/>
            <w:col w:w="6100"/>
          </w:cols>
          <w:pgMar w:left="980" w:top="111" w:right="999" w:bottom="1440" w:gutter="0" w:footer="0" w:header="0"/>
          <w:type w:val="continuous"/>
        </w:sectPr>
      </w:pPr>
    </w:p>
    <w:p>
      <w:pPr>
        <w:jc w:val="center"/>
        <w:ind w:left="840"/>
        <w:spacing w:after="0"/>
        <w:rPr>
          <w:sz w:val="20"/>
          <w:szCs w:val="20"/>
          <w:color w:val="auto"/>
        </w:rPr>
      </w:pPr>
      <w:r>
        <w:rPr>
          <w:rFonts w:ascii="Arial" w:cs="Arial" w:eastAsia="Arial" w:hAnsi="Arial"/>
          <w:sz w:val="19"/>
          <w:szCs w:val="19"/>
          <w:color w:val="auto"/>
        </w:rPr>
        <w:t>As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[ADDRESS AS OF DATE OF RELEASE]</w:t>
      </w:r>
    </w:p>
    <w:p>
      <w:pPr>
        <w:spacing w:after="0" w:line="200" w:lineRule="exact"/>
        <w:rPr>
          <w:sz w:val="20"/>
          <w:szCs w:val="20"/>
          <w:color w:val="auto"/>
        </w:rPr>
      </w:pPr>
    </w:p>
    <w:p>
      <w:pPr>
        <w:sectPr>
          <w:pgSz w:w="11900" w:h="16838" w:orient="portrait"/>
          <w:cols w:equalWidth="0" w:num="2">
            <w:col w:w="3100" w:space="720"/>
            <w:col w:w="6100"/>
          </w:cols>
          <w:pgMar w:left="980" w:top="111" w:right="999" w:bottom="1440" w:gutter="0" w:footer="0" w:header="0"/>
          <w:type w:val="continuous"/>
        </w:sectPr>
      </w:pPr>
    </w:p>
    <w:p>
      <w:pPr>
        <w:spacing w:after="0" w:line="25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party may change Executive’s address or the name of the person to whose attention the notice or other communication shall be directed from time to time by serving notice thereof upon the other party as provided herein.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type w:val="continuous"/>
        </w:sectPr>
      </w:pPr>
    </w:p>
    <w:bookmarkStart w:id="383" w:name="page384"/>
    <w:bookmarkEnd w:id="383"/>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Executive has executed this Release on the date set forth below.</w:t>
      </w:r>
    </w:p>
    <w:p>
      <w:pPr>
        <w:sectPr>
          <w:pgSz w:w="11900" w:h="16838" w:orient="portrait"/>
          <w:cols w:equalWidth="0" w:num="1">
            <w:col w:w="9479"/>
          </w:cols>
          <w:pgMar w:left="98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31800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type w:val="continuous"/>
        </w:sectPr>
      </w:pPr>
    </w:p>
    <w:bookmarkStart w:id="384" w:name="page385"/>
    <w:bookmarkEnd w:id="384"/>
    <w:p>
      <w:pPr>
        <w:jc w:val="right"/>
        <w:spacing w:after="0"/>
        <w:rPr>
          <w:sz w:val="20"/>
          <w:szCs w:val="20"/>
          <w:color w:val="auto"/>
        </w:rPr>
      </w:pPr>
      <w:r>
        <w:rPr>
          <w:rFonts w:ascii="Arial" w:cs="Arial" w:eastAsia="Arial" w:hAnsi="Arial"/>
          <w:sz w:val="22"/>
          <w:szCs w:val="22"/>
          <w:b w:val="1"/>
          <w:bCs w:val="1"/>
          <w:color w:val="auto"/>
        </w:rPr>
        <w:t>EXHIBIT 10.5</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31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THIS EMPLOYMENT AGREEMENT </w:t>
      </w:r>
      <w:r>
        <w:rPr>
          <w:rFonts w:ascii="Arial" w:cs="Arial" w:eastAsia="Arial" w:hAnsi="Arial"/>
          <w:sz w:val="22"/>
          <w:szCs w:val="22"/>
          <w:color w:val="auto"/>
        </w:rPr>
        <w:t>(this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August 26, 2022</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Westrock Coffee Company (the “</w:t>
      </w:r>
      <w:r>
        <w:rPr>
          <w:rFonts w:ascii="Arial" w:cs="Arial" w:eastAsia="Arial" w:hAnsi="Arial"/>
          <w:sz w:val="22"/>
          <w:szCs w:val="22"/>
          <w:b w:val="1"/>
          <w:bCs w:val="1"/>
          <w:color w:val="auto"/>
        </w:rPr>
        <w:t>Company</w:t>
      </w:r>
      <w:r>
        <w:rPr>
          <w:rFonts w:ascii="Arial" w:cs="Arial" w:eastAsia="Arial" w:hAnsi="Arial"/>
          <w:sz w:val="22"/>
          <w:szCs w:val="22"/>
          <w:color w:val="auto"/>
        </w:rPr>
        <w:t>”) and T. Christopher Pledger (“</w:t>
      </w:r>
      <w:r>
        <w:rPr>
          <w:rFonts w:ascii="Arial" w:cs="Arial" w:eastAsia="Arial" w:hAnsi="Arial"/>
          <w:sz w:val="22"/>
          <w:szCs w:val="22"/>
          <w:b w:val="1"/>
          <w:bCs w:val="1"/>
          <w:color w:val="auto"/>
        </w:rPr>
        <w:t>Executive</w:t>
      </w:r>
      <w:r>
        <w:rPr>
          <w:rFonts w:ascii="Arial" w:cs="Arial" w:eastAsia="Arial" w:hAnsi="Arial"/>
          <w:sz w:val="22"/>
          <w:szCs w:val="22"/>
          <w:color w:val="auto"/>
        </w:rPr>
        <w:t>”, and together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Executive desire to enter into this Agreement to set forth the terms of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to the Company.</w:t>
      </w:r>
    </w:p>
    <w:p>
      <w:pPr>
        <w:spacing w:after="0" w:line="162"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foregoing, the mutual promises contained herein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acknowledged, the Parties agree as follows:</w:t>
      </w:r>
    </w:p>
    <w:p>
      <w:pPr>
        <w:spacing w:after="0" w:line="94" w:lineRule="exact"/>
        <w:rPr>
          <w:sz w:val="20"/>
          <w:szCs w:val="20"/>
          <w:color w:val="auto"/>
        </w:rPr>
      </w:pPr>
    </w:p>
    <w:p>
      <w:pPr>
        <w:jc w:val="both"/>
        <w:ind w:firstLine="1304"/>
        <w:spacing w:after="0" w:line="274" w:lineRule="auto"/>
        <w:tabs>
          <w:tab w:leader="none" w:pos="1944" w:val="left"/>
        </w:tabs>
        <w:numPr>
          <w:ilvl w:val="0"/>
          <w:numId w:val="402"/>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Period</w:t>
      </w:r>
      <w:r>
        <w:rPr>
          <w:rFonts w:ascii="Arial" w:cs="Arial" w:eastAsia="Arial" w:hAnsi="Arial"/>
          <w:sz w:val="19"/>
          <w:szCs w:val="19"/>
          <w:color w:val="auto"/>
        </w:rPr>
        <w:t>. The Company agrees to employ Executive, and Executive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serve the Company and its Affiliates (as defined below), subject to the terms and conditions of this Agreement, for the period commencing on the Effective Date and ending on the fourth anniversary of the Effective Date (the “</w:t>
      </w:r>
      <w:r>
        <w:rPr>
          <w:rFonts w:ascii="Arial" w:cs="Arial" w:eastAsia="Arial" w:hAnsi="Arial"/>
          <w:sz w:val="19"/>
          <w:szCs w:val="19"/>
          <w:b w:val="1"/>
          <w:bCs w:val="1"/>
          <w:color w:val="auto"/>
        </w:rPr>
        <w:t>Employment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commencing on the first anniversary of the Effective Date, and on each annual anniversary thereafter (such date and each annual anniversary thereof shall be hereinafter referred to as the “</w:t>
      </w:r>
      <w:r>
        <w:rPr>
          <w:rFonts w:ascii="Arial" w:cs="Arial" w:eastAsia="Arial" w:hAnsi="Arial"/>
          <w:sz w:val="19"/>
          <w:szCs w:val="19"/>
          <w:b w:val="1"/>
          <w:bCs w:val="1"/>
          <w:color w:val="auto"/>
        </w:rPr>
        <w:t>Renewal Date</w:t>
      </w:r>
      <w:r>
        <w:rPr>
          <w:rFonts w:ascii="Arial" w:cs="Arial" w:eastAsia="Arial" w:hAnsi="Arial"/>
          <w:sz w:val="19"/>
          <w:szCs w:val="19"/>
          <w:color w:val="auto"/>
        </w:rPr>
        <w:t>”), unless previously terminated, the Employment Period shall be automatically extended so as to terminate four years from such Renewal Date, unless at least 180 days prior to the Renewal Date either the Company or Executive shall give notice to the other party that the Employment Period shall not be so extended (a “</w:t>
      </w:r>
      <w:r>
        <w:rPr>
          <w:rFonts w:ascii="Arial" w:cs="Arial" w:eastAsia="Arial" w:hAnsi="Arial"/>
          <w:sz w:val="19"/>
          <w:szCs w:val="19"/>
          <w:b w:val="1"/>
          <w:bCs w:val="1"/>
          <w:color w:val="auto"/>
        </w:rPr>
        <w:t>Notice of Non-Renewal</w:t>
      </w:r>
      <w:r>
        <w:rPr>
          <w:rFonts w:ascii="Arial" w:cs="Arial" w:eastAsia="Arial" w:hAnsi="Arial"/>
          <w:sz w:val="19"/>
          <w:szCs w:val="19"/>
          <w:color w:val="auto"/>
        </w:rPr>
        <w:t>”). For purposes of this Agreement, the term “</w:t>
      </w:r>
      <w:r>
        <w:rPr>
          <w:rFonts w:ascii="Arial" w:cs="Arial" w:eastAsia="Arial" w:hAnsi="Arial"/>
          <w:sz w:val="19"/>
          <w:szCs w:val="19"/>
          <w:b w:val="1"/>
          <w:bCs w:val="1"/>
          <w:color w:val="auto"/>
        </w:rPr>
        <w:t>Affiliate</w:t>
      </w:r>
      <w:r>
        <w:rPr>
          <w:rFonts w:ascii="Arial" w:cs="Arial" w:eastAsia="Arial" w:hAnsi="Arial"/>
          <w:sz w:val="19"/>
          <w:szCs w:val="19"/>
          <w:color w:val="auto"/>
        </w:rPr>
        <w:t>” means an entity controlled by, controlling or under common control with the Company.</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402"/>
        </w:numPr>
        <w:rPr>
          <w:rFonts w:ascii="Arial" w:cs="Arial" w:eastAsia="Arial" w:hAnsi="Arial"/>
          <w:sz w:val="22"/>
          <w:szCs w:val="22"/>
          <w:color w:val="auto"/>
        </w:rPr>
      </w:pPr>
      <w:r>
        <w:rPr>
          <w:rFonts w:ascii="Arial" w:cs="Arial" w:eastAsia="Arial" w:hAnsi="Arial"/>
          <w:sz w:val="22"/>
          <w:szCs w:val="22"/>
          <w:b w:val="1"/>
          <w:bCs w:val="1"/>
          <w:u w:val="single" w:color="auto"/>
          <w:color w:val="auto"/>
        </w:rPr>
        <w:t>Position and Duties; Location; Standard of Services</w:t>
      </w:r>
      <w:r>
        <w:rPr>
          <w:rFonts w:ascii="Arial" w:cs="Arial" w:eastAsia="Arial" w:hAnsi="Arial"/>
          <w:sz w:val="22"/>
          <w:szCs w:val="22"/>
          <w:color w:val="auto"/>
        </w:rPr>
        <w:t>.</w:t>
      </w:r>
    </w:p>
    <w:p>
      <w:pPr>
        <w:spacing w:after="0" w:line="206" w:lineRule="exact"/>
        <w:rPr>
          <w:sz w:val="20"/>
          <w:szCs w:val="20"/>
          <w:color w:val="auto"/>
        </w:rPr>
      </w:pPr>
    </w:p>
    <w:p>
      <w:pPr>
        <w:ind w:right="140" w:firstLine="1304"/>
        <w:spacing w:after="0" w:line="236" w:lineRule="auto"/>
        <w:tabs>
          <w:tab w:leader="none" w:pos="1944" w:val="left"/>
        </w:tabs>
        <w:numPr>
          <w:ilvl w:val="0"/>
          <w:numId w:val="403"/>
        </w:numPr>
        <w:rPr>
          <w:rFonts w:ascii="Arial" w:cs="Arial" w:eastAsia="Arial" w:hAnsi="Arial"/>
          <w:sz w:val="22"/>
          <w:szCs w:val="22"/>
          <w:color w:val="auto"/>
        </w:rPr>
      </w:pPr>
      <w:r>
        <w:rPr>
          <w:rFonts w:ascii="Arial" w:cs="Arial" w:eastAsia="Arial" w:hAnsi="Arial"/>
          <w:sz w:val="22"/>
          <w:szCs w:val="22"/>
          <w:b w:val="1"/>
          <w:bCs w:val="1"/>
          <w:u w:val="single" w:color="auto"/>
          <w:color w:val="auto"/>
        </w:rPr>
        <w:t>Position and Duties</w:t>
      </w:r>
      <w:r>
        <w:rPr>
          <w:rFonts w:ascii="Arial" w:cs="Arial" w:eastAsia="Arial" w:hAnsi="Arial"/>
          <w:sz w:val="22"/>
          <w:szCs w:val="22"/>
          <w:color w:val="auto"/>
        </w:rPr>
        <w:t>. During the Employment Period, Executive shall serve as Chief</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Officer of the Company and shall perform customary and appropriate duties as may be reasonably assigned to Executive from time to time by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or the Chief Executive Officer of the Company (the “</w:t>
      </w:r>
      <w:r>
        <w:rPr>
          <w:rFonts w:ascii="Arial" w:cs="Arial" w:eastAsia="Arial" w:hAnsi="Arial"/>
          <w:sz w:val="22"/>
          <w:szCs w:val="22"/>
          <w:b w:val="1"/>
          <w:bCs w:val="1"/>
          <w:color w:val="auto"/>
        </w:rPr>
        <w:t>CEO</w:t>
      </w:r>
      <w:r>
        <w:rPr>
          <w:rFonts w:ascii="Arial" w:cs="Arial" w:eastAsia="Arial" w:hAnsi="Arial"/>
          <w:sz w:val="22"/>
          <w:szCs w:val="22"/>
          <w:color w:val="auto"/>
        </w:rPr>
        <w:t>”). Executive shall have such responsibilities, power and authority as those normally associated with such position in public companies of a similar stature. Executive shall report solely and directly to the CEO.</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403"/>
        </w:numPr>
        <w:rPr>
          <w:rFonts w:ascii="Arial" w:cs="Arial" w:eastAsia="Arial" w:hAnsi="Arial"/>
          <w:sz w:val="22"/>
          <w:szCs w:val="22"/>
          <w:color w:val="auto"/>
        </w:rPr>
      </w:pPr>
      <w:r>
        <w:rPr>
          <w:rFonts w:ascii="Arial" w:cs="Arial" w:eastAsia="Arial" w:hAnsi="Arial"/>
          <w:sz w:val="22"/>
          <w:szCs w:val="22"/>
          <w:b w:val="1"/>
          <w:bCs w:val="1"/>
          <w:u w:val="single" w:color="auto"/>
          <w:color w:val="auto"/>
        </w:rPr>
        <w:t>Location</w:t>
      </w:r>
      <w:r>
        <w:rPr>
          <w:rFonts w:ascii="Arial" w:cs="Arial" w:eastAsia="Arial" w:hAnsi="Arial"/>
          <w:sz w:val="22"/>
          <w:szCs w:val="22"/>
          <w:color w:val="auto"/>
        </w:rPr>
        <w:t>. During the Employment Period, Executive’s principal place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the Company’s headquarters in Little Rock, Arkansas, subject to reasonable business travel at the Company’s request.</w:t>
      </w:r>
    </w:p>
    <w:p>
      <w:pPr>
        <w:spacing w:after="0" w:line="176" w:lineRule="exact"/>
        <w:rPr>
          <w:rFonts w:ascii="Arial" w:cs="Arial" w:eastAsia="Arial" w:hAnsi="Arial"/>
          <w:sz w:val="22"/>
          <w:szCs w:val="22"/>
          <w:color w:val="auto"/>
        </w:rPr>
      </w:pPr>
    </w:p>
    <w:p>
      <w:pPr>
        <w:ind w:right="280" w:firstLine="1304"/>
        <w:spacing w:after="0" w:line="237" w:lineRule="auto"/>
        <w:tabs>
          <w:tab w:leader="none" w:pos="1944" w:val="left"/>
        </w:tabs>
        <w:numPr>
          <w:ilvl w:val="0"/>
          <w:numId w:val="403"/>
        </w:numPr>
        <w:rPr>
          <w:rFonts w:ascii="Arial" w:cs="Arial" w:eastAsia="Arial" w:hAnsi="Arial"/>
          <w:sz w:val="22"/>
          <w:szCs w:val="22"/>
          <w:color w:val="auto"/>
        </w:rPr>
      </w:pPr>
      <w:r>
        <w:rPr>
          <w:rFonts w:ascii="Arial" w:cs="Arial" w:eastAsia="Arial" w:hAnsi="Arial"/>
          <w:sz w:val="22"/>
          <w:szCs w:val="22"/>
          <w:b w:val="1"/>
          <w:bCs w:val="1"/>
          <w:u w:val="single" w:color="auto"/>
          <w:color w:val="auto"/>
        </w:rPr>
        <w:t>Standard of Services</w:t>
      </w:r>
      <w:r>
        <w:rPr>
          <w:rFonts w:ascii="Arial" w:cs="Arial" w:eastAsia="Arial" w:hAnsi="Arial"/>
          <w:sz w:val="22"/>
          <w:szCs w:val="22"/>
          <w:color w:val="auto"/>
        </w:rPr>
        <w:t>. During the Employment Period, Executive agrees to devote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full business attention and time to the business and affairs of the Company and its Affiliates and to use Executive’s reasonable best efforts to perform faithfully and efficiently such responsibilities. During the Employment Period, Executive may serve on corporate, civic, charitable or other boards or committees, deliver lectures, fulfill speaking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85" w:name="page386"/>
    <w:bookmarkEnd w:id="385"/>
    <w:p>
      <w:pPr>
        <w:ind w:right="120"/>
        <w:spacing w:after="0" w:line="238" w:lineRule="auto"/>
        <w:rPr>
          <w:sz w:val="20"/>
          <w:szCs w:val="20"/>
          <w:color w:val="auto"/>
        </w:rPr>
      </w:pPr>
      <w:r>
        <w:rPr>
          <w:rFonts w:ascii="Arial" w:cs="Arial" w:eastAsia="Arial" w:hAnsi="Arial"/>
          <w:sz w:val="22"/>
          <w:szCs w:val="22"/>
          <w:color w:val="auto"/>
        </w:rPr>
        <w:t>publish, teach at educational institutions, manage or advise with respect to investments or provide advice to other companies that do not compete and are not reasonably expected to compete with the Company in the future, in each case, so long as such activities do not materially interfere with the performance of Executive’s responsibilities in accordance with this Agreement.</w:t>
      </w:r>
    </w:p>
    <w:p>
      <w:pPr>
        <w:spacing w:after="0" w:line="179" w:lineRule="exact"/>
        <w:rPr>
          <w:sz w:val="20"/>
          <w:szCs w:val="20"/>
          <w:color w:val="auto"/>
        </w:rPr>
      </w:pPr>
    </w:p>
    <w:p>
      <w:pPr>
        <w:ind w:left="1960" w:hanging="656"/>
        <w:spacing w:after="0"/>
        <w:tabs>
          <w:tab w:leader="none" w:pos="1960" w:val="left"/>
        </w:tabs>
        <w:numPr>
          <w:ilvl w:val="0"/>
          <w:numId w:val="404"/>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and Employee Benefits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9" w:lineRule="auto"/>
        <w:tabs>
          <w:tab w:leader="none" w:pos="1944" w:val="left"/>
        </w:tabs>
        <w:numPr>
          <w:ilvl w:val="0"/>
          <w:numId w:val="405"/>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Base Salary</w:t>
      </w:r>
      <w:r>
        <w:rPr>
          <w:rFonts w:ascii="Arial" w:cs="Arial" w:eastAsia="Arial" w:hAnsi="Arial"/>
          <w:sz w:val="21"/>
          <w:szCs w:val="21"/>
          <w:color w:val="auto"/>
        </w:rPr>
        <w:t>. During the Employment Period, Executive shall receive an annual</w:t>
      </w:r>
      <w:r>
        <w:rPr>
          <w:rFonts w:ascii="Arial" w:cs="Arial" w:eastAsia="Arial" w:hAnsi="Arial"/>
          <w:sz w:val="21"/>
          <w:szCs w:val="21"/>
          <w:b w:val="1"/>
          <w:bCs w:val="1"/>
          <w:color w:val="auto"/>
        </w:rPr>
        <w:t xml:space="preserve"> </w:t>
      </w:r>
      <w:r>
        <w:rPr>
          <w:rFonts w:ascii="Arial" w:cs="Arial" w:eastAsia="Arial" w:hAnsi="Arial"/>
          <w:sz w:val="21"/>
          <w:szCs w:val="21"/>
          <w:color w:val="auto"/>
        </w:rPr>
        <w:t>base salary (the “</w:t>
      </w:r>
      <w:r>
        <w:rPr>
          <w:rFonts w:ascii="Arial" w:cs="Arial" w:eastAsia="Arial" w:hAnsi="Arial"/>
          <w:sz w:val="21"/>
          <w:szCs w:val="21"/>
          <w:b w:val="1"/>
          <w:bCs w:val="1"/>
          <w:color w:val="auto"/>
        </w:rPr>
        <w:t>Annual Base Salary</w:t>
      </w:r>
      <w:r>
        <w:rPr>
          <w:rFonts w:ascii="Arial" w:cs="Arial" w:eastAsia="Arial" w:hAnsi="Arial"/>
          <w:sz w:val="21"/>
          <w:szCs w:val="21"/>
          <w:color w:val="auto"/>
        </w:rPr>
        <w:t>”) of no less than $550,000, payable in accordance with the Company’s regular payroll practices. The Annual Base Salary shall be reviewed at least annually by the Board or an appropriate committee thereof (the Board or such committee, the “</w:t>
      </w:r>
      <w:r>
        <w:rPr>
          <w:rFonts w:ascii="Arial" w:cs="Arial" w:eastAsia="Arial" w:hAnsi="Arial"/>
          <w:sz w:val="21"/>
          <w:szCs w:val="21"/>
          <w:b w:val="1"/>
          <w:bCs w:val="1"/>
          <w:color w:val="auto"/>
        </w:rPr>
        <w:t>Committee</w:t>
      </w:r>
      <w:r>
        <w:rPr>
          <w:rFonts w:ascii="Arial" w:cs="Arial" w:eastAsia="Arial" w:hAnsi="Arial"/>
          <w:sz w:val="21"/>
          <w:szCs w:val="21"/>
          <w:color w:val="auto"/>
        </w:rPr>
        <w:t>”) for possible increase, as determined in the discretion of the Committee. The term “Annual Base Salary” as used in this Agreement shall refer to the Annual Base Salary as it may be so adjusted from time to time.</w:t>
      </w:r>
    </w:p>
    <w:p>
      <w:pPr>
        <w:spacing w:after="0" w:line="170" w:lineRule="exact"/>
        <w:rPr>
          <w:rFonts w:ascii="Arial" w:cs="Arial" w:eastAsia="Arial" w:hAnsi="Arial"/>
          <w:sz w:val="21"/>
          <w:szCs w:val="21"/>
          <w:color w:val="auto"/>
        </w:rPr>
      </w:pPr>
    </w:p>
    <w:p>
      <w:pPr>
        <w:jc w:val="both"/>
        <w:ind w:firstLine="1304"/>
        <w:spacing w:after="0" w:line="254" w:lineRule="auto"/>
        <w:tabs>
          <w:tab w:leader="none" w:pos="1944" w:val="left"/>
        </w:tabs>
        <w:numPr>
          <w:ilvl w:val="0"/>
          <w:numId w:val="405"/>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Bonus</w:t>
      </w:r>
      <w:r>
        <w:rPr>
          <w:rFonts w:ascii="Arial" w:cs="Arial" w:eastAsia="Arial" w:hAnsi="Arial"/>
          <w:sz w:val="21"/>
          <w:szCs w:val="21"/>
          <w:color w:val="auto"/>
        </w:rPr>
        <w:t>. During the Employment Period, Executive shall have the opportunity to</w:t>
      </w:r>
      <w:r>
        <w:rPr>
          <w:rFonts w:ascii="Arial" w:cs="Arial" w:eastAsia="Arial" w:hAnsi="Arial"/>
          <w:sz w:val="21"/>
          <w:szCs w:val="21"/>
          <w:b w:val="1"/>
          <w:bCs w:val="1"/>
          <w:color w:val="auto"/>
        </w:rPr>
        <w:t xml:space="preserve"> </w:t>
      </w:r>
      <w:r>
        <w:rPr>
          <w:rFonts w:ascii="Arial" w:cs="Arial" w:eastAsia="Arial" w:hAnsi="Arial"/>
          <w:sz w:val="21"/>
          <w:szCs w:val="21"/>
          <w:color w:val="auto"/>
        </w:rPr>
        <w:t>earn, for each fiscal year of the Company, an annual bonus (the “</w:t>
      </w:r>
      <w:r>
        <w:rPr>
          <w:rFonts w:ascii="Arial" w:cs="Arial" w:eastAsia="Arial" w:hAnsi="Arial"/>
          <w:sz w:val="21"/>
          <w:szCs w:val="21"/>
          <w:b w:val="1"/>
          <w:bCs w:val="1"/>
          <w:color w:val="auto"/>
        </w:rPr>
        <w:t>Annual Bonus</w:t>
      </w:r>
      <w:r>
        <w:rPr>
          <w:rFonts w:ascii="Arial" w:cs="Arial" w:eastAsia="Arial" w:hAnsi="Arial"/>
          <w:sz w:val="21"/>
          <w:szCs w:val="21"/>
          <w:color w:val="auto"/>
        </w:rPr>
        <w:t>”) pursuant to the terms of an annual incentive plan for senior executives of the Company, as in effect from time to time. Executive’s target Annual Bonus opportunity shall be 85% of the Annual Base Salary.</w:t>
      </w:r>
    </w:p>
    <w:p>
      <w:pPr>
        <w:spacing w:after="0" w:line="165" w:lineRule="exact"/>
        <w:rPr>
          <w:rFonts w:ascii="Arial" w:cs="Arial" w:eastAsia="Arial" w:hAnsi="Arial"/>
          <w:sz w:val="21"/>
          <w:szCs w:val="21"/>
          <w:color w:val="auto"/>
        </w:rPr>
      </w:pPr>
    </w:p>
    <w:p>
      <w:pPr>
        <w:ind w:firstLine="1304"/>
        <w:spacing w:after="0" w:line="256" w:lineRule="auto"/>
        <w:tabs>
          <w:tab w:leader="none" w:pos="1944" w:val="left"/>
        </w:tabs>
        <w:numPr>
          <w:ilvl w:val="0"/>
          <w:numId w:val="405"/>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Incentives</w:t>
      </w:r>
      <w:r>
        <w:rPr>
          <w:rFonts w:ascii="Arial" w:cs="Arial" w:eastAsia="Arial" w:hAnsi="Arial"/>
          <w:sz w:val="22"/>
          <w:szCs w:val="22"/>
          <w:color w:val="auto"/>
        </w:rPr>
        <w:t>. Executive shall be eligible to participate in the Company’s equity</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plan, as in effect from time to time.</w:t>
      </w:r>
    </w:p>
    <w:p>
      <w:pPr>
        <w:spacing w:after="0" w:line="162" w:lineRule="exact"/>
        <w:rPr>
          <w:rFonts w:ascii="Arial" w:cs="Arial" w:eastAsia="Arial" w:hAnsi="Arial"/>
          <w:sz w:val="22"/>
          <w:szCs w:val="22"/>
          <w:color w:val="auto"/>
        </w:rPr>
      </w:pPr>
    </w:p>
    <w:p>
      <w:pPr>
        <w:jc w:val="both"/>
        <w:ind w:firstLine="1304"/>
        <w:spacing w:after="0" w:line="237" w:lineRule="auto"/>
        <w:tabs>
          <w:tab w:leader="none" w:pos="1944" w:val="left"/>
        </w:tabs>
        <w:numPr>
          <w:ilvl w:val="0"/>
          <w:numId w:val="405"/>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Employee Benefit Plans</w:t>
      </w:r>
      <w:r>
        <w:rPr>
          <w:rFonts w:ascii="Arial" w:cs="Arial" w:eastAsia="Arial" w:hAnsi="Arial"/>
          <w:sz w:val="22"/>
          <w:szCs w:val="22"/>
          <w:color w:val="auto"/>
        </w:rPr>
        <w:t>. During the Employment Period, Executive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spacing w:after="0" w:line="181" w:lineRule="exact"/>
        <w:rPr>
          <w:rFonts w:ascii="Arial" w:cs="Arial" w:eastAsia="Arial" w:hAnsi="Arial"/>
          <w:sz w:val="22"/>
          <w:szCs w:val="22"/>
          <w:color w:val="auto"/>
        </w:rPr>
      </w:pPr>
    </w:p>
    <w:p>
      <w:pPr>
        <w:jc w:val="both"/>
        <w:ind w:firstLine="1304"/>
        <w:spacing w:after="0" w:line="260" w:lineRule="auto"/>
        <w:tabs>
          <w:tab w:leader="none" w:pos="1944" w:val="left"/>
        </w:tabs>
        <w:numPr>
          <w:ilvl w:val="0"/>
          <w:numId w:val="405"/>
        </w:numPr>
        <w:rPr>
          <w:rFonts w:ascii="Arial" w:cs="Arial" w:eastAsia="Arial" w:hAnsi="Arial"/>
          <w:sz w:val="21"/>
          <w:szCs w:val="2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color w:val="auto"/>
        </w:rPr>
        <w:t>. Executive shall be entitled to receive prompt reimbursement for all</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expenses (including travel, entertainment, professional dues and subscriptions) incurred by Executive, in accordance with the Company’s policies as in effect from time to time.</w:t>
      </w:r>
    </w:p>
    <w:p>
      <w:pPr>
        <w:spacing w:after="0" w:line="160" w:lineRule="exact"/>
        <w:rPr>
          <w:sz w:val="20"/>
          <w:szCs w:val="20"/>
          <w:color w:val="auto"/>
        </w:rPr>
      </w:pPr>
    </w:p>
    <w:p>
      <w:pPr>
        <w:ind w:left="1960" w:hanging="656"/>
        <w:spacing w:after="0"/>
        <w:tabs>
          <w:tab w:leader="none" w:pos="1960" w:val="left"/>
        </w:tabs>
        <w:numPr>
          <w:ilvl w:val="0"/>
          <w:numId w:val="40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6" w:lineRule="auto"/>
        <w:tabs>
          <w:tab w:leader="none" w:pos="1944" w:val="left"/>
        </w:tabs>
        <w:numPr>
          <w:ilvl w:val="0"/>
          <w:numId w:val="407"/>
        </w:numPr>
        <w:rPr>
          <w:rFonts w:ascii="Arial" w:cs="Arial" w:eastAsia="Arial" w:hAnsi="Arial"/>
          <w:sz w:val="21"/>
          <w:szCs w:val="21"/>
          <w:color w:val="auto"/>
        </w:rPr>
      </w:pPr>
      <w:r>
        <w:rPr>
          <w:rFonts w:ascii="Arial" w:cs="Arial" w:eastAsia="Arial" w:hAnsi="Arial"/>
          <w:sz w:val="21"/>
          <w:szCs w:val="21"/>
          <w:b w:val="1"/>
          <w:bCs w:val="1"/>
          <w:u w:val="single" w:color="auto"/>
          <w:color w:val="auto"/>
        </w:rPr>
        <w:t>Death or Disability</w:t>
      </w:r>
      <w:r>
        <w:rPr>
          <w:rFonts w:ascii="Arial" w:cs="Arial" w:eastAsia="Arial" w:hAnsi="Arial"/>
          <w:sz w:val="21"/>
          <w:szCs w:val="21"/>
          <w:color w:val="auto"/>
        </w:rPr>
        <w:t>. Executive’s employment shall terminate automatically upon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Arial" w:cs="Arial" w:eastAsia="Arial" w:hAnsi="Arial"/>
          <w:sz w:val="15"/>
          <w:szCs w:val="15"/>
          <w:color w:val="auto"/>
        </w:rPr>
        <w:t>th</w:t>
      </w:r>
      <w:r>
        <w:rPr>
          <w:rFonts w:ascii="Arial" w:cs="Arial" w:eastAsia="Arial" w:hAnsi="Arial"/>
          <w:sz w:val="21"/>
          <w:szCs w:val="21"/>
          <w:color w:val="auto"/>
        </w:rPr>
        <w:t xml:space="preserve"> day after Executive’s receipt of such notice (the “</w:t>
      </w:r>
      <w:r>
        <w:rPr>
          <w:rFonts w:ascii="Arial" w:cs="Arial" w:eastAsia="Arial" w:hAnsi="Arial"/>
          <w:sz w:val="21"/>
          <w:szCs w:val="21"/>
          <w:b w:val="1"/>
          <w:bCs w:val="1"/>
          <w:color w:val="auto"/>
        </w:rPr>
        <w:t>Disability Effective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within the 30 days after such receipt, Executive shall not have returned to full-time performance of Executive’s duties. For purposes of this Agreement, “</w:t>
      </w:r>
      <w:r>
        <w:rPr>
          <w:rFonts w:ascii="Arial" w:cs="Arial" w:eastAsia="Arial" w:hAnsi="Arial"/>
          <w:sz w:val="21"/>
          <w:szCs w:val="21"/>
          <w:b w:val="1"/>
          <w:bCs w:val="1"/>
          <w:color w:val="auto"/>
        </w:rPr>
        <w:t>Disability</w:t>
      </w:r>
      <w:r>
        <w:rPr>
          <w:rFonts w:ascii="Arial" w:cs="Arial" w:eastAsia="Arial" w:hAnsi="Arial"/>
          <w:sz w:val="21"/>
          <w:szCs w:val="21"/>
          <w:color w:val="auto"/>
        </w:rPr>
        <w:t>” shall mean the absence of Executive from Executive’s duties with the Company on a full-time basis for 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86" w:name="page387"/>
    <w:bookmarkEnd w:id="386"/>
    <w:p>
      <w:pPr>
        <w:spacing w:after="0" w:line="250" w:lineRule="auto"/>
        <w:rPr>
          <w:sz w:val="20"/>
          <w:szCs w:val="20"/>
          <w:color w:val="auto"/>
        </w:rPr>
      </w:pPr>
      <w:r>
        <w:rPr>
          <w:rFonts w:ascii="Arial" w:cs="Arial" w:eastAsia="Arial" w:hAnsi="Arial"/>
          <w:sz w:val="22"/>
          <w:szCs w:val="22"/>
          <w:color w:val="auto"/>
        </w:rPr>
        <w:t>consecutive days, or for 180 days (which need not be consecutive) within a 365-day period, as a result of incapacity due to mental or physical illness.</w:t>
      </w:r>
    </w:p>
    <w:p>
      <w:pPr>
        <w:spacing w:after="0" w:line="169" w:lineRule="exact"/>
        <w:rPr>
          <w:sz w:val="20"/>
          <w:szCs w:val="20"/>
          <w:color w:val="auto"/>
        </w:rPr>
      </w:pPr>
    </w:p>
    <w:p>
      <w:pPr>
        <w:ind w:firstLine="1304"/>
        <w:spacing w:after="0" w:line="334" w:lineRule="auto"/>
        <w:tabs>
          <w:tab w:leader="none" w:pos="1944" w:val="left"/>
        </w:tabs>
        <w:numPr>
          <w:ilvl w:val="0"/>
          <w:numId w:val="408"/>
        </w:numPr>
        <w:rPr>
          <w:rFonts w:ascii="Arial" w:cs="Arial" w:eastAsia="Arial" w:hAnsi="Arial"/>
          <w:sz w:val="19"/>
          <w:szCs w:val="19"/>
          <w:color w:val="auto"/>
        </w:rPr>
      </w:pPr>
      <w:r>
        <w:rPr>
          <w:rFonts w:ascii="Arial" w:cs="Arial" w:eastAsia="Arial" w:hAnsi="Arial"/>
          <w:sz w:val="19"/>
          <w:szCs w:val="19"/>
          <w:b w:val="1"/>
          <w:bCs w:val="1"/>
          <w:u w:val="single" w:color="auto"/>
          <w:color w:val="auto"/>
        </w:rPr>
        <w:t>With or Without Cause</w:t>
      </w:r>
      <w:r>
        <w:rPr>
          <w:rFonts w:ascii="Arial" w:cs="Arial" w:eastAsia="Arial" w:hAnsi="Arial"/>
          <w:sz w:val="19"/>
          <w:szCs w:val="19"/>
          <w:color w:val="auto"/>
        </w:rPr>
        <w:t>. The Company may terminate Executive’s employment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Period either with or without Cause.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shall mean:</w:t>
      </w:r>
    </w:p>
    <w:p>
      <w:pPr>
        <w:spacing w:after="0" w:line="99" w:lineRule="exact"/>
        <w:rPr>
          <w:rFonts w:ascii="Arial" w:cs="Arial" w:eastAsia="Arial" w:hAnsi="Arial"/>
          <w:sz w:val="19"/>
          <w:szCs w:val="19"/>
          <w:color w:val="auto"/>
        </w:rPr>
      </w:pPr>
    </w:p>
    <w:p>
      <w:pPr>
        <w:ind w:left="2600" w:hanging="486"/>
        <w:spacing w:after="0"/>
        <w:tabs>
          <w:tab w:leader="none" w:pos="2600" w:val="left"/>
        </w:tabs>
        <w:numPr>
          <w:ilvl w:val="1"/>
          <w:numId w:val="408"/>
        </w:numPr>
        <w:rPr>
          <w:rFonts w:ascii="Arial" w:cs="Arial" w:eastAsia="Arial" w:hAnsi="Arial"/>
          <w:sz w:val="22"/>
          <w:szCs w:val="22"/>
          <w:color w:val="auto"/>
        </w:rPr>
      </w:pPr>
      <w:r>
        <w:rPr>
          <w:rFonts w:ascii="Arial" w:cs="Arial" w:eastAsia="Arial" w:hAnsi="Arial"/>
          <w:sz w:val="22"/>
          <w:szCs w:val="22"/>
          <w:color w:val="auto"/>
        </w:rPr>
        <w:t>Executive’s willful failure to substantially perform Executive’s duties;</w:t>
      </w:r>
    </w:p>
    <w:p>
      <w:pPr>
        <w:spacing w:after="0" w:line="206" w:lineRule="exact"/>
        <w:rPr>
          <w:rFonts w:ascii="Arial" w:cs="Arial" w:eastAsia="Arial" w:hAnsi="Arial"/>
          <w:sz w:val="22"/>
          <w:szCs w:val="22"/>
          <w:color w:val="auto"/>
        </w:rPr>
      </w:pPr>
    </w:p>
    <w:p>
      <w:pPr>
        <w:ind w:left="180" w:right="20" w:firstLine="1934"/>
        <w:spacing w:after="0" w:line="274" w:lineRule="auto"/>
        <w:tabs>
          <w:tab w:leader="none" w:pos="2610" w:val="left"/>
        </w:tabs>
        <w:numPr>
          <w:ilvl w:val="1"/>
          <w:numId w:val="408"/>
        </w:numPr>
        <w:rPr>
          <w:rFonts w:ascii="Arial" w:cs="Arial" w:eastAsia="Arial" w:hAnsi="Arial"/>
          <w:sz w:val="21"/>
          <w:szCs w:val="21"/>
          <w:color w:val="auto"/>
        </w:rPr>
      </w:pPr>
      <w:r>
        <w:rPr>
          <w:rFonts w:ascii="Arial" w:cs="Arial" w:eastAsia="Arial" w:hAnsi="Arial"/>
          <w:sz w:val="21"/>
          <w:szCs w:val="21"/>
          <w:color w:val="auto"/>
        </w:rPr>
        <w:t>any act of fraud, misappropriation, dishonesty, malfeasance or embezzlement by Executive in connection with the performance of Executive’s duties to the Company;</w:t>
      </w:r>
    </w:p>
    <w:p>
      <w:pPr>
        <w:spacing w:after="0" w:line="150" w:lineRule="exact"/>
        <w:rPr>
          <w:rFonts w:ascii="Arial" w:cs="Arial" w:eastAsia="Arial" w:hAnsi="Arial"/>
          <w:sz w:val="21"/>
          <w:szCs w:val="21"/>
          <w:color w:val="auto"/>
        </w:rPr>
      </w:pPr>
    </w:p>
    <w:p>
      <w:pPr>
        <w:ind w:left="180" w:firstLine="1934"/>
        <w:spacing w:after="0" w:line="250" w:lineRule="auto"/>
        <w:tabs>
          <w:tab w:leader="none" w:pos="2610" w:val="left"/>
        </w:tabs>
        <w:numPr>
          <w:ilvl w:val="1"/>
          <w:numId w:val="408"/>
        </w:numPr>
        <w:rPr>
          <w:rFonts w:ascii="Arial" w:cs="Arial" w:eastAsia="Arial" w:hAnsi="Arial"/>
          <w:sz w:val="22"/>
          <w:szCs w:val="22"/>
          <w:color w:val="auto"/>
        </w:rPr>
      </w:pPr>
      <w:r>
        <w:rPr>
          <w:rFonts w:ascii="Arial" w:cs="Arial" w:eastAsia="Arial" w:hAnsi="Arial"/>
          <w:sz w:val="22"/>
          <w:szCs w:val="22"/>
          <w:color w:val="auto"/>
        </w:rPr>
        <w:t>Executive’s material violation of any policies of the Company or any restrictive covenants applicable to Executive; or</w:t>
      </w:r>
    </w:p>
    <w:p>
      <w:pPr>
        <w:spacing w:after="0" w:line="174" w:lineRule="exact"/>
        <w:rPr>
          <w:rFonts w:ascii="Arial" w:cs="Arial" w:eastAsia="Arial" w:hAnsi="Arial"/>
          <w:sz w:val="22"/>
          <w:szCs w:val="22"/>
          <w:color w:val="auto"/>
        </w:rPr>
      </w:pPr>
    </w:p>
    <w:p>
      <w:pPr>
        <w:ind w:left="2600" w:hanging="486"/>
        <w:spacing w:after="0"/>
        <w:tabs>
          <w:tab w:leader="none" w:pos="2600" w:val="left"/>
        </w:tabs>
        <w:numPr>
          <w:ilvl w:val="1"/>
          <w:numId w:val="408"/>
        </w:numPr>
        <w:rPr>
          <w:rFonts w:ascii="Arial" w:cs="Arial" w:eastAsia="Arial" w:hAnsi="Arial"/>
          <w:sz w:val="22"/>
          <w:szCs w:val="22"/>
          <w:color w:val="auto"/>
        </w:rPr>
      </w:pPr>
      <w:r>
        <w:rPr>
          <w:rFonts w:ascii="Arial" w:cs="Arial" w:eastAsia="Arial" w:hAnsi="Arial"/>
          <w:sz w:val="22"/>
          <w:szCs w:val="22"/>
          <w:color w:val="auto"/>
        </w:rPr>
        <w:t xml:space="preserve">Executive’s conviction of, or entering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 felony.</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by a court of law pursuant to the dispute provisions of Section 11(a).</w:t>
      </w:r>
    </w:p>
    <w:p>
      <w:pPr>
        <w:spacing w:after="0" w:line="155" w:lineRule="exact"/>
        <w:rPr>
          <w:sz w:val="20"/>
          <w:szCs w:val="20"/>
          <w:color w:val="auto"/>
        </w:rPr>
      </w:pPr>
    </w:p>
    <w:p>
      <w:pPr>
        <w:jc w:val="both"/>
        <w:ind w:firstLine="1304"/>
        <w:spacing w:after="0" w:line="239" w:lineRule="auto"/>
        <w:tabs>
          <w:tab w:leader="none" w:pos="1944" w:val="left"/>
        </w:tabs>
        <w:numPr>
          <w:ilvl w:val="0"/>
          <w:numId w:val="409"/>
        </w:numPr>
        <w:rPr>
          <w:rFonts w:ascii="Arial" w:cs="Arial" w:eastAsia="Arial" w:hAnsi="Arial"/>
          <w:sz w:val="22"/>
          <w:szCs w:val="22"/>
          <w:color w:val="auto"/>
        </w:rPr>
      </w:pPr>
      <w:r>
        <w:rPr>
          <w:rFonts w:ascii="Arial" w:cs="Arial" w:eastAsia="Arial" w:hAnsi="Arial"/>
          <w:sz w:val="22"/>
          <w:szCs w:val="22"/>
          <w:b w:val="1"/>
          <w:bCs w:val="1"/>
          <w:u w:val="single" w:color="auto"/>
          <w:color w:val="auto"/>
        </w:rPr>
        <w:t>With or Without Good Reason</w:t>
      </w:r>
      <w:r>
        <w:rPr>
          <w:rFonts w:ascii="Arial" w:cs="Arial" w:eastAsia="Arial" w:hAnsi="Arial"/>
          <w:sz w:val="22"/>
          <w:szCs w:val="22"/>
          <w:color w:val="auto"/>
        </w:rPr>
        <w:t>. Executive’s employment may be terminated by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either with or without Good Reason. For purposes of this Agreement, “</w:t>
      </w:r>
      <w:r>
        <w:rPr>
          <w:rFonts w:ascii="Arial" w:cs="Arial" w:eastAsia="Arial" w:hAnsi="Arial"/>
          <w:sz w:val="22"/>
          <w:szCs w:val="22"/>
          <w:b w:val="1"/>
          <w:bCs w:val="1"/>
          <w:color w:val="auto"/>
        </w:rPr>
        <w:t>Good Reason</w:t>
      </w:r>
      <w:r>
        <w:rPr>
          <w:rFonts w:ascii="Arial" w:cs="Arial" w:eastAsia="Arial" w:hAnsi="Arial"/>
          <w:sz w:val="22"/>
          <w:szCs w:val="22"/>
          <w:color w:val="auto"/>
        </w:rPr>
        <w:t>” shall mean Executive’s voluntary resignation after any of the following actions are taken by the Company or any of its Affiliates without Executive’s written consent:</w:t>
      </w:r>
    </w:p>
    <w:p>
      <w:pPr>
        <w:spacing w:after="0" w:line="186" w:lineRule="exact"/>
        <w:rPr>
          <w:rFonts w:ascii="Arial" w:cs="Arial" w:eastAsia="Arial" w:hAnsi="Arial"/>
          <w:sz w:val="22"/>
          <w:szCs w:val="22"/>
          <w:color w:val="auto"/>
        </w:rPr>
      </w:pPr>
    </w:p>
    <w:p>
      <w:pPr>
        <w:ind w:left="180" w:firstLine="1934"/>
        <w:spacing w:after="0" w:line="250" w:lineRule="auto"/>
        <w:tabs>
          <w:tab w:leader="none" w:pos="2610" w:val="left"/>
        </w:tabs>
        <w:numPr>
          <w:ilvl w:val="1"/>
          <w:numId w:val="409"/>
        </w:numPr>
        <w:rPr>
          <w:rFonts w:ascii="Arial" w:cs="Arial" w:eastAsia="Arial" w:hAnsi="Arial"/>
          <w:sz w:val="22"/>
          <w:szCs w:val="22"/>
          <w:color w:val="auto"/>
        </w:rPr>
      </w:pPr>
      <w:r>
        <w:rPr>
          <w:rFonts w:ascii="Arial" w:cs="Arial" w:eastAsia="Arial" w:hAnsi="Arial"/>
          <w:sz w:val="22"/>
          <w:szCs w:val="22"/>
          <w:color w:val="auto"/>
        </w:rPr>
        <w:t>A material diminution in Executive’s title, authority, duties or responsibilities or a requirement that Executive report to any person or entity other than the CEO;</w:t>
      </w:r>
    </w:p>
    <w:p>
      <w:pPr>
        <w:spacing w:after="0" w:line="174" w:lineRule="exact"/>
        <w:rPr>
          <w:rFonts w:ascii="Arial" w:cs="Arial" w:eastAsia="Arial" w:hAnsi="Arial"/>
          <w:sz w:val="22"/>
          <w:szCs w:val="22"/>
          <w:color w:val="auto"/>
        </w:rPr>
      </w:pPr>
    </w:p>
    <w:p>
      <w:pPr>
        <w:ind w:left="2600" w:hanging="486"/>
        <w:spacing w:after="0"/>
        <w:tabs>
          <w:tab w:leader="none" w:pos="2600" w:val="left"/>
        </w:tabs>
        <w:numPr>
          <w:ilvl w:val="1"/>
          <w:numId w:val="409"/>
        </w:numPr>
        <w:rPr>
          <w:rFonts w:ascii="Arial" w:cs="Arial" w:eastAsia="Arial" w:hAnsi="Arial"/>
          <w:sz w:val="19"/>
          <w:szCs w:val="19"/>
          <w:color w:val="auto"/>
        </w:rPr>
      </w:pPr>
      <w:r>
        <w:rPr>
          <w:rFonts w:ascii="Arial" w:cs="Arial" w:eastAsia="Arial" w:hAnsi="Arial"/>
          <w:sz w:val="19"/>
          <w:szCs w:val="19"/>
          <w:color w:val="auto"/>
        </w:rPr>
        <w:t>A material reduction in the Annual Base Salary or target Annual Bonus opportunity;</w:t>
      </w:r>
    </w:p>
    <w:p>
      <w:pPr>
        <w:spacing w:after="0" w:line="240" w:lineRule="exact"/>
        <w:rPr>
          <w:rFonts w:ascii="Arial" w:cs="Arial" w:eastAsia="Arial" w:hAnsi="Arial"/>
          <w:sz w:val="19"/>
          <w:szCs w:val="19"/>
          <w:color w:val="auto"/>
        </w:rPr>
      </w:pPr>
    </w:p>
    <w:p>
      <w:pPr>
        <w:ind w:left="180" w:right="20" w:firstLine="1934"/>
        <w:spacing w:after="0" w:line="250" w:lineRule="auto"/>
        <w:tabs>
          <w:tab w:leader="none" w:pos="2610" w:val="left"/>
        </w:tabs>
        <w:numPr>
          <w:ilvl w:val="1"/>
          <w:numId w:val="409"/>
        </w:numPr>
        <w:rPr>
          <w:rFonts w:ascii="Arial" w:cs="Arial" w:eastAsia="Arial" w:hAnsi="Arial"/>
          <w:sz w:val="22"/>
          <w:szCs w:val="22"/>
          <w:color w:val="auto"/>
        </w:rPr>
      </w:pPr>
      <w:r>
        <w:rPr>
          <w:rFonts w:ascii="Arial" w:cs="Arial" w:eastAsia="Arial" w:hAnsi="Arial"/>
          <w:sz w:val="22"/>
          <w:szCs w:val="22"/>
          <w:color w:val="auto"/>
        </w:rPr>
        <w:t>A relocation of Executive’s primary place of employment by more than 25 miles from Executive’s primary place of employment as set forth in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87" w:name="page388"/>
    <w:bookmarkEnd w:id="387"/>
    <w:p>
      <w:pPr>
        <w:ind w:left="2120"/>
        <w:spacing w:after="0"/>
        <w:tabs>
          <w:tab w:leader="none" w:pos="258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The Company’s violation of the terms of this Agreement.</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Arial" w:cs="Arial" w:eastAsia="Arial" w:hAnsi="Arial"/>
          <w:sz w:val="19"/>
          <w:szCs w:val="19"/>
          <w:b w:val="1"/>
          <w:bCs w:val="1"/>
          <w:color w:val="auto"/>
        </w:rPr>
        <w:t>Cure Period</w:t>
      </w:r>
      <w:r>
        <w:rPr>
          <w:rFonts w:ascii="Arial" w:cs="Arial" w:eastAsia="Arial" w:hAnsi="Arial"/>
          <w:sz w:val="19"/>
          <w:szCs w:val="19"/>
          <w:color w:val="auto"/>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spacing w:after="0" w:line="151" w:lineRule="exact"/>
        <w:rPr>
          <w:sz w:val="20"/>
          <w:szCs w:val="20"/>
          <w:color w:val="auto"/>
        </w:rPr>
      </w:pPr>
    </w:p>
    <w:p>
      <w:pPr>
        <w:jc w:val="both"/>
        <w:ind w:left="80" w:firstLine="1224"/>
        <w:spacing w:after="0" w:line="280" w:lineRule="auto"/>
        <w:tabs>
          <w:tab w:leader="none" w:pos="1959" w:val="left"/>
        </w:tabs>
        <w:numPr>
          <w:ilvl w:val="0"/>
          <w:numId w:val="410"/>
        </w:numPr>
        <w:rPr>
          <w:rFonts w:ascii="Arial" w:cs="Arial" w:eastAsia="Arial" w:hAnsi="Arial"/>
          <w:sz w:val="19"/>
          <w:szCs w:val="19"/>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Executive’s employment may be terminated by Executive due to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Retirement</w:t>
      </w:r>
      <w:r>
        <w:rPr>
          <w:rFonts w:ascii="Arial" w:cs="Arial" w:eastAsia="Arial" w:hAnsi="Arial"/>
          <w:sz w:val="19"/>
          <w:szCs w:val="19"/>
          <w:color w:val="auto"/>
        </w:rPr>
        <w:t>” shall mean Executive’s voluntary resignation at a time when the</w:t>
      </w:r>
    </w:p>
    <w:p>
      <w:pPr>
        <w:spacing w:after="0" w:line="256" w:lineRule="auto"/>
        <w:rPr>
          <w:sz w:val="20"/>
          <w:szCs w:val="20"/>
          <w:color w:val="auto"/>
        </w:rPr>
      </w:pPr>
      <w:r>
        <w:rPr>
          <w:rFonts w:ascii="Arial" w:cs="Arial" w:eastAsia="Arial" w:hAnsi="Arial"/>
          <w:sz w:val="21"/>
          <w:szCs w:val="21"/>
          <w:color w:val="auto"/>
        </w:rPr>
        <w:t xml:space="preserve">sum of Executive’s age and years of service equal at least 70,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Executive has attained at least age 55 with at least 10 years of service with the Company or any predecessor or successor entity.</w:t>
      </w:r>
    </w:p>
    <w:p>
      <w:pPr>
        <w:spacing w:after="0" w:line="163" w:lineRule="exact"/>
        <w:rPr>
          <w:sz w:val="20"/>
          <w:szCs w:val="20"/>
          <w:color w:val="auto"/>
        </w:rPr>
      </w:pPr>
    </w:p>
    <w:p>
      <w:pPr>
        <w:jc w:val="both"/>
        <w:ind w:firstLine="1304"/>
        <w:spacing w:after="0" w:line="247" w:lineRule="auto"/>
        <w:tabs>
          <w:tab w:leader="none" w:pos="1944" w:val="left"/>
        </w:tabs>
        <w:numPr>
          <w:ilvl w:val="1"/>
          <w:numId w:val="411"/>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 of Termination</w:t>
      </w:r>
      <w:r>
        <w:rPr>
          <w:rFonts w:ascii="Arial" w:cs="Arial" w:eastAsia="Arial" w:hAnsi="Arial"/>
          <w:sz w:val="21"/>
          <w:szCs w:val="21"/>
          <w:color w:val="auto"/>
        </w:rPr>
        <w:t>. Any termination of Executive’s employment by the Company with</w:t>
      </w:r>
      <w:r>
        <w:rPr>
          <w:rFonts w:ascii="Arial" w:cs="Arial" w:eastAsia="Arial" w:hAnsi="Arial"/>
          <w:sz w:val="21"/>
          <w:szCs w:val="21"/>
          <w:b w:val="1"/>
          <w:bCs w:val="1"/>
          <w:color w:val="auto"/>
        </w:rPr>
        <w:t xml:space="preserve"> </w:t>
      </w:r>
      <w:r>
        <w:rPr>
          <w:rFonts w:ascii="Arial" w:cs="Arial" w:eastAsia="Arial" w:hAnsi="Arial"/>
          <w:sz w:val="21"/>
          <w:szCs w:val="21"/>
          <w:color w:val="auto"/>
        </w:rPr>
        <w:t>or without Cause, or by Executive with or without Good Reason or due to Retirement, shall be communicated by Notice of Termination to the other party hereto given in accordance with Section 11(b). For purposes of this Agreement, a “</w:t>
      </w:r>
      <w:r>
        <w:rPr>
          <w:rFonts w:ascii="Arial" w:cs="Arial" w:eastAsia="Arial" w:hAnsi="Arial"/>
          <w:sz w:val="21"/>
          <w:szCs w:val="21"/>
          <w:b w:val="1"/>
          <w:bCs w:val="1"/>
          <w:color w:val="auto"/>
        </w:rPr>
        <w:t>Notice of Termination</w:t>
      </w:r>
      <w:r>
        <w:rPr>
          <w:rFonts w:ascii="Arial" w:cs="Arial" w:eastAsia="Arial" w:hAnsi="Arial"/>
          <w:sz w:val="21"/>
          <w:szCs w:val="21"/>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spacing w:after="0" w:line="171" w:lineRule="exact"/>
        <w:rPr>
          <w:rFonts w:ascii="Arial" w:cs="Arial" w:eastAsia="Arial" w:hAnsi="Arial"/>
          <w:sz w:val="21"/>
          <w:szCs w:val="21"/>
          <w:color w:val="auto"/>
        </w:rPr>
      </w:pPr>
    </w:p>
    <w:p>
      <w:pPr>
        <w:jc w:val="both"/>
        <w:ind w:firstLine="1304"/>
        <w:spacing w:after="0" w:line="272" w:lineRule="auto"/>
        <w:tabs>
          <w:tab w:leader="none" w:pos="1944" w:val="left"/>
        </w:tabs>
        <w:numPr>
          <w:ilvl w:val="1"/>
          <w:numId w:val="411"/>
        </w:numPr>
        <w:rPr>
          <w:rFonts w:ascii="Arial" w:cs="Arial" w:eastAsia="Arial" w:hAnsi="Arial"/>
          <w:sz w:val="19"/>
          <w:szCs w:val="19"/>
          <w:color w:val="auto"/>
        </w:rPr>
      </w:pPr>
      <w:r>
        <w:rPr>
          <w:rFonts w:ascii="Arial" w:cs="Arial" w:eastAsia="Arial" w:hAnsi="Arial"/>
          <w:sz w:val="19"/>
          <w:szCs w:val="19"/>
          <w:b w:val="1"/>
          <w:bCs w:val="1"/>
          <w:u w:val="single" w:color="auto"/>
          <w:color w:val="auto"/>
        </w:rPr>
        <w:t>Date of Termination</w:t>
      </w:r>
      <w:r>
        <w:rPr>
          <w:rFonts w:ascii="Arial" w:cs="Arial" w:eastAsia="Arial" w:hAnsi="Arial"/>
          <w:sz w:val="19"/>
          <w:szCs w:val="19"/>
          <w:color w:val="auto"/>
        </w:rPr>
        <w:t>. “</w:t>
      </w:r>
      <w:r>
        <w:rPr>
          <w:rFonts w:ascii="Arial" w:cs="Arial" w:eastAsia="Arial" w:hAnsi="Arial"/>
          <w:sz w:val="19"/>
          <w:szCs w:val="19"/>
          <w:b w:val="1"/>
          <w:bCs w:val="1"/>
          <w:color w:val="auto"/>
        </w:rPr>
        <w:t>Date of Termination</w:t>
      </w:r>
      <w:r>
        <w:rPr>
          <w:rFonts w:ascii="Arial" w:cs="Arial" w:eastAsia="Arial" w:hAnsi="Arial"/>
          <w:sz w:val="19"/>
          <w:szCs w:val="19"/>
          <w:color w:val="auto"/>
        </w:rPr>
        <w:t>” means (i) if Executive’s employment is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Arial" w:cs="Arial" w:eastAsia="Arial" w:hAnsi="Arial"/>
          <w:sz w:val="14"/>
          <w:szCs w:val="14"/>
          <w:color w:val="auto"/>
        </w:rPr>
        <w:t>th</w:t>
      </w:r>
      <w:r>
        <w:rPr>
          <w:rFonts w:ascii="Arial" w:cs="Arial" w:eastAsia="Arial" w:hAnsi="Arial"/>
          <w:sz w:val="19"/>
          <w:szCs w:val="19"/>
          <w:color w:val="auto"/>
        </w:rPr>
        <w:t xml:space="preserve"> day following receipt of the Notice of Termination or any later date specified therein or</w:t>
      </w:r>
    </w:p>
    <w:p>
      <w:pPr>
        <w:ind w:firstLine="8"/>
        <w:spacing w:after="0" w:line="236" w:lineRule="auto"/>
        <w:tabs>
          <w:tab w:leader="none" w:pos="380" w:val="left"/>
        </w:tabs>
        <w:numPr>
          <w:ilvl w:val="0"/>
          <w:numId w:val="412"/>
        </w:numPr>
        <w:rPr>
          <w:rFonts w:ascii="Arial" w:cs="Arial" w:eastAsia="Arial" w:hAnsi="Arial"/>
          <w:sz w:val="22"/>
          <w:szCs w:val="22"/>
          <w:color w:val="auto"/>
        </w:rPr>
      </w:pPr>
      <w:r>
        <w:rPr>
          <w:rFonts w:ascii="Arial" w:cs="Arial" w:eastAsia="Arial" w:hAnsi="Arial"/>
          <w:sz w:val="22"/>
          <w:szCs w:val="22"/>
          <w:color w:val="auto"/>
        </w:rPr>
        <w:t>if Executive’s employment is terminated by reason of death or Disability, the Date of Termination shall be the date of death of Executive or the Disability Effective Date, as the case may be.</w:t>
      </w:r>
    </w:p>
    <w:p>
      <w:pPr>
        <w:spacing w:after="0" w:line="181" w:lineRule="exact"/>
        <w:rPr>
          <w:sz w:val="20"/>
          <w:szCs w:val="20"/>
          <w:color w:val="auto"/>
        </w:rPr>
      </w:pPr>
    </w:p>
    <w:p>
      <w:pPr>
        <w:ind w:left="1960" w:hanging="656"/>
        <w:spacing w:after="0"/>
        <w:tabs>
          <w:tab w:leader="none" w:pos="1960" w:val="left"/>
        </w:tabs>
        <w:numPr>
          <w:ilvl w:val="0"/>
          <w:numId w:val="413"/>
        </w:numPr>
        <w:rPr>
          <w:rFonts w:ascii="Arial" w:cs="Arial" w:eastAsia="Arial" w:hAnsi="Arial"/>
          <w:sz w:val="22"/>
          <w:szCs w:val="22"/>
          <w:color w:val="auto"/>
        </w:rPr>
      </w:pPr>
      <w:r>
        <w:rPr>
          <w:rFonts w:ascii="Arial" w:cs="Arial" w:eastAsia="Arial" w:hAnsi="Arial"/>
          <w:sz w:val="22"/>
          <w:szCs w:val="22"/>
          <w:b w:val="1"/>
          <w:bCs w:val="1"/>
          <w:u w:val="single" w:color="auto"/>
          <w:color w:val="auto"/>
        </w:rPr>
        <w:t>Obligations of the Company upon Termination</w:t>
      </w:r>
      <w:r>
        <w:rPr>
          <w:rFonts w:ascii="Arial" w:cs="Arial" w:eastAsia="Arial" w:hAnsi="Arial"/>
          <w:sz w:val="22"/>
          <w:szCs w:val="22"/>
          <w:color w:val="auto"/>
        </w:rPr>
        <w:t>.</w:t>
      </w:r>
    </w:p>
    <w:p>
      <w:pPr>
        <w:spacing w:after="0" w:line="206" w:lineRule="exact"/>
        <w:rPr>
          <w:sz w:val="20"/>
          <w:szCs w:val="20"/>
          <w:color w:val="auto"/>
        </w:rPr>
      </w:pPr>
    </w:p>
    <w:p>
      <w:pPr>
        <w:ind w:right="220" w:firstLine="1304"/>
        <w:spacing w:after="0" w:line="283" w:lineRule="auto"/>
        <w:tabs>
          <w:tab w:leader="none" w:pos="1944" w:val="left"/>
        </w:tabs>
        <w:numPr>
          <w:ilvl w:val="0"/>
          <w:numId w:val="414"/>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 Other Than for Cause, Death or Disability</w:t>
      </w:r>
      <w:r>
        <w:rPr>
          <w:rFonts w:ascii="Arial" w:cs="Arial" w:eastAsia="Arial" w:hAnsi="Arial"/>
          <w:sz w:val="19"/>
          <w:szCs w:val="19"/>
          <w:color w:val="auto"/>
        </w:rPr>
        <w:t>. If, during the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Period, the Company terminates Executive’s employment other than for Cause, death or Disability, or Executive terminates employment for Good Reason, then, in each case, subject to Executive’s execution within 50 days following the Date of Termination, and non-revocation, of a release of claims in the form attached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the Company and its Affiliates shall pay to Executive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88" w:name="page389"/>
    <w:bookmarkEnd w:id="388"/>
    <w:p>
      <w:pPr>
        <w:jc w:val="both"/>
        <w:ind w:left="10" w:firstLine="1934"/>
        <w:spacing w:after="0" w:line="271" w:lineRule="auto"/>
        <w:tabs>
          <w:tab w:leader="none" w:pos="2440" w:val="left"/>
        </w:tabs>
        <w:numPr>
          <w:ilvl w:val="1"/>
          <w:numId w:val="415"/>
        </w:numPr>
        <w:rPr>
          <w:rFonts w:ascii="Arial" w:cs="Arial" w:eastAsia="Arial" w:hAnsi="Arial"/>
          <w:sz w:val="19"/>
          <w:szCs w:val="19"/>
          <w:color w:val="auto"/>
        </w:rPr>
      </w:pPr>
      <w:r>
        <w:rPr>
          <w:rFonts w:ascii="Arial" w:cs="Arial" w:eastAsia="Arial" w:hAnsi="Arial"/>
          <w:sz w:val="19"/>
          <w:szCs w:val="19"/>
          <w:color w:val="auto"/>
        </w:rPr>
        <w:t>the sum of (A) the portion of the Annual Base Salary due for the period through the Date of Termination to the extent not theretofore paid, (B) any accrued but unpaid vacation and (C) Executive’s business expenses that have not been reimbursed by the Company as of the Date of Termination that were incurred by Executive on or prior to the Date of Termination (the sum of the amounts described in clauses (A),</w:t>
      </w:r>
    </w:p>
    <w:p>
      <w:pPr>
        <w:spacing w:after="0" w:line="3" w:lineRule="exact"/>
        <w:rPr>
          <w:rFonts w:ascii="Arial" w:cs="Arial" w:eastAsia="Arial" w:hAnsi="Arial"/>
          <w:sz w:val="19"/>
          <w:szCs w:val="19"/>
          <w:color w:val="auto"/>
        </w:rPr>
      </w:pPr>
    </w:p>
    <w:p>
      <w:pPr>
        <w:ind w:left="10" w:hanging="10"/>
        <w:spacing w:after="0" w:line="236" w:lineRule="auto"/>
        <w:tabs>
          <w:tab w:leader="none" w:pos="359" w:val="left"/>
        </w:tabs>
        <w:numPr>
          <w:ilvl w:val="0"/>
          <w:numId w:val="416"/>
        </w:numPr>
        <w:rPr>
          <w:rFonts w:ascii="Arial" w:cs="Arial" w:eastAsia="Arial" w:hAnsi="Arial"/>
          <w:sz w:val="22"/>
          <w:szCs w:val="22"/>
          <w:color w:val="auto"/>
        </w:rPr>
      </w:pPr>
      <w:r>
        <w:rPr>
          <w:rFonts w:ascii="Arial" w:cs="Arial" w:eastAsia="Arial" w:hAnsi="Arial"/>
          <w:sz w:val="22"/>
          <w:szCs w:val="22"/>
          <w:color w:val="auto"/>
        </w:rPr>
        <w:t>and (C) shall be hereinafter referred to as the “</w:t>
      </w:r>
      <w:r>
        <w:rPr>
          <w:rFonts w:ascii="Arial" w:cs="Arial" w:eastAsia="Arial" w:hAnsi="Arial"/>
          <w:sz w:val="22"/>
          <w:szCs w:val="22"/>
          <w:b w:val="1"/>
          <w:bCs w:val="1"/>
          <w:color w:val="auto"/>
        </w:rPr>
        <w:t>Accrued Obligations</w:t>
      </w:r>
      <w:r>
        <w:rPr>
          <w:rFonts w:ascii="Arial" w:cs="Arial" w:eastAsia="Arial" w:hAnsi="Arial"/>
          <w:sz w:val="22"/>
          <w:szCs w:val="22"/>
          <w:color w:val="auto"/>
        </w:rPr>
        <w:t>”), which Accrued Obligations shall be paid in a lump sum in cash within 60 days following the Date of Termination;</w:t>
      </w:r>
    </w:p>
    <w:p>
      <w:pPr>
        <w:spacing w:after="0" w:line="186" w:lineRule="exact"/>
        <w:rPr>
          <w:rFonts w:ascii="Arial" w:cs="Arial" w:eastAsia="Arial" w:hAnsi="Arial"/>
          <w:sz w:val="22"/>
          <w:szCs w:val="22"/>
          <w:color w:val="auto"/>
        </w:rPr>
      </w:pPr>
    </w:p>
    <w:p>
      <w:pPr>
        <w:jc w:val="both"/>
        <w:ind w:left="10" w:firstLine="1934"/>
        <w:spacing w:after="0" w:line="238" w:lineRule="auto"/>
        <w:tabs>
          <w:tab w:leader="none" w:pos="2440" w:val="left"/>
        </w:tabs>
        <w:numPr>
          <w:ilvl w:val="1"/>
          <w:numId w:val="416"/>
        </w:numPr>
        <w:rPr>
          <w:rFonts w:ascii="Arial" w:cs="Arial" w:eastAsia="Arial" w:hAnsi="Arial"/>
          <w:sz w:val="22"/>
          <w:szCs w:val="22"/>
          <w:color w:val="auto"/>
        </w:rPr>
      </w:pPr>
      <w:r>
        <w:rPr>
          <w:rFonts w:ascii="Arial" w:cs="Arial" w:eastAsia="Arial" w:hAnsi="Arial"/>
          <w:sz w:val="22"/>
          <w:szCs w:val="22"/>
          <w:color w:val="auto"/>
        </w:rPr>
        <w:t>any unpaid Annual Bonus earned by Executive in respect of the fiscal year of the Company that was completed on or prior to the Date of Termination (the “</w:t>
      </w:r>
      <w:r>
        <w:rPr>
          <w:rFonts w:ascii="Arial" w:cs="Arial" w:eastAsia="Arial" w:hAnsi="Arial"/>
          <w:sz w:val="22"/>
          <w:szCs w:val="22"/>
          <w:b w:val="1"/>
          <w:bCs w:val="1"/>
          <w:color w:val="auto"/>
        </w:rPr>
        <w:t>Unpaid Annual Bonus</w:t>
      </w:r>
      <w:r>
        <w:rPr>
          <w:rFonts w:ascii="Arial" w:cs="Arial" w:eastAsia="Arial" w:hAnsi="Arial"/>
          <w:sz w:val="22"/>
          <w:szCs w:val="22"/>
          <w:color w:val="auto"/>
        </w:rPr>
        <w:t>”), which Unpaid Annual Bonus shall be paid in a lump sum in cash no later than March 15 following the year in which it was earned;</w:t>
      </w:r>
    </w:p>
    <w:p>
      <w:pPr>
        <w:spacing w:after="0" w:line="184" w:lineRule="exact"/>
        <w:rPr>
          <w:rFonts w:ascii="Arial" w:cs="Arial" w:eastAsia="Arial" w:hAnsi="Arial"/>
          <w:sz w:val="22"/>
          <w:szCs w:val="22"/>
          <w:color w:val="auto"/>
        </w:rPr>
      </w:pPr>
    </w:p>
    <w:p>
      <w:pPr>
        <w:jc w:val="both"/>
        <w:ind w:left="10" w:firstLine="1934"/>
        <w:spacing w:after="0" w:line="245" w:lineRule="auto"/>
        <w:tabs>
          <w:tab w:leader="none" w:pos="2440" w:val="left"/>
        </w:tabs>
        <w:numPr>
          <w:ilvl w:val="1"/>
          <w:numId w:val="416"/>
        </w:numPr>
        <w:rPr>
          <w:rFonts w:ascii="Arial" w:cs="Arial" w:eastAsia="Arial" w:hAnsi="Arial"/>
          <w:sz w:val="21"/>
          <w:szCs w:val="21"/>
          <w:color w:val="auto"/>
        </w:rPr>
      </w:pPr>
      <w:r>
        <w:rPr>
          <w:rFonts w:ascii="Arial" w:cs="Arial" w:eastAsia="Arial" w:hAnsi="Arial"/>
          <w:sz w:val="21"/>
          <w:szCs w:val="21"/>
          <w:color w:val="auto"/>
        </w:rPr>
        <w:t>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Arial" w:cs="Arial" w:eastAsia="Arial" w:hAnsi="Arial"/>
          <w:sz w:val="21"/>
          <w:szCs w:val="21"/>
          <w:b w:val="1"/>
          <w:bCs w:val="1"/>
          <w:color w:val="auto"/>
        </w:rPr>
        <w:t>Prorated Annual Bonus</w:t>
      </w:r>
      <w:r>
        <w:rPr>
          <w:rFonts w:ascii="Arial" w:cs="Arial" w:eastAsia="Arial" w:hAnsi="Arial"/>
          <w:sz w:val="21"/>
          <w:szCs w:val="21"/>
          <w:color w:val="auto"/>
        </w:rPr>
        <w:t xml:space="preserve">”), which Prorated Annual Bonus shall be paid in a lump sum in cash on the first regularly scheduled payroll date following the effective date of the Release,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4" w:lineRule="exact"/>
        <w:rPr>
          <w:rFonts w:ascii="Arial" w:cs="Arial" w:eastAsia="Arial" w:hAnsi="Arial"/>
          <w:sz w:val="21"/>
          <w:szCs w:val="21"/>
          <w:color w:val="auto"/>
        </w:rPr>
      </w:pPr>
    </w:p>
    <w:p>
      <w:pPr>
        <w:jc w:val="both"/>
        <w:ind w:left="10" w:firstLine="1934"/>
        <w:spacing w:after="0" w:line="279" w:lineRule="auto"/>
        <w:tabs>
          <w:tab w:leader="none" w:pos="2440" w:val="left"/>
        </w:tabs>
        <w:numPr>
          <w:ilvl w:val="1"/>
          <w:numId w:val="416"/>
        </w:numPr>
        <w:rPr>
          <w:rFonts w:ascii="Arial" w:cs="Arial" w:eastAsia="Arial" w:hAnsi="Arial"/>
          <w:sz w:val="19"/>
          <w:szCs w:val="19"/>
          <w:color w:val="auto"/>
        </w:rPr>
      </w:pPr>
      <w:r>
        <w:rPr>
          <w:rFonts w:ascii="Arial" w:cs="Arial" w:eastAsia="Arial" w:hAnsi="Arial"/>
          <w:sz w:val="19"/>
          <w:szCs w:val="19"/>
          <w:color w:val="auto"/>
        </w:rPr>
        <w:t xml:space="preserve">an amount equal to the product of (A) the Severance Multiple (as defined below) </w:t>
      </w:r>
      <w:r>
        <w:rPr>
          <w:rFonts w:ascii="Arial" w:cs="Arial" w:eastAsia="Arial" w:hAnsi="Arial"/>
          <w:sz w:val="19"/>
          <w:szCs w:val="19"/>
          <w:i w:val="1"/>
          <w:iCs w:val="1"/>
          <w:color w:val="auto"/>
        </w:rPr>
        <w:t xml:space="preserve">multiplied by </w:t>
      </w:r>
      <w:r>
        <w:rPr>
          <w:rFonts w:ascii="Arial" w:cs="Arial" w:eastAsia="Arial" w:hAnsi="Arial"/>
          <w:sz w:val="19"/>
          <w:szCs w:val="19"/>
          <w:color w:val="auto"/>
        </w:rPr>
        <w:t>(B) the sum of (x) the Annual Base Salary and (y) the target Annual Bonus opportunity as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the fiscal year of the Company in which the Date of Termination occurs, which amount shall be paid in a lump sum in cash on the first regularly scheduled payroll date following the effective date of the Release,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50" w:lineRule="exact"/>
        <w:rPr>
          <w:rFonts w:ascii="Arial" w:cs="Arial" w:eastAsia="Arial" w:hAnsi="Arial"/>
          <w:sz w:val="19"/>
          <w:szCs w:val="19"/>
          <w:color w:val="auto"/>
        </w:rPr>
      </w:pPr>
    </w:p>
    <w:p>
      <w:pPr>
        <w:jc w:val="both"/>
        <w:ind w:left="10" w:firstLine="1934"/>
        <w:spacing w:after="0" w:line="279" w:lineRule="auto"/>
        <w:tabs>
          <w:tab w:leader="none" w:pos="2440" w:val="left"/>
        </w:tabs>
        <w:numPr>
          <w:ilvl w:val="1"/>
          <w:numId w:val="416"/>
        </w:numPr>
        <w:rPr>
          <w:rFonts w:ascii="Arial" w:cs="Arial" w:eastAsia="Arial" w:hAnsi="Arial"/>
          <w:sz w:val="19"/>
          <w:szCs w:val="19"/>
          <w:color w:val="auto"/>
        </w:rPr>
      </w:pPr>
      <w:r>
        <w:rPr>
          <w:rFonts w:ascii="Arial" w:cs="Arial" w:eastAsia="Arial" w:hAnsi="Arial"/>
          <w:sz w:val="19"/>
          <w:szCs w:val="19"/>
          <w:color w:val="auto"/>
        </w:rPr>
        <w:t xml:space="preserve">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period for consideration and revocation of the Release spans two calendar years, then the payment shall be made no sooner than the first regularly scheduled payroll date in the second calendar year; and</w:t>
      </w:r>
    </w:p>
    <w:p>
      <w:pPr>
        <w:spacing w:after="0" w:line="150" w:lineRule="exact"/>
        <w:rPr>
          <w:rFonts w:ascii="Arial" w:cs="Arial" w:eastAsia="Arial" w:hAnsi="Arial"/>
          <w:sz w:val="19"/>
          <w:szCs w:val="19"/>
          <w:color w:val="auto"/>
        </w:rPr>
      </w:pPr>
    </w:p>
    <w:p>
      <w:pPr>
        <w:jc w:val="both"/>
        <w:ind w:left="10" w:firstLine="1934"/>
        <w:spacing w:after="0" w:line="282" w:lineRule="auto"/>
        <w:tabs>
          <w:tab w:leader="none" w:pos="2440" w:val="left"/>
        </w:tabs>
        <w:numPr>
          <w:ilvl w:val="1"/>
          <w:numId w:val="416"/>
        </w:numPr>
        <w:rPr>
          <w:rFonts w:ascii="Arial" w:cs="Arial" w:eastAsia="Arial" w:hAnsi="Arial"/>
          <w:sz w:val="19"/>
          <w:szCs w:val="19"/>
          <w:color w:val="auto"/>
        </w:rPr>
      </w:pPr>
      <w:r>
        <w:rPr>
          <w:rFonts w:ascii="Arial" w:cs="Arial" w:eastAsia="Arial" w:hAnsi="Arial"/>
          <w:sz w:val="19"/>
          <w:szCs w:val="19"/>
          <w:color w:val="auto"/>
        </w:rPr>
        <w:t>to the extent not theretofore paid or provided, the Company and its Affiliates shall timely pay or provide to Executive, in accordance with the terms of the applicable plan, program, policy, practice or contract, any other amounts or benefits required to be paid or provided, or that Executive is eligible to receive under any plan, program, policy, practice or contract of the Company or its Affiliates, through the Date of Termination (such other amounts and benefits shall be hereinafter referred to as the “</w:t>
      </w:r>
      <w:r>
        <w:rPr>
          <w:rFonts w:ascii="Arial" w:cs="Arial" w:eastAsia="Arial" w:hAnsi="Arial"/>
          <w:sz w:val="19"/>
          <w:szCs w:val="19"/>
          <w:b w:val="1"/>
          <w:bCs w:val="1"/>
          <w:color w:val="auto"/>
        </w:rPr>
        <w:t>Other Benefits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349885</wp:posOffset>
            </wp:positionV>
            <wp:extent cx="629221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50"/>
          </w:cols>
          <w:pgMar w:left="1150" w:top="1117" w:right="999" w:bottom="1440" w:gutter="0" w:footer="0" w:header="0"/>
        </w:sectPr>
      </w:pPr>
    </w:p>
    <w:bookmarkStart w:id="389" w:name="page390"/>
    <w:bookmarkEnd w:id="389"/>
    <w:p>
      <w:pPr>
        <w:jc w:val="both"/>
        <w:spacing w:after="0" w:line="300"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Severance Multiple</w:t>
      </w:r>
      <w:r>
        <w:rPr>
          <w:rFonts w:ascii="Arial" w:cs="Arial" w:eastAsia="Arial" w:hAnsi="Arial"/>
          <w:sz w:val="19"/>
          <w:szCs w:val="19"/>
          <w:color w:val="auto"/>
        </w:rPr>
        <w:t>” shall mean two, unless a termination contemplated by this Section 5(a) occurs within one year following a Change in Control (as defined in the Westrock Coffee Company 2022 Equity Incentive Plan, as in effect on the Effective Date), in which case it shall mean three.</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spacing w:after="0" w:line="146" w:lineRule="exact"/>
        <w:rPr>
          <w:sz w:val="20"/>
          <w:szCs w:val="20"/>
          <w:color w:val="auto"/>
        </w:rPr>
      </w:pPr>
    </w:p>
    <w:p>
      <w:pPr>
        <w:jc w:val="both"/>
        <w:ind w:firstLine="1304"/>
        <w:spacing w:after="0" w:line="247" w:lineRule="auto"/>
        <w:tabs>
          <w:tab w:leader="none" w:pos="1944" w:val="left"/>
        </w:tabs>
        <w:numPr>
          <w:ilvl w:val="0"/>
          <w:numId w:val="417"/>
        </w:numPr>
        <w:rPr>
          <w:rFonts w:ascii="Arial" w:cs="Arial" w:eastAsia="Arial" w:hAnsi="Arial"/>
          <w:sz w:val="21"/>
          <w:szCs w:val="21"/>
          <w:color w:val="auto"/>
        </w:rPr>
      </w:pPr>
      <w:r>
        <w:rPr>
          <w:rFonts w:ascii="Arial" w:cs="Arial" w:eastAsia="Arial" w:hAnsi="Arial"/>
          <w:sz w:val="21"/>
          <w:szCs w:val="21"/>
          <w:b w:val="1"/>
          <w:bCs w:val="1"/>
          <w:u w:val="single" w:color="auto"/>
          <w:color w:val="auto"/>
        </w:rPr>
        <w:t>Death; Disability; Retirement</w:t>
      </w:r>
      <w:r>
        <w:rPr>
          <w:rFonts w:ascii="Arial" w:cs="Arial" w:eastAsia="Arial" w:hAnsi="Arial"/>
          <w:sz w:val="21"/>
          <w:szCs w:val="21"/>
          <w:color w:val="auto"/>
        </w:rPr>
        <w:t>. If Executive’s employment is terminated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spacing w:after="0" w:line="177"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417"/>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Termination</w:t>
      </w:r>
      <w:r>
        <w:rPr>
          <w:rFonts w:ascii="Arial" w:cs="Arial" w:eastAsia="Arial" w:hAnsi="Arial"/>
          <w:sz w:val="22"/>
          <w:szCs w:val="22"/>
          <w:color w:val="auto"/>
        </w:rPr>
        <w:t>. If Executive’s employment is terminated during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spacing w:after="0" w:line="181"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417"/>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Settlement</w:t>
      </w:r>
      <w:r>
        <w:rPr>
          <w:rFonts w:ascii="Arial" w:cs="Arial" w:eastAsia="Arial" w:hAnsi="Arial"/>
          <w:sz w:val="22"/>
          <w:szCs w:val="22"/>
          <w:color w:val="auto"/>
        </w:rPr>
        <w:t>. The payments and benefits provided under this Section 5 shall be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of the obligations of the Company and its Affiliates to Executive under this Agreement and any other plan, agreement, policy or arrangement of the Company and its Affiliates upon Executive’s termination of employment.</w:t>
      </w:r>
    </w:p>
    <w:p>
      <w:pPr>
        <w:spacing w:after="0" w:line="180" w:lineRule="exact"/>
        <w:rPr>
          <w:sz w:val="20"/>
          <w:szCs w:val="20"/>
          <w:color w:val="auto"/>
        </w:rPr>
      </w:pPr>
    </w:p>
    <w:p>
      <w:pPr>
        <w:jc w:val="both"/>
        <w:ind w:firstLine="1304"/>
        <w:spacing w:after="0" w:line="260" w:lineRule="auto"/>
        <w:tabs>
          <w:tab w:leader="none" w:pos="1944" w:val="left"/>
        </w:tabs>
        <w:numPr>
          <w:ilvl w:val="0"/>
          <w:numId w:val="418"/>
        </w:numPr>
        <w:rPr>
          <w:rFonts w:ascii="Arial" w:cs="Arial" w:eastAsia="Arial" w:hAnsi="Arial"/>
          <w:sz w:val="21"/>
          <w:szCs w:val="21"/>
          <w:color w:val="auto"/>
        </w:rPr>
      </w:pPr>
      <w:r>
        <w:rPr>
          <w:rFonts w:ascii="Arial" w:cs="Arial" w:eastAsia="Arial" w:hAnsi="Arial"/>
          <w:sz w:val="21"/>
          <w:szCs w:val="21"/>
          <w:b w:val="1"/>
          <w:bCs w:val="1"/>
          <w:u w:val="single" w:color="auto"/>
          <w:color w:val="auto"/>
        </w:rPr>
        <w:t>No Mitigation</w:t>
      </w:r>
      <w:r>
        <w:rPr>
          <w:rFonts w:ascii="Arial" w:cs="Arial" w:eastAsia="Arial" w:hAnsi="Arial"/>
          <w:sz w:val="21"/>
          <w:szCs w:val="21"/>
          <w:color w:val="auto"/>
        </w:rPr>
        <w:t>. In no event shall Executive be obligated to seek other employment or take</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action by way of mitigation of any amounts payable to Executive under Section 5 and such amounts shall not be reduced whether or not Executive obtains other employment.</w:t>
      </w:r>
    </w:p>
    <w:p>
      <w:pPr>
        <w:spacing w:after="0" w:line="160" w:lineRule="exact"/>
        <w:rPr>
          <w:rFonts w:ascii="Arial" w:cs="Arial" w:eastAsia="Arial" w:hAnsi="Arial"/>
          <w:sz w:val="21"/>
          <w:szCs w:val="21"/>
          <w:color w:val="auto"/>
        </w:rPr>
      </w:pPr>
    </w:p>
    <w:p>
      <w:pPr>
        <w:ind w:left="1960" w:hanging="656"/>
        <w:spacing w:after="0"/>
        <w:tabs>
          <w:tab w:leader="none" w:pos="1960" w:val="left"/>
        </w:tabs>
        <w:numPr>
          <w:ilvl w:val="0"/>
          <w:numId w:val="418"/>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37" w:lineRule="auto"/>
        <w:tabs>
          <w:tab w:leader="none" w:pos="1944" w:val="left"/>
        </w:tabs>
        <w:numPr>
          <w:ilvl w:val="0"/>
          <w:numId w:val="419"/>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 Executive shall hold in a fiduciary capacity for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all secret or confidential information, knowledge or data relating to the Company or its Affiliates, and their respective businesses, which shall have been obtained by Executive during Executive’s employment by the Company or any of its Affiliates and which shall not be or become public knowledge (other than by acts by Executive or representatives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0" w:name="page391"/>
    <w:bookmarkEnd w:id="390"/>
    <w:p>
      <w:pPr>
        <w:jc w:val="both"/>
        <w:spacing w:after="0" w:line="245" w:lineRule="auto"/>
        <w:rPr>
          <w:sz w:val="20"/>
          <w:szCs w:val="20"/>
          <w:color w:val="auto"/>
        </w:rPr>
      </w:pPr>
      <w:r>
        <w:rPr>
          <w:rFonts w:ascii="Arial" w:cs="Arial" w:eastAsia="Arial" w:hAnsi="Arial"/>
          <w:sz w:val="21"/>
          <w:szCs w:val="21"/>
          <w:color w:val="auto"/>
        </w:rPr>
        <w:t>Executive in violation of this Agreement) (collectively,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After termination of Executive’s employment with the Company, Executive shall not, without the prior 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spacing w:after="0" w:line="181" w:lineRule="exact"/>
        <w:rPr>
          <w:sz w:val="20"/>
          <w:szCs w:val="20"/>
          <w:color w:val="auto"/>
        </w:rPr>
      </w:pPr>
    </w:p>
    <w:p>
      <w:pPr>
        <w:jc w:val="both"/>
        <w:ind w:firstLine="1304"/>
        <w:spacing w:after="0" w:line="272" w:lineRule="auto"/>
        <w:tabs>
          <w:tab w:leader="none" w:pos="1944" w:val="left"/>
        </w:tabs>
        <w:numPr>
          <w:ilvl w:val="0"/>
          <w:numId w:val="420"/>
        </w:numPr>
        <w:rPr>
          <w:rFonts w:ascii="Arial" w:cs="Arial" w:eastAsia="Arial" w:hAnsi="Arial"/>
          <w:sz w:val="19"/>
          <w:szCs w:val="19"/>
          <w:color w:val="auto"/>
        </w:rPr>
      </w:pPr>
      <w:r>
        <w:rPr>
          <w:rFonts w:ascii="Arial" w:cs="Arial" w:eastAsia="Arial" w:hAnsi="Arial"/>
          <w:sz w:val="19"/>
          <w:szCs w:val="19"/>
          <w:b w:val="1"/>
          <w:bCs w:val="1"/>
          <w:u w:val="single" w:color="auto"/>
          <w:color w:val="auto"/>
        </w:rPr>
        <w:t>Inventions and Patents</w:t>
      </w:r>
      <w:r>
        <w:rPr>
          <w:rFonts w:ascii="Arial" w:cs="Arial" w:eastAsia="Arial" w:hAnsi="Arial"/>
          <w:sz w:val="19"/>
          <w:szCs w:val="19"/>
          <w:color w:val="auto"/>
        </w:rPr>
        <w:t>. Executive agrees that all inventions, innovations, improvements,</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Arial" w:cs="Arial" w:eastAsia="Arial" w:hAnsi="Arial"/>
          <w:sz w:val="19"/>
          <w:szCs w:val="19"/>
          <w:b w:val="1"/>
          <w:bCs w:val="1"/>
          <w:color w:val="auto"/>
        </w:rPr>
        <w:t>Work Product</w:t>
      </w:r>
      <w:r>
        <w:rPr>
          <w:rFonts w:ascii="Arial" w:cs="Arial" w:eastAsia="Arial" w:hAnsi="Arial"/>
          <w:sz w:val="19"/>
          <w:szCs w:val="19"/>
          <w:color w:val="auto"/>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304"/>
        <w:spacing w:after="0" w:line="272" w:lineRule="auto"/>
        <w:tabs>
          <w:tab w:leader="none" w:pos="1944" w:val="left"/>
        </w:tabs>
        <w:numPr>
          <w:ilvl w:val="0"/>
          <w:numId w:val="420"/>
        </w:numPr>
        <w:rPr>
          <w:rFonts w:ascii="Arial" w:cs="Arial" w:eastAsia="Arial" w:hAnsi="Arial"/>
          <w:sz w:val="19"/>
          <w:szCs w:val="19"/>
          <w:color w:val="auto"/>
        </w:rPr>
      </w:pPr>
      <w:r>
        <w:rPr>
          <w:rFonts w:ascii="Arial" w:cs="Arial" w:eastAsia="Arial" w:hAnsi="Arial"/>
          <w:sz w:val="19"/>
          <w:szCs w:val="19"/>
          <w:b w:val="1"/>
          <w:bCs w:val="1"/>
          <w:u w:val="single" w:color="auto"/>
          <w:color w:val="auto"/>
        </w:rPr>
        <w:t>Nonsolicitation</w:t>
      </w:r>
      <w:r>
        <w:rPr>
          <w:rFonts w:ascii="Arial" w:cs="Arial" w:eastAsia="Arial" w:hAnsi="Arial"/>
          <w:sz w:val="19"/>
          <w:szCs w:val="19"/>
          <w:color w:val="auto"/>
        </w:rPr>
        <w:t>. During the period commencing on the Effective Date and 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second anniversary of the Date of Termination (the “</w:t>
      </w:r>
      <w:r>
        <w:rPr>
          <w:rFonts w:ascii="Arial" w:cs="Arial" w:eastAsia="Arial" w:hAnsi="Arial"/>
          <w:sz w:val="19"/>
          <w:szCs w:val="19"/>
          <w:b w:val="1"/>
          <w:bCs w:val="1"/>
          <w:color w:val="auto"/>
        </w:rPr>
        <w:t>Restricted Period</w:t>
      </w:r>
      <w:r>
        <w:rPr>
          <w:rFonts w:ascii="Arial" w:cs="Arial" w:eastAsia="Arial" w:hAnsi="Arial"/>
          <w:sz w:val="19"/>
          <w:szCs w:val="19"/>
          <w:color w:val="auto"/>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spacing w:after="0" w:line="398" w:lineRule="exact"/>
        <w:rPr>
          <w:rFonts w:ascii="Arial" w:cs="Arial" w:eastAsia="Arial" w:hAnsi="Arial"/>
          <w:sz w:val="19"/>
          <w:szCs w:val="19"/>
          <w:color w:val="auto"/>
        </w:rPr>
      </w:pPr>
    </w:p>
    <w:p>
      <w:pPr>
        <w:ind w:firstLine="1304"/>
        <w:spacing w:after="0" w:line="256" w:lineRule="auto"/>
        <w:tabs>
          <w:tab w:leader="none" w:pos="1944" w:val="left"/>
        </w:tabs>
        <w:numPr>
          <w:ilvl w:val="0"/>
          <w:numId w:val="420"/>
        </w:numPr>
        <w:rPr>
          <w:rFonts w:ascii="Arial" w:cs="Arial" w:eastAsia="Arial" w:hAnsi="Arial"/>
          <w:sz w:val="22"/>
          <w:szCs w:val="22"/>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color w:val="auto"/>
        </w:rPr>
        <w:t>. Executive acknowledges that, in the course of Executive’s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Executive has become familiar, or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1" w:name="page392"/>
    <w:bookmarkEnd w:id="391"/>
    <w:p>
      <w:pPr>
        <w:jc w:val="both"/>
        <w:spacing w:after="0" w:line="272" w:lineRule="auto"/>
        <w:rPr>
          <w:sz w:val="20"/>
          <w:szCs w:val="20"/>
          <w:color w:val="auto"/>
        </w:rPr>
      </w:pPr>
      <w:r>
        <w:rPr>
          <w:rFonts w:ascii="Arial" w:cs="Arial" w:eastAsia="Arial" w:hAnsi="Arial"/>
          <w:sz w:val="19"/>
          <w:szCs w:val="19"/>
          <w:color w:val="auto"/>
        </w:rPr>
        <w:t xml:space="preserve">familiar, with the Company’s and its Affiliates’ trade secrets and with other Confidential Information concerning the Company, its Affiliates and their respective predecessors, and that 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activities) at any time during the one-year period ending with the Date of Termination, in any locale of 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spacing w:after="0" w:line="398" w:lineRule="exact"/>
        <w:rPr>
          <w:sz w:val="20"/>
          <w:szCs w:val="20"/>
          <w:color w:val="auto"/>
        </w:rPr>
      </w:pPr>
    </w:p>
    <w:p>
      <w:pPr>
        <w:jc w:val="both"/>
        <w:ind w:firstLine="1304"/>
        <w:spacing w:after="0" w:line="276" w:lineRule="auto"/>
        <w:tabs>
          <w:tab w:leader="none" w:pos="1944" w:val="left"/>
        </w:tabs>
        <w:numPr>
          <w:ilvl w:val="0"/>
          <w:numId w:val="421"/>
        </w:numPr>
        <w:rPr>
          <w:rFonts w:ascii="Arial" w:cs="Arial" w:eastAsia="Arial" w:hAnsi="Arial"/>
          <w:sz w:val="19"/>
          <w:szCs w:val="19"/>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 From and following the Effective Date: (i) Executive shall not make,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spacing w:after="0" w:line="149"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421"/>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color w:val="auto"/>
        </w:rPr>
        <w:t>. Executive acknowledges that all documents, records, files, lists,</w:t>
      </w:r>
      <w:r>
        <w:rPr>
          <w:rFonts w:ascii="Arial" w:cs="Arial" w:eastAsia="Arial" w:hAnsi="Arial"/>
          <w:sz w:val="19"/>
          <w:szCs w:val="19"/>
          <w:b w:val="1"/>
          <w:bCs w:val="1"/>
          <w:color w:val="auto"/>
        </w:rPr>
        <w:t xml:space="preserve"> </w:t>
      </w:r>
      <w:r>
        <w:rPr>
          <w:rFonts w:ascii="Arial" w:cs="Arial" w:eastAsia="Arial" w:hAnsi="Arial"/>
          <w:sz w:val="19"/>
          <w:szCs w:val="19"/>
          <w:color w:val="auto"/>
        </w:rPr>
        <w:t>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spacing w:after="0" w:line="151" w:lineRule="exact"/>
        <w:rPr>
          <w:rFonts w:ascii="Arial" w:cs="Arial" w:eastAsia="Arial" w:hAnsi="Arial"/>
          <w:sz w:val="19"/>
          <w:szCs w:val="19"/>
          <w:color w:val="auto"/>
        </w:rPr>
      </w:pPr>
    </w:p>
    <w:p>
      <w:pPr>
        <w:jc w:val="both"/>
        <w:ind w:firstLine="1304"/>
        <w:spacing w:after="0" w:line="235" w:lineRule="auto"/>
        <w:tabs>
          <w:tab w:leader="none" w:pos="1944" w:val="left"/>
        </w:tabs>
        <w:numPr>
          <w:ilvl w:val="0"/>
          <w:numId w:val="421"/>
        </w:numPr>
        <w:rPr>
          <w:rFonts w:ascii="Arial" w:cs="Arial" w:eastAsia="Arial" w:hAnsi="Arial"/>
          <w:sz w:val="22"/>
          <w:szCs w:val="22"/>
          <w:color w:val="auto"/>
        </w:rPr>
      </w:pPr>
      <w:r>
        <w:rPr>
          <w:rFonts w:ascii="Arial" w:cs="Arial" w:eastAsia="Arial" w:hAnsi="Arial"/>
          <w:sz w:val="22"/>
          <w:szCs w:val="22"/>
          <w:b w:val="1"/>
          <w:bCs w:val="1"/>
          <w:u w:val="single" w:color="auto"/>
          <w:color w:val="auto"/>
        </w:rPr>
        <w:t>Trade Secrets; Whistleblower Rights</w:t>
      </w:r>
      <w:r>
        <w:rPr>
          <w:rFonts w:ascii="Arial" w:cs="Arial" w:eastAsia="Arial" w:hAnsi="Arial"/>
          <w:sz w:val="22"/>
          <w:szCs w:val="22"/>
          <w:color w:val="auto"/>
        </w:rPr>
        <w:t>. The Company hereby informs Executive that,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92" w:name="page393"/>
    <w:bookmarkEnd w:id="392"/>
    <w:p>
      <w:pPr>
        <w:jc w:val="both"/>
        <w:spacing w:after="0" w:line="234" w:lineRule="auto"/>
        <w:rPr>
          <w:sz w:val="20"/>
          <w:szCs w:val="20"/>
          <w:color w:val="auto"/>
        </w:rPr>
      </w:pPr>
      <w:r>
        <w:rPr>
          <w:rFonts w:ascii="Arial" w:cs="Arial" w:eastAsia="Arial" w:hAnsi="Arial"/>
          <w:sz w:val="22"/>
          <w:szCs w:val="22"/>
          <w:color w:val="auto"/>
        </w:rPr>
        <w:t>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85" w:lineRule="exact"/>
        <w:rPr>
          <w:sz w:val="20"/>
          <w:szCs w:val="20"/>
          <w:color w:val="auto"/>
        </w:rPr>
      </w:pPr>
    </w:p>
    <w:p>
      <w:pPr>
        <w:ind w:left="1960" w:hanging="656"/>
        <w:spacing w:after="0"/>
        <w:tabs>
          <w:tab w:leader="none" w:pos="1960" w:val="left"/>
        </w:tabs>
        <w:numPr>
          <w:ilvl w:val="0"/>
          <w:numId w:val="422"/>
        </w:numPr>
        <w:rPr>
          <w:rFonts w:ascii="Arial" w:cs="Arial" w:eastAsia="Arial" w:hAnsi="Arial"/>
          <w:sz w:val="22"/>
          <w:szCs w:val="22"/>
          <w:color w:val="auto"/>
        </w:rPr>
      </w:pPr>
      <w:r>
        <w:rPr>
          <w:rFonts w:ascii="Arial" w:cs="Arial" w:eastAsia="Arial" w:hAnsi="Arial"/>
          <w:sz w:val="22"/>
          <w:szCs w:val="22"/>
          <w:b w:val="1"/>
          <w:bCs w:val="1"/>
          <w:u w:val="single" w:color="auto"/>
          <w:color w:val="auto"/>
        </w:rPr>
        <w:t>Executive Covenants Generally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180" w:firstLine="1934"/>
        <w:spacing w:after="0" w:line="275" w:lineRule="auto"/>
        <w:tabs>
          <w:tab w:leader="none" w:pos="2610" w:val="left"/>
        </w:tabs>
        <w:numPr>
          <w:ilvl w:val="1"/>
          <w:numId w:val="422"/>
        </w:numPr>
        <w:rPr>
          <w:rFonts w:ascii="Arial" w:cs="Arial" w:eastAsia="Arial" w:hAnsi="Arial"/>
          <w:sz w:val="19"/>
          <w:szCs w:val="19"/>
          <w:color w:val="auto"/>
        </w:rPr>
      </w:pPr>
      <w:r>
        <w:rPr>
          <w:rFonts w:ascii="Arial" w:cs="Arial" w:eastAsia="Arial" w:hAnsi="Arial"/>
          <w:sz w:val="19"/>
          <w:szCs w:val="19"/>
          <w:color w:val="auto"/>
        </w:rPr>
        <w:t>Executive’s covenants as set forth in this Section 7 are from time to time referred to herein as the “</w:t>
      </w:r>
      <w:r>
        <w:rPr>
          <w:rFonts w:ascii="Arial" w:cs="Arial" w:eastAsia="Arial" w:hAnsi="Arial"/>
          <w:sz w:val="19"/>
          <w:szCs w:val="19"/>
          <w:b w:val="1"/>
          <w:bCs w:val="1"/>
          <w:color w:val="auto"/>
        </w:rPr>
        <w:t>Executive Covenants</w:t>
      </w:r>
      <w:r>
        <w:rPr>
          <w:rFonts w:ascii="Arial" w:cs="Arial" w:eastAsia="Arial" w:hAnsi="Arial"/>
          <w:sz w:val="19"/>
          <w:szCs w:val="19"/>
          <w:color w:val="auto"/>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spacing w:after="0" w:line="157" w:lineRule="exact"/>
        <w:rPr>
          <w:rFonts w:ascii="Arial" w:cs="Arial" w:eastAsia="Arial" w:hAnsi="Arial"/>
          <w:sz w:val="19"/>
          <w:szCs w:val="19"/>
          <w:color w:val="auto"/>
        </w:rPr>
      </w:pPr>
    </w:p>
    <w:p>
      <w:pPr>
        <w:jc w:val="both"/>
        <w:ind w:left="180" w:firstLine="1934"/>
        <w:spacing w:after="0" w:line="236" w:lineRule="auto"/>
        <w:tabs>
          <w:tab w:leader="none" w:pos="2610" w:val="left"/>
        </w:tabs>
        <w:numPr>
          <w:ilvl w:val="1"/>
          <w:numId w:val="422"/>
        </w:numPr>
        <w:rPr>
          <w:rFonts w:ascii="Arial" w:cs="Arial" w:eastAsia="Arial" w:hAnsi="Arial"/>
          <w:sz w:val="22"/>
          <w:szCs w:val="22"/>
          <w:color w:val="auto"/>
        </w:rPr>
      </w:pPr>
      <w:r>
        <w:rPr>
          <w:rFonts w:ascii="Arial" w:cs="Arial" w:eastAsia="Arial" w:hAnsi="Arial"/>
          <w:sz w:val="22"/>
          <w:szCs w:val="22"/>
          <w:color w:val="auto"/>
        </w:rPr>
        <w:t>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spacing w:after="0" w:line="187" w:lineRule="exact"/>
        <w:rPr>
          <w:rFonts w:ascii="Arial" w:cs="Arial" w:eastAsia="Arial" w:hAnsi="Arial"/>
          <w:sz w:val="22"/>
          <w:szCs w:val="22"/>
          <w:color w:val="auto"/>
        </w:rPr>
      </w:pPr>
    </w:p>
    <w:p>
      <w:pPr>
        <w:jc w:val="both"/>
        <w:ind w:left="180" w:firstLine="1934"/>
        <w:spacing w:after="0" w:line="252" w:lineRule="auto"/>
        <w:tabs>
          <w:tab w:leader="none" w:pos="2610" w:val="left"/>
        </w:tabs>
        <w:numPr>
          <w:ilvl w:val="1"/>
          <w:numId w:val="422"/>
        </w:numPr>
        <w:rPr>
          <w:rFonts w:ascii="Arial" w:cs="Arial" w:eastAsia="Arial" w:hAnsi="Arial"/>
          <w:sz w:val="21"/>
          <w:szCs w:val="21"/>
          <w:color w:val="auto"/>
        </w:rPr>
      </w:pPr>
      <w:r>
        <w:rPr>
          <w:rFonts w:ascii="Arial" w:cs="Arial" w:eastAsia="Arial" w:hAnsi="Arial"/>
          <w:sz w:val="21"/>
          <w:szCs w:val="21"/>
          <w:color w:val="auto"/>
        </w:rPr>
        <w:t>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spacing w:after="0" w:line="173" w:lineRule="exact"/>
        <w:rPr>
          <w:rFonts w:ascii="Arial" w:cs="Arial" w:eastAsia="Arial" w:hAnsi="Arial"/>
          <w:sz w:val="21"/>
          <w:szCs w:val="21"/>
          <w:color w:val="auto"/>
        </w:rPr>
      </w:pPr>
    </w:p>
    <w:p>
      <w:pPr>
        <w:ind w:left="180" w:right="20" w:firstLine="1934"/>
        <w:spacing w:after="0" w:line="250" w:lineRule="auto"/>
        <w:tabs>
          <w:tab w:leader="none" w:pos="2610" w:val="left"/>
        </w:tabs>
        <w:numPr>
          <w:ilvl w:val="1"/>
          <w:numId w:val="422"/>
        </w:numPr>
        <w:rPr>
          <w:rFonts w:ascii="Arial" w:cs="Arial" w:eastAsia="Arial" w:hAnsi="Arial"/>
          <w:sz w:val="22"/>
          <w:szCs w:val="22"/>
          <w:color w:val="auto"/>
        </w:rPr>
      </w:pPr>
      <w:r>
        <w:rPr>
          <w:rFonts w:ascii="Arial" w:cs="Arial" w:eastAsia="Arial" w:hAnsi="Arial"/>
          <w:sz w:val="22"/>
          <w:szCs w:val="22"/>
          <w:color w:val="auto"/>
        </w:rPr>
        <w:t>Any termination of (A) Executive’s employment, (B) the Employment Period or (C) this Agreement shall have no effect on the continuing operation of this Section 7.</w:t>
      </w:r>
    </w:p>
    <w:p>
      <w:pPr>
        <w:spacing w:after="0" w:line="174" w:lineRule="exact"/>
        <w:rPr>
          <w:rFonts w:ascii="Arial" w:cs="Arial" w:eastAsia="Arial" w:hAnsi="Arial"/>
          <w:sz w:val="22"/>
          <w:szCs w:val="22"/>
          <w:color w:val="auto"/>
        </w:rPr>
      </w:pPr>
    </w:p>
    <w:p>
      <w:pPr>
        <w:jc w:val="both"/>
        <w:ind w:left="180" w:firstLine="1934"/>
        <w:spacing w:after="0" w:line="274" w:lineRule="auto"/>
        <w:tabs>
          <w:tab w:leader="none" w:pos="2610" w:val="left"/>
        </w:tabs>
        <w:numPr>
          <w:ilvl w:val="1"/>
          <w:numId w:val="422"/>
        </w:numPr>
        <w:rPr>
          <w:rFonts w:ascii="Arial" w:cs="Arial" w:eastAsia="Arial" w:hAnsi="Arial"/>
          <w:sz w:val="19"/>
          <w:szCs w:val="19"/>
          <w:color w:val="auto"/>
        </w:rPr>
      </w:pPr>
      <w:r>
        <w:rPr>
          <w:rFonts w:ascii="Arial" w:cs="Arial" w:eastAsia="Arial" w:hAnsi="Arial"/>
          <w:sz w:val="19"/>
          <w:szCs w:val="19"/>
          <w:color w:val="auto"/>
        </w:rPr>
        <w:t>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 the Company shall be entitled (without the necessity of showing economic loss or other actual damage) to specific performance and other injunctive relief, without the requirement to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93" w:name="page394"/>
    <w:bookmarkEnd w:id="393"/>
    <w:p>
      <w:pPr>
        <w:jc w:val="both"/>
        <w:ind w:left="180"/>
        <w:spacing w:after="0" w:line="297" w:lineRule="auto"/>
        <w:rPr>
          <w:sz w:val="20"/>
          <w:szCs w:val="20"/>
          <w:color w:val="auto"/>
        </w:rPr>
      </w:pPr>
      <w:r>
        <w:rPr>
          <w:rFonts w:ascii="Arial" w:cs="Arial" w:eastAsia="Arial" w:hAnsi="Arial"/>
          <w:sz w:val="19"/>
          <w:szCs w:val="19"/>
          <w:color w:val="auto"/>
        </w:rPr>
        <w:t>bond, in any court of competent jurisdiction for any actual or threatened breach of any of the covenants set forth in this Section 7. The Restricted Period shall be tolled during (and shall be deemed automatically extended by) any period during which Executive is in violation of the provisions of Section 7(c) or (d), as applicable.</w:t>
      </w:r>
    </w:p>
    <w:p>
      <w:pPr>
        <w:spacing w:after="0" w:line="128" w:lineRule="exact"/>
        <w:rPr>
          <w:sz w:val="20"/>
          <w:szCs w:val="20"/>
          <w:color w:val="auto"/>
        </w:rPr>
      </w:pPr>
    </w:p>
    <w:p>
      <w:pPr>
        <w:ind w:left="1960" w:hanging="656"/>
        <w:spacing w:after="0"/>
        <w:tabs>
          <w:tab w:leader="none" w:pos="1960" w:val="left"/>
        </w:tabs>
        <w:numPr>
          <w:ilvl w:val="0"/>
          <w:numId w:val="423"/>
        </w:numPr>
        <w:rPr>
          <w:rFonts w:ascii="Arial" w:cs="Arial" w:eastAsia="Arial" w:hAnsi="Arial"/>
          <w:sz w:val="22"/>
          <w:szCs w:val="22"/>
          <w:color w:val="auto"/>
        </w:rPr>
      </w:pPr>
      <w:r>
        <w:rPr>
          <w:rFonts w:ascii="Arial" w:cs="Arial" w:eastAsia="Arial" w:hAnsi="Arial"/>
          <w:sz w:val="22"/>
          <w:szCs w:val="22"/>
          <w:b w:val="1"/>
          <w:bCs w:val="1"/>
          <w:u w:val="single" w:color="auto"/>
          <w:color w:val="auto"/>
        </w:rPr>
        <w:t>Treatment of Certain Payments</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44" w:lineRule="auto"/>
        <w:tabs>
          <w:tab w:leader="none" w:pos="1944" w:val="left"/>
        </w:tabs>
        <w:numPr>
          <w:ilvl w:val="0"/>
          <w:numId w:val="424"/>
        </w:numPr>
        <w:rPr>
          <w:rFonts w:ascii="Arial" w:cs="Arial" w:eastAsia="Arial" w:hAnsi="Arial"/>
          <w:sz w:val="21"/>
          <w:szCs w:val="21"/>
          <w:color w:val="auto"/>
        </w:rPr>
      </w:pPr>
      <w:r>
        <w:rPr>
          <w:rFonts w:ascii="Arial" w:cs="Arial" w:eastAsia="Arial" w:hAnsi="Arial"/>
          <w:sz w:val="21"/>
          <w:szCs w:val="21"/>
          <w:color w:val="auto"/>
        </w:rPr>
        <w:t>In the event that any payments or benefits under this Agreement or otherwise, either alone or together with other payments or benefits that Executive receives or is entitled to receive from the Company or any of its Affiliates (“</w:t>
      </w:r>
      <w:r>
        <w:rPr>
          <w:rFonts w:ascii="Arial" w:cs="Arial" w:eastAsia="Arial" w:hAnsi="Arial"/>
          <w:sz w:val="21"/>
          <w:szCs w:val="21"/>
          <w:b w:val="1"/>
          <w:bCs w:val="1"/>
          <w:color w:val="auto"/>
        </w:rPr>
        <w:t>Payments</w:t>
      </w:r>
      <w:r>
        <w:rPr>
          <w:rFonts w:ascii="Arial" w:cs="Arial" w:eastAsia="Arial" w:hAnsi="Arial"/>
          <w:sz w:val="21"/>
          <w:szCs w:val="21"/>
          <w:color w:val="auto"/>
        </w:rPr>
        <w:t>”) would subject Executive to the excise tax under Section 4999 of the Code, the Accounting Firm (as defined below) shall determine whether to reduce any of the Payments paid or payable pursuant to this Agreement (the “</w:t>
      </w:r>
      <w:r>
        <w:rPr>
          <w:rFonts w:ascii="Arial" w:cs="Arial" w:eastAsia="Arial" w:hAnsi="Arial"/>
          <w:sz w:val="21"/>
          <w:szCs w:val="21"/>
          <w:b w:val="1"/>
          <w:bCs w:val="1"/>
          <w:color w:val="auto"/>
        </w:rPr>
        <w:t>Agreement Payments</w:t>
      </w:r>
      <w:r>
        <w:rPr>
          <w:rFonts w:ascii="Arial" w:cs="Arial" w:eastAsia="Arial" w:hAnsi="Arial"/>
          <w:sz w:val="21"/>
          <w:szCs w:val="21"/>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88" w:lineRule="exact"/>
        <w:rPr>
          <w:rFonts w:ascii="Arial" w:cs="Arial" w:eastAsia="Arial" w:hAnsi="Arial"/>
          <w:sz w:val="21"/>
          <w:szCs w:val="21"/>
          <w:color w:val="auto"/>
        </w:rPr>
      </w:pPr>
    </w:p>
    <w:p>
      <w:pPr>
        <w:jc w:val="both"/>
        <w:ind w:firstLine="1304"/>
        <w:spacing w:after="0" w:line="243" w:lineRule="auto"/>
        <w:tabs>
          <w:tab w:leader="none" w:pos="1944" w:val="left"/>
        </w:tabs>
        <w:numPr>
          <w:ilvl w:val="0"/>
          <w:numId w:val="424"/>
        </w:numPr>
        <w:rPr>
          <w:rFonts w:ascii="Arial" w:cs="Arial" w:eastAsia="Arial" w:hAnsi="Arial"/>
          <w:sz w:val="21"/>
          <w:szCs w:val="21"/>
          <w:color w:val="auto"/>
        </w:rPr>
      </w:pPr>
      <w:r>
        <w:rPr>
          <w:rFonts w:ascii="Arial" w:cs="Arial" w:eastAsia="Arial" w:hAnsi="Arial"/>
          <w:sz w:val="21"/>
          <w:szCs w:val="21"/>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Arial" w:cs="Arial" w:eastAsia="Arial" w:hAnsi="Arial"/>
          <w:sz w:val="21"/>
          <w:szCs w:val="21"/>
          <w:b w:val="1"/>
          <w:bCs w:val="1"/>
          <w:color w:val="auto"/>
        </w:rPr>
        <w:t>24(c)</w:t>
      </w:r>
      <w:r>
        <w:rPr>
          <w:rFonts w:ascii="Arial" w:cs="Arial" w:eastAsia="Arial" w:hAnsi="Arial"/>
          <w:sz w:val="21"/>
          <w:szCs w:val="21"/>
          <w:color w:val="auto"/>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spacing w:after="0" w:line="190" w:lineRule="exact"/>
        <w:rPr>
          <w:rFonts w:ascii="Arial" w:cs="Arial" w:eastAsia="Arial" w:hAnsi="Arial"/>
          <w:sz w:val="21"/>
          <w:szCs w:val="21"/>
          <w:color w:val="auto"/>
        </w:rPr>
      </w:pPr>
    </w:p>
    <w:p>
      <w:pPr>
        <w:jc w:val="both"/>
        <w:ind w:firstLine="1304"/>
        <w:spacing w:after="0" w:line="235" w:lineRule="auto"/>
        <w:tabs>
          <w:tab w:leader="none" w:pos="1944" w:val="left"/>
        </w:tabs>
        <w:numPr>
          <w:ilvl w:val="0"/>
          <w:numId w:val="424"/>
        </w:numPr>
        <w:rPr>
          <w:rFonts w:ascii="Arial" w:cs="Arial" w:eastAsia="Arial" w:hAnsi="Arial"/>
          <w:sz w:val="22"/>
          <w:szCs w:val="22"/>
          <w:color w:val="auto"/>
        </w:rPr>
      </w:pPr>
      <w:r>
        <w:rPr>
          <w:rFonts w:ascii="Arial" w:cs="Arial" w:eastAsia="Arial" w:hAnsi="Arial"/>
          <w:sz w:val="22"/>
          <w:szCs w:val="22"/>
          <w:color w:val="auto"/>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 “</w:t>
      </w:r>
      <w:r>
        <w:rPr>
          <w:rFonts w:ascii="Arial" w:cs="Arial" w:eastAsia="Arial" w:hAnsi="Arial"/>
          <w:sz w:val="22"/>
          <w:szCs w:val="22"/>
          <w:b w:val="1"/>
          <w:bCs w:val="1"/>
          <w:color w:val="auto"/>
        </w:rPr>
        <w:t>Overpayment</w:t>
      </w:r>
      <w:r>
        <w:rPr>
          <w:rFonts w:ascii="Arial" w:cs="Arial" w:eastAsia="Arial" w:hAnsi="Arial"/>
          <w:sz w:val="22"/>
          <w:szCs w:val="22"/>
          <w:color w:val="auto"/>
        </w:rPr>
        <w:t>”) or that additional amounts that shall have not been paid or distributed by the Company to or for the benefit of Executive pursuant to this Agreement could have been so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94" w:name="page395"/>
    <w:bookmarkEnd w:id="394"/>
    <w:p>
      <w:pPr>
        <w:jc w:val="both"/>
        <w:spacing w:after="0" w:line="245" w:lineRule="auto"/>
        <w:rPr>
          <w:sz w:val="20"/>
          <w:szCs w:val="20"/>
          <w:color w:val="auto"/>
        </w:rPr>
      </w:pPr>
      <w:r>
        <w:rPr>
          <w:rFonts w:ascii="Arial" w:cs="Arial" w:eastAsia="Arial" w:hAnsi="Arial"/>
          <w:sz w:val="21"/>
          <w:szCs w:val="21"/>
          <w:color w:val="auto"/>
        </w:rPr>
        <w:t>distributed (each, an “</w:t>
      </w:r>
      <w:r>
        <w:rPr>
          <w:rFonts w:ascii="Arial" w:cs="Arial" w:eastAsia="Arial" w:hAnsi="Arial"/>
          <w:sz w:val="21"/>
          <w:szCs w:val="21"/>
          <w:b w:val="1"/>
          <w:bCs w:val="1"/>
          <w:color w:val="auto"/>
        </w:rPr>
        <w:t>Underpayment</w:t>
      </w:r>
      <w:r>
        <w:rPr>
          <w:rFonts w:ascii="Arial" w:cs="Arial" w:eastAsia="Arial" w:hAnsi="Arial"/>
          <w:sz w:val="21"/>
          <w:szCs w:val="21"/>
          <w:color w:val="auto"/>
        </w:rPr>
        <w:t xml:space="preserve">”), in each case, consistent with the calculation of the Reduced Amount hereunder. In the event that the Accounting Firm, based upon the assertion of a 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spacing w:after="0" w:line="180" w:lineRule="exact"/>
        <w:rPr>
          <w:sz w:val="20"/>
          <w:szCs w:val="20"/>
          <w:color w:val="auto"/>
        </w:rPr>
      </w:pPr>
    </w:p>
    <w:p>
      <w:pPr>
        <w:jc w:val="both"/>
        <w:ind w:firstLine="1304"/>
        <w:spacing w:after="0" w:line="274" w:lineRule="auto"/>
        <w:tabs>
          <w:tab w:leader="none" w:pos="1944" w:val="left"/>
        </w:tabs>
        <w:numPr>
          <w:ilvl w:val="0"/>
          <w:numId w:val="425"/>
        </w:numPr>
        <w:rPr>
          <w:rFonts w:ascii="Arial" w:cs="Arial" w:eastAsia="Arial" w:hAnsi="Arial"/>
          <w:sz w:val="19"/>
          <w:szCs w:val="19"/>
          <w:color w:val="auto"/>
        </w:rPr>
      </w:pPr>
      <w:r>
        <w:rPr>
          <w:rFonts w:ascii="Arial" w:cs="Arial" w:eastAsia="Arial" w:hAnsi="Arial"/>
          <w:sz w:val="19"/>
          <w:szCs w:val="19"/>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58" w:lineRule="exact"/>
        <w:rPr>
          <w:rFonts w:ascii="Arial" w:cs="Arial" w:eastAsia="Arial" w:hAnsi="Arial"/>
          <w:sz w:val="19"/>
          <w:szCs w:val="19"/>
          <w:color w:val="auto"/>
        </w:rPr>
      </w:pPr>
    </w:p>
    <w:p>
      <w:pPr>
        <w:ind w:left="1960" w:hanging="656"/>
        <w:spacing w:after="0"/>
        <w:tabs>
          <w:tab w:leader="none" w:pos="1960" w:val="left"/>
        </w:tabs>
        <w:numPr>
          <w:ilvl w:val="0"/>
          <w:numId w:val="425"/>
        </w:numPr>
        <w:rPr>
          <w:rFonts w:ascii="Arial" w:cs="Arial" w:eastAsia="Arial" w:hAnsi="Arial"/>
          <w:sz w:val="21"/>
          <w:szCs w:val="21"/>
          <w:color w:val="auto"/>
        </w:rPr>
      </w:pPr>
      <w:r>
        <w:rPr>
          <w:rFonts w:ascii="Arial" w:cs="Arial" w:eastAsia="Arial" w:hAnsi="Arial"/>
          <w:sz w:val="21"/>
          <w:szCs w:val="21"/>
          <w:color w:val="auto"/>
        </w:rPr>
        <w:t>The following terms shall have the following meanings for purposes of this Section 8:</w:t>
      </w:r>
    </w:p>
    <w:p>
      <w:pPr>
        <w:spacing w:after="0" w:line="211" w:lineRule="exact"/>
        <w:rPr>
          <w:rFonts w:ascii="Arial" w:cs="Arial" w:eastAsia="Arial" w:hAnsi="Arial"/>
          <w:sz w:val="21"/>
          <w:szCs w:val="21"/>
          <w:color w:val="auto"/>
        </w:rPr>
      </w:pPr>
    </w:p>
    <w:p>
      <w:pPr>
        <w:jc w:val="both"/>
        <w:ind w:left="180" w:firstLine="1934"/>
        <w:spacing w:after="0" w:line="249" w:lineRule="auto"/>
        <w:tabs>
          <w:tab w:leader="none" w:pos="2610" w:val="left"/>
        </w:tabs>
        <w:numPr>
          <w:ilvl w:val="1"/>
          <w:numId w:val="4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Accounting Firm</w:t>
      </w:r>
      <w:r>
        <w:rPr>
          <w:rFonts w:ascii="Arial" w:cs="Arial" w:eastAsia="Arial" w:hAnsi="Arial"/>
          <w:sz w:val="21"/>
          <w:szCs w:val="21"/>
          <w:color w:val="auto"/>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spacing w:after="0" w:line="170" w:lineRule="exact"/>
        <w:rPr>
          <w:rFonts w:ascii="Arial" w:cs="Arial" w:eastAsia="Arial" w:hAnsi="Arial"/>
          <w:sz w:val="21"/>
          <w:szCs w:val="21"/>
          <w:color w:val="auto"/>
        </w:rPr>
      </w:pPr>
    </w:p>
    <w:p>
      <w:pPr>
        <w:jc w:val="both"/>
        <w:ind w:left="180" w:firstLine="1934"/>
        <w:spacing w:after="0" w:line="280" w:lineRule="auto"/>
        <w:tabs>
          <w:tab w:leader="none" w:pos="2610" w:val="left"/>
        </w:tabs>
        <w:numPr>
          <w:ilvl w:val="1"/>
          <w:numId w:val="4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Net After-Tax Receipt</w:t>
      </w:r>
      <w:r>
        <w:rPr>
          <w:rFonts w:ascii="Arial" w:cs="Arial" w:eastAsia="Arial" w:hAnsi="Arial"/>
          <w:sz w:val="19"/>
          <w:szCs w:val="19"/>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44" w:lineRule="exact"/>
        <w:rPr>
          <w:rFonts w:ascii="Arial" w:cs="Arial" w:eastAsia="Arial" w:hAnsi="Arial"/>
          <w:sz w:val="19"/>
          <w:szCs w:val="19"/>
          <w:color w:val="auto"/>
        </w:rPr>
      </w:pPr>
    </w:p>
    <w:p>
      <w:pPr>
        <w:ind w:left="180" w:right="20" w:firstLine="1934"/>
        <w:spacing w:after="0" w:line="256" w:lineRule="auto"/>
        <w:tabs>
          <w:tab w:leader="none" w:pos="2610" w:val="left"/>
        </w:tabs>
        <w:numPr>
          <w:ilvl w:val="1"/>
          <w:numId w:val="4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Parachute Value</w:t>
      </w:r>
      <w:r>
        <w:rPr>
          <w:rFonts w:ascii="Arial" w:cs="Arial" w:eastAsia="Arial" w:hAnsi="Arial"/>
          <w:sz w:val="22"/>
          <w:szCs w:val="22"/>
          <w:color w:val="auto"/>
        </w:rPr>
        <w:t>” of a Payment shall mean the present value as of the date of the change of control for purposes of Section 280G of the Code of the portion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5" w:name="page396"/>
    <w:bookmarkEnd w:id="395"/>
    <w:p>
      <w:pPr>
        <w:jc w:val="both"/>
        <w:ind w:left="180"/>
        <w:spacing w:after="0"/>
        <w:rPr>
          <w:sz w:val="20"/>
          <w:szCs w:val="20"/>
          <w:color w:val="auto"/>
        </w:rPr>
      </w:pPr>
      <w:r>
        <w:rPr>
          <w:rFonts w:ascii="Arial" w:cs="Arial" w:eastAsia="Arial" w:hAnsi="Arial"/>
          <w:sz w:val="22"/>
          <w:szCs w:val="22"/>
          <w:color w:val="auto"/>
        </w:rPr>
        <w:t>Payment that constitutes a “parachute payment” under Section 280G(b)(2) of the Code, as determined by the Accounting Firm for purposes of determining whether and to what extent the excise tax under Section 4999 of the Code shall apply to such Payment.</w:t>
      </w:r>
    </w:p>
    <w:p>
      <w:pPr>
        <w:spacing w:after="0" w:line="180" w:lineRule="exact"/>
        <w:rPr>
          <w:sz w:val="20"/>
          <w:szCs w:val="20"/>
          <w:color w:val="auto"/>
        </w:rPr>
      </w:pPr>
    </w:p>
    <w:p>
      <w:pPr>
        <w:ind w:left="180" w:firstLine="1934"/>
        <w:spacing w:after="0" w:line="256" w:lineRule="auto"/>
        <w:tabs>
          <w:tab w:leader="none" w:pos="2610" w:val="left"/>
        </w:tabs>
        <w:numPr>
          <w:ilvl w:val="1"/>
          <w:numId w:val="4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Safe Harbor Amount</w:t>
      </w:r>
      <w:r>
        <w:rPr>
          <w:rFonts w:ascii="Arial" w:cs="Arial" w:eastAsia="Arial" w:hAnsi="Arial"/>
          <w:sz w:val="22"/>
          <w:szCs w:val="22"/>
          <w:color w:val="auto"/>
        </w:rPr>
        <w:t>” shall mean 2.99 times Executive’s “base amount,” within the meaning of Section 280G(b)(3) of the Code.</w:t>
      </w:r>
    </w:p>
    <w:p>
      <w:pPr>
        <w:spacing w:after="0" w:line="162" w:lineRule="exact"/>
        <w:rPr>
          <w:rFonts w:ascii="Arial" w:cs="Arial" w:eastAsia="Arial" w:hAnsi="Arial"/>
          <w:sz w:val="22"/>
          <w:szCs w:val="22"/>
          <w:color w:val="auto"/>
        </w:rPr>
      </w:pPr>
    </w:p>
    <w:p>
      <w:pPr>
        <w:jc w:val="both"/>
        <w:ind w:firstLine="1304"/>
        <w:spacing w:after="0" w:line="235" w:lineRule="auto"/>
        <w:tabs>
          <w:tab w:leader="none" w:pos="1944" w:val="left"/>
        </w:tabs>
        <w:numPr>
          <w:ilvl w:val="0"/>
          <w:numId w:val="427"/>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w:t>
      </w:r>
      <w:r>
        <w:rPr>
          <w:rFonts w:ascii="Arial" w:cs="Arial" w:eastAsia="Arial" w:hAnsi="Arial"/>
          <w:sz w:val="22"/>
          <w:szCs w:val="22"/>
          <w:color w:val="auto"/>
        </w:rPr>
        <w:t>. This Agreement is personal to Executive and without the prior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spacing w:after="0" w:line="183" w:lineRule="exact"/>
        <w:rPr>
          <w:rFonts w:ascii="Arial" w:cs="Arial" w:eastAsia="Arial" w:hAnsi="Arial"/>
          <w:sz w:val="22"/>
          <w:szCs w:val="22"/>
          <w:color w:val="auto"/>
        </w:rPr>
      </w:pPr>
    </w:p>
    <w:p>
      <w:pPr>
        <w:jc w:val="both"/>
        <w:ind w:firstLine="1304"/>
        <w:spacing w:after="0" w:line="271" w:lineRule="auto"/>
        <w:tabs>
          <w:tab w:leader="none" w:pos="1944" w:val="left"/>
        </w:tabs>
        <w:numPr>
          <w:ilvl w:val="0"/>
          <w:numId w:val="427"/>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The Company shall indemnify Executive and hold him harmless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960" w:hanging="656"/>
        <w:spacing w:after="0"/>
        <w:tabs>
          <w:tab w:leader="none" w:pos="1960" w:val="left"/>
        </w:tabs>
        <w:numPr>
          <w:ilvl w:val="0"/>
          <w:numId w:val="427"/>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right="40" w:firstLine="1304"/>
        <w:spacing w:after="0" w:line="274" w:lineRule="auto"/>
        <w:tabs>
          <w:tab w:leader="none" w:pos="1944" w:val="left"/>
        </w:tabs>
        <w:numPr>
          <w:ilvl w:val="0"/>
          <w:numId w:val="42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and Dispute Resolution</w:t>
      </w:r>
      <w:r>
        <w:rPr>
          <w:rFonts w:ascii="Arial" w:cs="Arial" w:eastAsia="Arial" w:hAnsi="Arial"/>
          <w:sz w:val="19"/>
          <w:szCs w:val="19"/>
          <w:color w:val="auto"/>
        </w:rPr>
        <w:t>. This Agreement shall be governed by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construed in accordance with the laws of the State of Arkansas, without reference to principles of conflict of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96" w:name="page397"/>
    <w:bookmarkEnd w:id="396"/>
    <w:p>
      <w:pPr>
        <w:ind w:right="60"/>
        <w:spacing w:after="0" w:line="234" w:lineRule="auto"/>
        <w:rPr>
          <w:sz w:val="20"/>
          <w:szCs w:val="20"/>
          <w:color w:val="auto"/>
        </w:rPr>
      </w:pPr>
      <w:r>
        <w:rPr>
          <w:rFonts w:ascii="Arial" w:cs="Arial" w:eastAsia="Arial" w:hAnsi="Arial"/>
          <w:sz w:val="22"/>
          <w:szCs w:val="22"/>
          <w:color w:val="auto"/>
        </w:rPr>
        <w:t>judgment in any such dispute may be enforced in other jurisdictions by suit on the judgment or in 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spacing w:after="0" w:line="185" w:lineRule="exact"/>
        <w:rPr>
          <w:sz w:val="20"/>
          <w:szCs w:val="20"/>
          <w:color w:val="auto"/>
        </w:rPr>
      </w:pPr>
    </w:p>
    <w:p>
      <w:pPr>
        <w:jc w:val="both"/>
        <w:ind w:firstLine="1304"/>
        <w:spacing w:after="0" w:line="243" w:lineRule="auto"/>
        <w:tabs>
          <w:tab w:leader="none" w:pos="1944" w:val="left"/>
        </w:tabs>
        <w:numPr>
          <w:ilvl w:val="0"/>
          <w:numId w:val="42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and other communications hereunder shall be in writing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given by hand delivery to the other party or by registered or certified mail, return receipt requested, postage prepaid, addressed as follows: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Executive</w:t>
      </w:r>
      <w:r>
        <w:rPr>
          <w:rFonts w:ascii="Arial" w:cs="Arial" w:eastAsia="Arial" w:hAnsi="Arial"/>
          <w:sz w:val="22"/>
          <w:szCs w:val="22"/>
          <w:color w:val="auto"/>
        </w:rPr>
        <w:t>: To the most recent address on file with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Westrock Coffee Company</w:t>
      </w:r>
    </w:p>
    <w:p>
      <w:pPr>
        <w:ind w:left="1300"/>
        <w:spacing w:after="0" w:line="238" w:lineRule="auto"/>
        <w:rPr>
          <w:sz w:val="20"/>
          <w:szCs w:val="20"/>
          <w:color w:val="auto"/>
        </w:rPr>
      </w:pPr>
      <w:r>
        <w:rPr>
          <w:rFonts w:ascii="Arial" w:cs="Arial" w:eastAsia="Arial" w:hAnsi="Arial"/>
          <w:sz w:val="22"/>
          <w:szCs w:val="22"/>
          <w:color w:val="auto"/>
        </w:rPr>
        <w:t>100 River Bluff Drive, Suite 210</w:t>
      </w:r>
    </w:p>
    <w:p>
      <w:pPr>
        <w:ind w:left="1300"/>
        <w:spacing w:after="0" w:line="230" w:lineRule="auto"/>
        <w:rPr>
          <w:sz w:val="20"/>
          <w:szCs w:val="20"/>
          <w:color w:val="auto"/>
        </w:rPr>
      </w:pPr>
      <w:r>
        <w:rPr>
          <w:rFonts w:ascii="Arial" w:cs="Arial" w:eastAsia="Arial" w:hAnsi="Arial"/>
          <w:sz w:val="22"/>
          <w:szCs w:val="22"/>
          <w:color w:val="auto"/>
        </w:rPr>
        <w:t>Little Rock, AR 72202</w:t>
      </w:r>
    </w:p>
    <w:p>
      <w:pPr>
        <w:ind w:left="1300"/>
        <w:spacing w:after="0" w:line="231" w:lineRule="auto"/>
        <w:rPr>
          <w:sz w:val="20"/>
          <w:szCs w:val="20"/>
          <w:color w:val="auto"/>
        </w:rPr>
      </w:pPr>
      <w:r>
        <w:rPr>
          <w:rFonts w:ascii="Arial" w:cs="Arial" w:eastAsia="Arial" w:hAnsi="Arial"/>
          <w:sz w:val="22"/>
          <w:szCs w:val="22"/>
          <w:color w:val="auto"/>
        </w:rPr>
        <w:t>Attn: Chief Legal Officer</w:t>
      </w:r>
    </w:p>
    <w:p>
      <w:pPr>
        <w:ind w:left="1300"/>
        <w:spacing w:after="0" w:line="230" w:lineRule="auto"/>
        <w:rPr>
          <w:sz w:val="20"/>
          <w:szCs w:val="20"/>
          <w:color w:val="auto"/>
        </w:rPr>
      </w:pPr>
      <w:r>
        <w:rPr>
          <w:rFonts w:ascii="Arial" w:cs="Arial" w:eastAsia="Arial" w:hAnsi="Arial"/>
          <w:sz w:val="22"/>
          <w:szCs w:val="22"/>
          <w:color w:val="auto"/>
        </w:rPr>
        <w:t>Email: mckinneyb@westrockcoffee.com</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Phone: 704-782-3121</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69" w:lineRule="exact"/>
        <w:rPr>
          <w:sz w:val="20"/>
          <w:szCs w:val="20"/>
          <w:color w:val="auto"/>
        </w:rPr>
      </w:pPr>
    </w:p>
    <w:p>
      <w:pPr>
        <w:jc w:val="both"/>
        <w:ind w:firstLine="1304"/>
        <w:spacing w:after="0" w:line="276" w:lineRule="auto"/>
        <w:tabs>
          <w:tab w:leader="none" w:pos="1944" w:val="left"/>
        </w:tabs>
        <w:numPr>
          <w:ilvl w:val="0"/>
          <w:numId w:val="430"/>
        </w:numPr>
        <w:rPr>
          <w:rFonts w:ascii="Arial" w:cs="Arial" w:eastAsia="Arial" w:hAnsi="Arial"/>
          <w:sz w:val="19"/>
          <w:szCs w:val="19"/>
          <w:color w:val="auto"/>
        </w:rPr>
      </w:pPr>
      <w:r>
        <w:rPr>
          <w:rFonts w:ascii="Arial" w:cs="Arial" w:eastAsia="Arial" w:hAnsi="Arial"/>
          <w:sz w:val="19"/>
          <w:szCs w:val="19"/>
          <w:b w:val="1"/>
          <w:bCs w:val="1"/>
          <w:u w:val="single" w:color="auto"/>
          <w:color w:val="auto"/>
        </w:rPr>
        <w:t>Acknowledgements</w:t>
      </w:r>
      <w:r>
        <w:rPr>
          <w:rFonts w:ascii="Arial" w:cs="Arial" w:eastAsia="Arial" w:hAnsi="Arial"/>
          <w:sz w:val="19"/>
          <w:szCs w:val="19"/>
          <w:color w:val="auto"/>
        </w:rPr>
        <w:t>. Prior to execution of this Agreement, Executive was advised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spacing w:after="0" w:line="149" w:lineRule="exact"/>
        <w:rPr>
          <w:rFonts w:ascii="Arial" w:cs="Arial" w:eastAsia="Arial" w:hAnsi="Arial"/>
          <w:sz w:val="19"/>
          <w:szCs w:val="19"/>
          <w:color w:val="auto"/>
        </w:rPr>
      </w:pPr>
    </w:p>
    <w:p>
      <w:pPr>
        <w:jc w:val="both"/>
        <w:ind w:firstLine="1304"/>
        <w:spacing w:after="0" w:line="237" w:lineRule="auto"/>
        <w:tabs>
          <w:tab w:leader="none" w:pos="1944" w:val="left"/>
        </w:tabs>
        <w:numPr>
          <w:ilvl w:val="0"/>
          <w:numId w:val="430"/>
        </w:numPr>
        <w:rPr>
          <w:rFonts w:ascii="Arial" w:cs="Arial" w:eastAsia="Arial" w:hAnsi="Arial"/>
          <w:sz w:val="22"/>
          <w:szCs w:val="22"/>
          <w:color w:val="auto"/>
        </w:rPr>
      </w:pPr>
      <w:r>
        <w:rPr>
          <w:rFonts w:ascii="Arial" w:cs="Arial" w:eastAsia="Arial" w:hAnsi="Arial"/>
          <w:sz w:val="22"/>
          <w:szCs w:val="22"/>
          <w:b w:val="1"/>
          <w:bCs w:val="1"/>
          <w:u w:val="single" w:color="auto"/>
          <w:color w:val="auto"/>
        </w:rPr>
        <w:t>Invalidity</w:t>
      </w:r>
      <w:r>
        <w:rPr>
          <w:rFonts w:ascii="Arial" w:cs="Arial" w:eastAsia="Arial" w:hAnsi="Arial"/>
          <w:sz w:val="22"/>
          <w:szCs w:val="22"/>
          <w:color w:val="auto"/>
        </w:rPr>
        <w:t>. If any term or provision of this Agreement or the application thereof to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430"/>
        </w:numPr>
        <w:rPr>
          <w:rFonts w:ascii="Arial" w:cs="Arial" w:eastAsia="Arial" w:hAnsi="Arial"/>
          <w:sz w:val="22"/>
          <w:szCs w:val="22"/>
          <w:color w:val="auto"/>
        </w:rPr>
      </w:pPr>
      <w:r>
        <w:rPr>
          <w:rFonts w:ascii="Arial" w:cs="Arial" w:eastAsia="Arial" w:hAnsi="Arial"/>
          <w:sz w:val="22"/>
          <w:szCs w:val="22"/>
          <w:b w:val="1"/>
          <w:bCs w:val="1"/>
          <w:u w:val="single" w:color="auto"/>
          <w:color w:val="auto"/>
        </w:rPr>
        <w:t>Survivability</w:t>
      </w:r>
      <w:r>
        <w:rPr>
          <w:rFonts w:ascii="Arial" w:cs="Arial" w:eastAsia="Arial" w:hAnsi="Arial"/>
          <w:sz w:val="22"/>
          <w:szCs w:val="22"/>
          <w:color w:val="auto"/>
        </w:rPr>
        <w:t>. The provisions of this Agreement that by their terms call for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 to the termination of either Executive’s employment or this Agreement (including the terms of Sections 5, 7, 8 and 10) shall so survive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97" w:name="page398"/>
    <w:bookmarkEnd w:id="397"/>
    <w:p>
      <w:pPr>
        <w:jc w:val="both"/>
        <w:ind w:firstLine="1304"/>
        <w:spacing w:after="0" w:line="260" w:lineRule="auto"/>
        <w:tabs>
          <w:tab w:leader="none" w:pos="1944" w:val="left"/>
        </w:tabs>
        <w:numPr>
          <w:ilvl w:val="0"/>
          <w:numId w:val="431"/>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Headings; Construction</w:t>
      </w:r>
      <w:r>
        <w:rPr>
          <w:rFonts w:ascii="Arial" w:cs="Arial" w:eastAsia="Arial" w:hAnsi="Arial"/>
          <w:sz w:val="21"/>
          <w:szCs w:val="21"/>
          <w:color w:val="auto"/>
        </w:rPr>
        <w:t>. The section headings used in this Agreement are</w:t>
      </w:r>
      <w:r>
        <w:rPr>
          <w:rFonts w:ascii="Arial" w:cs="Arial" w:eastAsia="Arial" w:hAnsi="Arial"/>
          <w:sz w:val="21"/>
          <w:szCs w:val="21"/>
          <w:b w:val="1"/>
          <w:bCs w:val="1"/>
          <w:color w:val="auto"/>
        </w:rPr>
        <w:t xml:space="preserve"> </w:t>
      </w:r>
      <w:r>
        <w:rPr>
          <w:rFonts w:ascii="Arial" w:cs="Arial" w:eastAsia="Arial" w:hAnsi="Arial"/>
          <w:sz w:val="21"/>
          <w:szCs w:val="21"/>
          <w:color w:val="auto"/>
        </w:rPr>
        <w:t>included solely for convenience and shall not affect, or be used in connection with, the interpretation hereof. For purposes of this Agreement, the term “including” shall mean “including, without limitation.”</w:t>
      </w:r>
    </w:p>
    <w:p>
      <w:pPr>
        <w:spacing w:after="0" w:line="160" w:lineRule="exact"/>
        <w:rPr>
          <w:rFonts w:ascii="Arial" w:cs="Arial" w:eastAsia="Arial" w:hAnsi="Arial"/>
          <w:sz w:val="21"/>
          <w:szCs w:val="21"/>
          <w:color w:val="auto"/>
        </w:rPr>
      </w:pPr>
    </w:p>
    <w:p>
      <w:pPr>
        <w:ind w:firstLine="1304"/>
        <w:spacing w:after="0" w:line="334" w:lineRule="auto"/>
        <w:tabs>
          <w:tab w:leader="none" w:pos="1944" w:val="left"/>
        </w:tabs>
        <w:numPr>
          <w:ilvl w:val="0"/>
          <w:numId w:val="431"/>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several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be an original but all of which together shall constitute one and the same instrument.</w:t>
      </w:r>
    </w:p>
    <w:p>
      <w:pPr>
        <w:spacing w:after="0" w:line="93"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431"/>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 The Company may withhold from any amounts payable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such Federal, state, local or foreign taxes as shall be required to be withheld pursuant to any applicable law or regulation.</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431"/>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934"/>
        <w:spacing w:after="0" w:line="273" w:lineRule="auto"/>
        <w:tabs>
          <w:tab w:leader="none" w:pos="2610" w:val="left"/>
        </w:tabs>
        <w:numPr>
          <w:ilvl w:val="1"/>
          <w:numId w:val="431"/>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It is intended that payments and benefits made or provided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spacing w:after="0" w:line="149" w:lineRule="exact"/>
        <w:rPr>
          <w:rFonts w:ascii="Arial" w:cs="Arial" w:eastAsia="Arial" w:hAnsi="Arial"/>
          <w:sz w:val="19"/>
          <w:szCs w:val="19"/>
          <w:color w:val="auto"/>
        </w:rPr>
      </w:pPr>
    </w:p>
    <w:p>
      <w:pPr>
        <w:jc w:val="both"/>
        <w:ind w:left="180" w:firstLine="1934"/>
        <w:spacing w:after="0" w:line="245" w:lineRule="auto"/>
        <w:tabs>
          <w:tab w:leader="none" w:pos="2610" w:val="left"/>
        </w:tabs>
        <w:numPr>
          <w:ilvl w:val="1"/>
          <w:numId w:val="431"/>
        </w:numPr>
        <w:rPr>
          <w:rFonts w:ascii="Arial" w:cs="Arial" w:eastAsia="Arial" w:hAnsi="Arial"/>
          <w:sz w:val="21"/>
          <w:szCs w:val="21"/>
          <w:color w:val="auto"/>
        </w:rPr>
      </w:pPr>
      <w:r>
        <w:rPr>
          <w:rFonts w:ascii="Arial" w:cs="Arial" w:eastAsia="Arial" w:hAnsi="Arial"/>
          <w:sz w:val="21"/>
          <w:szCs w:val="21"/>
          <w:b w:val="1"/>
          <w:bCs w:val="1"/>
          <w:u w:val="single" w:color="auto"/>
          <w:color w:val="auto"/>
        </w:rPr>
        <w:t>Reimbursements and In-Kind Benefits</w:t>
      </w:r>
      <w:r>
        <w:rPr>
          <w:rFonts w:ascii="Arial" w:cs="Arial" w:eastAsia="Arial" w:hAnsi="Arial"/>
          <w:sz w:val="21"/>
          <w:szCs w:val="21"/>
          <w:color w:val="auto"/>
        </w:rPr>
        <w:t>. Notwithstanding anything to the contrary</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spacing w:after="0" w:line="180" w:lineRule="exact"/>
        <w:rPr>
          <w:rFonts w:ascii="Arial" w:cs="Arial" w:eastAsia="Arial" w:hAnsi="Arial"/>
          <w:sz w:val="21"/>
          <w:szCs w:val="21"/>
          <w:color w:val="auto"/>
        </w:rPr>
      </w:pPr>
    </w:p>
    <w:p>
      <w:pPr>
        <w:jc w:val="both"/>
        <w:ind w:left="180" w:firstLine="1934"/>
        <w:spacing w:after="0" w:line="237" w:lineRule="auto"/>
        <w:tabs>
          <w:tab w:leader="none" w:pos="2610" w:val="left"/>
        </w:tabs>
        <w:numPr>
          <w:ilvl w:val="1"/>
          <w:numId w:val="431"/>
        </w:numPr>
        <w:rPr>
          <w:rFonts w:ascii="Arial" w:cs="Arial" w:eastAsia="Arial" w:hAnsi="Arial"/>
          <w:sz w:val="22"/>
          <w:szCs w:val="22"/>
          <w:color w:val="auto"/>
        </w:rPr>
      </w:pPr>
      <w:r>
        <w:rPr>
          <w:rFonts w:ascii="Arial" w:cs="Arial" w:eastAsia="Arial" w:hAnsi="Arial"/>
          <w:sz w:val="22"/>
          <w:szCs w:val="22"/>
          <w:b w:val="1"/>
          <w:bCs w:val="1"/>
          <w:u w:val="single" w:color="auto"/>
          <w:color w:val="auto"/>
        </w:rPr>
        <w:t>Delay of Payments</w:t>
      </w:r>
      <w:r>
        <w:rPr>
          <w:rFonts w:ascii="Arial" w:cs="Arial" w:eastAsia="Arial" w:hAnsi="Arial"/>
          <w:sz w:val="22"/>
          <w:szCs w:val="22"/>
          <w:color w:val="auto"/>
        </w:rPr>
        <w:t>. Notwithstanding any other provision of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98" w:name="page399"/>
    <w:bookmarkEnd w:id="398"/>
    <w:p>
      <w:pPr>
        <w:jc w:val="both"/>
        <w:ind w:left="180"/>
        <w:spacing w:after="0" w:line="275" w:lineRule="auto"/>
        <w:rPr>
          <w:sz w:val="20"/>
          <w:szCs w:val="20"/>
          <w:color w:val="auto"/>
        </w:rPr>
      </w:pPr>
      <w:r>
        <w:rPr>
          <w:rFonts w:ascii="Arial" w:cs="Arial" w:eastAsia="Arial" w:hAnsi="Arial"/>
          <w:sz w:val="19"/>
          <w:szCs w:val="19"/>
          <w:color w:val="auto"/>
        </w:rPr>
        <w:t>that is otherwise due to Executive under this Agreement during the six-month period immediately following Executive’s separation from service (as determined in accordance with Section 409A of the Code) on account of Executive’s separation from service shall be accumulated and paid to Executive on the first business day of the seventh month following Executive’s separation from service (the “</w:t>
      </w:r>
      <w:r>
        <w:rPr>
          <w:rFonts w:ascii="Arial" w:cs="Arial" w:eastAsia="Arial" w:hAnsi="Arial"/>
          <w:sz w:val="19"/>
          <w:szCs w:val="19"/>
          <w:b w:val="1"/>
          <w:bCs w:val="1"/>
          <w:color w:val="auto"/>
        </w:rPr>
        <w:t>Delayed Payment Date</w:t>
      </w:r>
      <w:r>
        <w:rPr>
          <w:rFonts w:ascii="Arial" w:cs="Arial" w:eastAsia="Arial" w:hAnsi="Arial"/>
          <w:sz w:val="19"/>
          <w:szCs w:val="19"/>
          <w:color w:val="auto"/>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spacing w:after="0" w:line="151" w:lineRule="exact"/>
        <w:rPr>
          <w:sz w:val="20"/>
          <w:szCs w:val="20"/>
          <w:color w:val="auto"/>
        </w:rPr>
      </w:pPr>
    </w:p>
    <w:p>
      <w:pPr>
        <w:jc w:val="both"/>
        <w:ind w:firstLine="1304"/>
        <w:spacing w:after="0" w:line="278" w:lineRule="auto"/>
        <w:tabs>
          <w:tab w:leader="none" w:pos="1944" w:val="left"/>
        </w:tabs>
        <w:numPr>
          <w:ilvl w:val="0"/>
          <w:numId w:val="432"/>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No provision of this Agreement shall be modified or amended except by an</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spacing w:after="0" w:line="145" w:lineRule="exact"/>
        <w:rPr>
          <w:rFonts w:ascii="Arial" w:cs="Arial" w:eastAsia="Arial" w:hAnsi="Arial"/>
          <w:sz w:val="19"/>
          <w:szCs w:val="19"/>
          <w:color w:val="auto"/>
        </w:rPr>
      </w:pPr>
    </w:p>
    <w:p>
      <w:pPr>
        <w:jc w:val="both"/>
        <w:ind w:firstLine="1304"/>
        <w:spacing w:after="0" w:line="276" w:lineRule="auto"/>
        <w:tabs>
          <w:tab w:leader="none" w:pos="1944" w:val="left"/>
        </w:tabs>
        <w:numPr>
          <w:ilvl w:val="0"/>
          <w:numId w:val="432"/>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constitutes the entire agreement of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in respect of the terms and conditions of Executive’s employment with the Company and its Affiliates, including Executive’s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399" w:name="page400"/>
    <w:bookmarkEnd w:id="399"/>
    <w:p>
      <w:pPr>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Executive and the Company have caused this Agreement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effective as of the Effective Date.</w:t>
      </w:r>
    </w:p>
    <w:p>
      <w:pPr>
        <w:spacing w:after="0" w:line="200" w:lineRule="exact"/>
        <w:rPr>
          <w:sz w:val="20"/>
          <w:szCs w:val="20"/>
          <w:color w:val="auto"/>
        </w:rPr>
      </w:pPr>
    </w:p>
    <w:p>
      <w:pPr>
        <w:spacing w:after="0" w:line="24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6985</wp:posOffset>
            </wp:positionV>
            <wp:extent cx="31203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T. Christopher Pledger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WESTROCK COFFEE COMPANY</w:t>
      </w:r>
    </w:p>
    <w:p>
      <w:pPr>
        <w:spacing w:after="0" w:line="200" w:lineRule="exact"/>
        <w:rPr>
          <w:sz w:val="20"/>
          <w:szCs w:val="20"/>
          <w:color w:val="auto"/>
        </w:rPr>
      </w:pPr>
    </w:p>
    <w:p>
      <w:pPr>
        <w:spacing w:after="0" w:line="28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By:/s/ Bob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6985</wp:posOffset>
            </wp:positionV>
            <wp:extent cx="28803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2"/>
          <w:szCs w:val="22"/>
          <w:color w:val="auto"/>
        </w:rPr>
        <w:t>Bob McKinney</w:t>
      </w:r>
    </w:p>
    <w:p>
      <w:pPr>
        <w:ind w:left="5380"/>
        <w:spacing w:after="0"/>
        <w:rPr>
          <w:sz w:val="20"/>
          <w:szCs w:val="20"/>
          <w:color w:val="auto"/>
        </w:rPr>
      </w:pPr>
      <w:r>
        <w:rPr>
          <w:rFonts w:ascii="Arial" w:cs="Arial" w:eastAsia="Arial" w:hAnsi="Arial"/>
          <w:sz w:val="22"/>
          <w:szCs w:val="22"/>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00" w:name="page401"/>
    <w:bookmarkEnd w:id="400"/>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THIS GENERAL RELEASE OF CLAIMS </w:t>
      </w:r>
      <w:r>
        <w:rPr>
          <w:rFonts w:ascii="Arial" w:cs="Arial" w:eastAsia="Arial" w:hAnsi="Arial"/>
          <w:sz w:val="22"/>
          <w:szCs w:val="22"/>
          <w:color w:val="auto"/>
        </w:rPr>
        <w:t>(this “</w:t>
      </w:r>
      <w:r>
        <w:rPr>
          <w:rFonts w:ascii="Arial" w:cs="Arial" w:eastAsia="Arial" w:hAnsi="Arial"/>
          <w:sz w:val="22"/>
          <w:szCs w:val="22"/>
          <w:b w:val="1"/>
          <w:bCs w:val="1"/>
          <w:color w:val="auto"/>
        </w:rPr>
        <w:t>Release</w:t>
      </w:r>
      <w:r>
        <w:rPr>
          <w:rFonts w:ascii="Arial" w:cs="Arial" w:eastAsia="Arial" w:hAnsi="Arial"/>
          <w:sz w:val="22"/>
          <w:szCs w:val="22"/>
          <w:color w:val="auto"/>
        </w:rPr>
        <w:t>”) is executed by T. Christopher Pledger</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Executive</w:t>
      </w:r>
      <w:r>
        <w:rPr>
          <w:rFonts w:ascii="Arial" w:cs="Arial" w:eastAsia="Arial" w:hAnsi="Arial"/>
          <w:sz w:val="22"/>
          <w:szCs w:val="22"/>
          <w:color w:val="auto"/>
        </w:rPr>
        <w:t>”) as of the date set forth on the signature page hereto. For purposes of this Release, reference is made to the Employment Agreement between Westrock Coffee Company (the “</w:t>
      </w:r>
      <w:r>
        <w:rPr>
          <w:rFonts w:ascii="Arial" w:cs="Arial" w:eastAsia="Arial" w:hAnsi="Arial"/>
          <w:sz w:val="22"/>
          <w:szCs w:val="22"/>
          <w:b w:val="1"/>
          <w:bCs w:val="1"/>
          <w:color w:val="auto"/>
        </w:rPr>
        <w:t>Company</w:t>
      </w:r>
      <w:r>
        <w:rPr>
          <w:rFonts w:ascii="Arial" w:cs="Arial" w:eastAsia="Arial" w:hAnsi="Arial"/>
          <w:sz w:val="22"/>
          <w:szCs w:val="22"/>
          <w:color w:val="auto"/>
        </w:rPr>
        <w:t>”) and Executive, dated as of [•], 2022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Terms that are capitalized but not defined herein shall have the meanings set forth in the Employment Agreement.</w:t>
      </w:r>
    </w:p>
    <w:p>
      <w:pPr>
        <w:spacing w:after="0" w:line="182" w:lineRule="exact"/>
        <w:rPr>
          <w:sz w:val="20"/>
          <w:szCs w:val="20"/>
          <w:color w:val="auto"/>
        </w:rPr>
      </w:pPr>
    </w:p>
    <w:p>
      <w:pPr>
        <w:ind w:left="660" w:hanging="328"/>
        <w:spacing w:after="0"/>
        <w:tabs>
          <w:tab w:leader="none" w:pos="660" w:val="left"/>
        </w:tabs>
        <w:numPr>
          <w:ilvl w:val="0"/>
          <w:numId w:val="433"/>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and Waiver of Claims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433"/>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In consideration of the payments and benefits afforded under the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after consultation with counsel, Executive and each of Executive’s respective heirs, executors, administrators, representatives, agents, successors and assigns (collectively, the “</w:t>
      </w:r>
      <w:r>
        <w:rPr>
          <w:rFonts w:ascii="Arial" w:cs="Arial" w:eastAsia="Arial" w:hAnsi="Arial"/>
          <w:sz w:val="19"/>
          <w:szCs w:val="19"/>
          <w:b w:val="1"/>
          <w:bCs w:val="1"/>
          <w:color w:val="auto"/>
        </w:rPr>
        <w:t>Releasors</w:t>
      </w:r>
      <w:r>
        <w:rPr>
          <w:rFonts w:ascii="Arial" w:cs="Arial" w:eastAsia="Arial" w:hAnsi="Arial"/>
          <w:sz w:val="19"/>
          <w:szCs w:val="19"/>
          <w:color w:val="auto"/>
        </w:rPr>
        <w:t>”) hereby irrevocably and unconditionally release and forever discharge the Company and its Affiliates and each of its officers, employees, directors and agents (“</w:t>
      </w:r>
      <w:r>
        <w:rPr>
          <w:rFonts w:ascii="Arial" w:cs="Arial" w:eastAsia="Arial" w:hAnsi="Arial"/>
          <w:sz w:val="19"/>
          <w:szCs w:val="19"/>
          <w:b w:val="1"/>
          <w:bCs w:val="1"/>
          <w:color w:val="auto"/>
        </w:rPr>
        <w:t>Releasees</w:t>
      </w:r>
      <w:r>
        <w:rPr>
          <w:rFonts w:ascii="Arial" w:cs="Arial" w:eastAsia="Arial" w:hAnsi="Arial"/>
          <w:sz w:val="19"/>
          <w:szCs w:val="19"/>
          <w:color w:val="auto"/>
        </w:rPr>
        <w:t>”) from any and all claims, actions, causes of action, rights, judgments, obligations, damages, demands, accountings or liabilities of whatever kind or character (collectively, “</w:t>
      </w:r>
      <w:r>
        <w:rPr>
          <w:rFonts w:ascii="Arial" w:cs="Arial" w:eastAsia="Arial" w:hAnsi="Arial"/>
          <w:sz w:val="19"/>
          <w:szCs w:val="19"/>
          <w:b w:val="1"/>
          <w:bCs w:val="1"/>
          <w:color w:val="auto"/>
        </w:rPr>
        <w:t>Claims</w:t>
      </w:r>
      <w:r>
        <w:rPr>
          <w:rFonts w:ascii="Arial" w:cs="Arial" w:eastAsia="Arial" w:hAnsi="Arial"/>
          <w:sz w:val="19"/>
          <w:szCs w:val="19"/>
          <w:color w:val="auto"/>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spacing w:after="0" w:line="152" w:lineRule="exact"/>
        <w:rPr>
          <w:rFonts w:ascii="Arial" w:cs="Arial" w:eastAsia="Arial" w:hAnsi="Arial"/>
          <w:sz w:val="19"/>
          <w:szCs w:val="19"/>
          <w:color w:val="auto"/>
        </w:rPr>
      </w:pPr>
    </w:p>
    <w:p>
      <w:pPr>
        <w:jc w:val="both"/>
        <w:ind w:firstLine="1304"/>
        <w:spacing w:after="0" w:line="244" w:lineRule="auto"/>
        <w:tabs>
          <w:tab w:leader="none" w:pos="1944" w:val="left"/>
        </w:tabs>
        <w:numPr>
          <w:ilvl w:val="1"/>
          <w:numId w:val="433"/>
        </w:numPr>
        <w:rPr>
          <w:rFonts w:ascii="Arial" w:cs="Arial" w:eastAsia="Arial" w:hAnsi="Arial"/>
          <w:sz w:val="21"/>
          <w:szCs w:val="21"/>
          <w:color w:val="auto"/>
        </w:rPr>
      </w:pPr>
      <w:r>
        <w:rPr>
          <w:rFonts w:ascii="Arial" w:cs="Arial" w:eastAsia="Arial" w:hAnsi="Arial"/>
          <w:sz w:val="21"/>
          <w:szCs w:val="21"/>
          <w:b w:val="1"/>
          <w:bCs w:val="1"/>
          <w:u w:val="single" w:color="auto"/>
          <w:color w:val="auto"/>
        </w:rPr>
        <w:t>Exceptions to Release</w:t>
      </w:r>
      <w:r>
        <w:rPr>
          <w:rFonts w:ascii="Arial" w:cs="Arial" w:eastAsia="Arial" w:hAnsi="Arial"/>
          <w:sz w:val="21"/>
          <w:szCs w:val="21"/>
          <w:color w:val="auto"/>
        </w:rPr>
        <w:t>. Notwithstanding anything contained herein to the contrary, this</w:t>
      </w:r>
      <w:r>
        <w:rPr>
          <w:rFonts w:ascii="Arial" w:cs="Arial" w:eastAsia="Arial" w:hAnsi="Arial"/>
          <w:sz w:val="21"/>
          <w:szCs w:val="21"/>
          <w:b w:val="1"/>
          <w:bCs w:val="1"/>
          <w:color w:val="auto"/>
        </w:rPr>
        <w:t xml:space="preserve"> </w:t>
      </w:r>
      <w:r>
        <w:rPr>
          <w:rFonts w:ascii="Arial" w:cs="Arial" w:eastAsia="Arial" w:hAnsi="Arial"/>
          <w:sz w:val="21"/>
          <w:szCs w:val="21"/>
          <w:color w:val="auto"/>
        </w:rPr>
        <w:t>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01" w:name="page402"/>
    <w:bookmarkEnd w:id="401"/>
    <w:p>
      <w:pPr>
        <w:jc w:val="both"/>
        <w:spacing w:after="0" w:line="238" w:lineRule="auto"/>
        <w:rPr>
          <w:sz w:val="20"/>
          <w:szCs w:val="20"/>
          <w:color w:val="auto"/>
        </w:rPr>
      </w:pPr>
      <w:r>
        <w:rPr>
          <w:rFonts w:ascii="Arial" w:cs="Arial" w:eastAsia="Arial" w:hAnsi="Arial"/>
          <w:sz w:val="22"/>
          <w:szCs w:val="22"/>
          <w:color w:val="auto"/>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spacing w:after="0" w:line="179" w:lineRule="exact"/>
        <w:rPr>
          <w:sz w:val="20"/>
          <w:szCs w:val="20"/>
          <w:color w:val="auto"/>
        </w:rPr>
      </w:pPr>
    </w:p>
    <w:p>
      <w:pPr>
        <w:jc w:val="both"/>
        <w:ind w:firstLine="1304"/>
        <w:spacing w:after="0" w:line="271" w:lineRule="auto"/>
        <w:tabs>
          <w:tab w:leader="none" w:pos="1944" w:val="left"/>
        </w:tabs>
        <w:numPr>
          <w:ilvl w:val="1"/>
          <w:numId w:val="434"/>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Specific Release of ADEA Claims</w:t>
      </w:r>
      <w:r>
        <w:rPr>
          <w:rFonts w:ascii="Arial" w:cs="Arial" w:eastAsia="Arial" w:hAnsi="Arial"/>
          <w:sz w:val="19"/>
          <w:szCs w:val="19"/>
          <w:color w:val="auto"/>
        </w:rPr>
        <w:t>. In further consideration of the payments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Arial" w:cs="Arial" w:eastAsia="Arial" w:hAnsi="Arial"/>
          <w:sz w:val="19"/>
          <w:szCs w:val="19"/>
          <w:b w:val="1"/>
          <w:bCs w:val="1"/>
          <w:color w:val="auto"/>
        </w:rPr>
        <w:t>ADEA</w:t>
      </w:r>
      <w:r>
        <w:rPr>
          <w:rFonts w:ascii="Arial" w:cs="Arial" w:eastAsia="Arial" w:hAnsi="Arial"/>
          <w:sz w:val="19"/>
          <w:szCs w:val="19"/>
          <w:color w:val="auto"/>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Arial" w:cs="Arial" w:eastAsia="Arial" w:hAnsi="Arial"/>
          <w:sz w:val="19"/>
          <w:szCs w:val="19"/>
          <w:b w:val="1"/>
          <w:bCs w:val="1"/>
          <w:color w:val="auto"/>
        </w:rPr>
        <w:t>[twenty-one (21)] [forty-five (45)]</w:t>
      </w:r>
      <w:r>
        <w:rPr>
          <w:rFonts w:ascii="Arial" w:cs="Arial" w:eastAsia="Arial" w:hAnsi="Arial"/>
          <w:sz w:val="19"/>
          <w:szCs w:val="19"/>
          <w:color w:val="auto"/>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firstLine="1304"/>
        <w:spacing w:after="0" w:line="256" w:lineRule="auto"/>
        <w:tabs>
          <w:tab w:leader="none" w:pos="1944" w:val="left"/>
        </w:tabs>
        <w:numPr>
          <w:ilvl w:val="1"/>
          <w:numId w:val="434"/>
        </w:numPr>
        <w:rPr>
          <w:rFonts w:ascii="Arial" w:cs="Arial" w:eastAsia="Arial" w:hAnsi="Arial"/>
          <w:sz w:val="22"/>
          <w:szCs w:val="22"/>
          <w:color w:val="auto"/>
        </w:rPr>
      </w:pPr>
      <w:r>
        <w:rPr>
          <w:rFonts w:ascii="Arial" w:cs="Arial" w:eastAsia="Arial" w:hAnsi="Arial"/>
          <w:sz w:val="22"/>
          <w:szCs w:val="22"/>
          <w:b w:val="1"/>
          <w:bCs w:val="1"/>
          <w:u w:val="single" w:color="auto"/>
          <w:color w:val="auto"/>
        </w:rPr>
        <w:t>No Assignment</w:t>
      </w:r>
      <w:r>
        <w:rPr>
          <w:rFonts w:ascii="Arial" w:cs="Arial" w:eastAsia="Arial" w:hAnsi="Arial"/>
          <w:sz w:val="22"/>
          <w:szCs w:val="22"/>
          <w:color w:val="auto"/>
        </w:rPr>
        <w:t>. Executive represents and warrants that Executive has not assigned any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Claims being released under this Release.</w:t>
      </w:r>
    </w:p>
    <w:p>
      <w:pPr>
        <w:spacing w:after="0" w:line="162" w:lineRule="exact"/>
        <w:rPr>
          <w:rFonts w:ascii="Arial" w:cs="Arial" w:eastAsia="Arial" w:hAnsi="Arial"/>
          <w:sz w:val="22"/>
          <w:szCs w:val="22"/>
          <w:color w:val="auto"/>
        </w:rPr>
      </w:pPr>
    </w:p>
    <w:p>
      <w:pPr>
        <w:jc w:val="both"/>
        <w:ind w:firstLine="332"/>
        <w:spacing w:after="0" w:line="272" w:lineRule="auto"/>
        <w:tabs>
          <w:tab w:leader="none" w:pos="648" w:val="left"/>
        </w:tabs>
        <w:numPr>
          <w:ilvl w:val="0"/>
          <w:numId w:val="435"/>
        </w:numPr>
        <w:rPr>
          <w:rFonts w:ascii="Arial" w:cs="Arial" w:eastAsia="Arial" w:hAnsi="Arial"/>
          <w:sz w:val="19"/>
          <w:szCs w:val="19"/>
          <w:color w:val="auto"/>
        </w:rPr>
      </w:pPr>
      <w:r>
        <w:rPr>
          <w:rFonts w:ascii="Arial" w:cs="Arial" w:eastAsia="Arial" w:hAnsi="Arial"/>
          <w:sz w:val="19"/>
          <w:szCs w:val="19"/>
          <w:b w:val="1"/>
          <w:bCs w:val="1"/>
          <w:u w:val="single" w:color="auto"/>
          <w:color w:val="auto"/>
        </w:rPr>
        <w:t>Proceedings</w:t>
      </w:r>
      <w:r>
        <w:rPr>
          <w:rFonts w:ascii="Arial" w:cs="Arial" w:eastAsia="Arial" w:hAnsi="Arial"/>
          <w:sz w:val="19"/>
          <w:szCs w:val="19"/>
          <w:color w:val="auto"/>
        </w:rPr>
        <w:t>. Executive has not filed, and agrees not to initiate or cause to be initiated on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behalf, any complaint, charge, claim or proceeding against the Releasees with respect to any Claims released under Section 1(a) or (c) before any local, state or federal agency, court or other body (each, individually,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and agrees not to participate voluntarily in any Proceeding involving such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spacing w:after="0" w:line="398" w:lineRule="exact"/>
        <w:rPr>
          <w:rFonts w:ascii="Arial" w:cs="Arial" w:eastAsia="Arial" w:hAnsi="Arial"/>
          <w:sz w:val="19"/>
          <w:szCs w:val="19"/>
          <w:color w:val="auto"/>
        </w:rPr>
      </w:pPr>
    </w:p>
    <w:p>
      <w:pPr>
        <w:ind w:firstLine="332"/>
        <w:spacing w:after="0" w:line="334" w:lineRule="auto"/>
        <w:tabs>
          <w:tab w:leader="none" w:pos="648" w:val="left"/>
        </w:tabs>
        <w:numPr>
          <w:ilvl w:val="0"/>
          <w:numId w:val="435"/>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 Clause</w:t>
      </w:r>
      <w:r>
        <w:rPr>
          <w:rFonts w:ascii="Arial" w:cs="Arial" w:eastAsia="Arial" w:hAnsi="Arial"/>
          <w:sz w:val="19"/>
          <w:szCs w:val="19"/>
          <w:color w:val="auto"/>
        </w:rPr>
        <w:t>. In the event any provision or part of this Release is found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only that particular provision or part so found, and not the entire Release, shall be inoperative.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02" w:name="page403"/>
    <w:bookmarkEnd w:id="402"/>
    <w:p>
      <w:pPr>
        <w:ind w:firstLine="332"/>
        <w:spacing w:after="0" w:line="256" w:lineRule="auto"/>
        <w:tabs>
          <w:tab w:leader="none" w:pos="648" w:val="left"/>
        </w:tabs>
        <w:numPr>
          <w:ilvl w:val="0"/>
          <w:numId w:val="436"/>
        </w:numPr>
        <w:rPr>
          <w:rFonts w:ascii="Arial" w:cs="Arial" w:eastAsia="Arial" w:hAnsi="Arial"/>
          <w:sz w:val="22"/>
          <w:szCs w:val="22"/>
          <w:color w:val="auto"/>
        </w:rPr>
      </w:pPr>
      <w:r>
        <w:rPr>
          <w:rFonts w:ascii="Arial" w:cs="Arial" w:eastAsia="Arial" w:hAnsi="Arial"/>
          <w:sz w:val="22"/>
          <w:szCs w:val="22"/>
          <w:b w:val="1"/>
          <w:bCs w:val="1"/>
          <w:u w:val="single" w:color="auto"/>
          <w:color w:val="auto"/>
        </w:rPr>
        <w:t>No Admission</w:t>
      </w:r>
      <w:r>
        <w:rPr>
          <w:rFonts w:ascii="Arial" w:cs="Arial" w:eastAsia="Arial" w:hAnsi="Arial"/>
          <w:sz w:val="22"/>
          <w:szCs w:val="22"/>
          <w:color w:val="auto"/>
        </w:rPr>
        <w:t>. Nothing contained in this Release shall be deemed or construed as an admission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wrongdoing or liability on the part of the Releasees.</w:t>
      </w:r>
    </w:p>
    <w:p>
      <w:pPr>
        <w:spacing w:after="0" w:line="162" w:lineRule="exact"/>
        <w:rPr>
          <w:rFonts w:ascii="Arial" w:cs="Arial" w:eastAsia="Arial" w:hAnsi="Arial"/>
          <w:sz w:val="22"/>
          <w:szCs w:val="22"/>
          <w:color w:val="auto"/>
        </w:rPr>
      </w:pPr>
    </w:p>
    <w:p>
      <w:pPr>
        <w:jc w:val="both"/>
        <w:ind w:firstLine="332"/>
        <w:spacing w:after="0" w:line="239" w:lineRule="auto"/>
        <w:tabs>
          <w:tab w:leader="none" w:pos="648" w:val="left"/>
        </w:tabs>
        <w:numPr>
          <w:ilvl w:val="0"/>
          <w:numId w:val="43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Venue</w:t>
      </w:r>
      <w:r>
        <w:rPr>
          <w:rFonts w:ascii="Arial" w:cs="Arial" w:eastAsia="Arial" w:hAnsi="Arial"/>
          <w:sz w:val="22"/>
          <w:szCs w:val="22"/>
          <w:color w:val="auto"/>
        </w:rPr>
        <w:t>. All matters affecting this Release, including the validity thereof, are to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governed by, and interpreted and construed in accordance with, the laws of the State of Arkansas applicable to contracts executed in and to be performed in that State,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rights to indemnification shall be governed by and in accordance with the laws of the State of Delaware.</w:t>
      </w:r>
    </w:p>
    <w:p>
      <w:pPr>
        <w:spacing w:after="0" w:line="207" w:lineRule="exact"/>
        <w:rPr>
          <w:rFonts w:ascii="Arial" w:cs="Arial" w:eastAsia="Arial" w:hAnsi="Arial"/>
          <w:sz w:val="22"/>
          <w:szCs w:val="22"/>
          <w:color w:val="auto"/>
        </w:rPr>
      </w:pPr>
    </w:p>
    <w:p>
      <w:pPr>
        <w:ind w:firstLine="332"/>
        <w:spacing w:after="0" w:line="256" w:lineRule="auto"/>
        <w:tabs>
          <w:tab w:leader="none" w:pos="648" w:val="left"/>
        </w:tabs>
        <w:numPr>
          <w:ilvl w:val="0"/>
          <w:numId w:val="43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Release may be executed in counterparts and each counterpart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w:t>
      </w:r>
    </w:p>
    <w:p>
      <w:pPr>
        <w:spacing w:after="0" w:line="189" w:lineRule="exact"/>
        <w:rPr>
          <w:rFonts w:ascii="Arial" w:cs="Arial" w:eastAsia="Arial" w:hAnsi="Arial"/>
          <w:sz w:val="22"/>
          <w:szCs w:val="22"/>
          <w:color w:val="auto"/>
        </w:rPr>
      </w:pPr>
    </w:p>
    <w:p>
      <w:pPr>
        <w:jc w:val="both"/>
        <w:ind w:firstLine="332"/>
        <w:spacing w:after="0" w:line="239" w:lineRule="auto"/>
        <w:tabs>
          <w:tab w:leader="none" w:pos="648" w:val="left"/>
        </w:tabs>
        <w:numPr>
          <w:ilvl w:val="0"/>
          <w:numId w:val="436"/>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requests, demands or other communications under this Release shall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be deemed to have been duly given when delivered in person or deposited in the United States mail, postage prepaid, by registered or certified mail, return receipt requested, to the party to whom such notice is being given as follows:</w:t>
      </w:r>
    </w:p>
    <w:p>
      <w:pPr>
        <w:sectPr>
          <w:pgSz w:w="11900" w:h="16838" w:orient="portrait"/>
          <w:cols w:equalWidth="0" w:num="1">
            <w:col w:w="9920"/>
          </w:cols>
          <w:pgMar w:left="980" w:top="868" w:right="999" w:bottom="1440" w:gutter="0" w:footer="0" w:header="0"/>
        </w:sectPr>
      </w:pP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to Employee: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Executive’s last address on the books and records of the Company</w:t>
      </w:r>
    </w:p>
    <w:p>
      <w:pPr>
        <w:spacing w:after="0" w:line="200" w:lineRule="exact"/>
        <w:rPr>
          <w:sz w:val="20"/>
          <w:szCs w:val="20"/>
          <w:color w:val="auto"/>
        </w:rPr>
      </w:pPr>
    </w:p>
    <w:p>
      <w:pPr>
        <w:sectPr>
          <w:pgSz w:w="11900" w:h="16838" w:orient="portrait"/>
          <w:cols w:equalWidth="0" w:num="2">
            <w:col w:w="3180" w:space="720"/>
            <w:col w:w="6020"/>
          </w:cols>
          <w:pgMar w:left="980" w:top="868" w:right="99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to the Company: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[ADDRESS AS OF DATE OF RELEASE]</w:t>
      </w:r>
    </w:p>
    <w:p>
      <w:pPr>
        <w:spacing w:after="0" w:line="200" w:lineRule="exact"/>
        <w:rPr>
          <w:sz w:val="20"/>
          <w:szCs w:val="20"/>
          <w:color w:val="auto"/>
        </w:rPr>
      </w:pPr>
    </w:p>
    <w:p>
      <w:pPr>
        <w:sectPr>
          <w:pgSz w:w="11900" w:h="16838" w:orient="portrait"/>
          <w:cols w:equalWidth="0" w:num="2">
            <w:col w:w="3180" w:space="720"/>
            <w:col w:w="6020"/>
          </w:cols>
          <w:pgMar w:left="980" w:top="868" w:right="999" w:bottom="1440" w:gutter="0" w:footer="0" w:header="0"/>
          <w:type w:val="continuous"/>
        </w:sectPr>
      </w:pPr>
    </w:p>
    <w:p>
      <w:pPr>
        <w:spacing w:after="0" w:line="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party may change Executive’s address or the name of the person to whose attention the notice or other communication shall be directed from time to time by serving notice thereof upon the other party as provided herein.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type w:val="continuous"/>
        </w:sectPr>
      </w:pPr>
    </w:p>
    <w:bookmarkStart w:id="403" w:name="page404"/>
    <w:bookmarkEnd w:id="403"/>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Executive has executed this Release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 Christopher Pledger</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Dated as of:</w:t>
      </w: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11" w:right="1440" w:bottom="1440" w:gutter="0" w:footer="0" w:header="0"/>
        </w:sectPr>
      </w:pPr>
    </w:p>
    <w:bookmarkStart w:id="404" w:name="page405"/>
    <w:bookmarkEnd w:id="404"/>
    <w:p>
      <w:pPr>
        <w:jc w:val="right"/>
        <w:spacing w:after="0"/>
        <w:rPr>
          <w:sz w:val="20"/>
          <w:szCs w:val="20"/>
          <w:color w:val="auto"/>
        </w:rPr>
      </w:pPr>
      <w:r>
        <w:rPr>
          <w:rFonts w:ascii="Arial" w:cs="Arial" w:eastAsia="Arial" w:hAnsi="Arial"/>
          <w:sz w:val="22"/>
          <w:szCs w:val="22"/>
          <w:b w:val="1"/>
          <w:bCs w:val="1"/>
          <w:color w:val="auto"/>
        </w:rPr>
        <w:t>EXHIBIT 10.6</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31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THIS EMPLOYMENT AGREEMENT </w:t>
      </w:r>
      <w:r>
        <w:rPr>
          <w:rFonts w:ascii="Arial" w:cs="Arial" w:eastAsia="Arial" w:hAnsi="Arial"/>
          <w:sz w:val="22"/>
          <w:szCs w:val="22"/>
          <w:color w:val="auto"/>
        </w:rPr>
        <w:t>(this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August 26, 2022,</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Westrock Coffee Company (the “</w:t>
      </w:r>
      <w:r>
        <w:rPr>
          <w:rFonts w:ascii="Arial" w:cs="Arial" w:eastAsia="Arial" w:hAnsi="Arial"/>
          <w:sz w:val="22"/>
          <w:szCs w:val="22"/>
          <w:b w:val="1"/>
          <w:bCs w:val="1"/>
          <w:color w:val="auto"/>
        </w:rPr>
        <w:t>Company</w:t>
      </w:r>
      <w:r>
        <w:rPr>
          <w:rFonts w:ascii="Arial" w:cs="Arial" w:eastAsia="Arial" w:hAnsi="Arial"/>
          <w:sz w:val="22"/>
          <w:szCs w:val="22"/>
          <w:color w:val="auto"/>
        </w:rPr>
        <w:t>”) and William A. Ford (“</w:t>
      </w:r>
      <w:r>
        <w:rPr>
          <w:rFonts w:ascii="Arial" w:cs="Arial" w:eastAsia="Arial" w:hAnsi="Arial"/>
          <w:sz w:val="22"/>
          <w:szCs w:val="22"/>
          <w:b w:val="1"/>
          <w:bCs w:val="1"/>
          <w:color w:val="auto"/>
        </w:rPr>
        <w:t>Executive</w:t>
      </w:r>
      <w:r>
        <w:rPr>
          <w:rFonts w:ascii="Arial" w:cs="Arial" w:eastAsia="Arial" w:hAnsi="Arial"/>
          <w:sz w:val="22"/>
          <w:szCs w:val="22"/>
          <w:color w:val="auto"/>
        </w:rPr>
        <w:t>”, and together with the Company,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Executive desire to enter into this Agreement to set forth the terms of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to the Company.</w:t>
      </w:r>
    </w:p>
    <w:p>
      <w:pPr>
        <w:spacing w:after="0" w:line="162"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foregoing, the mutual promises contained herein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acknowledged, the Parties agree as follows:</w:t>
      </w:r>
    </w:p>
    <w:p>
      <w:pPr>
        <w:spacing w:after="0" w:line="94" w:lineRule="exact"/>
        <w:rPr>
          <w:sz w:val="20"/>
          <w:szCs w:val="20"/>
          <w:color w:val="auto"/>
        </w:rPr>
      </w:pPr>
    </w:p>
    <w:p>
      <w:pPr>
        <w:jc w:val="both"/>
        <w:ind w:firstLine="1304"/>
        <w:spacing w:after="0" w:line="274" w:lineRule="auto"/>
        <w:tabs>
          <w:tab w:leader="none" w:pos="1944" w:val="left"/>
        </w:tabs>
        <w:numPr>
          <w:ilvl w:val="0"/>
          <w:numId w:val="437"/>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 Period</w:t>
      </w:r>
      <w:r>
        <w:rPr>
          <w:rFonts w:ascii="Arial" w:cs="Arial" w:eastAsia="Arial" w:hAnsi="Arial"/>
          <w:sz w:val="19"/>
          <w:szCs w:val="19"/>
          <w:color w:val="auto"/>
        </w:rPr>
        <w:t>. The Company agrees to employ Executive, and Executive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serve the Company and its Affiliates (as defined below), subject to the terms and conditions of this Agreement, for the period commencing on the Effective Date and ending on the fourth anniversary of the Effective Date (the “</w:t>
      </w:r>
      <w:r>
        <w:rPr>
          <w:rFonts w:ascii="Arial" w:cs="Arial" w:eastAsia="Arial" w:hAnsi="Arial"/>
          <w:sz w:val="19"/>
          <w:szCs w:val="19"/>
          <w:b w:val="1"/>
          <w:bCs w:val="1"/>
          <w:color w:val="auto"/>
        </w:rPr>
        <w:t>Employment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commencing on the first anniversary of the Effective Date, and on each annual anniversary thereafter (such date and each annual anniversary thereof shall be hereinafter referred to as the “</w:t>
      </w:r>
      <w:r>
        <w:rPr>
          <w:rFonts w:ascii="Arial" w:cs="Arial" w:eastAsia="Arial" w:hAnsi="Arial"/>
          <w:sz w:val="19"/>
          <w:szCs w:val="19"/>
          <w:b w:val="1"/>
          <w:bCs w:val="1"/>
          <w:color w:val="auto"/>
        </w:rPr>
        <w:t>Renewal Date</w:t>
      </w:r>
      <w:r>
        <w:rPr>
          <w:rFonts w:ascii="Arial" w:cs="Arial" w:eastAsia="Arial" w:hAnsi="Arial"/>
          <w:sz w:val="19"/>
          <w:szCs w:val="19"/>
          <w:color w:val="auto"/>
        </w:rPr>
        <w:t>”), unless previously terminated, the Employment Period shall be automatically extended so as to terminate four years from such Renewal Date, unless at least 180 days prior to the Renewal Date either the Company or Executive shall give notice to the other party that the Employment Period shall not be so extended (a “</w:t>
      </w:r>
      <w:r>
        <w:rPr>
          <w:rFonts w:ascii="Arial" w:cs="Arial" w:eastAsia="Arial" w:hAnsi="Arial"/>
          <w:sz w:val="19"/>
          <w:szCs w:val="19"/>
          <w:b w:val="1"/>
          <w:bCs w:val="1"/>
          <w:color w:val="auto"/>
        </w:rPr>
        <w:t>Notice of Non-Renewal</w:t>
      </w:r>
      <w:r>
        <w:rPr>
          <w:rFonts w:ascii="Arial" w:cs="Arial" w:eastAsia="Arial" w:hAnsi="Arial"/>
          <w:sz w:val="19"/>
          <w:szCs w:val="19"/>
          <w:color w:val="auto"/>
        </w:rPr>
        <w:t>”). For purposes of this Agreement, the term “</w:t>
      </w:r>
      <w:r>
        <w:rPr>
          <w:rFonts w:ascii="Arial" w:cs="Arial" w:eastAsia="Arial" w:hAnsi="Arial"/>
          <w:sz w:val="19"/>
          <w:szCs w:val="19"/>
          <w:b w:val="1"/>
          <w:bCs w:val="1"/>
          <w:color w:val="auto"/>
        </w:rPr>
        <w:t>Affiliate</w:t>
      </w:r>
      <w:r>
        <w:rPr>
          <w:rFonts w:ascii="Arial" w:cs="Arial" w:eastAsia="Arial" w:hAnsi="Arial"/>
          <w:sz w:val="19"/>
          <w:szCs w:val="19"/>
          <w:color w:val="auto"/>
        </w:rPr>
        <w:t>” means an entity controlled by, controlling or under common control with the Company.</w:t>
      </w:r>
    </w:p>
    <w:p>
      <w:pPr>
        <w:spacing w:after="0" w:line="151" w:lineRule="exact"/>
        <w:rPr>
          <w:rFonts w:ascii="Arial" w:cs="Arial" w:eastAsia="Arial" w:hAnsi="Arial"/>
          <w:sz w:val="19"/>
          <w:szCs w:val="19"/>
          <w:color w:val="auto"/>
        </w:rPr>
      </w:pPr>
    </w:p>
    <w:p>
      <w:pPr>
        <w:ind w:left="1960" w:hanging="656"/>
        <w:spacing w:after="0"/>
        <w:tabs>
          <w:tab w:leader="none" w:pos="1960" w:val="left"/>
        </w:tabs>
        <w:numPr>
          <w:ilvl w:val="0"/>
          <w:numId w:val="437"/>
        </w:numPr>
        <w:rPr>
          <w:rFonts w:ascii="Arial" w:cs="Arial" w:eastAsia="Arial" w:hAnsi="Arial"/>
          <w:sz w:val="22"/>
          <w:szCs w:val="22"/>
          <w:color w:val="auto"/>
        </w:rPr>
      </w:pPr>
      <w:r>
        <w:rPr>
          <w:rFonts w:ascii="Arial" w:cs="Arial" w:eastAsia="Arial" w:hAnsi="Arial"/>
          <w:sz w:val="22"/>
          <w:szCs w:val="22"/>
          <w:b w:val="1"/>
          <w:bCs w:val="1"/>
          <w:u w:val="single" w:color="auto"/>
          <w:color w:val="auto"/>
        </w:rPr>
        <w:t>Position and Duties; Location; Standard of Services</w:t>
      </w:r>
      <w:r>
        <w:rPr>
          <w:rFonts w:ascii="Arial" w:cs="Arial" w:eastAsia="Arial" w:hAnsi="Arial"/>
          <w:sz w:val="22"/>
          <w:szCs w:val="22"/>
          <w:color w:val="auto"/>
        </w:rPr>
        <w:t>.</w:t>
      </w:r>
    </w:p>
    <w:p>
      <w:pPr>
        <w:spacing w:after="0" w:line="206" w:lineRule="exact"/>
        <w:rPr>
          <w:sz w:val="20"/>
          <w:szCs w:val="20"/>
          <w:color w:val="auto"/>
        </w:rPr>
      </w:pPr>
    </w:p>
    <w:p>
      <w:pPr>
        <w:ind w:right="80" w:firstLine="1304"/>
        <w:spacing w:after="0" w:line="236" w:lineRule="auto"/>
        <w:tabs>
          <w:tab w:leader="none" w:pos="1944" w:val="left"/>
        </w:tabs>
        <w:numPr>
          <w:ilvl w:val="0"/>
          <w:numId w:val="438"/>
        </w:numPr>
        <w:rPr>
          <w:rFonts w:ascii="Arial" w:cs="Arial" w:eastAsia="Arial" w:hAnsi="Arial"/>
          <w:sz w:val="22"/>
          <w:szCs w:val="22"/>
          <w:color w:val="auto"/>
        </w:rPr>
      </w:pPr>
      <w:r>
        <w:rPr>
          <w:rFonts w:ascii="Arial" w:cs="Arial" w:eastAsia="Arial" w:hAnsi="Arial"/>
          <w:sz w:val="22"/>
          <w:szCs w:val="22"/>
          <w:b w:val="1"/>
          <w:bCs w:val="1"/>
          <w:u w:val="single" w:color="auto"/>
          <w:color w:val="auto"/>
        </w:rPr>
        <w:t>Position and Duties</w:t>
      </w:r>
      <w:r>
        <w:rPr>
          <w:rFonts w:ascii="Arial" w:cs="Arial" w:eastAsia="Arial" w:hAnsi="Arial"/>
          <w:sz w:val="22"/>
          <w:szCs w:val="22"/>
          <w:color w:val="auto"/>
        </w:rPr>
        <w:t>. During the Employment Period, Executive shall serve as Group</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President—Operations of the Company and shall perform customary and appropriate duties as may be reasonably assigned to Executive from time to time by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or the Chief Executive Officer of the Company (the “</w:t>
      </w:r>
      <w:r>
        <w:rPr>
          <w:rFonts w:ascii="Arial" w:cs="Arial" w:eastAsia="Arial" w:hAnsi="Arial"/>
          <w:sz w:val="22"/>
          <w:szCs w:val="22"/>
          <w:b w:val="1"/>
          <w:bCs w:val="1"/>
          <w:color w:val="auto"/>
        </w:rPr>
        <w:t>CEO</w:t>
      </w:r>
      <w:r>
        <w:rPr>
          <w:rFonts w:ascii="Arial" w:cs="Arial" w:eastAsia="Arial" w:hAnsi="Arial"/>
          <w:sz w:val="22"/>
          <w:szCs w:val="22"/>
          <w:color w:val="auto"/>
        </w:rPr>
        <w:t>”). Executive shall have such responsibilities, power and authority as those normally associated with such position in public companies of a similar stature. Executive shall report solely and directly to the CEO.</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438"/>
        </w:numPr>
        <w:rPr>
          <w:rFonts w:ascii="Arial" w:cs="Arial" w:eastAsia="Arial" w:hAnsi="Arial"/>
          <w:sz w:val="22"/>
          <w:szCs w:val="22"/>
          <w:color w:val="auto"/>
        </w:rPr>
      </w:pPr>
      <w:r>
        <w:rPr>
          <w:rFonts w:ascii="Arial" w:cs="Arial" w:eastAsia="Arial" w:hAnsi="Arial"/>
          <w:sz w:val="22"/>
          <w:szCs w:val="22"/>
          <w:b w:val="1"/>
          <w:bCs w:val="1"/>
          <w:u w:val="single" w:color="auto"/>
          <w:color w:val="auto"/>
        </w:rPr>
        <w:t>Location</w:t>
      </w:r>
      <w:r>
        <w:rPr>
          <w:rFonts w:ascii="Arial" w:cs="Arial" w:eastAsia="Arial" w:hAnsi="Arial"/>
          <w:sz w:val="22"/>
          <w:szCs w:val="22"/>
          <w:color w:val="auto"/>
        </w:rPr>
        <w:t>. During the Employment Period, Executive’s principal place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the Company’s headquarters in Little Rock, Arkansas, subject to reasonable business travel at the Company’s request.</w:t>
      </w:r>
    </w:p>
    <w:p>
      <w:pPr>
        <w:spacing w:after="0" w:line="176" w:lineRule="exact"/>
        <w:rPr>
          <w:rFonts w:ascii="Arial" w:cs="Arial" w:eastAsia="Arial" w:hAnsi="Arial"/>
          <w:sz w:val="22"/>
          <w:szCs w:val="22"/>
          <w:color w:val="auto"/>
        </w:rPr>
      </w:pPr>
    </w:p>
    <w:p>
      <w:pPr>
        <w:jc w:val="both"/>
        <w:ind w:firstLine="1304"/>
        <w:spacing w:after="0" w:line="235" w:lineRule="auto"/>
        <w:tabs>
          <w:tab w:leader="none" w:pos="1944" w:val="left"/>
        </w:tabs>
        <w:numPr>
          <w:ilvl w:val="0"/>
          <w:numId w:val="438"/>
        </w:numPr>
        <w:rPr>
          <w:rFonts w:ascii="Arial" w:cs="Arial" w:eastAsia="Arial" w:hAnsi="Arial"/>
          <w:sz w:val="22"/>
          <w:szCs w:val="22"/>
          <w:color w:val="auto"/>
        </w:rPr>
      </w:pPr>
      <w:r>
        <w:rPr>
          <w:rFonts w:ascii="Arial" w:cs="Arial" w:eastAsia="Arial" w:hAnsi="Arial"/>
          <w:sz w:val="22"/>
          <w:szCs w:val="22"/>
          <w:b w:val="1"/>
          <w:bCs w:val="1"/>
          <w:u w:val="single" w:color="auto"/>
          <w:color w:val="auto"/>
        </w:rPr>
        <w:t>Standard of Services</w:t>
      </w:r>
      <w:r>
        <w:rPr>
          <w:rFonts w:ascii="Arial" w:cs="Arial" w:eastAsia="Arial" w:hAnsi="Arial"/>
          <w:sz w:val="22"/>
          <w:szCs w:val="22"/>
          <w:color w:val="auto"/>
        </w:rPr>
        <w:t>. During the Employment Period, Executive agrees to devote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full business attention and time to the business and affairs of the Company and its Affiliates and to use Executive’s reasonable best efforts to perform faithfully and efficiently such responsibilities. During the Employment Period, Executive may serve on corporate, civic, charitable or other boards or committees, deliver lectures, fulfill speaking engagements, publish, teach at educational institutions, manage or advise with respect to investments or provide advice to other companies that do not compete and are not reasonably expected to compete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405" w:name="page406"/>
    <w:bookmarkEnd w:id="405"/>
    <w:p>
      <w:pPr>
        <w:ind w:right="20"/>
        <w:spacing w:after="0" w:line="250" w:lineRule="auto"/>
        <w:rPr>
          <w:sz w:val="20"/>
          <w:szCs w:val="20"/>
          <w:color w:val="auto"/>
        </w:rPr>
      </w:pPr>
      <w:r>
        <w:rPr>
          <w:rFonts w:ascii="Arial" w:cs="Arial" w:eastAsia="Arial" w:hAnsi="Arial"/>
          <w:sz w:val="22"/>
          <w:szCs w:val="22"/>
          <w:color w:val="auto"/>
        </w:rPr>
        <w:t>Company in the future, in each case, so long as such activities do not materially interfere with the performance of Executive’s responsibilities in accordance with this Agreement.</w:t>
      </w:r>
    </w:p>
    <w:p>
      <w:pPr>
        <w:spacing w:after="0" w:line="169" w:lineRule="exact"/>
        <w:rPr>
          <w:sz w:val="20"/>
          <w:szCs w:val="20"/>
          <w:color w:val="auto"/>
        </w:rPr>
      </w:pPr>
    </w:p>
    <w:p>
      <w:pPr>
        <w:ind w:left="1960" w:hanging="656"/>
        <w:spacing w:after="0"/>
        <w:tabs>
          <w:tab w:leader="none" w:pos="1960" w:val="left"/>
        </w:tabs>
        <w:numPr>
          <w:ilvl w:val="0"/>
          <w:numId w:val="439"/>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and Employee Benefits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9" w:lineRule="auto"/>
        <w:tabs>
          <w:tab w:leader="none" w:pos="1944" w:val="left"/>
        </w:tabs>
        <w:numPr>
          <w:ilvl w:val="0"/>
          <w:numId w:val="440"/>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Base Salary</w:t>
      </w:r>
      <w:r>
        <w:rPr>
          <w:rFonts w:ascii="Arial" w:cs="Arial" w:eastAsia="Arial" w:hAnsi="Arial"/>
          <w:sz w:val="21"/>
          <w:szCs w:val="21"/>
          <w:color w:val="auto"/>
        </w:rPr>
        <w:t>. During the Employment Period, Executive shall receive an annual</w:t>
      </w:r>
      <w:r>
        <w:rPr>
          <w:rFonts w:ascii="Arial" w:cs="Arial" w:eastAsia="Arial" w:hAnsi="Arial"/>
          <w:sz w:val="21"/>
          <w:szCs w:val="21"/>
          <w:b w:val="1"/>
          <w:bCs w:val="1"/>
          <w:color w:val="auto"/>
        </w:rPr>
        <w:t xml:space="preserve"> </w:t>
      </w:r>
      <w:r>
        <w:rPr>
          <w:rFonts w:ascii="Arial" w:cs="Arial" w:eastAsia="Arial" w:hAnsi="Arial"/>
          <w:sz w:val="21"/>
          <w:szCs w:val="21"/>
          <w:color w:val="auto"/>
        </w:rPr>
        <w:t>base salary (the “</w:t>
      </w:r>
      <w:r>
        <w:rPr>
          <w:rFonts w:ascii="Arial" w:cs="Arial" w:eastAsia="Arial" w:hAnsi="Arial"/>
          <w:sz w:val="21"/>
          <w:szCs w:val="21"/>
          <w:b w:val="1"/>
          <w:bCs w:val="1"/>
          <w:color w:val="auto"/>
        </w:rPr>
        <w:t>Annual Base Salary</w:t>
      </w:r>
      <w:r>
        <w:rPr>
          <w:rFonts w:ascii="Arial" w:cs="Arial" w:eastAsia="Arial" w:hAnsi="Arial"/>
          <w:sz w:val="21"/>
          <w:szCs w:val="21"/>
          <w:color w:val="auto"/>
        </w:rPr>
        <w:t>”) of no less than $350,000, payable in accordance with the Company’s regular payroll practices. The Annual Base Salary shall be reviewed at least annually by the Board or an appropriate committee thereof (the Board or such committee, the “</w:t>
      </w:r>
      <w:r>
        <w:rPr>
          <w:rFonts w:ascii="Arial" w:cs="Arial" w:eastAsia="Arial" w:hAnsi="Arial"/>
          <w:sz w:val="21"/>
          <w:szCs w:val="21"/>
          <w:b w:val="1"/>
          <w:bCs w:val="1"/>
          <w:color w:val="auto"/>
        </w:rPr>
        <w:t>Committee</w:t>
      </w:r>
      <w:r>
        <w:rPr>
          <w:rFonts w:ascii="Arial" w:cs="Arial" w:eastAsia="Arial" w:hAnsi="Arial"/>
          <w:sz w:val="21"/>
          <w:szCs w:val="21"/>
          <w:color w:val="auto"/>
        </w:rPr>
        <w:t>”) for possible increase, as determined in the discretion of the Committee. The term “Annual Base Salary” as used in this Agreement shall refer to the Annual Base Salary as it may be so adjusted from time to time.</w:t>
      </w:r>
    </w:p>
    <w:p>
      <w:pPr>
        <w:spacing w:after="0" w:line="170" w:lineRule="exact"/>
        <w:rPr>
          <w:rFonts w:ascii="Arial" w:cs="Arial" w:eastAsia="Arial" w:hAnsi="Arial"/>
          <w:sz w:val="21"/>
          <w:szCs w:val="21"/>
          <w:color w:val="auto"/>
        </w:rPr>
      </w:pPr>
    </w:p>
    <w:p>
      <w:pPr>
        <w:jc w:val="both"/>
        <w:ind w:firstLine="1304"/>
        <w:spacing w:after="0" w:line="254" w:lineRule="auto"/>
        <w:tabs>
          <w:tab w:leader="none" w:pos="1944" w:val="left"/>
        </w:tabs>
        <w:numPr>
          <w:ilvl w:val="0"/>
          <w:numId w:val="440"/>
        </w:numPr>
        <w:rPr>
          <w:rFonts w:ascii="Arial" w:cs="Arial" w:eastAsia="Arial" w:hAnsi="Arial"/>
          <w:sz w:val="21"/>
          <w:szCs w:val="21"/>
          <w:color w:val="auto"/>
        </w:rPr>
      </w:pPr>
      <w:r>
        <w:rPr>
          <w:rFonts w:ascii="Arial" w:cs="Arial" w:eastAsia="Arial" w:hAnsi="Arial"/>
          <w:sz w:val="21"/>
          <w:szCs w:val="21"/>
          <w:b w:val="1"/>
          <w:bCs w:val="1"/>
          <w:u w:val="single" w:color="auto"/>
          <w:color w:val="auto"/>
        </w:rPr>
        <w:t>Annual Bonus</w:t>
      </w:r>
      <w:r>
        <w:rPr>
          <w:rFonts w:ascii="Arial" w:cs="Arial" w:eastAsia="Arial" w:hAnsi="Arial"/>
          <w:sz w:val="21"/>
          <w:szCs w:val="21"/>
          <w:color w:val="auto"/>
        </w:rPr>
        <w:t>. During the Employment Period, Executive shall have the opportunity to</w:t>
      </w:r>
      <w:r>
        <w:rPr>
          <w:rFonts w:ascii="Arial" w:cs="Arial" w:eastAsia="Arial" w:hAnsi="Arial"/>
          <w:sz w:val="21"/>
          <w:szCs w:val="21"/>
          <w:b w:val="1"/>
          <w:bCs w:val="1"/>
          <w:color w:val="auto"/>
        </w:rPr>
        <w:t xml:space="preserve"> </w:t>
      </w:r>
      <w:r>
        <w:rPr>
          <w:rFonts w:ascii="Arial" w:cs="Arial" w:eastAsia="Arial" w:hAnsi="Arial"/>
          <w:sz w:val="21"/>
          <w:szCs w:val="21"/>
          <w:color w:val="auto"/>
        </w:rPr>
        <w:t>earn, for each fiscal year of the Company, an annual bonus (the “</w:t>
      </w:r>
      <w:r>
        <w:rPr>
          <w:rFonts w:ascii="Arial" w:cs="Arial" w:eastAsia="Arial" w:hAnsi="Arial"/>
          <w:sz w:val="21"/>
          <w:szCs w:val="21"/>
          <w:b w:val="1"/>
          <w:bCs w:val="1"/>
          <w:color w:val="auto"/>
        </w:rPr>
        <w:t>Annual Bonus</w:t>
      </w:r>
      <w:r>
        <w:rPr>
          <w:rFonts w:ascii="Arial" w:cs="Arial" w:eastAsia="Arial" w:hAnsi="Arial"/>
          <w:sz w:val="21"/>
          <w:szCs w:val="21"/>
          <w:color w:val="auto"/>
        </w:rPr>
        <w:t>”) pursuant to the terms of an annual incentive plan for senior executives of the Company, as in effect from time to time. Executive’s target Annual Bonus opportunity shall be 85% of the Annual Base Salary.</w:t>
      </w:r>
    </w:p>
    <w:p>
      <w:pPr>
        <w:spacing w:after="0" w:line="165" w:lineRule="exact"/>
        <w:rPr>
          <w:rFonts w:ascii="Arial" w:cs="Arial" w:eastAsia="Arial" w:hAnsi="Arial"/>
          <w:sz w:val="21"/>
          <w:szCs w:val="21"/>
          <w:color w:val="auto"/>
        </w:rPr>
      </w:pPr>
    </w:p>
    <w:p>
      <w:pPr>
        <w:ind w:firstLine="1304"/>
        <w:spacing w:after="0" w:line="256" w:lineRule="auto"/>
        <w:tabs>
          <w:tab w:leader="none" w:pos="1944" w:val="left"/>
        </w:tabs>
        <w:numPr>
          <w:ilvl w:val="0"/>
          <w:numId w:val="440"/>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Incentives</w:t>
      </w:r>
      <w:r>
        <w:rPr>
          <w:rFonts w:ascii="Arial" w:cs="Arial" w:eastAsia="Arial" w:hAnsi="Arial"/>
          <w:sz w:val="22"/>
          <w:szCs w:val="22"/>
          <w:color w:val="auto"/>
        </w:rPr>
        <w:t>. Executive shall be eligible to participate in the Company’s equity</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plan, as in effect from time to time.</w:t>
      </w:r>
    </w:p>
    <w:p>
      <w:pPr>
        <w:spacing w:after="0" w:line="162" w:lineRule="exact"/>
        <w:rPr>
          <w:rFonts w:ascii="Arial" w:cs="Arial" w:eastAsia="Arial" w:hAnsi="Arial"/>
          <w:sz w:val="22"/>
          <w:szCs w:val="22"/>
          <w:color w:val="auto"/>
        </w:rPr>
      </w:pPr>
    </w:p>
    <w:p>
      <w:pPr>
        <w:jc w:val="both"/>
        <w:ind w:firstLine="1304"/>
        <w:spacing w:after="0" w:line="237" w:lineRule="auto"/>
        <w:tabs>
          <w:tab w:leader="none" w:pos="1944" w:val="left"/>
        </w:tabs>
        <w:numPr>
          <w:ilvl w:val="0"/>
          <w:numId w:val="440"/>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Employee Benefit Plans</w:t>
      </w:r>
      <w:r>
        <w:rPr>
          <w:rFonts w:ascii="Arial" w:cs="Arial" w:eastAsia="Arial" w:hAnsi="Arial"/>
          <w:sz w:val="22"/>
          <w:szCs w:val="22"/>
          <w:color w:val="auto"/>
        </w:rPr>
        <w:t>. During the Employment Period, Executive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entitled to participate in the employee benefit plans, practices, policies and programs, as in effect from time to time, that are generally applicable to other senior executives of the Company (including retirement, deferred compensation and health and welfare benefits) on the same terms as are applicable to other senior executives of the Company.</w:t>
      </w:r>
    </w:p>
    <w:p>
      <w:pPr>
        <w:spacing w:after="0" w:line="181" w:lineRule="exact"/>
        <w:rPr>
          <w:rFonts w:ascii="Arial" w:cs="Arial" w:eastAsia="Arial" w:hAnsi="Arial"/>
          <w:sz w:val="22"/>
          <w:szCs w:val="22"/>
          <w:color w:val="auto"/>
        </w:rPr>
      </w:pPr>
    </w:p>
    <w:p>
      <w:pPr>
        <w:jc w:val="both"/>
        <w:ind w:firstLine="1304"/>
        <w:spacing w:after="0" w:line="260" w:lineRule="auto"/>
        <w:tabs>
          <w:tab w:leader="none" w:pos="1944" w:val="left"/>
        </w:tabs>
        <w:numPr>
          <w:ilvl w:val="0"/>
          <w:numId w:val="440"/>
        </w:numPr>
        <w:rPr>
          <w:rFonts w:ascii="Arial" w:cs="Arial" w:eastAsia="Arial" w:hAnsi="Arial"/>
          <w:sz w:val="21"/>
          <w:szCs w:val="2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color w:val="auto"/>
        </w:rPr>
        <w:t>. Executive shall be entitled to receive prompt reimbursement for all</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expenses (including travel, entertainment, professional dues and subscriptions) incurred by Executive, in accordance with the Company’s policies as in effect from time to time.</w:t>
      </w:r>
    </w:p>
    <w:p>
      <w:pPr>
        <w:spacing w:after="0" w:line="160" w:lineRule="exact"/>
        <w:rPr>
          <w:sz w:val="20"/>
          <w:szCs w:val="20"/>
          <w:color w:val="auto"/>
        </w:rPr>
      </w:pPr>
    </w:p>
    <w:p>
      <w:pPr>
        <w:ind w:left="1960" w:hanging="656"/>
        <w:spacing w:after="0"/>
        <w:tabs>
          <w:tab w:leader="none" w:pos="1960" w:val="left"/>
        </w:tabs>
        <w:numPr>
          <w:ilvl w:val="0"/>
          <w:numId w:val="44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74" w:lineRule="auto"/>
        <w:tabs>
          <w:tab w:leader="none" w:pos="1944" w:val="left"/>
        </w:tabs>
        <w:numPr>
          <w:ilvl w:val="0"/>
          <w:numId w:val="442"/>
        </w:numPr>
        <w:rPr>
          <w:rFonts w:ascii="Arial" w:cs="Arial" w:eastAsia="Arial" w:hAnsi="Arial"/>
          <w:sz w:val="19"/>
          <w:szCs w:val="19"/>
          <w:color w:val="auto"/>
        </w:rPr>
      </w:pPr>
      <w:r>
        <w:rPr>
          <w:rFonts w:ascii="Arial" w:cs="Arial" w:eastAsia="Arial" w:hAnsi="Arial"/>
          <w:sz w:val="19"/>
          <w:szCs w:val="19"/>
          <w:b w:val="1"/>
          <w:bCs w:val="1"/>
          <w:u w:val="single" w:color="auto"/>
          <w:color w:val="auto"/>
        </w:rPr>
        <w:t>Death or Disability</w:t>
      </w:r>
      <w:r>
        <w:rPr>
          <w:rFonts w:ascii="Arial" w:cs="Arial" w:eastAsia="Arial" w:hAnsi="Arial"/>
          <w:sz w:val="19"/>
          <w:szCs w:val="19"/>
          <w:color w:val="auto"/>
        </w:rPr>
        <w:t>. Executive’s employment shall terminate automatically upon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death during the Employment Period. If the Board determines in good faith that the Disability of Executive has occurred during the Employment Period (pursuant to the definition of Disability set forth below), it may provide Executive with written notice in accordance with Section 11(b) of its intention to terminate Executive’s employment. In such event, Executive’s employment with the Company and its Affiliates shall terminate effective on the 30</w:t>
      </w:r>
      <w:r>
        <w:rPr>
          <w:rFonts w:ascii="Arial" w:cs="Arial" w:eastAsia="Arial" w:hAnsi="Arial"/>
          <w:sz w:val="14"/>
          <w:szCs w:val="14"/>
          <w:color w:val="auto"/>
        </w:rPr>
        <w:t>th</w:t>
      </w:r>
      <w:r>
        <w:rPr>
          <w:rFonts w:ascii="Arial" w:cs="Arial" w:eastAsia="Arial" w:hAnsi="Arial"/>
          <w:sz w:val="19"/>
          <w:szCs w:val="19"/>
          <w:color w:val="auto"/>
        </w:rPr>
        <w:t xml:space="preserve"> day after Executive’s receipt of such notice (the “</w:t>
      </w:r>
      <w:r>
        <w:rPr>
          <w:rFonts w:ascii="Arial" w:cs="Arial" w:eastAsia="Arial" w:hAnsi="Arial"/>
          <w:sz w:val="19"/>
          <w:szCs w:val="19"/>
          <w:b w:val="1"/>
          <w:bCs w:val="1"/>
          <w:color w:val="auto"/>
        </w:rPr>
        <w:t>Disability Effective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within the 30 days after such receipt, Executive shall not have returned to full-time performance of Executive’s duties. For purposes of this Agreement, “</w:t>
      </w:r>
      <w:r>
        <w:rPr>
          <w:rFonts w:ascii="Arial" w:cs="Arial" w:eastAsia="Arial" w:hAnsi="Arial"/>
          <w:sz w:val="19"/>
          <w:szCs w:val="19"/>
          <w:b w:val="1"/>
          <w:bCs w:val="1"/>
          <w:color w:val="auto"/>
        </w:rPr>
        <w:t>Disability</w:t>
      </w:r>
      <w:r>
        <w:rPr>
          <w:rFonts w:ascii="Arial" w:cs="Arial" w:eastAsia="Arial" w:hAnsi="Arial"/>
          <w:sz w:val="19"/>
          <w:szCs w:val="19"/>
          <w:color w:val="auto"/>
        </w:rPr>
        <w:t>” shall mean the absence of Executive from Executive’s duties with the Company on a full-time basis for 120 consecutive days, or for 180 days (which need not be consecutive) within a 365-day period, as a result of incapacity due to mental or physical illness.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06" w:name="page407"/>
    <w:bookmarkEnd w:id="406"/>
    <w:p>
      <w:pPr>
        <w:ind w:firstLine="1304"/>
        <w:spacing w:after="0" w:line="334" w:lineRule="auto"/>
        <w:tabs>
          <w:tab w:leader="none" w:pos="1944" w:val="left"/>
        </w:tabs>
        <w:numPr>
          <w:ilvl w:val="0"/>
          <w:numId w:val="443"/>
        </w:numPr>
        <w:rPr>
          <w:rFonts w:ascii="Arial" w:cs="Arial" w:eastAsia="Arial" w:hAnsi="Arial"/>
          <w:sz w:val="19"/>
          <w:szCs w:val="19"/>
          <w:color w:val="auto"/>
        </w:rPr>
      </w:pPr>
      <w:r>
        <w:rPr>
          <w:rFonts w:ascii="Arial" w:cs="Arial" w:eastAsia="Arial" w:hAnsi="Arial"/>
          <w:sz w:val="19"/>
          <w:szCs w:val="19"/>
          <w:b w:val="1"/>
          <w:bCs w:val="1"/>
          <w:u w:val="single" w:color="auto"/>
          <w:color w:val="auto"/>
        </w:rPr>
        <w:t>With or Without Cause</w:t>
      </w:r>
      <w:r>
        <w:rPr>
          <w:rFonts w:ascii="Arial" w:cs="Arial" w:eastAsia="Arial" w:hAnsi="Arial"/>
          <w:sz w:val="19"/>
          <w:szCs w:val="19"/>
          <w:color w:val="auto"/>
        </w:rPr>
        <w:t>. The Company may terminate Executive’s employment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Period either with or without Cause.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shall mean:</w:t>
      </w:r>
    </w:p>
    <w:p>
      <w:pPr>
        <w:spacing w:after="0" w:line="99" w:lineRule="exact"/>
        <w:rPr>
          <w:rFonts w:ascii="Arial" w:cs="Arial" w:eastAsia="Arial" w:hAnsi="Arial"/>
          <w:sz w:val="19"/>
          <w:szCs w:val="19"/>
          <w:color w:val="auto"/>
        </w:rPr>
      </w:pPr>
    </w:p>
    <w:p>
      <w:pPr>
        <w:ind w:left="2600" w:hanging="486"/>
        <w:spacing w:after="0"/>
        <w:tabs>
          <w:tab w:leader="none" w:pos="260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Executive’s willful failure to substantially perform Executive’s duties;</w:t>
      </w:r>
    </w:p>
    <w:p>
      <w:pPr>
        <w:spacing w:after="0" w:line="206" w:lineRule="exact"/>
        <w:rPr>
          <w:rFonts w:ascii="Arial" w:cs="Arial" w:eastAsia="Arial" w:hAnsi="Arial"/>
          <w:sz w:val="22"/>
          <w:szCs w:val="22"/>
          <w:color w:val="auto"/>
        </w:rPr>
      </w:pPr>
    </w:p>
    <w:p>
      <w:pPr>
        <w:ind w:left="180" w:right="20" w:firstLine="1934"/>
        <w:spacing w:after="0" w:line="274" w:lineRule="auto"/>
        <w:tabs>
          <w:tab w:leader="none" w:pos="2610" w:val="left"/>
        </w:tabs>
        <w:numPr>
          <w:ilvl w:val="1"/>
          <w:numId w:val="443"/>
        </w:numPr>
        <w:rPr>
          <w:rFonts w:ascii="Arial" w:cs="Arial" w:eastAsia="Arial" w:hAnsi="Arial"/>
          <w:sz w:val="21"/>
          <w:szCs w:val="21"/>
          <w:color w:val="auto"/>
        </w:rPr>
      </w:pPr>
      <w:r>
        <w:rPr>
          <w:rFonts w:ascii="Arial" w:cs="Arial" w:eastAsia="Arial" w:hAnsi="Arial"/>
          <w:sz w:val="21"/>
          <w:szCs w:val="21"/>
          <w:color w:val="auto"/>
        </w:rPr>
        <w:t>any act of fraud, misappropriation, dishonesty, malfeasance or embezzlement by Executive in connection with the performance of Executive’s duties to the Company;</w:t>
      </w:r>
    </w:p>
    <w:p>
      <w:pPr>
        <w:spacing w:after="0" w:line="150" w:lineRule="exact"/>
        <w:rPr>
          <w:rFonts w:ascii="Arial" w:cs="Arial" w:eastAsia="Arial" w:hAnsi="Arial"/>
          <w:sz w:val="21"/>
          <w:szCs w:val="21"/>
          <w:color w:val="auto"/>
        </w:rPr>
      </w:pPr>
    </w:p>
    <w:p>
      <w:pPr>
        <w:ind w:left="180" w:firstLine="1934"/>
        <w:spacing w:after="0" w:line="250" w:lineRule="auto"/>
        <w:tabs>
          <w:tab w:leader="none" w:pos="261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Executive’s material violation of any policies of the Company or any restrictive covenants applicable to Executive; or</w:t>
      </w:r>
    </w:p>
    <w:p>
      <w:pPr>
        <w:spacing w:after="0" w:line="174" w:lineRule="exact"/>
        <w:rPr>
          <w:rFonts w:ascii="Arial" w:cs="Arial" w:eastAsia="Arial" w:hAnsi="Arial"/>
          <w:sz w:val="22"/>
          <w:szCs w:val="22"/>
          <w:color w:val="auto"/>
        </w:rPr>
      </w:pPr>
    </w:p>
    <w:p>
      <w:pPr>
        <w:ind w:left="2600" w:hanging="486"/>
        <w:spacing w:after="0"/>
        <w:tabs>
          <w:tab w:leader="none" w:pos="2600" w:val="left"/>
        </w:tabs>
        <w:numPr>
          <w:ilvl w:val="1"/>
          <w:numId w:val="443"/>
        </w:numPr>
        <w:rPr>
          <w:rFonts w:ascii="Arial" w:cs="Arial" w:eastAsia="Arial" w:hAnsi="Arial"/>
          <w:sz w:val="22"/>
          <w:szCs w:val="22"/>
          <w:color w:val="auto"/>
        </w:rPr>
      </w:pPr>
      <w:r>
        <w:rPr>
          <w:rFonts w:ascii="Arial" w:cs="Arial" w:eastAsia="Arial" w:hAnsi="Arial"/>
          <w:sz w:val="22"/>
          <w:szCs w:val="22"/>
          <w:color w:val="auto"/>
        </w:rPr>
        <w:t xml:space="preserve">Executive’s conviction of, or entering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 felony.</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For purposes of this provision, no act or failure to act, on the part of Executive, shall be considered “willful” unless it is done, or omitted to be done, by Executive in bad faith or without reasonable belief that Executive’s action or omission was in the best interests of the Company and its Affiliates. If an action or omission constituting Cause is curable, Executive may be terminated as a result thereof only if Executive has not cured such action or omission within 30 days following written notice thereof from the Company. Further, Executive shall not be deemed to be discharged for Cause unless and until there is delivered to Executive a copy of a resolution duly adopted by the affirmative vote of three-quarters of the Board, at a meeting called and duly held for such purpose (after reasonable notice is provided to Executive and Executive is given an opportunity, together with counsel for Executive, to be heard before the Board), finding in good faith that Executive is guilty of the conduct set forth above and specifying the particulars thereof in detail. Any such determination shall be made by the Board (or equivalent governing body) of the ultimate parent entity of the Company or its successor and shall be subject to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by a court of law pursuant to the dispute provisions of Section 11(a).</w:t>
      </w:r>
    </w:p>
    <w:p>
      <w:pPr>
        <w:spacing w:after="0" w:line="155" w:lineRule="exact"/>
        <w:rPr>
          <w:sz w:val="20"/>
          <w:szCs w:val="20"/>
          <w:color w:val="auto"/>
        </w:rPr>
      </w:pPr>
    </w:p>
    <w:p>
      <w:pPr>
        <w:jc w:val="both"/>
        <w:ind w:firstLine="1304"/>
        <w:spacing w:after="0" w:line="239" w:lineRule="auto"/>
        <w:tabs>
          <w:tab w:leader="none" w:pos="1944" w:val="left"/>
        </w:tabs>
        <w:numPr>
          <w:ilvl w:val="0"/>
          <w:numId w:val="444"/>
        </w:numPr>
        <w:rPr>
          <w:rFonts w:ascii="Arial" w:cs="Arial" w:eastAsia="Arial" w:hAnsi="Arial"/>
          <w:sz w:val="22"/>
          <w:szCs w:val="22"/>
          <w:color w:val="auto"/>
        </w:rPr>
      </w:pPr>
      <w:r>
        <w:rPr>
          <w:rFonts w:ascii="Arial" w:cs="Arial" w:eastAsia="Arial" w:hAnsi="Arial"/>
          <w:sz w:val="22"/>
          <w:szCs w:val="22"/>
          <w:b w:val="1"/>
          <w:bCs w:val="1"/>
          <w:u w:val="single" w:color="auto"/>
          <w:color w:val="auto"/>
        </w:rPr>
        <w:t>With or Without Good Reason</w:t>
      </w:r>
      <w:r>
        <w:rPr>
          <w:rFonts w:ascii="Arial" w:cs="Arial" w:eastAsia="Arial" w:hAnsi="Arial"/>
          <w:sz w:val="22"/>
          <w:szCs w:val="22"/>
          <w:color w:val="auto"/>
        </w:rPr>
        <w:t>. Executive’s employment may be terminated by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either with or without Good Reason. For purposes of this Agreement, “</w:t>
      </w:r>
      <w:r>
        <w:rPr>
          <w:rFonts w:ascii="Arial" w:cs="Arial" w:eastAsia="Arial" w:hAnsi="Arial"/>
          <w:sz w:val="22"/>
          <w:szCs w:val="22"/>
          <w:b w:val="1"/>
          <w:bCs w:val="1"/>
          <w:color w:val="auto"/>
        </w:rPr>
        <w:t>Good Reason</w:t>
      </w:r>
      <w:r>
        <w:rPr>
          <w:rFonts w:ascii="Arial" w:cs="Arial" w:eastAsia="Arial" w:hAnsi="Arial"/>
          <w:sz w:val="22"/>
          <w:szCs w:val="22"/>
          <w:color w:val="auto"/>
        </w:rPr>
        <w:t>” shall mean Executive’s voluntary resignation after any of the following actions are taken by the Company or any of its Affiliates without Executive’s written consent:</w:t>
      </w:r>
    </w:p>
    <w:p>
      <w:pPr>
        <w:spacing w:after="0" w:line="186" w:lineRule="exact"/>
        <w:rPr>
          <w:rFonts w:ascii="Arial" w:cs="Arial" w:eastAsia="Arial" w:hAnsi="Arial"/>
          <w:sz w:val="22"/>
          <w:szCs w:val="22"/>
          <w:color w:val="auto"/>
        </w:rPr>
      </w:pPr>
    </w:p>
    <w:p>
      <w:pPr>
        <w:ind w:left="180" w:firstLine="1934"/>
        <w:spacing w:after="0" w:line="250" w:lineRule="auto"/>
        <w:tabs>
          <w:tab w:leader="none" w:pos="2610" w:val="left"/>
        </w:tabs>
        <w:numPr>
          <w:ilvl w:val="1"/>
          <w:numId w:val="444"/>
        </w:numPr>
        <w:rPr>
          <w:rFonts w:ascii="Arial" w:cs="Arial" w:eastAsia="Arial" w:hAnsi="Arial"/>
          <w:sz w:val="22"/>
          <w:szCs w:val="22"/>
          <w:color w:val="auto"/>
        </w:rPr>
      </w:pPr>
      <w:r>
        <w:rPr>
          <w:rFonts w:ascii="Arial" w:cs="Arial" w:eastAsia="Arial" w:hAnsi="Arial"/>
          <w:sz w:val="22"/>
          <w:szCs w:val="22"/>
          <w:color w:val="auto"/>
        </w:rPr>
        <w:t>A material diminution in Executive’s title, authority, duties or responsibilities or a requirement that Executive report to any person or entity other than the CEO;</w:t>
      </w:r>
    </w:p>
    <w:p>
      <w:pPr>
        <w:spacing w:after="0" w:line="174" w:lineRule="exact"/>
        <w:rPr>
          <w:rFonts w:ascii="Arial" w:cs="Arial" w:eastAsia="Arial" w:hAnsi="Arial"/>
          <w:sz w:val="22"/>
          <w:szCs w:val="22"/>
          <w:color w:val="auto"/>
        </w:rPr>
      </w:pPr>
    </w:p>
    <w:p>
      <w:pPr>
        <w:ind w:left="2600" w:hanging="486"/>
        <w:spacing w:after="0"/>
        <w:tabs>
          <w:tab w:leader="none" w:pos="2600" w:val="left"/>
        </w:tabs>
        <w:numPr>
          <w:ilvl w:val="1"/>
          <w:numId w:val="444"/>
        </w:numPr>
        <w:rPr>
          <w:rFonts w:ascii="Arial" w:cs="Arial" w:eastAsia="Arial" w:hAnsi="Arial"/>
          <w:sz w:val="19"/>
          <w:szCs w:val="19"/>
          <w:color w:val="auto"/>
        </w:rPr>
      </w:pPr>
      <w:r>
        <w:rPr>
          <w:rFonts w:ascii="Arial" w:cs="Arial" w:eastAsia="Arial" w:hAnsi="Arial"/>
          <w:sz w:val="19"/>
          <w:szCs w:val="19"/>
          <w:color w:val="auto"/>
        </w:rPr>
        <w:t>A material reduction in the Annual Base Salary or target Annual Bonus opportunity;</w:t>
      </w:r>
    </w:p>
    <w:p>
      <w:pPr>
        <w:spacing w:after="0" w:line="240" w:lineRule="exact"/>
        <w:rPr>
          <w:rFonts w:ascii="Arial" w:cs="Arial" w:eastAsia="Arial" w:hAnsi="Arial"/>
          <w:sz w:val="19"/>
          <w:szCs w:val="19"/>
          <w:color w:val="auto"/>
        </w:rPr>
      </w:pPr>
    </w:p>
    <w:p>
      <w:pPr>
        <w:ind w:left="180" w:right="20" w:firstLine="1934"/>
        <w:spacing w:after="0" w:line="250" w:lineRule="auto"/>
        <w:tabs>
          <w:tab w:leader="none" w:pos="2610" w:val="left"/>
        </w:tabs>
        <w:numPr>
          <w:ilvl w:val="1"/>
          <w:numId w:val="444"/>
        </w:numPr>
        <w:rPr>
          <w:rFonts w:ascii="Arial" w:cs="Arial" w:eastAsia="Arial" w:hAnsi="Arial"/>
          <w:sz w:val="22"/>
          <w:szCs w:val="22"/>
          <w:color w:val="auto"/>
        </w:rPr>
      </w:pPr>
      <w:r>
        <w:rPr>
          <w:rFonts w:ascii="Arial" w:cs="Arial" w:eastAsia="Arial" w:hAnsi="Arial"/>
          <w:sz w:val="22"/>
          <w:szCs w:val="22"/>
          <w:color w:val="auto"/>
        </w:rPr>
        <w:t>A relocation of Executive’s primary place of employment by more than 25 miles from Executive’s primary place of employment as set forth in this Agreement; or</w:t>
      </w:r>
    </w:p>
    <w:p>
      <w:pPr>
        <w:spacing w:after="0" w:line="174" w:lineRule="exact"/>
        <w:rPr>
          <w:rFonts w:ascii="Arial" w:cs="Arial" w:eastAsia="Arial" w:hAnsi="Arial"/>
          <w:sz w:val="22"/>
          <w:szCs w:val="22"/>
          <w:color w:val="auto"/>
        </w:rPr>
      </w:pPr>
    </w:p>
    <w:p>
      <w:pPr>
        <w:ind w:left="2600" w:hanging="486"/>
        <w:spacing w:after="0"/>
        <w:tabs>
          <w:tab w:leader="none" w:pos="2600" w:val="left"/>
        </w:tabs>
        <w:numPr>
          <w:ilvl w:val="1"/>
          <w:numId w:val="444"/>
        </w:numPr>
        <w:rPr>
          <w:rFonts w:ascii="Arial" w:cs="Arial" w:eastAsia="Arial" w:hAnsi="Arial"/>
          <w:sz w:val="22"/>
          <w:szCs w:val="22"/>
          <w:color w:val="auto"/>
        </w:rPr>
      </w:pPr>
      <w:r>
        <w:rPr>
          <w:rFonts w:ascii="Arial" w:cs="Arial" w:eastAsia="Arial" w:hAnsi="Arial"/>
          <w:sz w:val="22"/>
          <w:szCs w:val="22"/>
          <w:color w:val="auto"/>
        </w:rPr>
        <w:t>The Company’s violation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07" w:name="page408"/>
    <w:bookmarkEnd w:id="407"/>
    <w:p>
      <w:pPr>
        <w:jc w:val="both"/>
        <w:spacing w:after="0" w:line="275" w:lineRule="auto"/>
        <w:rPr>
          <w:sz w:val="20"/>
          <w:szCs w:val="20"/>
          <w:color w:val="auto"/>
        </w:rPr>
      </w:pPr>
      <w:r>
        <w:rPr>
          <w:rFonts w:ascii="Arial" w:cs="Arial" w:eastAsia="Arial" w:hAnsi="Arial"/>
          <w:sz w:val="19"/>
          <w:szCs w:val="19"/>
          <w:color w:val="auto"/>
        </w:rPr>
        <w:t>In order to invoke a termination for Good Reason, Executive shall provide written notice to the Company of the existence of one or more of the conditions giving rise to Good Reason within 90 days following Executive’s knowledge of the initial existence of such condition or conditions, and the Company shall have 30 days following receipt of such written notice (the “</w:t>
      </w:r>
      <w:r>
        <w:rPr>
          <w:rFonts w:ascii="Arial" w:cs="Arial" w:eastAsia="Arial" w:hAnsi="Arial"/>
          <w:sz w:val="19"/>
          <w:szCs w:val="19"/>
          <w:b w:val="1"/>
          <w:bCs w:val="1"/>
          <w:color w:val="auto"/>
        </w:rPr>
        <w:t>Cure Period</w:t>
      </w:r>
      <w:r>
        <w:rPr>
          <w:rFonts w:ascii="Arial" w:cs="Arial" w:eastAsia="Arial" w:hAnsi="Arial"/>
          <w:sz w:val="19"/>
          <w:szCs w:val="19"/>
          <w:color w:val="auto"/>
        </w:rPr>
        <w:t>”) during which it may remedy the condition. In the event that the Company fails to remedy the condition constituting Good Reason during the Cure Period, Executive must terminate employment, if at all, within 90 days following the Cure Period in order for such termination to constitute a termination for Good Reason. Executive’s mental or physical incapacity following the occurrence of an event described above shall not affect Executive’s ability to terminate employment for Good Reason.</w:t>
      </w:r>
    </w:p>
    <w:p>
      <w:pPr>
        <w:spacing w:after="0" w:line="151" w:lineRule="exact"/>
        <w:rPr>
          <w:sz w:val="20"/>
          <w:szCs w:val="20"/>
          <w:color w:val="auto"/>
        </w:rPr>
      </w:pPr>
    </w:p>
    <w:p>
      <w:pPr>
        <w:jc w:val="both"/>
        <w:ind w:left="80" w:firstLine="1224"/>
        <w:spacing w:after="0" w:line="280" w:lineRule="auto"/>
        <w:tabs>
          <w:tab w:leader="none" w:pos="1959" w:val="left"/>
        </w:tabs>
        <w:numPr>
          <w:ilvl w:val="0"/>
          <w:numId w:val="445"/>
        </w:numPr>
        <w:rPr>
          <w:rFonts w:ascii="Arial" w:cs="Arial" w:eastAsia="Arial" w:hAnsi="Arial"/>
          <w:sz w:val="19"/>
          <w:szCs w:val="19"/>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Executive’s employment may be terminated by Executive due to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Retirement</w:t>
      </w:r>
      <w:r>
        <w:rPr>
          <w:rFonts w:ascii="Arial" w:cs="Arial" w:eastAsia="Arial" w:hAnsi="Arial"/>
          <w:sz w:val="19"/>
          <w:szCs w:val="19"/>
          <w:color w:val="auto"/>
        </w:rPr>
        <w:t>” shall mean Executive’s voluntary resignation at a time when the</w:t>
      </w:r>
    </w:p>
    <w:p>
      <w:pPr>
        <w:spacing w:after="0" w:line="256" w:lineRule="auto"/>
        <w:rPr>
          <w:sz w:val="20"/>
          <w:szCs w:val="20"/>
          <w:color w:val="auto"/>
        </w:rPr>
      </w:pPr>
      <w:r>
        <w:rPr>
          <w:rFonts w:ascii="Arial" w:cs="Arial" w:eastAsia="Arial" w:hAnsi="Arial"/>
          <w:sz w:val="21"/>
          <w:szCs w:val="21"/>
          <w:color w:val="auto"/>
        </w:rPr>
        <w:t xml:space="preserve">sum of Executive’s age and years of service equal at least 70,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Executive has attained at least age 55 with at least 10 years of service with the Company or any predecessor or successor entity.</w:t>
      </w:r>
    </w:p>
    <w:p>
      <w:pPr>
        <w:spacing w:after="0" w:line="163" w:lineRule="exact"/>
        <w:rPr>
          <w:sz w:val="20"/>
          <w:szCs w:val="20"/>
          <w:color w:val="auto"/>
        </w:rPr>
      </w:pPr>
    </w:p>
    <w:p>
      <w:pPr>
        <w:jc w:val="both"/>
        <w:ind w:firstLine="1304"/>
        <w:spacing w:after="0" w:line="247" w:lineRule="auto"/>
        <w:tabs>
          <w:tab w:leader="none" w:pos="1944" w:val="left"/>
        </w:tabs>
        <w:numPr>
          <w:ilvl w:val="1"/>
          <w:numId w:val="44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 of Termination</w:t>
      </w:r>
      <w:r>
        <w:rPr>
          <w:rFonts w:ascii="Arial" w:cs="Arial" w:eastAsia="Arial" w:hAnsi="Arial"/>
          <w:sz w:val="21"/>
          <w:szCs w:val="21"/>
          <w:color w:val="auto"/>
        </w:rPr>
        <w:t>. Any termination of Executive’s employment by the Company with</w:t>
      </w:r>
      <w:r>
        <w:rPr>
          <w:rFonts w:ascii="Arial" w:cs="Arial" w:eastAsia="Arial" w:hAnsi="Arial"/>
          <w:sz w:val="21"/>
          <w:szCs w:val="21"/>
          <w:b w:val="1"/>
          <w:bCs w:val="1"/>
          <w:color w:val="auto"/>
        </w:rPr>
        <w:t xml:space="preserve"> </w:t>
      </w:r>
      <w:r>
        <w:rPr>
          <w:rFonts w:ascii="Arial" w:cs="Arial" w:eastAsia="Arial" w:hAnsi="Arial"/>
          <w:sz w:val="21"/>
          <w:szCs w:val="21"/>
          <w:color w:val="auto"/>
        </w:rPr>
        <w:t>or without Cause, or by Executive with or without Good Reason or due to Retirement, shall be communicated by Notice of Termination to the other party hereto given in accordance with Section 11(b). For purposes of this Agreement, a “</w:t>
      </w:r>
      <w:r>
        <w:rPr>
          <w:rFonts w:ascii="Arial" w:cs="Arial" w:eastAsia="Arial" w:hAnsi="Arial"/>
          <w:sz w:val="21"/>
          <w:szCs w:val="21"/>
          <w:b w:val="1"/>
          <w:bCs w:val="1"/>
          <w:color w:val="auto"/>
        </w:rPr>
        <w:t>Notice of Termination</w:t>
      </w:r>
      <w:r>
        <w:rPr>
          <w:rFonts w:ascii="Arial" w:cs="Arial" w:eastAsia="Arial" w:hAnsi="Arial"/>
          <w:sz w:val="21"/>
          <w:szCs w:val="21"/>
          <w:color w:val="auto"/>
        </w:rPr>
        <w:t>” means a written notice that (i) indicates the specific termination provision in this Agreement relied upon, (ii) to the extent applicable, sets forth in reasonable detail the facts and circumstances claimed to provide a basis for termination of Executive’s employment under the provision so indicated and (iii) specifies the Date of Termination (as defined below), which date shall be not more than 30 days after the delivery of such notice.</w:t>
      </w:r>
    </w:p>
    <w:p>
      <w:pPr>
        <w:spacing w:after="0" w:line="171" w:lineRule="exact"/>
        <w:rPr>
          <w:rFonts w:ascii="Arial" w:cs="Arial" w:eastAsia="Arial" w:hAnsi="Arial"/>
          <w:sz w:val="21"/>
          <w:szCs w:val="21"/>
          <w:color w:val="auto"/>
        </w:rPr>
      </w:pPr>
    </w:p>
    <w:p>
      <w:pPr>
        <w:jc w:val="both"/>
        <w:ind w:firstLine="1304"/>
        <w:spacing w:after="0" w:line="272" w:lineRule="auto"/>
        <w:tabs>
          <w:tab w:leader="none" w:pos="1944" w:val="left"/>
        </w:tabs>
        <w:numPr>
          <w:ilvl w:val="1"/>
          <w:numId w:val="446"/>
        </w:numPr>
        <w:rPr>
          <w:rFonts w:ascii="Arial" w:cs="Arial" w:eastAsia="Arial" w:hAnsi="Arial"/>
          <w:sz w:val="19"/>
          <w:szCs w:val="19"/>
          <w:color w:val="auto"/>
        </w:rPr>
      </w:pPr>
      <w:r>
        <w:rPr>
          <w:rFonts w:ascii="Arial" w:cs="Arial" w:eastAsia="Arial" w:hAnsi="Arial"/>
          <w:sz w:val="19"/>
          <w:szCs w:val="19"/>
          <w:b w:val="1"/>
          <w:bCs w:val="1"/>
          <w:u w:val="single" w:color="auto"/>
          <w:color w:val="auto"/>
        </w:rPr>
        <w:t>Date of Termination</w:t>
      </w:r>
      <w:r>
        <w:rPr>
          <w:rFonts w:ascii="Arial" w:cs="Arial" w:eastAsia="Arial" w:hAnsi="Arial"/>
          <w:sz w:val="19"/>
          <w:szCs w:val="19"/>
          <w:color w:val="auto"/>
        </w:rPr>
        <w:t>. “</w:t>
      </w:r>
      <w:r>
        <w:rPr>
          <w:rFonts w:ascii="Arial" w:cs="Arial" w:eastAsia="Arial" w:hAnsi="Arial"/>
          <w:sz w:val="19"/>
          <w:szCs w:val="19"/>
          <w:b w:val="1"/>
          <w:bCs w:val="1"/>
          <w:color w:val="auto"/>
        </w:rPr>
        <w:t>Date of Termination</w:t>
      </w:r>
      <w:r>
        <w:rPr>
          <w:rFonts w:ascii="Arial" w:cs="Arial" w:eastAsia="Arial" w:hAnsi="Arial"/>
          <w:sz w:val="19"/>
          <w:szCs w:val="19"/>
          <w:color w:val="auto"/>
        </w:rPr>
        <w:t>” means (i) if Executive’s employment is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by the Company with Cause, or by Executive with Good Reason, the date of receipt of the Notice of Termination or any later date specified therein within 30 days following such notice, (ii) if Executive’s employment is terminated by the Company without Cause, or by Executive without Good Reason (including due to Retirement), the 30</w:t>
      </w:r>
      <w:r>
        <w:rPr>
          <w:rFonts w:ascii="Arial" w:cs="Arial" w:eastAsia="Arial" w:hAnsi="Arial"/>
          <w:sz w:val="14"/>
          <w:szCs w:val="14"/>
          <w:color w:val="auto"/>
        </w:rPr>
        <w:t>th</w:t>
      </w:r>
      <w:r>
        <w:rPr>
          <w:rFonts w:ascii="Arial" w:cs="Arial" w:eastAsia="Arial" w:hAnsi="Arial"/>
          <w:sz w:val="19"/>
          <w:szCs w:val="19"/>
          <w:color w:val="auto"/>
        </w:rPr>
        <w:t xml:space="preserve"> day following receipt of the Notice of Termination or any later date specified therein or</w:t>
      </w:r>
    </w:p>
    <w:p>
      <w:pPr>
        <w:ind w:firstLine="8"/>
        <w:spacing w:after="0" w:line="236" w:lineRule="auto"/>
        <w:tabs>
          <w:tab w:leader="none" w:pos="380" w:val="left"/>
        </w:tabs>
        <w:numPr>
          <w:ilvl w:val="0"/>
          <w:numId w:val="447"/>
        </w:numPr>
        <w:rPr>
          <w:rFonts w:ascii="Arial" w:cs="Arial" w:eastAsia="Arial" w:hAnsi="Arial"/>
          <w:sz w:val="22"/>
          <w:szCs w:val="22"/>
          <w:color w:val="auto"/>
        </w:rPr>
      </w:pPr>
      <w:r>
        <w:rPr>
          <w:rFonts w:ascii="Arial" w:cs="Arial" w:eastAsia="Arial" w:hAnsi="Arial"/>
          <w:sz w:val="22"/>
          <w:szCs w:val="22"/>
          <w:color w:val="auto"/>
        </w:rPr>
        <w:t>if Executive’s employment is terminated by reason of death or Disability, the Date of Termination shall be the date of death of Executive or the Disability Effective Date, as the case may be.</w:t>
      </w:r>
    </w:p>
    <w:p>
      <w:pPr>
        <w:spacing w:after="0" w:line="181" w:lineRule="exact"/>
        <w:rPr>
          <w:sz w:val="20"/>
          <w:szCs w:val="20"/>
          <w:color w:val="auto"/>
        </w:rPr>
      </w:pPr>
    </w:p>
    <w:p>
      <w:pPr>
        <w:ind w:left="1960" w:hanging="656"/>
        <w:spacing w:after="0"/>
        <w:tabs>
          <w:tab w:leader="none" w:pos="1960" w:val="left"/>
        </w:tabs>
        <w:numPr>
          <w:ilvl w:val="0"/>
          <w:numId w:val="448"/>
        </w:numPr>
        <w:rPr>
          <w:rFonts w:ascii="Arial" w:cs="Arial" w:eastAsia="Arial" w:hAnsi="Arial"/>
          <w:sz w:val="22"/>
          <w:szCs w:val="22"/>
          <w:color w:val="auto"/>
        </w:rPr>
      </w:pPr>
      <w:r>
        <w:rPr>
          <w:rFonts w:ascii="Arial" w:cs="Arial" w:eastAsia="Arial" w:hAnsi="Arial"/>
          <w:sz w:val="22"/>
          <w:szCs w:val="22"/>
          <w:b w:val="1"/>
          <w:bCs w:val="1"/>
          <w:u w:val="single" w:color="auto"/>
          <w:color w:val="auto"/>
        </w:rPr>
        <w:t>Obligations of the Company upon Termination</w:t>
      </w:r>
      <w:r>
        <w:rPr>
          <w:rFonts w:ascii="Arial" w:cs="Arial" w:eastAsia="Arial" w:hAnsi="Arial"/>
          <w:sz w:val="22"/>
          <w:szCs w:val="22"/>
          <w:color w:val="auto"/>
        </w:rPr>
        <w:t>.</w:t>
      </w:r>
    </w:p>
    <w:p>
      <w:pPr>
        <w:spacing w:after="0" w:line="206" w:lineRule="exact"/>
        <w:rPr>
          <w:sz w:val="20"/>
          <w:szCs w:val="20"/>
          <w:color w:val="auto"/>
        </w:rPr>
      </w:pPr>
    </w:p>
    <w:p>
      <w:pPr>
        <w:ind w:right="220" w:firstLine="1304"/>
        <w:spacing w:after="0" w:line="283" w:lineRule="auto"/>
        <w:tabs>
          <w:tab w:leader="none" w:pos="1944" w:val="left"/>
        </w:tabs>
        <w:numPr>
          <w:ilvl w:val="0"/>
          <w:numId w:val="449"/>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 Other Than for Cause, Death or Disability</w:t>
      </w:r>
      <w:r>
        <w:rPr>
          <w:rFonts w:ascii="Arial" w:cs="Arial" w:eastAsia="Arial" w:hAnsi="Arial"/>
          <w:sz w:val="19"/>
          <w:szCs w:val="19"/>
          <w:color w:val="auto"/>
        </w:rPr>
        <w:t>. If, during the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Period, the Company terminates Executive’s employment other than for Cause, death or Disability, or Executive terminates employment for Good Reason, then, in each case, subject to Executive’s execution within 50 days following the Date of Termination, and non-revocation, of a release of claims in the form attached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color w:val="auto"/>
        </w:rPr>
        <w:t>Release</w:t>
      </w:r>
      <w:r>
        <w:rPr>
          <w:rFonts w:ascii="Arial" w:cs="Arial" w:eastAsia="Arial" w:hAnsi="Arial"/>
          <w:sz w:val="19"/>
          <w:szCs w:val="19"/>
          <w:color w:val="auto"/>
        </w:rPr>
        <w:t>”), the Company and its Affiliates shall pay to Executive the following:</w:t>
      </w:r>
    </w:p>
    <w:p>
      <w:pPr>
        <w:spacing w:after="0" w:line="148" w:lineRule="exact"/>
        <w:rPr>
          <w:rFonts w:ascii="Arial" w:cs="Arial" w:eastAsia="Arial" w:hAnsi="Arial"/>
          <w:sz w:val="19"/>
          <w:szCs w:val="19"/>
          <w:color w:val="auto"/>
        </w:rPr>
      </w:pPr>
    </w:p>
    <w:p>
      <w:pPr>
        <w:ind w:left="180" w:firstLine="1934"/>
        <w:spacing w:after="0" w:line="250" w:lineRule="auto"/>
        <w:tabs>
          <w:tab w:leader="none" w:pos="2610" w:val="left"/>
        </w:tabs>
        <w:numPr>
          <w:ilvl w:val="1"/>
          <w:numId w:val="449"/>
        </w:numPr>
        <w:rPr>
          <w:rFonts w:ascii="Arial" w:cs="Arial" w:eastAsia="Arial" w:hAnsi="Arial"/>
          <w:sz w:val="22"/>
          <w:szCs w:val="22"/>
          <w:color w:val="auto"/>
        </w:rPr>
      </w:pPr>
      <w:r>
        <w:rPr>
          <w:rFonts w:ascii="Arial" w:cs="Arial" w:eastAsia="Arial" w:hAnsi="Arial"/>
          <w:sz w:val="22"/>
          <w:szCs w:val="22"/>
          <w:color w:val="auto"/>
        </w:rPr>
        <w:t>the sum of (A) the portion of the Annual Base Salary due for the period through the Date of Termination to the extent not theretofore paid, (B) any accrued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08" w:name="page409"/>
    <w:bookmarkEnd w:id="408"/>
    <w:p>
      <w:pPr>
        <w:jc w:val="both"/>
        <w:ind w:left="180"/>
        <w:spacing w:after="0" w:line="236" w:lineRule="auto"/>
        <w:rPr>
          <w:sz w:val="20"/>
          <w:szCs w:val="20"/>
          <w:color w:val="auto"/>
        </w:rPr>
      </w:pPr>
      <w:r>
        <w:rPr>
          <w:rFonts w:ascii="Arial" w:cs="Arial" w:eastAsia="Arial" w:hAnsi="Arial"/>
          <w:sz w:val="22"/>
          <w:szCs w:val="22"/>
          <w:color w:val="auto"/>
        </w:rPr>
        <w:t>unpaid vacation and (C) Executive’s business expenses that have not been reimbursed by the Company as of the Date of Termination that were incurred by Executive on or prior to the Date of Termination (the sum of the amounts described in clauses (A), (B) and (C) shall be hereinafter referred to as the “</w:t>
      </w:r>
      <w:r>
        <w:rPr>
          <w:rFonts w:ascii="Arial" w:cs="Arial" w:eastAsia="Arial" w:hAnsi="Arial"/>
          <w:sz w:val="22"/>
          <w:szCs w:val="22"/>
          <w:b w:val="1"/>
          <w:bCs w:val="1"/>
          <w:color w:val="auto"/>
        </w:rPr>
        <w:t>Accrued Obligations</w:t>
      </w:r>
      <w:r>
        <w:rPr>
          <w:rFonts w:ascii="Arial" w:cs="Arial" w:eastAsia="Arial" w:hAnsi="Arial"/>
          <w:sz w:val="22"/>
          <w:szCs w:val="22"/>
          <w:color w:val="auto"/>
        </w:rPr>
        <w:t>”), which Accrued Obligations shall be paid in a lump sum in cash within 60 days following the Date of Termination;</w:t>
      </w:r>
    </w:p>
    <w:p>
      <w:pPr>
        <w:spacing w:after="0" w:line="187" w:lineRule="exact"/>
        <w:rPr>
          <w:sz w:val="20"/>
          <w:szCs w:val="20"/>
          <w:color w:val="auto"/>
        </w:rPr>
      </w:pPr>
    </w:p>
    <w:p>
      <w:pPr>
        <w:jc w:val="both"/>
        <w:ind w:left="180" w:firstLine="1934"/>
        <w:spacing w:after="0" w:line="238" w:lineRule="auto"/>
        <w:tabs>
          <w:tab w:leader="none" w:pos="2610" w:val="left"/>
        </w:tabs>
        <w:numPr>
          <w:ilvl w:val="0"/>
          <w:numId w:val="450"/>
        </w:numPr>
        <w:rPr>
          <w:rFonts w:ascii="Arial" w:cs="Arial" w:eastAsia="Arial" w:hAnsi="Arial"/>
          <w:sz w:val="22"/>
          <w:szCs w:val="22"/>
          <w:color w:val="auto"/>
        </w:rPr>
      </w:pPr>
      <w:r>
        <w:rPr>
          <w:rFonts w:ascii="Arial" w:cs="Arial" w:eastAsia="Arial" w:hAnsi="Arial"/>
          <w:sz w:val="22"/>
          <w:szCs w:val="22"/>
          <w:color w:val="auto"/>
        </w:rPr>
        <w:t>any unpaid Annual Bonus earned by Executive in respect of the fiscal year of the Company that was completed on or prior to the Date of Termination (the “</w:t>
      </w:r>
      <w:r>
        <w:rPr>
          <w:rFonts w:ascii="Arial" w:cs="Arial" w:eastAsia="Arial" w:hAnsi="Arial"/>
          <w:sz w:val="22"/>
          <w:szCs w:val="22"/>
          <w:b w:val="1"/>
          <w:bCs w:val="1"/>
          <w:color w:val="auto"/>
        </w:rPr>
        <w:t>Unpaid Annual Bonus</w:t>
      </w:r>
      <w:r>
        <w:rPr>
          <w:rFonts w:ascii="Arial" w:cs="Arial" w:eastAsia="Arial" w:hAnsi="Arial"/>
          <w:sz w:val="22"/>
          <w:szCs w:val="22"/>
          <w:color w:val="auto"/>
        </w:rPr>
        <w:t>”), which Unpaid Annual Bonus shall be paid in a lump sum in cash no later than March 15 following the year in which it was earned;</w:t>
      </w:r>
    </w:p>
    <w:p>
      <w:pPr>
        <w:spacing w:after="0" w:line="184" w:lineRule="exact"/>
        <w:rPr>
          <w:rFonts w:ascii="Arial" w:cs="Arial" w:eastAsia="Arial" w:hAnsi="Arial"/>
          <w:sz w:val="22"/>
          <w:szCs w:val="22"/>
          <w:color w:val="auto"/>
        </w:rPr>
      </w:pPr>
    </w:p>
    <w:p>
      <w:pPr>
        <w:jc w:val="both"/>
        <w:ind w:left="180" w:firstLine="1934"/>
        <w:spacing w:after="0" w:line="245" w:lineRule="auto"/>
        <w:tabs>
          <w:tab w:leader="none" w:pos="2610" w:val="left"/>
        </w:tabs>
        <w:numPr>
          <w:ilvl w:val="0"/>
          <w:numId w:val="450"/>
        </w:numPr>
        <w:rPr>
          <w:rFonts w:ascii="Arial" w:cs="Arial" w:eastAsia="Arial" w:hAnsi="Arial"/>
          <w:sz w:val="21"/>
          <w:szCs w:val="21"/>
          <w:color w:val="auto"/>
        </w:rPr>
      </w:pPr>
      <w:r>
        <w:rPr>
          <w:rFonts w:ascii="Arial" w:cs="Arial" w:eastAsia="Arial" w:hAnsi="Arial"/>
          <w:sz w:val="21"/>
          <w:szCs w:val="21"/>
          <w:color w:val="auto"/>
        </w:rPr>
        <w:t>a prorated Annual Bonus in respect of the fiscal year of the Company in which the Date of Termination occurs, with such amount to equal the product of (A) the target Annual Bonus opportunity for the fiscal year in which the Date of Termination occurs, and (B) a fraction, (I) the numerator of which is the number of days in the fiscal year of the Company in which the Date of Termination occurs through the Date of Termination, and (II) the denominator of which is 365 (the “</w:t>
      </w:r>
      <w:r>
        <w:rPr>
          <w:rFonts w:ascii="Arial" w:cs="Arial" w:eastAsia="Arial" w:hAnsi="Arial"/>
          <w:sz w:val="21"/>
          <w:szCs w:val="21"/>
          <w:b w:val="1"/>
          <w:bCs w:val="1"/>
          <w:color w:val="auto"/>
        </w:rPr>
        <w:t>Prorated Annual Bonus</w:t>
      </w:r>
      <w:r>
        <w:rPr>
          <w:rFonts w:ascii="Arial" w:cs="Arial" w:eastAsia="Arial" w:hAnsi="Arial"/>
          <w:sz w:val="21"/>
          <w:szCs w:val="21"/>
          <w:color w:val="auto"/>
        </w:rPr>
        <w:t xml:space="preserve">”), which Prorated Annual Bonus shall be paid in a lump sum in cash on the first regularly scheduled payroll date following the effective date of the Release,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84" w:lineRule="exact"/>
        <w:rPr>
          <w:rFonts w:ascii="Arial" w:cs="Arial" w:eastAsia="Arial" w:hAnsi="Arial"/>
          <w:sz w:val="21"/>
          <w:szCs w:val="21"/>
          <w:color w:val="auto"/>
        </w:rPr>
      </w:pPr>
    </w:p>
    <w:p>
      <w:pPr>
        <w:jc w:val="both"/>
        <w:ind w:left="180" w:firstLine="1934"/>
        <w:spacing w:after="0" w:line="279" w:lineRule="auto"/>
        <w:tabs>
          <w:tab w:leader="none" w:pos="2610" w:val="left"/>
        </w:tabs>
        <w:numPr>
          <w:ilvl w:val="0"/>
          <w:numId w:val="450"/>
        </w:numPr>
        <w:rPr>
          <w:rFonts w:ascii="Arial" w:cs="Arial" w:eastAsia="Arial" w:hAnsi="Arial"/>
          <w:sz w:val="19"/>
          <w:szCs w:val="19"/>
          <w:color w:val="auto"/>
        </w:rPr>
      </w:pPr>
      <w:r>
        <w:rPr>
          <w:rFonts w:ascii="Arial" w:cs="Arial" w:eastAsia="Arial" w:hAnsi="Arial"/>
          <w:sz w:val="19"/>
          <w:szCs w:val="19"/>
          <w:color w:val="auto"/>
        </w:rPr>
        <w:t xml:space="preserve">an amount equal to the product of (A) the Severance Multiple (as defined below) </w:t>
      </w:r>
      <w:r>
        <w:rPr>
          <w:rFonts w:ascii="Arial" w:cs="Arial" w:eastAsia="Arial" w:hAnsi="Arial"/>
          <w:sz w:val="19"/>
          <w:szCs w:val="19"/>
          <w:i w:val="1"/>
          <w:iCs w:val="1"/>
          <w:color w:val="auto"/>
        </w:rPr>
        <w:t xml:space="preserve">multiplied by </w:t>
      </w:r>
      <w:r>
        <w:rPr>
          <w:rFonts w:ascii="Arial" w:cs="Arial" w:eastAsia="Arial" w:hAnsi="Arial"/>
          <w:sz w:val="19"/>
          <w:szCs w:val="19"/>
          <w:color w:val="auto"/>
        </w:rPr>
        <w:t>(B) the sum of (x) the Annual Base Salary and (y) the target Annual Bonus opportunity as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the fiscal year of the Company in which the Date of Termination occurs, which amount shall be paid in a lump sum in cash on the first regularly scheduled payroll date following the effective date of the Release,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period for consideration and revocation of the Release spans two calendar years, then the payment shall be made no sooner than the first regularly scheduled payroll date in the second calendar year;</w:t>
      </w:r>
    </w:p>
    <w:p>
      <w:pPr>
        <w:spacing w:after="0" w:line="150" w:lineRule="exact"/>
        <w:rPr>
          <w:rFonts w:ascii="Arial" w:cs="Arial" w:eastAsia="Arial" w:hAnsi="Arial"/>
          <w:sz w:val="19"/>
          <w:szCs w:val="19"/>
          <w:color w:val="auto"/>
        </w:rPr>
      </w:pPr>
    </w:p>
    <w:p>
      <w:pPr>
        <w:jc w:val="both"/>
        <w:ind w:left="180" w:firstLine="1934"/>
        <w:spacing w:after="0" w:line="279" w:lineRule="auto"/>
        <w:tabs>
          <w:tab w:leader="none" w:pos="2610" w:val="left"/>
        </w:tabs>
        <w:numPr>
          <w:ilvl w:val="0"/>
          <w:numId w:val="450"/>
        </w:numPr>
        <w:rPr>
          <w:rFonts w:ascii="Arial" w:cs="Arial" w:eastAsia="Arial" w:hAnsi="Arial"/>
          <w:sz w:val="19"/>
          <w:szCs w:val="19"/>
          <w:color w:val="auto"/>
        </w:rPr>
      </w:pPr>
      <w:r>
        <w:rPr>
          <w:rFonts w:ascii="Arial" w:cs="Arial" w:eastAsia="Arial" w:hAnsi="Arial"/>
          <w:sz w:val="19"/>
          <w:szCs w:val="19"/>
          <w:color w:val="auto"/>
        </w:rPr>
        <w:t xml:space="preserve">a cash payment equal to 125% of the full amount of premiums for health insurance coverage for a number of years following the Date of Termination equal to the Severance Multiple, determined based on the level of coverage for Executive and Executive’s dependents as of the Date of Termination, which shall be paid on the first regularly scheduled payroll date following the effective date of the Release,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period for consideration and revocation of the Release spans two calendar years, then the payment shall be made no sooner than the first regularly scheduled payroll date in the second calendar year; and</w:t>
      </w:r>
    </w:p>
    <w:p>
      <w:pPr>
        <w:spacing w:after="0" w:line="150" w:lineRule="exact"/>
        <w:rPr>
          <w:rFonts w:ascii="Arial" w:cs="Arial" w:eastAsia="Arial" w:hAnsi="Arial"/>
          <w:sz w:val="19"/>
          <w:szCs w:val="19"/>
          <w:color w:val="auto"/>
        </w:rPr>
      </w:pPr>
    </w:p>
    <w:p>
      <w:pPr>
        <w:jc w:val="both"/>
        <w:ind w:left="180" w:firstLine="1934"/>
        <w:spacing w:after="0" w:line="282" w:lineRule="auto"/>
        <w:tabs>
          <w:tab w:leader="none" w:pos="2610" w:val="left"/>
        </w:tabs>
        <w:numPr>
          <w:ilvl w:val="0"/>
          <w:numId w:val="450"/>
        </w:numPr>
        <w:rPr>
          <w:rFonts w:ascii="Arial" w:cs="Arial" w:eastAsia="Arial" w:hAnsi="Arial"/>
          <w:sz w:val="19"/>
          <w:szCs w:val="19"/>
          <w:color w:val="auto"/>
        </w:rPr>
      </w:pPr>
      <w:r>
        <w:rPr>
          <w:rFonts w:ascii="Arial" w:cs="Arial" w:eastAsia="Arial" w:hAnsi="Arial"/>
          <w:sz w:val="19"/>
          <w:szCs w:val="19"/>
          <w:color w:val="auto"/>
        </w:rPr>
        <w:t>to the extent not theretofore paid or provided, the Company and its Affiliates shall timely pay or provide to Executive, in accordance with the terms of the applicable plan, program, policy, practice or contract, any other amounts or benefits required to be paid or provided, or that Executive is eligible to receive under any plan, program, policy, practice or contract of the Company or its Affiliates, through the Date of Termination (such other amounts and benefits shall be hereinafter referred to as the “</w:t>
      </w:r>
      <w:r>
        <w:rPr>
          <w:rFonts w:ascii="Arial" w:cs="Arial" w:eastAsia="Arial" w:hAnsi="Arial"/>
          <w:sz w:val="19"/>
          <w:szCs w:val="19"/>
          <w:b w:val="1"/>
          <w:bCs w:val="1"/>
          <w:color w:val="auto"/>
        </w:rPr>
        <w:t>Other Benefits</w:t>
      </w:r>
      <w:r>
        <w:rPr>
          <w:rFonts w:ascii="Arial" w:cs="Arial" w:eastAsia="Arial" w:hAnsi="Arial"/>
          <w:sz w:val="19"/>
          <w:szCs w:val="19"/>
          <w:color w:val="auto"/>
        </w:rPr>
        <w:t>”).</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b w:val="1"/>
          <w:bCs w:val="1"/>
          <w:color w:val="auto"/>
        </w:rPr>
        <w:t>Severance Multiple</w:t>
      </w:r>
      <w:r>
        <w:rPr>
          <w:rFonts w:ascii="Arial" w:cs="Arial" w:eastAsia="Arial" w:hAnsi="Arial"/>
          <w:sz w:val="22"/>
          <w:szCs w:val="22"/>
          <w:color w:val="auto"/>
        </w:rPr>
        <w:t>” shall mean two, unless a termination contemplated by this Section 5(a) occurs within one year following a Change in Control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09" w:name="page410"/>
    <w:bookmarkEnd w:id="409"/>
    <w:p>
      <w:pPr>
        <w:jc w:val="both"/>
        <w:ind w:right="20"/>
        <w:spacing w:after="0" w:line="250" w:lineRule="auto"/>
        <w:rPr>
          <w:sz w:val="20"/>
          <w:szCs w:val="20"/>
          <w:color w:val="auto"/>
        </w:rPr>
      </w:pPr>
      <w:r>
        <w:rPr>
          <w:rFonts w:ascii="Arial" w:cs="Arial" w:eastAsia="Arial" w:hAnsi="Arial"/>
          <w:sz w:val="22"/>
          <w:szCs w:val="22"/>
          <w:color w:val="auto"/>
        </w:rPr>
        <w:t>in the Westrock Coffee Company 2022 Equity Incentive Plan, as in effect on the Effective Date), in which case it shall mean three.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avoidance of doubt, if applicable, any amount payable pursuant to this Section 5(a) shall be determined without regard to any reduction in compensation that resulted in Executive’s termination of employment for Good Reason. If Executive does not execute the Release within 50 days following the Date of Termination, or if Executive revokes the Release, Executive shall only be entitled to the Accrued Obligations and the Other Benefits. Other than as set forth in this Section 5(a), in the event of a termination of Executive’s employment by the Company without Cause (other than due to death or Disability) or by Executive for Good Reason, the Company and its Affiliates shall have no further obligation to Executive under this Agreement.</w:t>
      </w:r>
    </w:p>
    <w:p>
      <w:pPr>
        <w:spacing w:after="0" w:line="146" w:lineRule="exact"/>
        <w:rPr>
          <w:sz w:val="20"/>
          <w:szCs w:val="20"/>
          <w:color w:val="auto"/>
        </w:rPr>
      </w:pPr>
    </w:p>
    <w:p>
      <w:pPr>
        <w:jc w:val="both"/>
        <w:ind w:firstLine="1304"/>
        <w:spacing w:after="0" w:line="247" w:lineRule="auto"/>
        <w:tabs>
          <w:tab w:leader="none" w:pos="1944" w:val="left"/>
        </w:tabs>
        <w:numPr>
          <w:ilvl w:val="0"/>
          <w:numId w:val="451"/>
        </w:numPr>
        <w:rPr>
          <w:rFonts w:ascii="Arial" w:cs="Arial" w:eastAsia="Arial" w:hAnsi="Arial"/>
          <w:sz w:val="21"/>
          <w:szCs w:val="21"/>
          <w:color w:val="auto"/>
        </w:rPr>
      </w:pPr>
      <w:r>
        <w:rPr>
          <w:rFonts w:ascii="Arial" w:cs="Arial" w:eastAsia="Arial" w:hAnsi="Arial"/>
          <w:sz w:val="21"/>
          <w:szCs w:val="21"/>
          <w:b w:val="1"/>
          <w:bCs w:val="1"/>
          <w:u w:val="single" w:color="auto"/>
          <w:color w:val="auto"/>
        </w:rPr>
        <w:t>Death; Disability; Retirement</w:t>
      </w:r>
      <w:r>
        <w:rPr>
          <w:rFonts w:ascii="Arial" w:cs="Arial" w:eastAsia="Arial" w:hAnsi="Arial"/>
          <w:sz w:val="21"/>
          <w:szCs w:val="21"/>
          <w:color w:val="auto"/>
        </w:rPr>
        <w:t>. If Executive’s employment is terminated by reason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death, Disability or Retirement during the Employment Period, this Agreement shall terminate without further obligations to Executive, other than for payment of the Accrued Obligations, the Unpaid Annual Bonus and the Prorated Annual Bonus and the timely payment or provision of the Other Benefits. The Accrued Obligations, the Unpaid Annual Bonus and the Prorated Annual Bonus shall be paid to Executive’s estate (in the event of Executive’s death) or Executive or Executive’s legal representative (in the event of Disability), as applicable, on the same schedule as contemplated by Sections 5(a)(i)-(iii).</w:t>
      </w:r>
    </w:p>
    <w:p>
      <w:pPr>
        <w:spacing w:after="0" w:line="177" w:lineRule="exact"/>
        <w:rPr>
          <w:rFonts w:ascii="Arial" w:cs="Arial" w:eastAsia="Arial" w:hAnsi="Arial"/>
          <w:sz w:val="21"/>
          <w:szCs w:val="21"/>
          <w:color w:val="auto"/>
        </w:rPr>
      </w:pPr>
    </w:p>
    <w:p>
      <w:pPr>
        <w:jc w:val="both"/>
        <w:ind w:firstLine="1304"/>
        <w:spacing w:after="0" w:line="236" w:lineRule="auto"/>
        <w:tabs>
          <w:tab w:leader="none" w:pos="1944"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Termination</w:t>
      </w:r>
      <w:r>
        <w:rPr>
          <w:rFonts w:ascii="Arial" w:cs="Arial" w:eastAsia="Arial" w:hAnsi="Arial"/>
          <w:sz w:val="22"/>
          <w:szCs w:val="22"/>
          <w:color w:val="auto"/>
        </w:rPr>
        <w:t>. If Executive’s employment is terminated during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 for a reason other than those governed by Section 5(a) or (b) (including upon the expiration of the Employment Period following a Notice of Non-Renewal when Executive is not Retirement-eligible), this Agreement shall terminate without further obligations to Executive, other than for payment of the Accrued Obligations and Unpaid Annual Bonus on the same schedule as contemplated by Sections 5(a)(i)-(ii) and the timely payment or provision of the Other Benefits.</w:t>
      </w:r>
    </w:p>
    <w:p>
      <w:pPr>
        <w:spacing w:after="0" w:line="181" w:lineRule="exact"/>
        <w:rPr>
          <w:rFonts w:ascii="Arial" w:cs="Arial" w:eastAsia="Arial" w:hAnsi="Arial"/>
          <w:sz w:val="22"/>
          <w:szCs w:val="22"/>
          <w:color w:val="auto"/>
        </w:rPr>
      </w:pPr>
    </w:p>
    <w:p>
      <w:pPr>
        <w:jc w:val="both"/>
        <w:ind w:firstLine="1304"/>
        <w:spacing w:after="0" w:line="239" w:lineRule="auto"/>
        <w:tabs>
          <w:tab w:leader="none" w:pos="1944" w:val="left"/>
        </w:tabs>
        <w:numPr>
          <w:ilvl w:val="0"/>
          <w:numId w:val="451"/>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Settlement</w:t>
      </w:r>
      <w:r>
        <w:rPr>
          <w:rFonts w:ascii="Arial" w:cs="Arial" w:eastAsia="Arial" w:hAnsi="Arial"/>
          <w:sz w:val="22"/>
          <w:szCs w:val="22"/>
          <w:color w:val="auto"/>
        </w:rPr>
        <w:t>. The payments and benefits provided under this Section 5 shall be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satisfaction of the obligations of the Company and its Affiliates to Executive under this Agreement and any other plan, agreement, policy or arrangement of the Company and its Affiliates upon Executive’s termination of employment.</w:t>
      </w:r>
    </w:p>
    <w:p>
      <w:pPr>
        <w:spacing w:after="0" w:line="180" w:lineRule="exact"/>
        <w:rPr>
          <w:sz w:val="20"/>
          <w:szCs w:val="20"/>
          <w:color w:val="auto"/>
        </w:rPr>
      </w:pPr>
    </w:p>
    <w:p>
      <w:pPr>
        <w:jc w:val="both"/>
        <w:ind w:firstLine="1304"/>
        <w:spacing w:after="0" w:line="260" w:lineRule="auto"/>
        <w:tabs>
          <w:tab w:leader="none" w:pos="1944" w:val="left"/>
        </w:tabs>
        <w:numPr>
          <w:ilvl w:val="0"/>
          <w:numId w:val="452"/>
        </w:numPr>
        <w:rPr>
          <w:rFonts w:ascii="Arial" w:cs="Arial" w:eastAsia="Arial" w:hAnsi="Arial"/>
          <w:sz w:val="21"/>
          <w:szCs w:val="21"/>
          <w:color w:val="auto"/>
        </w:rPr>
      </w:pPr>
      <w:r>
        <w:rPr>
          <w:rFonts w:ascii="Arial" w:cs="Arial" w:eastAsia="Arial" w:hAnsi="Arial"/>
          <w:sz w:val="21"/>
          <w:szCs w:val="21"/>
          <w:b w:val="1"/>
          <w:bCs w:val="1"/>
          <w:u w:val="single" w:color="auto"/>
          <w:color w:val="auto"/>
        </w:rPr>
        <w:t>No Mitigation</w:t>
      </w:r>
      <w:r>
        <w:rPr>
          <w:rFonts w:ascii="Arial" w:cs="Arial" w:eastAsia="Arial" w:hAnsi="Arial"/>
          <w:sz w:val="21"/>
          <w:szCs w:val="21"/>
          <w:color w:val="auto"/>
        </w:rPr>
        <w:t>. In no event shall Executive be obligated to seek other employment or take</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action by way of mitigation of any amounts payable to Executive under Section 5 and such amounts shall not be reduced whether or not Executive obtains other employment.</w:t>
      </w:r>
    </w:p>
    <w:p>
      <w:pPr>
        <w:spacing w:after="0" w:line="160" w:lineRule="exact"/>
        <w:rPr>
          <w:rFonts w:ascii="Arial" w:cs="Arial" w:eastAsia="Arial" w:hAnsi="Arial"/>
          <w:sz w:val="21"/>
          <w:szCs w:val="21"/>
          <w:color w:val="auto"/>
        </w:rPr>
      </w:pPr>
    </w:p>
    <w:p>
      <w:pPr>
        <w:ind w:left="1960" w:hanging="656"/>
        <w:spacing w:after="0"/>
        <w:tabs>
          <w:tab w:leader="none" w:pos="1960" w:val="left"/>
        </w:tabs>
        <w:numPr>
          <w:ilvl w:val="0"/>
          <w:numId w:val="452"/>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35" w:lineRule="auto"/>
        <w:tabs>
          <w:tab w:leader="none" w:pos="1944" w:val="left"/>
        </w:tabs>
        <w:numPr>
          <w:ilvl w:val="0"/>
          <w:numId w:val="453"/>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 Executive shall hold in a fiduciary capacity for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all secret or confidential information, knowledge or data relating to the Company or its Affiliates, and their respective businesses, which shall have been obtained by Executive during Executive’s employment by the Company or any of its Affiliates and which shall not be or become public knowledge (other than by acts by Executive or representatives of Executive in violation of this Agreement) (collectively, “</w:t>
      </w:r>
      <w:r>
        <w:rPr>
          <w:rFonts w:ascii="Arial" w:cs="Arial" w:eastAsia="Arial" w:hAnsi="Arial"/>
          <w:sz w:val="22"/>
          <w:szCs w:val="22"/>
          <w:b w:val="1"/>
          <w:bCs w:val="1"/>
          <w:color w:val="auto"/>
        </w:rPr>
        <w:t>Confidential</w:t>
      </w:r>
      <w:r>
        <w:rPr>
          <w:rFonts w:ascii="Arial" w:cs="Arial" w:eastAsia="Arial" w:hAnsi="Arial"/>
          <w:sz w:val="22"/>
          <w:szCs w:val="22"/>
          <w:color w:val="auto"/>
        </w:rPr>
        <w:t xml:space="preserve"> </w:t>
      </w:r>
      <w:r>
        <w:rPr>
          <w:rFonts w:ascii="Arial" w:cs="Arial" w:eastAsia="Arial" w:hAnsi="Arial"/>
          <w:sz w:val="22"/>
          <w:szCs w:val="22"/>
          <w:b w:val="1"/>
          <w:bCs w:val="1"/>
          <w:color w:val="auto"/>
        </w:rPr>
        <w:t>Information</w:t>
      </w:r>
      <w:r>
        <w:rPr>
          <w:rFonts w:ascii="Arial" w:cs="Arial" w:eastAsia="Arial" w:hAnsi="Arial"/>
          <w:sz w:val="22"/>
          <w:szCs w:val="22"/>
          <w:color w:val="auto"/>
        </w:rPr>
        <w:t>”). After termination of Executive’s employment with the Company, Executive shall not,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0" w:name="page411"/>
    <w:bookmarkEnd w:id="410"/>
    <w:p>
      <w:pPr>
        <w:jc w:val="both"/>
        <w:spacing w:after="0" w:line="246" w:lineRule="auto"/>
        <w:rPr>
          <w:sz w:val="20"/>
          <w:szCs w:val="20"/>
          <w:color w:val="auto"/>
        </w:rPr>
      </w:pPr>
      <w:r>
        <w:rPr>
          <w:rFonts w:ascii="Arial" w:cs="Arial" w:eastAsia="Arial" w:hAnsi="Arial"/>
          <w:sz w:val="21"/>
          <w:szCs w:val="21"/>
          <w:color w:val="auto"/>
        </w:rPr>
        <w:t>written consent of the Company or as may otherwise be required by law or legal process, communicate or divulge any such Confidential Information to anyone other than the Company and those designated by it. Notwithstanding the foregoing, “Confidential Information” shall not include (i) information that at the time of disclosure is already known to the receiving party without any restriction on its disclosure; (ii) information that is or subsequently comes into the possession of the receiving party from a third party without violation of any contractual or legal obligation; (iii) information that is independently developed by the receiving party without the use of Confidential Information or breach of this Agreement; and (iv) information that is otherwise required to be disclosed under applicable laws, regulations or judicial or regulatory process.</w:t>
      </w:r>
    </w:p>
    <w:p>
      <w:pPr>
        <w:spacing w:after="0" w:line="174" w:lineRule="exact"/>
        <w:rPr>
          <w:sz w:val="20"/>
          <w:szCs w:val="20"/>
          <w:color w:val="auto"/>
        </w:rPr>
      </w:pPr>
    </w:p>
    <w:p>
      <w:pPr>
        <w:jc w:val="both"/>
        <w:ind w:firstLine="1304"/>
        <w:spacing w:after="0" w:line="272" w:lineRule="auto"/>
        <w:tabs>
          <w:tab w:leader="none" w:pos="1944" w:val="left"/>
        </w:tabs>
        <w:numPr>
          <w:ilvl w:val="0"/>
          <w:numId w:val="454"/>
        </w:numPr>
        <w:rPr>
          <w:rFonts w:ascii="Arial" w:cs="Arial" w:eastAsia="Arial" w:hAnsi="Arial"/>
          <w:sz w:val="19"/>
          <w:szCs w:val="19"/>
          <w:color w:val="auto"/>
        </w:rPr>
      </w:pPr>
      <w:r>
        <w:rPr>
          <w:rFonts w:ascii="Arial" w:cs="Arial" w:eastAsia="Arial" w:hAnsi="Arial"/>
          <w:sz w:val="19"/>
          <w:szCs w:val="19"/>
          <w:b w:val="1"/>
          <w:bCs w:val="1"/>
          <w:u w:val="single" w:color="auto"/>
          <w:color w:val="auto"/>
        </w:rPr>
        <w:t>Inventions and Patents</w:t>
      </w:r>
      <w:r>
        <w:rPr>
          <w:rFonts w:ascii="Arial" w:cs="Arial" w:eastAsia="Arial" w:hAnsi="Arial"/>
          <w:sz w:val="19"/>
          <w:szCs w:val="19"/>
          <w:color w:val="auto"/>
        </w:rPr>
        <w:t>. Executive agrees that all inventions, innovations, improvements,</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methods, designs, analyses, drawings, reports and all similar or related information that relate to the actual or anticipated business, research and development or existing or future products or services of the Company or any of its Affiliates, and that are conceived, developed or made by Executive during Executive’s employment with the Company or any of its Affiliates (“</w:t>
      </w:r>
      <w:r>
        <w:rPr>
          <w:rFonts w:ascii="Arial" w:cs="Arial" w:eastAsia="Arial" w:hAnsi="Arial"/>
          <w:sz w:val="19"/>
          <w:szCs w:val="19"/>
          <w:b w:val="1"/>
          <w:bCs w:val="1"/>
          <w:color w:val="auto"/>
        </w:rPr>
        <w:t>Work Product</w:t>
      </w:r>
      <w:r>
        <w:rPr>
          <w:rFonts w:ascii="Arial" w:cs="Arial" w:eastAsia="Arial" w:hAnsi="Arial"/>
          <w:sz w:val="19"/>
          <w:szCs w:val="19"/>
          <w:color w:val="auto"/>
        </w:rPr>
        <w:t>”) belong to the Company and its Affiliates. Executive shall promptly disclose such Work Product to the Company and its Affiliates and perform all actions reasonably requested by the Company and its Affiliates (whether during or after the Employment Period) to establish and confirm such ownership (including assignments, consents, powers of attorney and other instruments). To the fullest extent permitted by applicable law, all intellectual property (including patents, trademarks and copyrights) that are made, developed or acquired by Executive in the course of Executive’s employment with the Company or any of its Affiliates shall be and remain the absolute property of the Company and its Affiliates, and Executive shall assist the Company and its Affiliates in perfecting and defending their rights to such intellectual property.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304"/>
        <w:spacing w:after="0" w:line="272" w:lineRule="auto"/>
        <w:tabs>
          <w:tab w:leader="none" w:pos="1944" w:val="left"/>
        </w:tabs>
        <w:numPr>
          <w:ilvl w:val="0"/>
          <w:numId w:val="454"/>
        </w:numPr>
        <w:rPr>
          <w:rFonts w:ascii="Arial" w:cs="Arial" w:eastAsia="Arial" w:hAnsi="Arial"/>
          <w:sz w:val="19"/>
          <w:szCs w:val="19"/>
          <w:color w:val="auto"/>
        </w:rPr>
      </w:pPr>
      <w:r>
        <w:rPr>
          <w:rFonts w:ascii="Arial" w:cs="Arial" w:eastAsia="Arial" w:hAnsi="Arial"/>
          <w:sz w:val="19"/>
          <w:szCs w:val="19"/>
          <w:b w:val="1"/>
          <w:bCs w:val="1"/>
          <w:u w:val="single" w:color="auto"/>
          <w:color w:val="auto"/>
        </w:rPr>
        <w:t>Nonsolicitation</w:t>
      </w:r>
      <w:r>
        <w:rPr>
          <w:rFonts w:ascii="Arial" w:cs="Arial" w:eastAsia="Arial" w:hAnsi="Arial"/>
          <w:sz w:val="19"/>
          <w:szCs w:val="19"/>
          <w:color w:val="auto"/>
        </w:rPr>
        <w:t>. During the period commencing on the Effective Date and 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second anniversary of the Date of Termination (the “</w:t>
      </w:r>
      <w:r>
        <w:rPr>
          <w:rFonts w:ascii="Arial" w:cs="Arial" w:eastAsia="Arial" w:hAnsi="Arial"/>
          <w:sz w:val="19"/>
          <w:szCs w:val="19"/>
          <w:b w:val="1"/>
          <w:bCs w:val="1"/>
          <w:color w:val="auto"/>
        </w:rPr>
        <w:t>Restricted Period</w:t>
      </w:r>
      <w:r>
        <w:rPr>
          <w:rFonts w:ascii="Arial" w:cs="Arial" w:eastAsia="Arial" w:hAnsi="Arial"/>
          <w:sz w:val="19"/>
          <w:szCs w:val="19"/>
          <w:color w:val="auto"/>
        </w:rPr>
        <w:t>”), Executive shall not directly or indirectly, except in the good faith performance of Executive’s duties to the Company: (i) induce or attempt to induce any employee or independent contractor of the Company or any of its Affiliates to leave the Company or such Affiliate, or in any way interfere with the relationship between the Company or any such Affiliate, on the one hand, and any employee or independent contractor thereof, on the other hand; (ii) hire any person who was an employee or independent contractor of the Company or any of its Affiliates until 12 months after such individual’s relationship with the Company or such Affiliate has been terminated; or (iii) induce or attempt to induce any customer (whether former or current), supplier, licensee or other business relation of the Company or any of its Affiliates to cease doing business with the Company or such Affiliate, or in any way interfere with the relationship between any such customer, supplier, licensee or business relation, on the one hand, and the Company or any of its Affiliates, on the other hand. Notwithstanding the foregoing, nothing in this Section 7(c) shall prohibit any advertisement or general solicitation (or hiring as a result thereof) that is not specifically targeted at Company’s or its Affiliates’ employees.</w:t>
      </w:r>
    </w:p>
    <w:p>
      <w:pPr>
        <w:spacing w:after="0" w:line="398" w:lineRule="exact"/>
        <w:rPr>
          <w:rFonts w:ascii="Arial" w:cs="Arial" w:eastAsia="Arial" w:hAnsi="Arial"/>
          <w:sz w:val="19"/>
          <w:szCs w:val="19"/>
          <w:color w:val="auto"/>
        </w:rPr>
      </w:pPr>
    </w:p>
    <w:p>
      <w:pPr>
        <w:jc w:val="both"/>
        <w:ind w:firstLine="1304"/>
        <w:spacing w:after="0" w:line="239" w:lineRule="auto"/>
        <w:tabs>
          <w:tab w:leader="none" w:pos="1944" w:val="left"/>
        </w:tabs>
        <w:numPr>
          <w:ilvl w:val="0"/>
          <w:numId w:val="454"/>
        </w:numPr>
        <w:rPr>
          <w:rFonts w:ascii="Arial" w:cs="Arial" w:eastAsia="Arial" w:hAnsi="Arial"/>
          <w:sz w:val="22"/>
          <w:szCs w:val="22"/>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color w:val="auto"/>
        </w:rPr>
        <w:t>. Executive acknowledges that, in the course of Executive’s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Executive has become familiar, or shall become familiar, with the Company’s and its Affiliates’ trade secrets and with other Confidential Information concerning the Company, its Affiliates and their respective predecessors,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1" w:name="page412"/>
    <w:bookmarkEnd w:id="411"/>
    <w:p>
      <w:pPr>
        <w:jc w:val="both"/>
        <w:spacing w:after="0" w:line="273" w:lineRule="auto"/>
        <w:rPr>
          <w:sz w:val="20"/>
          <w:szCs w:val="20"/>
          <w:color w:val="auto"/>
        </w:rPr>
      </w:pPr>
      <w:r>
        <w:rPr>
          <w:rFonts w:ascii="Arial" w:cs="Arial" w:eastAsia="Arial" w:hAnsi="Arial"/>
          <w:sz w:val="19"/>
          <w:szCs w:val="19"/>
          <w:color w:val="auto"/>
        </w:rPr>
        <w:t xml:space="preserve">Executive’s services have been and shall be of special, unique and extraordinary value to the Company and its Affiliates. Therefore, Executive agrees that, during the Restricted Period, Executive shall not, directly or indirectly, own, manage, operate, control, be employed by (whether as an employee, consultant, independent contractor or otherwise, and whether or not for compensation) or render services to any person, firm, corporation or other entity, in whatever form, engaged in any business of the same type as any business in which the Company or any of its Affiliates is engaged on the Date of Termination or in which they have proposed, on or prior to such date, to be engaged in on or after such date and in which Executive has been involved to any extent (other than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minimis </w:t>
      </w:r>
      <w:r>
        <w:rPr>
          <w:rFonts w:ascii="Arial" w:cs="Arial" w:eastAsia="Arial" w:hAnsi="Arial"/>
          <w:sz w:val="19"/>
          <w:szCs w:val="19"/>
          <w:color w:val="auto"/>
        </w:rPr>
        <w:t>activities) at any time during the one-year period ending with the Date of Termination, in any locale of</w:t>
      </w:r>
      <w:r>
        <w:rPr>
          <w:rFonts w:ascii="Arial" w:cs="Arial" w:eastAsia="Arial" w:hAnsi="Arial"/>
          <w:sz w:val="19"/>
          <w:szCs w:val="19"/>
          <w:i w:val="1"/>
          <w:iCs w:val="1"/>
          <w:color w:val="auto"/>
        </w:rPr>
        <w:t xml:space="preserve"> </w:t>
      </w:r>
      <w:r>
        <w:rPr>
          <w:rFonts w:ascii="Arial" w:cs="Arial" w:eastAsia="Arial" w:hAnsi="Arial"/>
          <w:sz w:val="19"/>
          <w:szCs w:val="19"/>
          <w:color w:val="auto"/>
        </w:rPr>
        <w:t>any country in which the Company or any of its Affiliates conducts business. Nothing herein shall prohibit Executive from being a passive owner of not more than 4.9% of the outstanding equity interest in any entity which is publicly traded, so long as Executive has no active participation in the business of such entity.</w:t>
      </w:r>
    </w:p>
    <w:p>
      <w:pPr>
        <w:spacing w:after="0" w:line="149" w:lineRule="exact"/>
        <w:rPr>
          <w:sz w:val="20"/>
          <w:szCs w:val="20"/>
          <w:color w:val="auto"/>
        </w:rPr>
      </w:pPr>
    </w:p>
    <w:p>
      <w:pPr>
        <w:jc w:val="both"/>
        <w:ind w:firstLine="1304"/>
        <w:spacing w:after="0" w:line="276" w:lineRule="auto"/>
        <w:tabs>
          <w:tab w:leader="none" w:pos="1944" w:val="left"/>
        </w:tabs>
        <w:numPr>
          <w:ilvl w:val="0"/>
          <w:numId w:val="455"/>
        </w:numPr>
        <w:rPr>
          <w:rFonts w:ascii="Arial" w:cs="Arial" w:eastAsia="Arial" w:hAnsi="Arial"/>
          <w:sz w:val="19"/>
          <w:szCs w:val="19"/>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 From and following the Effective Date: (i) Executive shall not make,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either directly or by or through another person, any oral or written negative, disparaging or adverse statements or representations of or concerning the Company or any of its Affiliates, any of their clients or businesses or any of their current or former directors, officers or employees; and (ii) the Company and its Affiliates shall not make, either directly or by or through another person, any oral or written negative, disparaging or adverse statements or representations of or concerning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subject to Section 7(a), nothing herein shall prohibit either party from disclosing truthful information if legally required (whether by oral questions, interrogatories, requests for information or documents, subpoena, civil investigative demand or similar process).</w:t>
      </w:r>
    </w:p>
    <w:p>
      <w:pPr>
        <w:spacing w:after="0" w:line="149"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455"/>
        </w:numPr>
        <w:rPr>
          <w:rFonts w:ascii="Arial" w:cs="Arial" w:eastAsia="Arial" w:hAnsi="Arial"/>
          <w:sz w:val="19"/>
          <w:szCs w:val="19"/>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color w:val="auto"/>
        </w:rPr>
        <w:t>. Executive acknowledges that all documents, records, files, lists,</w:t>
      </w:r>
      <w:r>
        <w:rPr>
          <w:rFonts w:ascii="Arial" w:cs="Arial" w:eastAsia="Arial" w:hAnsi="Arial"/>
          <w:sz w:val="19"/>
          <w:szCs w:val="19"/>
          <w:b w:val="1"/>
          <w:bCs w:val="1"/>
          <w:color w:val="auto"/>
        </w:rPr>
        <w:t xml:space="preserve"> </w:t>
      </w:r>
      <w:r>
        <w:rPr>
          <w:rFonts w:ascii="Arial" w:cs="Arial" w:eastAsia="Arial" w:hAnsi="Arial"/>
          <w:sz w:val="19"/>
          <w:szCs w:val="19"/>
          <w:color w:val="auto"/>
        </w:rPr>
        <w:t>equipment, computer, software or other property (including intellectual property) relating to the businesses of the Company or any of its Affiliates, in whatever form (including electronic), and all copies thereof, that have been or are received or created by Executive while an employee of the Company or any of its Affiliates are and shall remain the property of the Company and its Affiliates, and Executive shall immediately return such property to the Company upon the Date of Termination and, in any event, at the Company’s request. Executive further agrees that any property situated on the premises of, and owned by, the Company or any of its Affiliates, including disks and other storage media, filing cabinets or other work areas, is subject to inspection by personnel of the Company and its Affiliates at any time with or without notice. Notwithstanding the foregoing, Executive may retain Executive’s personal contacts and personal compensation data.</w:t>
      </w:r>
    </w:p>
    <w:p>
      <w:pPr>
        <w:spacing w:after="0" w:line="151" w:lineRule="exact"/>
        <w:rPr>
          <w:rFonts w:ascii="Arial" w:cs="Arial" w:eastAsia="Arial" w:hAnsi="Arial"/>
          <w:sz w:val="19"/>
          <w:szCs w:val="19"/>
          <w:color w:val="auto"/>
        </w:rPr>
      </w:pPr>
    </w:p>
    <w:p>
      <w:pPr>
        <w:jc w:val="both"/>
        <w:ind w:firstLine="1304"/>
        <w:spacing w:after="0" w:line="276" w:lineRule="auto"/>
        <w:tabs>
          <w:tab w:leader="none" w:pos="1944" w:val="left"/>
        </w:tabs>
        <w:numPr>
          <w:ilvl w:val="0"/>
          <w:numId w:val="455"/>
        </w:numPr>
        <w:rPr>
          <w:rFonts w:ascii="Arial" w:cs="Arial" w:eastAsia="Arial" w:hAnsi="Arial"/>
          <w:sz w:val="19"/>
          <w:szCs w:val="19"/>
          <w:color w:val="auto"/>
        </w:rPr>
      </w:pPr>
      <w:r>
        <w:rPr>
          <w:rFonts w:ascii="Arial" w:cs="Arial" w:eastAsia="Arial" w:hAnsi="Arial"/>
          <w:sz w:val="19"/>
          <w:szCs w:val="19"/>
          <w:b w:val="1"/>
          <w:bCs w:val="1"/>
          <w:u w:val="single" w:color="auto"/>
          <w:color w:val="auto"/>
        </w:rPr>
        <w:t>Trade Secrets; Whistleblower Rights</w:t>
      </w:r>
      <w:r>
        <w:rPr>
          <w:rFonts w:ascii="Arial" w:cs="Arial" w:eastAsia="Arial" w:hAnsi="Arial"/>
          <w:sz w:val="19"/>
          <w:szCs w:val="19"/>
          <w:color w:val="auto"/>
        </w:rPr>
        <w:t>. The Company hereby informs Executive that,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2" w:name="page413"/>
    <w:bookmarkEnd w:id="412"/>
    <w:p>
      <w:pPr>
        <w:jc w:val="both"/>
        <w:spacing w:after="0" w:line="236" w:lineRule="auto"/>
        <w:rPr>
          <w:sz w:val="20"/>
          <w:szCs w:val="20"/>
          <w:color w:val="auto"/>
        </w:rPr>
      </w:pPr>
      <w:r>
        <w:rPr>
          <w:rFonts w:ascii="Arial" w:cs="Arial" w:eastAsia="Arial" w:hAnsi="Arial"/>
          <w:sz w:val="22"/>
          <w:szCs w:val="22"/>
          <w:color w:val="auto"/>
        </w:rPr>
        <w:t>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81" w:lineRule="exact"/>
        <w:rPr>
          <w:sz w:val="20"/>
          <w:szCs w:val="20"/>
          <w:color w:val="auto"/>
        </w:rPr>
      </w:pPr>
    </w:p>
    <w:p>
      <w:pPr>
        <w:ind w:left="1960" w:hanging="656"/>
        <w:spacing w:after="0"/>
        <w:tabs>
          <w:tab w:leader="none" w:pos="1960" w:val="left"/>
        </w:tabs>
        <w:numPr>
          <w:ilvl w:val="0"/>
          <w:numId w:val="456"/>
        </w:numPr>
        <w:rPr>
          <w:rFonts w:ascii="Arial" w:cs="Arial" w:eastAsia="Arial" w:hAnsi="Arial"/>
          <w:sz w:val="22"/>
          <w:szCs w:val="22"/>
          <w:color w:val="auto"/>
        </w:rPr>
      </w:pPr>
      <w:r>
        <w:rPr>
          <w:rFonts w:ascii="Arial" w:cs="Arial" w:eastAsia="Arial" w:hAnsi="Arial"/>
          <w:sz w:val="22"/>
          <w:szCs w:val="22"/>
          <w:b w:val="1"/>
          <w:bCs w:val="1"/>
          <w:u w:val="single" w:color="auto"/>
          <w:color w:val="auto"/>
        </w:rPr>
        <w:t>Executive Covenants Generally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180" w:firstLine="1934"/>
        <w:spacing w:after="0" w:line="275" w:lineRule="auto"/>
        <w:tabs>
          <w:tab w:leader="none" w:pos="2610" w:val="left"/>
        </w:tabs>
        <w:numPr>
          <w:ilvl w:val="1"/>
          <w:numId w:val="456"/>
        </w:numPr>
        <w:rPr>
          <w:rFonts w:ascii="Arial" w:cs="Arial" w:eastAsia="Arial" w:hAnsi="Arial"/>
          <w:sz w:val="19"/>
          <w:szCs w:val="19"/>
          <w:color w:val="auto"/>
        </w:rPr>
      </w:pPr>
      <w:r>
        <w:rPr>
          <w:rFonts w:ascii="Arial" w:cs="Arial" w:eastAsia="Arial" w:hAnsi="Arial"/>
          <w:sz w:val="19"/>
          <w:szCs w:val="19"/>
          <w:color w:val="auto"/>
        </w:rPr>
        <w:t>Executive’s covenants as set forth in this Section 7 are from time to time referred to herein as the “</w:t>
      </w:r>
      <w:r>
        <w:rPr>
          <w:rFonts w:ascii="Arial" w:cs="Arial" w:eastAsia="Arial" w:hAnsi="Arial"/>
          <w:sz w:val="19"/>
          <w:szCs w:val="19"/>
          <w:b w:val="1"/>
          <w:bCs w:val="1"/>
          <w:color w:val="auto"/>
        </w:rPr>
        <w:t>Executive Covenants</w:t>
      </w:r>
      <w:r>
        <w:rPr>
          <w:rFonts w:ascii="Arial" w:cs="Arial" w:eastAsia="Arial" w:hAnsi="Arial"/>
          <w:sz w:val="19"/>
          <w:szCs w:val="19"/>
          <w:color w:val="auto"/>
        </w:rPr>
        <w:t xml:space="preserve">.” If any Executive Covenant is finally held to be invalid, illegal or unenforceable (whether in whole or in part), such Executive Covenant shall be deemed modified to the extent, but only to the extent, of such invalidity, illegality or unenforceability and the remaining Executive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Executive Covenant is finally held to be invalid, illegal or unenforceable because it exceeds the maximum scope determined to be acceptable to permit such provision to be enforceable, such Executive Covenant shall be deemed to be modified to the minimum extent necessary to modify such scope in order to make such provision enforceable hereunder.</w:t>
      </w:r>
    </w:p>
    <w:p>
      <w:pPr>
        <w:spacing w:after="0" w:line="157" w:lineRule="exact"/>
        <w:rPr>
          <w:rFonts w:ascii="Arial" w:cs="Arial" w:eastAsia="Arial" w:hAnsi="Arial"/>
          <w:sz w:val="19"/>
          <w:szCs w:val="19"/>
          <w:color w:val="auto"/>
        </w:rPr>
      </w:pPr>
    </w:p>
    <w:p>
      <w:pPr>
        <w:jc w:val="both"/>
        <w:ind w:left="180" w:firstLine="1934"/>
        <w:spacing w:after="0" w:line="236" w:lineRule="auto"/>
        <w:tabs>
          <w:tab w:leader="none" w:pos="2610" w:val="left"/>
        </w:tabs>
        <w:numPr>
          <w:ilvl w:val="1"/>
          <w:numId w:val="456"/>
        </w:numPr>
        <w:rPr>
          <w:rFonts w:ascii="Arial" w:cs="Arial" w:eastAsia="Arial" w:hAnsi="Arial"/>
          <w:sz w:val="22"/>
          <w:szCs w:val="22"/>
          <w:color w:val="auto"/>
        </w:rPr>
      </w:pPr>
      <w:r>
        <w:rPr>
          <w:rFonts w:ascii="Arial" w:cs="Arial" w:eastAsia="Arial" w:hAnsi="Arial"/>
          <w:sz w:val="22"/>
          <w:szCs w:val="22"/>
          <w:color w:val="auto"/>
        </w:rPr>
        <w:t>Executive acknowledges that the Company and its Affiliates have (A) expended and shall continue to expend substantial amounts of time, money and effort to develop business strategies, employee, customer and other relationships and goodwill to build an effective organization, and (B) a legitimate business interest in and right to protect their Confidential Information, goodwill and employee, customer and other relationships.</w:t>
      </w:r>
    </w:p>
    <w:p>
      <w:pPr>
        <w:spacing w:after="0" w:line="187" w:lineRule="exact"/>
        <w:rPr>
          <w:rFonts w:ascii="Arial" w:cs="Arial" w:eastAsia="Arial" w:hAnsi="Arial"/>
          <w:sz w:val="22"/>
          <w:szCs w:val="22"/>
          <w:color w:val="auto"/>
        </w:rPr>
      </w:pPr>
    </w:p>
    <w:p>
      <w:pPr>
        <w:jc w:val="both"/>
        <w:ind w:left="180" w:firstLine="1934"/>
        <w:spacing w:after="0" w:line="252" w:lineRule="auto"/>
        <w:tabs>
          <w:tab w:leader="none" w:pos="2610" w:val="left"/>
        </w:tabs>
        <w:numPr>
          <w:ilvl w:val="1"/>
          <w:numId w:val="456"/>
        </w:numPr>
        <w:rPr>
          <w:rFonts w:ascii="Arial" w:cs="Arial" w:eastAsia="Arial" w:hAnsi="Arial"/>
          <w:sz w:val="21"/>
          <w:szCs w:val="21"/>
          <w:color w:val="auto"/>
        </w:rPr>
      </w:pPr>
      <w:r>
        <w:rPr>
          <w:rFonts w:ascii="Arial" w:cs="Arial" w:eastAsia="Arial" w:hAnsi="Arial"/>
          <w:sz w:val="21"/>
          <w:szCs w:val="21"/>
          <w:color w:val="auto"/>
        </w:rPr>
        <w:t>Executive understands that the Executive Covenants may limit Executive’s ability to earn a livelihood in a business similar to the business of the Company, and Executive represents that Executive’s experience and capabilities are such that Executive has other opportunities to earn a livelihood and adequate means of support for Executive and Executive’s dependents.</w:t>
      </w:r>
    </w:p>
    <w:p>
      <w:pPr>
        <w:spacing w:after="0" w:line="173" w:lineRule="exact"/>
        <w:rPr>
          <w:rFonts w:ascii="Arial" w:cs="Arial" w:eastAsia="Arial" w:hAnsi="Arial"/>
          <w:sz w:val="21"/>
          <w:szCs w:val="21"/>
          <w:color w:val="auto"/>
        </w:rPr>
      </w:pPr>
    </w:p>
    <w:p>
      <w:pPr>
        <w:ind w:left="180" w:right="20" w:firstLine="1934"/>
        <w:spacing w:after="0" w:line="250" w:lineRule="auto"/>
        <w:tabs>
          <w:tab w:leader="none" w:pos="2610" w:val="left"/>
        </w:tabs>
        <w:numPr>
          <w:ilvl w:val="1"/>
          <w:numId w:val="456"/>
        </w:numPr>
        <w:rPr>
          <w:rFonts w:ascii="Arial" w:cs="Arial" w:eastAsia="Arial" w:hAnsi="Arial"/>
          <w:sz w:val="22"/>
          <w:szCs w:val="22"/>
          <w:color w:val="auto"/>
        </w:rPr>
      </w:pPr>
      <w:r>
        <w:rPr>
          <w:rFonts w:ascii="Arial" w:cs="Arial" w:eastAsia="Arial" w:hAnsi="Arial"/>
          <w:sz w:val="22"/>
          <w:szCs w:val="22"/>
          <w:color w:val="auto"/>
        </w:rPr>
        <w:t>Any termination of (A) Executive’s employment, (B) the Employment Period or (C) this Agreement shall have no effect on the continuing operation of this Section 7.</w:t>
      </w:r>
    </w:p>
    <w:p>
      <w:pPr>
        <w:spacing w:after="0" w:line="174" w:lineRule="exact"/>
        <w:rPr>
          <w:rFonts w:ascii="Arial" w:cs="Arial" w:eastAsia="Arial" w:hAnsi="Arial"/>
          <w:sz w:val="22"/>
          <w:szCs w:val="22"/>
          <w:color w:val="auto"/>
        </w:rPr>
      </w:pPr>
    </w:p>
    <w:p>
      <w:pPr>
        <w:jc w:val="both"/>
        <w:ind w:left="180" w:firstLine="1934"/>
        <w:spacing w:after="0" w:line="244" w:lineRule="auto"/>
        <w:tabs>
          <w:tab w:leader="none" w:pos="2610" w:val="left"/>
        </w:tabs>
        <w:numPr>
          <w:ilvl w:val="1"/>
          <w:numId w:val="456"/>
        </w:numPr>
        <w:rPr>
          <w:rFonts w:ascii="Arial" w:cs="Arial" w:eastAsia="Arial" w:hAnsi="Arial"/>
          <w:sz w:val="21"/>
          <w:szCs w:val="21"/>
          <w:color w:val="auto"/>
        </w:rPr>
      </w:pPr>
      <w:r>
        <w:rPr>
          <w:rFonts w:ascii="Arial" w:cs="Arial" w:eastAsia="Arial" w:hAnsi="Arial"/>
          <w:sz w:val="21"/>
          <w:szCs w:val="21"/>
          <w:color w:val="auto"/>
        </w:rPr>
        <w:t>Executive acknowledges that the Company would be irreparably injured by a violation of this Section 7 and that it is impossible to measure in money the damages that shall accrue to the Company by reason of a failure by Executive to perform any of Executive’s obligations under this Section 7. Accordingly, if the Company institutes any action or proceeding to enforce any of the provisions of this Section 7, to the extent permitted by applicable law, Executive hereby waives the claim or defense that the Company has an adequate remedy at law, and Executive shall not urge in any such action or proceeding the defense that any such remedy exists at law. Furthermore, in addition to other remedies that may be available, the Company shall be entitled (without the necessity of showing economic loss or other actual damage) to specific performance and other injunctive relief, without the requirement to post bond, in any court of competent jurisdiction for any actual or threatened breach of any of the covenants set forth in this Section 7. The Restricted Period shall be tolled during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3" w:name="page414"/>
    <w:bookmarkEnd w:id="413"/>
    <w:p>
      <w:pPr>
        <w:ind w:left="180"/>
        <w:spacing w:after="0" w:line="250" w:lineRule="auto"/>
        <w:rPr>
          <w:sz w:val="20"/>
          <w:szCs w:val="20"/>
          <w:color w:val="auto"/>
        </w:rPr>
      </w:pPr>
      <w:r>
        <w:rPr>
          <w:rFonts w:ascii="Arial" w:cs="Arial" w:eastAsia="Arial" w:hAnsi="Arial"/>
          <w:sz w:val="22"/>
          <w:szCs w:val="22"/>
          <w:color w:val="auto"/>
        </w:rPr>
        <w:t>deemed automatically extended by) any period during which Executive is in violation of the provisions of Section 7(c) or (d), as applicable.</w:t>
      </w:r>
    </w:p>
    <w:p>
      <w:pPr>
        <w:spacing w:after="0" w:line="169" w:lineRule="exact"/>
        <w:rPr>
          <w:sz w:val="20"/>
          <w:szCs w:val="20"/>
          <w:color w:val="auto"/>
        </w:rPr>
      </w:pPr>
    </w:p>
    <w:p>
      <w:pPr>
        <w:ind w:left="1960" w:hanging="656"/>
        <w:spacing w:after="0"/>
        <w:tabs>
          <w:tab w:leader="none" w:pos="1960" w:val="left"/>
        </w:tabs>
        <w:numPr>
          <w:ilvl w:val="0"/>
          <w:numId w:val="457"/>
        </w:numPr>
        <w:rPr>
          <w:rFonts w:ascii="Arial" w:cs="Arial" w:eastAsia="Arial" w:hAnsi="Arial"/>
          <w:sz w:val="22"/>
          <w:szCs w:val="22"/>
          <w:color w:val="auto"/>
        </w:rPr>
      </w:pPr>
      <w:r>
        <w:rPr>
          <w:rFonts w:ascii="Arial" w:cs="Arial" w:eastAsia="Arial" w:hAnsi="Arial"/>
          <w:sz w:val="22"/>
          <w:szCs w:val="22"/>
          <w:b w:val="1"/>
          <w:bCs w:val="1"/>
          <w:u w:val="single" w:color="auto"/>
          <w:color w:val="auto"/>
        </w:rPr>
        <w:t>Treatment of Certain Payments</w:t>
      </w:r>
      <w:r>
        <w:rPr>
          <w:rFonts w:ascii="Arial" w:cs="Arial" w:eastAsia="Arial" w:hAnsi="Arial"/>
          <w:sz w:val="22"/>
          <w:szCs w:val="22"/>
          <w:color w:val="auto"/>
        </w:rPr>
        <w:t>.</w:t>
      </w:r>
    </w:p>
    <w:p>
      <w:pPr>
        <w:spacing w:after="0" w:line="212" w:lineRule="exact"/>
        <w:rPr>
          <w:sz w:val="20"/>
          <w:szCs w:val="20"/>
          <w:color w:val="auto"/>
        </w:rPr>
      </w:pPr>
    </w:p>
    <w:p>
      <w:pPr>
        <w:jc w:val="both"/>
        <w:ind w:firstLine="1304"/>
        <w:spacing w:after="0" w:line="244" w:lineRule="auto"/>
        <w:tabs>
          <w:tab w:leader="none" w:pos="1944" w:val="left"/>
        </w:tabs>
        <w:numPr>
          <w:ilvl w:val="0"/>
          <w:numId w:val="458"/>
        </w:numPr>
        <w:rPr>
          <w:rFonts w:ascii="Arial" w:cs="Arial" w:eastAsia="Arial" w:hAnsi="Arial"/>
          <w:sz w:val="21"/>
          <w:szCs w:val="21"/>
          <w:color w:val="auto"/>
        </w:rPr>
      </w:pPr>
      <w:r>
        <w:rPr>
          <w:rFonts w:ascii="Arial" w:cs="Arial" w:eastAsia="Arial" w:hAnsi="Arial"/>
          <w:sz w:val="21"/>
          <w:szCs w:val="21"/>
          <w:color w:val="auto"/>
        </w:rPr>
        <w:t>In the event that any payments or benefits under this Agreement or otherwise, either alone or together with other payments or benefits that Executive receives or is entitled to receive from the Company or any of its Affiliates (“</w:t>
      </w:r>
      <w:r>
        <w:rPr>
          <w:rFonts w:ascii="Arial" w:cs="Arial" w:eastAsia="Arial" w:hAnsi="Arial"/>
          <w:sz w:val="21"/>
          <w:szCs w:val="21"/>
          <w:b w:val="1"/>
          <w:bCs w:val="1"/>
          <w:color w:val="auto"/>
        </w:rPr>
        <w:t>Payments</w:t>
      </w:r>
      <w:r>
        <w:rPr>
          <w:rFonts w:ascii="Arial" w:cs="Arial" w:eastAsia="Arial" w:hAnsi="Arial"/>
          <w:sz w:val="21"/>
          <w:szCs w:val="21"/>
          <w:color w:val="auto"/>
        </w:rPr>
        <w:t>”) would subject Executive to the excise tax under Section 4999 of the Code, the Accounting Firm (as defined below) shall determine whether to reduce any of the Payments paid or payable pursuant to this Agreement (the “</w:t>
      </w:r>
      <w:r>
        <w:rPr>
          <w:rFonts w:ascii="Arial" w:cs="Arial" w:eastAsia="Arial" w:hAnsi="Arial"/>
          <w:sz w:val="21"/>
          <w:szCs w:val="21"/>
          <w:b w:val="1"/>
          <w:bCs w:val="1"/>
          <w:color w:val="auto"/>
        </w:rPr>
        <w:t>Agreement Payments</w:t>
      </w:r>
      <w:r>
        <w:rPr>
          <w:rFonts w:ascii="Arial" w:cs="Arial" w:eastAsia="Arial" w:hAnsi="Arial"/>
          <w:sz w:val="21"/>
          <w:szCs w:val="21"/>
          <w:color w:val="auto"/>
        </w:rPr>
        <w:t>”) so that the Parachute Value (as defined below) of all Payments, in the aggregate, equals the Safe Harbor Amount (as defined below). The Agreement Payments shall be so reduced only if the Accounting Firm determines that Executive would have a greater Net After-Tax Receipt (as defined below) of aggregate Payments if the Agreement Payments were so reduced. If the Accounting Firm determines that Executive would not have a greater Net After-Tax Receipt (as defined below) of aggregate Payments if the Agreement Payments were so reduced, Executive shall receive all Agreement Payments to which Executive is entitled hereunder.</w:t>
      </w:r>
    </w:p>
    <w:p>
      <w:pPr>
        <w:spacing w:after="0" w:line="188" w:lineRule="exact"/>
        <w:rPr>
          <w:rFonts w:ascii="Arial" w:cs="Arial" w:eastAsia="Arial" w:hAnsi="Arial"/>
          <w:sz w:val="21"/>
          <w:szCs w:val="21"/>
          <w:color w:val="auto"/>
        </w:rPr>
      </w:pPr>
    </w:p>
    <w:p>
      <w:pPr>
        <w:jc w:val="both"/>
        <w:ind w:firstLine="1304"/>
        <w:spacing w:after="0" w:line="243" w:lineRule="auto"/>
        <w:tabs>
          <w:tab w:leader="none" w:pos="1944" w:val="left"/>
        </w:tabs>
        <w:numPr>
          <w:ilvl w:val="0"/>
          <w:numId w:val="458"/>
        </w:numPr>
        <w:rPr>
          <w:rFonts w:ascii="Arial" w:cs="Arial" w:eastAsia="Arial" w:hAnsi="Arial"/>
          <w:sz w:val="21"/>
          <w:szCs w:val="21"/>
          <w:color w:val="auto"/>
        </w:rPr>
      </w:pPr>
      <w:r>
        <w:rPr>
          <w:rFonts w:ascii="Arial" w:cs="Arial" w:eastAsia="Arial" w:hAnsi="Arial"/>
          <w:sz w:val="21"/>
          <w:szCs w:val="21"/>
          <w:color w:val="auto"/>
        </w:rPr>
        <w:t>If the Accounting Firm determines that aggregate Agreement Payments should be reduced so that the Parachute Value of all Payments, in the aggregate, equals the Safe Harbor Amount, the Company shall promptly give Executive notice to that effect and a copy of the detailed calculation thereof. All determinations made by the Accounting Firm under this Section 8 shall be binding upon the Company and its Affiliates and Executive and shall be made as soon as reasonably practicable and in no event later than 15 days following the Date of Termination.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Arial" w:cs="Arial" w:eastAsia="Arial" w:hAnsi="Arial"/>
          <w:sz w:val="21"/>
          <w:szCs w:val="21"/>
          <w:b w:val="1"/>
          <w:bCs w:val="1"/>
          <w:color w:val="auto"/>
        </w:rPr>
        <w:t>24(c)</w:t>
      </w:r>
      <w:r>
        <w:rPr>
          <w:rFonts w:ascii="Arial" w:cs="Arial" w:eastAsia="Arial" w:hAnsi="Arial"/>
          <w:sz w:val="21"/>
          <w:szCs w:val="21"/>
          <w:color w:val="auto"/>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determination of the Accounting Firm. All reasonable fees and expenses of the Accounting Firm shall be borne solely by the Company.</w:t>
      </w:r>
    </w:p>
    <w:p>
      <w:pPr>
        <w:spacing w:after="0" w:line="190" w:lineRule="exact"/>
        <w:rPr>
          <w:rFonts w:ascii="Arial" w:cs="Arial" w:eastAsia="Arial" w:hAnsi="Arial"/>
          <w:sz w:val="21"/>
          <w:szCs w:val="21"/>
          <w:color w:val="auto"/>
        </w:rPr>
      </w:pPr>
    </w:p>
    <w:p>
      <w:pPr>
        <w:jc w:val="both"/>
        <w:ind w:firstLine="1304"/>
        <w:spacing w:after="0" w:line="277" w:lineRule="auto"/>
        <w:tabs>
          <w:tab w:leader="none" w:pos="1944" w:val="left"/>
        </w:tabs>
        <w:numPr>
          <w:ilvl w:val="0"/>
          <w:numId w:val="458"/>
        </w:numPr>
        <w:rPr>
          <w:rFonts w:ascii="Arial" w:cs="Arial" w:eastAsia="Arial" w:hAnsi="Arial"/>
          <w:sz w:val="19"/>
          <w:szCs w:val="19"/>
          <w:color w:val="auto"/>
        </w:rPr>
      </w:pPr>
      <w:r>
        <w:rPr>
          <w:rFonts w:ascii="Arial" w:cs="Arial" w:eastAsia="Arial" w:hAnsi="Arial"/>
          <w:sz w:val="19"/>
          <w:szCs w:val="19"/>
          <w:color w:val="auto"/>
        </w:rPr>
        <w:t>As a result of the uncertainty in the application of Section 4999 of the Code at the time of the initial determination by the Accounting Firm hereunder, it is possible that amounts shall have been paid or distributed by the Company to or for the benefit of Executive pursuant to this Agreement that should not have been so paid or distributed (each, an “</w:t>
      </w:r>
      <w:r>
        <w:rPr>
          <w:rFonts w:ascii="Arial" w:cs="Arial" w:eastAsia="Arial" w:hAnsi="Arial"/>
          <w:sz w:val="19"/>
          <w:szCs w:val="19"/>
          <w:b w:val="1"/>
          <w:bCs w:val="1"/>
          <w:color w:val="auto"/>
        </w:rPr>
        <w:t>Overpayment</w:t>
      </w:r>
      <w:r>
        <w:rPr>
          <w:rFonts w:ascii="Arial" w:cs="Arial" w:eastAsia="Arial" w:hAnsi="Arial"/>
          <w:sz w:val="19"/>
          <w:szCs w:val="19"/>
          <w:color w:val="auto"/>
        </w:rPr>
        <w:t>”) or that additional amounts that shall have not been paid or distributed by the Company to or for the benefit of Executive pursuant to this Agreement could have been so paid or distributed (each, an “</w:t>
      </w:r>
      <w:r>
        <w:rPr>
          <w:rFonts w:ascii="Arial" w:cs="Arial" w:eastAsia="Arial" w:hAnsi="Arial"/>
          <w:sz w:val="19"/>
          <w:szCs w:val="19"/>
          <w:b w:val="1"/>
          <w:bCs w:val="1"/>
          <w:color w:val="auto"/>
        </w:rPr>
        <w:t>Underpayment</w:t>
      </w:r>
      <w:r>
        <w:rPr>
          <w:rFonts w:ascii="Arial" w:cs="Arial" w:eastAsia="Arial" w:hAnsi="Arial"/>
          <w:sz w:val="19"/>
          <w:szCs w:val="19"/>
          <w:color w:val="auto"/>
        </w:rPr>
        <w:t>”), in each case, consistent with the calculation of the Reduced Amount hereunder. In the event that the Accounting Firm, based upon the assertion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4" w:name="page415"/>
    <w:bookmarkEnd w:id="414"/>
    <w:p>
      <w:pPr>
        <w:jc w:val="both"/>
        <w:spacing w:after="0" w:line="273" w:lineRule="auto"/>
        <w:rPr>
          <w:sz w:val="20"/>
          <w:szCs w:val="20"/>
          <w:color w:val="auto"/>
        </w:rPr>
      </w:pPr>
      <w:r>
        <w:rPr>
          <w:rFonts w:ascii="Arial" w:cs="Arial" w:eastAsia="Arial" w:hAnsi="Arial"/>
          <w:sz w:val="19"/>
          <w:szCs w:val="19"/>
          <w:color w:val="auto"/>
        </w:rPr>
        <w:t xml:space="preserve">deficiency by the Internal Revenue Service against the Company or Executive that the Accounting Firm believes has a high probability of success determines that an Overpayment has been made, any such Overpayment paid or distributed by the Company to or for the benefit of Executive shall be repaid by Executive to the Company (as applicable) together with interest at the applicable federal rate provided for in Section 7872(f)(2)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the benefit of Executive together with interest at the applicable federal rate provided for in Section 7872(f)(2) of the Code.</w:t>
      </w:r>
    </w:p>
    <w:p>
      <w:pPr>
        <w:spacing w:after="0" w:line="161" w:lineRule="exact"/>
        <w:rPr>
          <w:sz w:val="20"/>
          <w:szCs w:val="20"/>
          <w:color w:val="auto"/>
        </w:rPr>
      </w:pPr>
    </w:p>
    <w:p>
      <w:pPr>
        <w:jc w:val="both"/>
        <w:ind w:firstLine="1304"/>
        <w:spacing w:after="0" w:line="274" w:lineRule="auto"/>
        <w:tabs>
          <w:tab w:leader="none" w:pos="1944" w:val="left"/>
        </w:tabs>
        <w:numPr>
          <w:ilvl w:val="0"/>
          <w:numId w:val="459"/>
        </w:numPr>
        <w:rPr>
          <w:rFonts w:ascii="Arial" w:cs="Arial" w:eastAsia="Arial" w:hAnsi="Arial"/>
          <w:sz w:val="19"/>
          <w:szCs w:val="19"/>
          <w:color w:val="auto"/>
        </w:rPr>
      </w:pPr>
      <w:r>
        <w:rPr>
          <w:rFonts w:ascii="Arial" w:cs="Arial" w:eastAsia="Arial" w:hAnsi="Arial"/>
          <w:sz w:val="19"/>
          <w:szCs w:val="19"/>
          <w:color w:val="auto"/>
        </w:rPr>
        <w:t>To the extent requested by Executive, the Company shall cooperate with Executive in good faith in valuing, and the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58" w:lineRule="exact"/>
        <w:rPr>
          <w:rFonts w:ascii="Arial" w:cs="Arial" w:eastAsia="Arial" w:hAnsi="Arial"/>
          <w:sz w:val="19"/>
          <w:szCs w:val="19"/>
          <w:color w:val="auto"/>
        </w:rPr>
      </w:pPr>
    </w:p>
    <w:p>
      <w:pPr>
        <w:ind w:left="1960" w:hanging="656"/>
        <w:spacing w:after="0"/>
        <w:tabs>
          <w:tab w:leader="none" w:pos="1960" w:val="left"/>
        </w:tabs>
        <w:numPr>
          <w:ilvl w:val="0"/>
          <w:numId w:val="459"/>
        </w:numPr>
        <w:rPr>
          <w:rFonts w:ascii="Arial" w:cs="Arial" w:eastAsia="Arial" w:hAnsi="Arial"/>
          <w:sz w:val="21"/>
          <w:szCs w:val="21"/>
          <w:color w:val="auto"/>
        </w:rPr>
      </w:pPr>
      <w:r>
        <w:rPr>
          <w:rFonts w:ascii="Arial" w:cs="Arial" w:eastAsia="Arial" w:hAnsi="Arial"/>
          <w:sz w:val="21"/>
          <w:szCs w:val="21"/>
          <w:color w:val="auto"/>
        </w:rPr>
        <w:t>The following terms shall have the following meanings for purposes of this Section 8:</w:t>
      </w:r>
    </w:p>
    <w:p>
      <w:pPr>
        <w:spacing w:after="0" w:line="211" w:lineRule="exact"/>
        <w:rPr>
          <w:rFonts w:ascii="Arial" w:cs="Arial" w:eastAsia="Arial" w:hAnsi="Arial"/>
          <w:sz w:val="21"/>
          <w:szCs w:val="21"/>
          <w:color w:val="auto"/>
        </w:rPr>
      </w:pPr>
    </w:p>
    <w:p>
      <w:pPr>
        <w:jc w:val="both"/>
        <w:ind w:left="180" w:firstLine="1934"/>
        <w:spacing w:after="0" w:line="249" w:lineRule="auto"/>
        <w:tabs>
          <w:tab w:leader="none" w:pos="2610" w:val="left"/>
        </w:tabs>
        <w:numPr>
          <w:ilvl w:val="1"/>
          <w:numId w:val="4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Accounting Firm</w:t>
      </w:r>
      <w:r>
        <w:rPr>
          <w:rFonts w:ascii="Arial" w:cs="Arial" w:eastAsia="Arial" w:hAnsi="Arial"/>
          <w:sz w:val="21"/>
          <w:szCs w:val="21"/>
          <w:color w:val="auto"/>
        </w:rPr>
        <w:t>” shall mean a nationally recognized certified public accounting firm or other professional organization that is recognized as an expert in determinations and calculations for purposes of Section 280G of the Code that is selected by the Company prior to the transaction resulting in the application (or potential application) of Section 280G of the Code for purposes of making the applicable determinations hereunder, which firm shall not, without Executive’s consent, be a firm serving as accountant or auditor for the person effecting such transaction.</w:t>
      </w:r>
    </w:p>
    <w:p>
      <w:pPr>
        <w:spacing w:after="0" w:line="170" w:lineRule="exact"/>
        <w:rPr>
          <w:rFonts w:ascii="Arial" w:cs="Arial" w:eastAsia="Arial" w:hAnsi="Arial"/>
          <w:sz w:val="21"/>
          <w:szCs w:val="21"/>
          <w:color w:val="auto"/>
        </w:rPr>
      </w:pPr>
    </w:p>
    <w:p>
      <w:pPr>
        <w:jc w:val="both"/>
        <w:ind w:left="180" w:firstLine="1934"/>
        <w:spacing w:after="0" w:line="280" w:lineRule="auto"/>
        <w:tabs>
          <w:tab w:leader="none" w:pos="2610" w:val="left"/>
        </w:tabs>
        <w:numPr>
          <w:ilvl w:val="1"/>
          <w:numId w:val="4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Net After-Tax Receipt</w:t>
      </w:r>
      <w:r>
        <w:rPr>
          <w:rFonts w:ascii="Arial" w:cs="Arial" w:eastAsia="Arial" w:hAnsi="Arial"/>
          <w:sz w:val="19"/>
          <w:szCs w:val="19"/>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the Accounting Firm determines to be likely to apply to Executive in the relevant tax year(s).</w:t>
      </w:r>
    </w:p>
    <w:p>
      <w:pPr>
        <w:spacing w:after="0" w:line="144" w:lineRule="exact"/>
        <w:rPr>
          <w:rFonts w:ascii="Arial" w:cs="Arial" w:eastAsia="Arial" w:hAnsi="Arial"/>
          <w:sz w:val="19"/>
          <w:szCs w:val="19"/>
          <w:color w:val="auto"/>
        </w:rPr>
      </w:pPr>
    </w:p>
    <w:p>
      <w:pPr>
        <w:jc w:val="both"/>
        <w:ind w:left="180" w:right="20" w:firstLine="1934"/>
        <w:spacing w:after="0" w:line="243" w:lineRule="auto"/>
        <w:tabs>
          <w:tab w:leader="none" w:pos="2610" w:val="left"/>
        </w:tabs>
        <w:numPr>
          <w:ilvl w:val="1"/>
          <w:numId w:val="4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Parachute Value</w:t>
      </w:r>
      <w:r>
        <w:rPr>
          <w:rFonts w:ascii="Arial" w:cs="Arial" w:eastAsia="Arial" w:hAnsi="Arial"/>
          <w:sz w:val="22"/>
          <w:szCs w:val="22"/>
          <w:color w:val="auto"/>
        </w:rPr>
        <w:t>” of a Payment shall mean the present value as of the date of the change of control for purposes of Section 280G of the Code of the portion of such Payment that constitutes a “parachute payment” under Section 280G(b)(2) of the Code,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5" w:name="page416"/>
    <w:bookmarkEnd w:id="415"/>
    <w:p>
      <w:pPr>
        <w:ind w:left="180" w:right="20"/>
        <w:spacing w:after="0" w:line="250" w:lineRule="auto"/>
        <w:rPr>
          <w:sz w:val="20"/>
          <w:szCs w:val="20"/>
          <w:color w:val="auto"/>
        </w:rPr>
      </w:pPr>
      <w:r>
        <w:rPr>
          <w:rFonts w:ascii="Arial" w:cs="Arial" w:eastAsia="Arial" w:hAnsi="Arial"/>
          <w:sz w:val="22"/>
          <w:szCs w:val="22"/>
          <w:color w:val="auto"/>
        </w:rPr>
        <w:t>determined by the Accounting Firm for purposes of determining whether and to what extent the excise tax under Section 4999 of the Code shall apply to such Payment.</w:t>
      </w:r>
    </w:p>
    <w:p>
      <w:pPr>
        <w:spacing w:after="0" w:line="169" w:lineRule="exact"/>
        <w:rPr>
          <w:sz w:val="20"/>
          <w:szCs w:val="20"/>
          <w:color w:val="auto"/>
        </w:rPr>
      </w:pPr>
    </w:p>
    <w:p>
      <w:pPr>
        <w:ind w:left="180" w:firstLine="1934"/>
        <w:spacing w:after="0" w:line="256" w:lineRule="auto"/>
        <w:tabs>
          <w:tab w:leader="none" w:pos="2610" w:val="left"/>
        </w:tabs>
        <w:numPr>
          <w:ilvl w:val="1"/>
          <w:numId w:val="4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Safe Harbor Amount</w:t>
      </w:r>
      <w:r>
        <w:rPr>
          <w:rFonts w:ascii="Arial" w:cs="Arial" w:eastAsia="Arial" w:hAnsi="Arial"/>
          <w:sz w:val="22"/>
          <w:szCs w:val="22"/>
          <w:color w:val="auto"/>
        </w:rPr>
        <w:t>” shall mean 2.99 times Executive’s “base amount,” within the meaning of Section 280G(b)(3) of the Code.</w:t>
      </w:r>
    </w:p>
    <w:p>
      <w:pPr>
        <w:spacing w:after="0" w:line="162" w:lineRule="exact"/>
        <w:rPr>
          <w:rFonts w:ascii="Arial" w:cs="Arial" w:eastAsia="Arial" w:hAnsi="Arial"/>
          <w:sz w:val="22"/>
          <w:szCs w:val="22"/>
          <w:color w:val="auto"/>
        </w:rPr>
      </w:pPr>
    </w:p>
    <w:p>
      <w:pPr>
        <w:jc w:val="both"/>
        <w:ind w:firstLine="1304"/>
        <w:spacing w:after="0" w:line="235" w:lineRule="auto"/>
        <w:tabs>
          <w:tab w:leader="none" w:pos="1944" w:val="left"/>
        </w:tabs>
        <w:numPr>
          <w:ilvl w:val="0"/>
          <w:numId w:val="461"/>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w:t>
      </w:r>
      <w:r>
        <w:rPr>
          <w:rFonts w:ascii="Arial" w:cs="Arial" w:eastAsia="Arial" w:hAnsi="Arial"/>
          <w:sz w:val="22"/>
          <w:szCs w:val="22"/>
          <w:color w:val="auto"/>
        </w:rPr>
        <w:t>. This Agreement is personal to Executive and without the prior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of the Company shall not be assignable by Executive otherwise than by will or the laws of descent and distribution. This Agreement shall inure to the benefit of and be enforceable by Executive’s legal representatives. This Agreement shall inure to the benefit of and be binding upon the Company and its respective successors and assigns. As used in this Agreement, “Company” shall mean the Company as hereinbefore defined and any successor to its businesses and/or assets as aforesaid which assumes and agrees to perform this Agreement by operation of law, or otherwise.</w:t>
      </w:r>
    </w:p>
    <w:p>
      <w:pPr>
        <w:spacing w:after="0" w:line="183" w:lineRule="exact"/>
        <w:rPr>
          <w:rFonts w:ascii="Arial" w:cs="Arial" w:eastAsia="Arial" w:hAnsi="Arial"/>
          <w:sz w:val="22"/>
          <w:szCs w:val="22"/>
          <w:color w:val="auto"/>
        </w:rPr>
      </w:pPr>
    </w:p>
    <w:p>
      <w:pPr>
        <w:jc w:val="both"/>
        <w:ind w:firstLine="1304"/>
        <w:spacing w:after="0" w:line="271" w:lineRule="auto"/>
        <w:tabs>
          <w:tab w:leader="none" w:pos="1944" w:val="left"/>
        </w:tabs>
        <w:numPr>
          <w:ilvl w:val="0"/>
          <w:numId w:val="461"/>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 The Company shall indemnify Executive and hold him harmless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fullest extent permitted by the laws of the State of Delaware against and in respect of any and all actions, suits, proceedings, claims, demands, judgments, costs, expenses, losses and damages resulting from Executive’s good-faith performance of Executive’s duties and obligations with the Company and its Affiliates. The Company shall cover Executive under directors’ and officers’ liability insurance both during and, while potential liability exists, after employment in the same amount and to the same extent as the Company covers its other officers and directors. These obligations shall survive the termination of Executive’s employment with the Company and its Affiliates. If any proceeding is brought or threatened against Executive in respect of which indemnity may be sought against the Company or its Affiliates pursuant to the foregoing, Executive shall notify the Company promptly in writing of the institution of such proceeding and the Company and its Affiliates shall assume the defense thereof and the employment of counsel and payment of all fees and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conflict of interest exists between the Company or the applicable Affiliate and Executive such that it is not legally practicable for the Company or the applicable Affiliate to assume Executive’s defense, Executive shall be entitled to retain separate counsel, and the Company or the applicable Affiliate shall assume payment of all reasonable fees and expenses of such counsel.</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960" w:hanging="656"/>
        <w:spacing w:after="0"/>
        <w:tabs>
          <w:tab w:leader="none" w:pos="1960" w:val="left"/>
        </w:tabs>
        <w:numPr>
          <w:ilvl w:val="0"/>
          <w:numId w:val="461"/>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right="40" w:firstLine="1304"/>
        <w:spacing w:after="0" w:line="245" w:lineRule="auto"/>
        <w:tabs>
          <w:tab w:leader="none" w:pos="1944" w:val="left"/>
        </w:tabs>
        <w:numPr>
          <w:ilvl w:val="0"/>
          <w:numId w:val="46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and Dispute Resolution</w:t>
      </w:r>
      <w:r>
        <w:rPr>
          <w:rFonts w:ascii="Arial" w:cs="Arial" w:eastAsia="Arial" w:hAnsi="Arial"/>
          <w:sz w:val="21"/>
          <w:szCs w:val="21"/>
          <w:color w:val="auto"/>
        </w:rPr>
        <w:t>. This Agreement shall be governed by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construed in accordance with the laws of the State of Arkansas, without reference to principles of conflict of laws,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rights to indemnification shall be governed by and in accordance with the laws of the State of Delaware. The Parties irrevocably submit to the jurisdiction of any state or federal court sitting in or for Little Rock, Arkansas with respect to any dispute arising out of or relating to this Agreement or the Release, and each party irrevocably agrees that all claims in respect of such dispute or proceeding shall be heard and determined in such courts. The Parties hereby irrevocably waive, to the fullest extent permitted by law, any objection that they may now or hereafter have to the venue of any dispute arising out of or relating to this Agreement or the transactions contemplated hereby brought in such court or any defense of inconvenient forum for the maintenance of such dispute or proceeding. Each party agrees that a judgment in any such dispute may be enforced in other jurisdictions by suit on the judgment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6" w:name="page417"/>
    <w:bookmarkEnd w:id="416"/>
    <w:p>
      <w:pPr>
        <w:ind w:right="60"/>
        <w:spacing w:after="0" w:line="235" w:lineRule="auto"/>
        <w:rPr>
          <w:sz w:val="20"/>
          <w:szCs w:val="20"/>
          <w:color w:val="auto"/>
        </w:rPr>
      </w:pPr>
      <w:r>
        <w:rPr>
          <w:rFonts w:ascii="Arial" w:cs="Arial" w:eastAsia="Arial" w:hAnsi="Arial"/>
          <w:sz w:val="22"/>
          <w:szCs w:val="22"/>
          <w:color w:val="auto"/>
        </w:rPr>
        <w:t>any other manner provided by law. THE PARTIES HEREBY WAIVE A TRIAL BY JURY IN ANY ACTION, PROCEEDING, CLAIM OR COUNTER CLAIM BROUGHT OR ASSERTED BY EITHER OF THE PARTIES HERETO AGAINST THE OTHER ON ANY MATTERS WHATSOEVER ARISING OUT OF OR IN ANY WAY RELATED TO THIS AGREEMENT. The Company shall reimburse Executive for all reasonable legal fees and expenses incurred by Executive in seeking to obtain or enforce any right or benefit provided under this Agreement.</w:t>
      </w:r>
    </w:p>
    <w:p>
      <w:pPr>
        <w:spacing w:after="0" w:line="182" w:lineRule="exact"/>
        <w:rPr>
          <w:sz w:val="20"/>
          <w:szCs w:val="20"/>
          <w:color w:val="auto"/>
        </w:rPr>
      </w:pPr>
    </w:p>
    <w:p>
      <w:pPr>
        <w:jc w:val="both"/>
        <w:ind w:firstLine="1304"/>
        <w:spacing w:after="0" w:line="243" w:lineRule="auto"/>
        <w:tabs>
          <w:tab w:leader="none" w:pos="1944" w:val="left"/>
        </w:tabs>
        <w:numPr>
          <w:ilvl w:val="0"/>
          <w:numId w:val="463"/>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and other communications hereunder shall be in writing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given by hand delivery to the other party or by registered or certified mail, return receipt requested, postage prepaid, addressed as follows: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Executive</w:t>
      </w:r>
      <w:r>
        <w:rPr>
          <w:rFonts w:ascii="Arial" w:cs="Arial" w:eastAsia="Arial" w:hAnsi="Arial"/>
          <w:sz w:val="22"/>
          <w:szCs w:val="22"/>
          <w:color w:val="auto"/>
        </w:rPr>
        <w:t>: To the most recent address on file with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Westrock Coffee Company</w:t>
      </w:r>
    </w:p>
    <w:p>
      <w:pPr>
        <w:ind w:left="1300"/>
        <w:spacing w:after="0" w:line="238" w:lineRule="auto"/>
        <w:rPr>
          <w:sz w:val="20"/>
          <w:szCs w:val="20"/>
          <w:color w:val="auto"/>
        </w:rPr>
      </w:pPr>
      <w:r>
        <w:rPr>
          <w:rFonts w:ascii="Arial" w:cs="Arial" w:eastAsia="Arial" w:hAnsi="Arial"/>
          <w:sz w:val="22"/>
          <w:szCs w:val="22"/>
          <w:color w:val="auto"/>
        </w:rPr>
        <w:t>100 River Bluff Drive, Suite 210</w:t>
      </w:r>
    </w:p>
    <w:p>
      <w:pPr>
        <w:ind w:left="1300"/>
        <w:spacing w:after="0" w:line="230" w:lineRule="auto"/>
        <w:rPr>
          <w:sz w:val="20"/>
          <w:szCs w:val="20"/>
          <w:color w:val="auto"/>
        </w:rPr>
      </w:pPr>
      <w:r>
        <w:rPr>
          <w:rFonts w:ascii="Arial" w:cs="Arial" w:eastAsia="Arial" w:hAnsi="Arial"/>
          <w:sz w:val="22"/>
          <w:szCs w:val="22"/>
          <w:color w:val="auto"/>
        </w:rPr>
        <w:t>Little Rock, AR 72202</w:t>
      </w:r>
    </w:p>
    <w:p>
      <w:pPr>
        <w:ind w:left="1300"/>
        <w:spacing w:after="0" w:line="231" w:lineRule="auto"/>
        <w:rPr>
          <w:sz w:val="20"/>
          <w:szCs w:val="20"/>
          <w:color w:val="auto"/>
        </w:rPr>
      </w:pPr>
      <w:r>
        <w:rPr>
          <w:rFonts w:ascii="Arial" w:cs="Arial" w:eastAsia="Arial" w:hAnsi="Arial"/>
          <w:sz w:val="22"/>
          <w:szCs w:val="22"/>
          <w:color w:val="auto"/>
        </w:rPr>
        <w:t>Attn: Chief Legal Officer</w:t>
      </w:r>
    </w:p>
    <w:p>
      <w:pPr>
        <w:ind w:left="1300"/>
        <w:spacing w:after="0" w:line="230" w:lineRule="auto"/>
        <w:rPr>
          <w:sz w:val="20"/>
          <w:szCs w:val="20"/>
          <w:color w:val="auto"/>
        </w:rPr>
      </w:pPr>
      <w:r>
        <w:rPr>
          <w:rFonts w:ascii="Arial" w:cs="Arial" w:eastAsia="Arial" w:hAnsi="Arial"/>
          <w:sz w:val="22"/>
          <w:szCs w:val="22"/>
          <w:color w:val="auto"/>
        </w:rPr>
        <w:t>Email: mckinneyb@westrockcoffee.com</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Phone: 704-782-3121</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69" w:lineRule="exact"/>
        <w:rPr>
          <w:sz w:val="20"/>
          <w:szCs w:val="20"/>
          <w:color w:val="auto"/>
        </w:rPr>
      </w:pPr>
    </w:p>
    <w:p>
      <w:pPr>
        <w:jc w:val="both"/>
        <w:ind w:firstLine="1304"/>
        <w:spacing w:after="0" w:line="276" w:lineRule="auto"/>
        <w:tabs>
          <w:tab w:leader="none" w:pos="1944" w:val="left"/>
        </w:tabs>
        <w:numPr>
          <w:ilvl w:val="0"/>
          <w:numId w:val="464"/>
        </w:numPr>
        <w:rPr>
          <w:rFonts w:ascii="Arial" w:cs="Arial" w:eastAsia="Arial" w:hAnsi="Arial"/>
          <w:sz w:val="19"/>
          <w:szCs w:val="19"/>
          <w:color w:val="auto"/>
        </w:rPr>
      </w:pPr>
      <w:r>
        <w:rPr>
          <w:rFonts w:ascii="Arial" w:cs="Arial" w:eastAsia="Arial" w:hAnsi="Arial"/>
          <w:sz w:val="19"/>
          <w:szCs w:val="19"/>
          <w:b w:val="1"/>
          <w:bCs w:val="1"/>
          <w:u w:val="single" w:color="auto"/>
          <w:color w:val="auto"/>
        </w:rPr>
        <w:t>Acknowledgements</w:t>
      </w:r>
      <w:r>
        <w:rPr>
          <w:rFonts w:ascii="Arial" w:cs="Arial" w:eastAsia="Arial" w:hAnsi="Arial"/>
          <w:sz w:val="19"/>
          <w:szCs w:val="19"/>
          <w:color w:val="auto"/>
        </w:rPr>
        <w:t>. Prior to execution of this Agreement, Executive was advised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directors, officers, employees or agents of the Company that are not expressly set forth herein, and that Executive is relying only upon Executive’s own judgment and any advice provided by Executive’s attorney.</w:t>
      </w:r>
    </w:p>
    <w:p>
      <w:pPr>
        <w:spacing w:after="0" w:line="149" w:lineRule="exact"/>
        <w:rPr>
          <w:rFonts w:ascii="Arial" w:cs="Arial" w:eastAsia="Arial" w:hAnsi="Arial"/>
          <w:sz w:val="19"/>
          <w:szCs w:val="19"/>
          <w:color w:val="auto"/>
        </w:rPr>
      </w:pPr>
    </w:p>
    <w:p>
      <w:pPr>
        <w:jc w:val="both"/>
        <w:ind w:firstLine="1304"/>
        <w:spacing w:after="0" w:line="237" w:lineRule="auto"/>
        <w:tabs>
          <w:tab w:leader="none" w:pos="1944" w:val="left"/>
        </w:tabs>
        <w:numPr>
          <w:ilvl w:val="0"/>
          <w:numId w:val="464"/>
        </w:numPr>
        <w:rPr>
          <w:rFonts w:ascii="Arial" w:cs="Arial" w:eastAsia="Arial" w:hAnsi="Arial"/>
          <w:sz w:val="22"/>
          <w:szCs w:val="22"/>
          <w:color w:val="auto"/>
        </w:rPr>
      </w:pPr>
      <w:r>
        <w:rPr>
          <w:rFonts w:ascii="Arial" w:cs="Arial" w:eastAsia="Arial" w:hAnsi="Arial"/>
          <w:sz w:val="22"/>
          <w:szCs w:val="22"/>
          <w:b w:val="1"/>
          <w:bCs w:val="1"/>
          <w:u w:val="single" w:color="auto"/>
          <w:color w:val="auto"/>
        </w:rPr>
        <w:t>Invalidity</w:t>
      </w:r>
      <w:r>
        <w:rPr>
          <w:rFonts w:ascii="Arial" w:cs="Arial" w:eastAsia="Arial" w:hAnsi="Arial"/>
          <w:sz w:val="22"/>
          <w:szCs w:val="22"/>
          <w:color w:val="auto"/>
        </w:rPr>
        <w:t>. If any term or provision of this Agreement or the application thereof to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or circumstance shall to any extent be invalid or unenforceable, the remainder of this Agreement or the application of such term or provision to persons or circumstances other than those to which it is invalid or unenforceable shall not be affected thereby, and each term and provision of this Agreement shall be valid and be enforced to the fullest extent permitted by law.</w:t>
      </w:r>
    </w:p>
    <w:p>
      <w:pPr>
        <w:spacing w:after="0" w:line="181" w:lineRule="exact"/>
        <w:rPr>
          <w:rFonts w:ascii="Arial" w:cs="Arial" w:eastAsia="Arial" w:hAnsi="Arial"/>
          <w:sz w:val="22"/>
          <w:szCs w:val="22"/>
          <w:color w:val="auto"/>
        </w:rPr>
      </w:pPr>
    </w:p>
    <w:p>
      <w:pPr>
        <w:jc w:val="both"/>
        <w:ind w:firstLine="1304"/>
        <w:spacing w:after="0" w:line="243" w:lineRule="auto"/>
        <w:tabs>
          <w:tab w:leader="none" w:pos="1944" w:val="left"/>
        </w:tabs>
        <w:numPr>
          <w:ilvl w:val="0"/>
          <w:numId w:val="464"/>
        </w:numPr>
        <w:rPr>
          <w:rFonts w:ascii="Arial" w:cs="Arial" w:eastAsia="Arial" w:hAnsi="Arial"/>
          <w:sz w:val="22"/>
          <w:szCs w:val="22"/>
          <w:color w:val="auto"/>
        </w:rPr>
      </w:pPr>
      <w:r>
        <w:rPr>
          <w:rFonts w:ascii="Arial" w:cs="Arial" w:eastAsia="Arial" w:hAnsi="Arial"/>
          <w:sz w:val="22"/>
          <w:szCs w:val="22"/>
          <w:b w:val="1"/>
          <w:bCs w:val="1"/>
          <w:u w:val="single" w:color="auto"/>
          <w:color w:val="auto"/>
        </w:rPr>
        <w:t>Survivability</w:t>
      </w:r>
      <w:r>
        <w:rPr>
          <w:rFonts w:ascii="Arial" w:cs="Arial" w:eastAsia="Arial" w:hAnsi="Arial"/>
          <w:sz w:val="22"/>
          <w:szCs w:val="22"/>
          <w:color w:val="auto"/>
        </w:rPr>
        <w:t>. The provisions of this Agreement that by their terms call for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subsequent to the termination of either Executive’s employment or this Agreement (including the terms of Sections 5, 7, 8 and 10) shall so survive such termination.</w:t>
      </w:r>
    </w:p>
    <w:p>
      <w:pPr>
        <w:spacing w:after="0" w:line="176" w:lineRule="exact"/>
        <w:rPr>
          <w:rFonts w:ascii="Arial" w:cs="Arial" w:eastAsia="Arial" w:hAnsi="Arial"/>
          <w:sz w:val="22"/>
          <w:szCs w:val="22"/>
          <w:color w:val="auto"/>
        </w:rPr>
      </w:pPr>
    </w:p>
    <w:p>
      <w:pPr>
        <w:ind w:firstLine="1304"/>
        <w:spacing w:after="0" w:line="256" w:lineRule="auto"/>
        <w:tabs>
          <w:tab w:leader="none" w:pos="1944" w:val="left"/>
        </w:tabs>
        <w:numPr>
          <w:ilvl w:val="0"/>
          <w:numId w:val="464"/>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Headings; Construction</w:t>
      </w:r>
      <w:r>
        <w:rPr>
          <w:rFonts w:ascii="Arial" w:cs="Arial" w:eastAsia="Arial" w:hAnsi="Arial"/>
          <w:sz w:val="22"/>
          <w:szCs w:val="22"/>
          <w:color w:val="auto"/>
        </w:rPr>
        <w:t>. The section headings used in this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solely for convenience and shall not affect, or be used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7" w:name="page418"/>
    <w:bookmarkEnd w:id="417"/>
    <w:p>
      <w:pPr>
        <w:spacing w:after="0" w:line="250" w:lineRule="auto"/>
        <w:rPr>
          <w:sz w:val="20"/>
          <w:szCs w:val="20"/>
          <w:color w:val="auto"/>
        </w:rPr>
      </w:pPr>
      <w:r>
        <w:rPr>
          <w:rFonts w:ascii="Arial" w:cs="Arial" w:eastAsia="Arial" w:hAnsi="Arial"/>
          <w:sz w:val="22"/>
          <w:szCs w:val="22"/>
          <w:color w:val="auto"/>
        </w:rPr>
        <w:t>the interpretation hereof. For purposes of this Agreement, the term “including” shall mean “including, without limitation.”</w:t>
      </w:r>
    </w:p>
    <w:p>
      <w:pPr>
        <w:spacing w:after="0" w:line="169" w:lineRule="exact"/>
        <w:rPr>
          <w:sz w:val="20"/>
          <w:szCs w:val="20"/>
          <w:color w:val="auto"/>
        </w:rPr>
      </w:pPr>
    </w:p>
    <w:p>
      <w:pPr>
        <w:ind w:firstLine="1304"/>
        <w:spacing w:after="0" w:line="334" w:lineRule="auto"/>
        <w:tabs>
          <w:tab w:leader="none" w:pos="1944" w:val="left"/>
        </w:tabs>
        <w:numPr>
          <w:ilvl w:val="0"/>
          <w:numId w:val="465"/>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several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be an original but all of which together shall constitute one and the same instrument.</w:t>
      </w:r>
    </w:p>
    <w:p>
      <w:pPr>
        <w:spacing w:after="0" w:line="93"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465"/>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 The Company may withhold from any amounts payable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such Federal, state, local or foreign taxes as shall be required to be withheld pursuant to any applicable law or regulation.</w:t>
      </w:r>
    </w:p>
    <w:p>
      <w:pPr>
        <w:spacing w:after="0" w:line="176" w:lineRule="exact"/>
        <w:rPr>
          <w:rFonts w:ascii="Arial" w:cs="Arial" w:eastAsia="Arial" w:hAnsi="Arial"/>
          <w:sz w:val="22"/>
          <w:szCs w:val="22"/>
          <w:color w:val="auto"/>
        </w:rPr>
      </w:pPr>
    </w:p>
    <w:p>
      <w:pPr>
        <w:ind w:left="1960" w:hanging="656"/>
        <w:spacing w:after="0"/>
        <w:tabs>
          <w:tab w:leader="none" w:pos="1960" w:val="left"/>
        </w:tabs>
        <w:numPr>
          <w:ilvl w:val="0"/>
          <w:numId w:val="465"/>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0" w:firstLine="1934"/>
        <w:spacing w:after="0" w:line="273" w:lineRule="auto"/>
        <w:tabs>
          <w:tab w:leader="none" w:pos="2610" w:val="left"/>
        </w:tabs>
        <w:numPr>
          <w:ilvl w:val="1"/>
          <w:numId w:val="465"/>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 It is intended that payments and benefits made or provided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not result in penalty taxes or 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this Agreement shall be treated as a separate payment of compensation. All payments to be made upon a termination of employment under this Agreement may only be made upon a “separation from service” under Section 409A of the Code to the extent necessary in order to avoid the imposition of penalty taxes on Executive pursuant to Section 409A of the Code. In no event may Executive, directly or indirectly, designate the calendar year of any payment under this Agreement, and to the extent required by Section 409A of the Code, any payment that may be paid in more than one taxable year (depending on the time that Executive executes the Release) shall be paid in the later taxable year.</w:t>
      </w:r>
    </w:p>
    <w:p>
      <w:pPr>
        <w:spacing w:after="0" w:line="149" w:lineRule="exact"/>
        <w:rPr>
          <w:rFonts w:ascii="Arial" w:cs="Arial" w:eastAsia="Arial" w:hAnsi="Arial"/>
          <w:sz w:val="19"/>
          <w:szCs w:val="19"/>
          <w:color w:val="auto"/>
        </w:rPr>
      </w:pPr>
    </w:p>
    <w:p>
      <w:pPr>
        <w:jc w:val="both"/>
        <w:ind w:left="180" w:firstLine="1934"/>
        <w:spacing w:after="0" w:line="245" w:lineRule="auto"/>
        <w:tabs>
          <w:tab w:leader="none" w:pos="2610" w:val="left"/>
        </w:tabs>
        <w:numPr>
          <w:ilvl w:val="1"/>
          <w:numId w:val="465"/>
        </w:numPr>
        <w:rPr>
          <w:rFonts w:ascii="Arial" w:cs="Arial" w:eastAsia="Arial" w:hAnsi="Arial"/>
          <w:sz w:val="21"/>
          <w:szCs w:val="21"/>
          <w:color w:val="auto"/>
        </w:rPr>
      </w:pPr>
      <w:r>
        <w:rPr>
          <w:rFonts w:ascii="Arial" w:cs="Arial" w:eastAsia="Arial" w:hAnsi="Arial"/>
          <w:sz w:val="21"/>
          <w:szCs w:val="21"/>
          <w:b w:val="1"/>
          <w:bCs w:val="1"/>
          <w:u w:val="single" w:color="auto"/>
          <w:color w:val="auto"/>
        </w:rPr>
        <w:t>Reimbursements and In-Kind Benefits</w:t>
      </w:r>
      <w:r>
        <w:rPr>
          <w:rFonts w:ascii="Arial" w:cs="Arial" w:eastAsia="Arial" w:hAnsi="Arial"/>
          <w:sz w:val="21"/>
          <w:szCs w:val="21"/>
          <w:color w:val="auto"/>
        </w:rPr>
        <w:t>. Notwithstanding anything to the contrary</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shall be made no later than the last day of the calendar year following the year in which the expense is incurred; and (D) the right to reimbursement or in-kind benefits is not subject to liquidation or exchange for another benefit.</w:t>
      </w:r>
    </w:p>
    <w:p>
      <w:pPr>
        <w:spacing w:after="0" w:line="180" w:lineRule="exact"/>
        <w:rPr>
          <w:rFonts w:ascii="Arial" w:cs="Arial" w:eastAsia="Arial" w:hAnsi="Arial"/>
          <w:sz w:val="21"/>
          <w:szCs w:val="21"/>
          <w:color w:val="auto"/>
        </w:rPr>
      </w:pPr>
    </w:p>
    <w:p>
      <w:pPr>
        <w:jc w:val="both"/>
        <w:ind w:left="180" w:firstLine="1934"/>
        <w:spacing w:after="0" w:line="280" w:lineRule="auto"/>
        <w:tabs>
          <w:tab w:leader="none" w:pos="2610" w:val="left"/>
        </w:tabs>
        <w:numPr>
          <w:ilvl w:val="1"/>
          <w:numId w:val="465"/>
        </w:numPr>
        <w:rPr>
          <w:rFonts w:ascii="Arial" w:cs="Arial" w:eastAsia="Arial" w:hAnsi="Arial"/>
          <w:sz w:val="19"/>
          <w:szCs w:val="19"/>
          <w:color w:val="auto"/>
        </w:rPr>
      </w:pPr>
      <w:r>
        <w:rPr>
          <w:rFonts w:ascii="Arial" w:cs="Arial" w:eastAsia="Arial" w:hAnsi="Arial"/>
          <w:sz w:val="19"/>
          <w:szCs w:val="19"/>
          <w:b w:val="1"/>
          <w:bCs w:val="1"/>
          <w:u w:val="single" w:color="auto"/>
          <w:color w:val="auto"/>
        </w:rPr>
        <w:t>Delay of Payments</w:t>
      </w:r>
      <w:r>
        <w:rPr>
          <w:rFonts w:ascii="Arial" w:cs="Arial" w:eastAsia="Arial" w:hAnsi="Arial"/>
          <w:sz w:val="19"/>
          <w:szCs w:val="19"/>
          <w:color w:val="auto"/>
        </w:rPr>
        <w:t>. Notwithstanding any other provision of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if Executive is considered a “specified employee” for purposes of Section 409A of the Code (as determined in accordance with the methodology established by the Company and its Affiliates as in effect on the Termination Date), any payment that constitutes nonqualified deferred compensation within the meaning of Section 409A of the Code that is otherwise due to Executive under this Agreement during the six-month period immediately following Executive’s separation from service (as determined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8" w:name="page419"/>
    <w:bookmarkEnd w:id="418"/>
    <w:p>
      <w:pPr>
        <w:jc w:val="both"/>
        <w:ind w:left="180"/>
        <w:spacing w:after="0" w:line="234" w:lineRule="auto"/>
        <w:rPr>
          <w:sz w:val="20"/>
          <w:szCs w:val="20"/>
          <w:color w:val="auto"/>
        </w:rPr>
      </w:pPr>
      <w:r>
        <w:rPr>
          <w:rFonts w:ascii="Arial" w:cs="Arial" w:eastAsia="Arial" w:hAnsi="Arial"/>
          <w:sz w:val="22"/>
          <w:szCs w:val="22"/>
          <w:color w:val="auto"/>
        </w:rPr>
        <w:t>Section 409A of the Code) on account of Executive’s separation from service shall be accumulated and paid to Executive on the first business day of the seventh month following Executive’s separation from service (the “</w:t>
      </w:r>
      <w:r>
        <w:rPr>
          <w:rFonts w:ascii="Arial" w:cs="Arial" w:eastAsia="Arial" w:hAnsi="Arial"/>
          <w:sz w:val="22"/>
          <w:szCs w:val="22"/>
          <w:b w:val="1"/>
          <w:bCs w:val="1"/>
          <w:color w:val="auto"/>
        </w:rPr>
        <w:t>Delayed Payment Date</w:t>
      </w:r>
      <w:r>
        <w:rPr>
          <w:rFonts w:ascii="Arial" w:cs="Arial" w:eastAsia="Arial" w:hAnsi="Arial"/>
          <w:sz w:val="22"/>
          <w:szCs w:val="22"/>
          <w:color w:val="auto"/>
        </w:rPr>
        <w:t>”), to the extent necessary to prevent the imposition of tax penalties on Executive under Section 409A of the Code. If Executive dies during the postponement period, the amounts and entitlements delayed on account of Section 409A of the Code shall be paid to the personal representative of Executive’s estate on the first to occur of the Delayed Payment Date or 30 calendar days after the date of Executive’s death.</w:t>
      </w:r>
    </w:p>
    <w:p>
      <w:pPr>
        <w:spacing w:after="0" w:line="185" w:lineRule="exact"/>
        <w:rPr>
          <w:sz w:val="20"/>
          <w:szCs w:val="20"/>
          <w:color w:val="auto"/>
        </w:rPr>
      </w:pPr>
    </w:p>
    <w:p>
      <w:pPr>
        <w:jc w:val="both"/>
        <w:ind w:firstLine="1304"/>
        <w:spacing w:after="0" w:line="278" w:lineRule="auto"/>
        <w:tabs>
          <w:tab w:leader="none" w:pos="1944" w:val="left"/>
        </w:tabs>
        <w:numPr>
          <w:ilvl w:val="0"/>
          <w:numId w:val="466"/>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No provision of this Agreement shall be modified or amended except by an</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 in writing duly executed by the Parties hereto. No custom, act, payment, favor or indulgence shall be deemed a waiver by the Company of any of Executive’s obligations hereunder or release Executive therefrom. No waiver by any party of any breach by the other party of any term or provision hereof shall be deemed to be an assent or waiver by any party to or of any succeeding breach of the same or any other term or provision. This Agreement is personal to and shall not be assignable by any party, but shall inure to the benefit of the Parties hereto and their respective heirs, beneficiaries, successors and assigns.</w:t>
      </w:r>
    </w:p>
    <w:p>
      <w:pPr>
        <w:spacing w:after="0" w:line="145" w:lineRule="exact"/>
        <w:rPr>
          <w:rFonts w:ascii="Arial" w:cs="Arial" w:eastAsia="Arial" w:hAnsi="Arial"/>
          <w:sz w:val="19"/>
          <w:szCs w:val="19"/>
          <w:color w:val="auto"/>
        </w:rPr>
      </w:pPr>
    </w:p>
    <w:p>
      <w:pPr>
        <w:jc w:val="both"/>
        <w:ind w:firstLine="1304"/>
        <w:spacing w:after="0" w:line="276" w:lineRule="auto"/>
        <w:tabs>
          <w:tab w:leader="none" w:pos="1944" w:val="left"/>
        </w:tabs>
        <w:numPr>
          <w:ilvl w:val="0"/>
          <w:numId w:val="466"/>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constitutes the entire agreement of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in respect of the terms and conditions of Executive’s employment with the Company and its Affiliates, including Executive’s severance entitlements, and, as of the Effective Date, supersedes and cancels in their entirety all prior understandings, agreements and commitments, whether written or oral, relating to the terms and conditions of employment between Executive, on the one hand, and the Company or its Affiliates, on the other hand. For the avoidance of doubt, this Agreement does not limit the terms of any benefit plans (including equity award agreements) of the Company or its Affiliates that are applicable Executive, except to the extent that the terms of this Agreement are more favorable to Executive.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19" w:name="page420"/>
    <w:bookmarkEnd w:id="419"/>
    <w:p>
      <w:pPr>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Executive and the Company have caused this Agreement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effective as of the Effective Date.</w:t>
      </w:r>
    </w:p>
    <w:p>
      <w:pPr>
        <w:spacing w:after="0" w:line="31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 William A.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57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William A. Ford</w:t>
      </w:r>
    </w:p>
    <w:p>
      <w:pPr>
        <w:spacing w:after="0" w:line="39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WESTROCK COFFEE COMPANY</w:t>
      </w:r>
    </w:p>
    <w:p>
      <w:pPr>
        <w:spacing w:after="0" w:line="200" w:lineRule="exact"/>
        <w:rPr>
          <w:sz w:val="20"/>
          <w:szCs w:val="20"/>
          <w:color w:val="auto"/>
        </w:rPr>
      </w:pPr>
    </w:p>
    <w:p>
      <w:pPr>
        <w:spacing w:after="0" w:line="28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By:/s/ Bob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6985</wp:posOffset>
            </wp:positionV>
            <wp:extent cx="293179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22"/>
          <w:szCs w:val="22"/>
          <w:color w:val="auto"/>
        </w:rPr>
        <w:t>Bob McKinney</w:t>
      </w:r>
    </w:p>
    <w:p>
      <w:pPr>
        <w:ind w:left="5300"/>
        <w:spacing w:after="0"/>
        <w:rPr>
          <w:sz w:val="20"/>
          <w:szCs w:val="20"/>
          <w:color w:val="auto"/>
        </w:rPr>
      </w:pPr>
      <w:r>
        <w:rPr>
          <w:rFonts w:ascii="Arial" w:cs="Arial" w:eastAsia="Arial" w:hAnsi="Arial"/>
          <w:sz w:val="22"/>
          <w:szCs w:val="22"/>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20" w:name="page421"/>
    <w:bookmarkEnd w:id="420"/>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 OF CLAIMS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THIS GENERAL RELEASE OF CLAIMS </w:t>
      </w:r>
      <w:r>
        <w:rPr>
          <w:rFonts w:ascii="Arial" w:cs="Arial" w:eastAsia="Arial" w:hAnsi="Arial"/>
          <w:sz w:val="22"/>
          <w:szCs w:val="22"/>
          <w:color w:val="auto"/>
        </w:rPr>
        <w:t>(this “</w:t>
      </w:r>
      <w:r>
        <w:rPr>
          <w:rFonts w:ascii="Arial" w:cs="Arial" w:eastAsia="Arial" w:hAnsi="Arial"/>
          <w:sz w:val="22"/>
          <w:szCs w:val="22"/>
          <w:b w:val="1"/>
          <w:bCs w:val="1"/>
          <w:color w:val="auto"/>
        </w:rPr>
        <w:t>Release</w:t>
      </w:r>
      <w:r>
        <w:rPr>
          <w:rFonts w:ascii="Arial" w:cs="Arial" w:eastAsia="Arial" w:hAnsi="Arial"/>
          <w:sz w:val="22"/>
          <w:szCs w:val="22"/>
          <w:color w:val="auto"/>
        </w:rPr>
        <w:t>”) is executed by William A. Ford (“</w:t>
      </w:r>
      <w:r>
        <w:rPr>
          <w:rFonts w:ascii="Arial" w:cs="Arial" w:eastAsia="Arial" w:hAnsi="Arial"/>
          <w:sz w:val="22"/>
          <w:szCs w:val="22"/>
          <w:b w:val="1"/>
          <w:bCs w:val="1"/>
          <w:color w:val="auto"/>
        </w:rPr>
        <w:t>Executive</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set forth on the signature page hereto. For purposes of this Release, reference is made to the Employment Agreement between Westrock Coffee Company (the “</w:t>
      </w:r>
      <w:r>
        <w:rPr>
          <w:rFonts w:ascii="Arial" w:cs="Arial" w:eastAsia="Arial" w:hAnsi="Arial"/>
          <w:sz w:val="22"/>
          <w:szCs w:val="22"/>
          <w:b w:val="1"/>
          <w:bCs w:val="1"/>
          <w:color w:val="auto"/>
        </w:rPr>
        <w:t>Company</w:t>
      </w:r>
      <w:r>
        <w:rPr>
          <w:rFonts w:ascii="Arial" w:cs="Arial" w:eastAsia="Arial" w:hAnsi="Arial"/>
          <w:sz w:val="22"/>
          <w:szCs w:val="22"/>
          <w:color w:val="auto"/>
        </w:rPr>
        <w:t>”) and Executive, dated as of [•], 2022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Terms that are capitalized but not defined herein shall have the meanings set forth in the Employment Agreement.</w:t>
      </w:r>
    </w:p>
    <w:p>
      <w:pPr>
        <w:spacing w:after="0" w:line="182" w:lineRule="exact"/>
        <w:rPr>
          <w:sz w:val="20"/>
          <w:szCs w:val="20"/>
          <w:color w:val="auto"/>
        </w:rPr>
      </w:pPr>
    </w:p>
    <w:p>
      <w:pPr>
        <w:ind w:left="660" w:hanging="328"/>
        <w:spacing w:after="0"/>
        <w:tabs>
          <w:tab w:leader="none" w:pos="660" w:val="left"/>
        </w:tabs>
        <w:numPr>
          <w:ilvl w:val="0"/>
          <w:numId w:val="467"/>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and Waiver of Claims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467"/>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In consideration of the payments and benefits afforded under the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after consultation with counsel, Executive and each of Executive’s respective heirs, executors, administrators, representatives, agents, successors and assigns (collectively, the “</w:t>
      </w:r>
      <w:r>
        <w:rPr>
          <w:rFonts w:ascii="Arial" w:cs="Arial" w:eastAsia="Arial" w:hAnsi="Arial"/>
          <w:sz w:val="19"/>
          <w:szCs w:val="19"/>
          <w:b w:val="1"/>
          <w:bCs w:val="1"/>
          <w:color w:val="auto"/>
        </w:rPr>
        <w:t>Releasors</w:t>
      </w:r>
      <w:r>
        <w:rPr>
          <w:rFonts w:ascii="Arial" w:cs="Arial" w:eastAsia="Arial" w:hAnsi="Arial"/>
          <w:sz w:val="19"/>
          <w:szCs w:val="19"/>
          <w:color w:val="auto"/>
        </w:rPr>
        <w:t>”) hereby irrevocably and unconditionally release and forever discharge the Company and its Affiliates and each of its officers, employees, directors and agents (“</w:t>
      </w:r>
      <w:r>
        <w:rPr>
          <w:rFonts w:ascii="Arial" w:cs="Arial" w:eastAsia="Arial" w:hAnsi="Arial"/>
          <w:sz w:val="19"/>
          <w:szCs w:val="19"/>
          <w:b w:val="1"/>
          <w:bCs w:val="1"/>
          <w:color w:val="auto"/>
        </w:rPr>
        <w:t>Releasees</w:t>
      </w:r>
      <w:r>
        <w:rPr>
          <w:rFonts w:ascii="Arial" w:cs="Arial" w:eastAsia="Arial" w:hAnsi="Arial"/>
          <w:sz w:val="19"/>
          <w:szCs w:val="19"/>
          <w:color w:val="auto"/>
        </w:rPr>
        <w:t>”) from any and all claims, actions, causes of action, rights, judgments, obligations, damages, demands, accountings or liabilities of whatever kind or character (collectively, “</w:t>
      </w:r>
      <w:r>
        <w:rPr>
          <w:rFonts w:ascii="Arial" w:cs="Arial" w:eastAsia="Arial" w:hAnsi="Arial"/>
          <w:sz w:val="19"/>
          <w:szCs w:val="19"/>
          <w:b w:val="1"/>
          <w:bCs w:val="1"/>
          <w:color w:val="auto"/>
        </w:rPr>
        <w:t>Claims</w:t>
      </w:r>
      <w:r>
        <w:rPr>
          <w:rFonts w:ascii="Arial" w:cs="Arial" w:eastAsia="Arial" w:hAnsi="Arial"/>
          <w:sz w:val="19"/>
          <w:szCs w:val="19"/>
          <w:color w:val="auto"/>
        </w:rPr>
        <w:t>”) that the Releasors may have arising out of Executive’s employment relationship with and service as an employee, officer or director of the Company and its Affiliates, and the termination of any such relationship or service, in each case up to and including the date Executive executes this Release. Executive acknowledges that the foregoing sentence includes Claims arising under Federal, state or local laws, statutes, orders or regulations that relate to the employment relationship or prohibiting employment discrimination, including Claims under Title VII of the Civil Rights Act of 1964; The Civil Rights Act of 1991; Sections 1981 through 1988 of Title 42 of the United States Code; the Employee Retirement Income Security Act of 1974; the Immigration Reform and Control Act; the Sarbanes-Oxley Act of 2002; the Americans with Disabilities Act of 1990; the Family and Medical Leave Act; the Equal Pay Act; the Fair Credit Reporting Act; Occupational Safety and Health Act; the federal Fair Labor Standards Act; and any other federal, state or local civil, human rights, bias, whistleblower, discrimination, retaliation, compensation, employment, labor or other local, state or federal law, regulation or ordinance.</w:t>
      </w:r>
    </w:p>
    <w:p>
      <w:pPr>
        <w:spacing w:after="0" w:line="152" w:lineRule="exact"/>
        <w:rPr>
          <w:rFonts w:ascii="Arial" w:cs="Arial" w:eastAsia="Arial" w:hAnsi="Arial"/>
          <w:sz w:val="19"/>
          <w:szCs w:val="19"/>
          <w:color w:val="auto"/>
        </w:rPr>
      </w:pPr>
    </w:p>
    <w:p>
      <w:pPr>
        <w:jc w:val="both"/>
        <w:ind w:firstLine="1304"/>
        <w:spacing w:after="0" w:line="244" w:lineRule="auto"/>
        <w:tabs>
          <w:tab w:leader="none" w:pos="1944" w:val="left"/>
        </w:tabs>
        <w:numPr>
          <w:ilvl w:val="1"/>
          <w:numId w:val="467"/>
        </w:numPr>
        <w:rPr>
          <w:rFonts w:ascii="Arial" w:cs="Arial" w:eastAsia="Arial" w:hAnsi="Arial"/>
          <w:sz w:val="21"/>
          <w:szCs w:val="21"/>
          <w:color w:val="auto"/>
        </w:rPr>
      </w:pPr>
      <w:r>
        <w:rPr>
          <w:rFonts w:ascii="Arial" w:cs="Arial" w:eastAsia="Arial" w:hAnsi="Arial"/>
          <w:sz w:val="21"/>
          <w:szCs w:val="21"/>
          <w:b w:val="1"/>
          <w:bCs w:val="1"/>
          <w:u w:val="single" w:color="auto"/>
          <w:color w:val="auto"/>
        </w:rPr>
        <w:t>Exceptions to Release</w:t>
      </w:r>
      <w:r>
        <w:rPr>
          <w:rFonts w:ascii="Arial" w:cs="Arial" w:eastAsia="Arial" w:hAnsi="Arial"/>
          <w:sz w:val="21"/>
          <w:szCs w:val="21"/>
          <w:color w:val="auto"/>
        </w:rPr>
        <w:t>. Notwithstanding anything contained herein to the contrary, this</w:t>
      </w:r>
      <w:r>
        <w:rPr>
          <w:rFonts w:ascii="Arial" w:cs="Arial" w:eastAsia="Arial" w:hAnsi="Arial"/>
          <w:sz w:val="21"/>
          <w:szCs w:val="21"/>
          <w:b w:val="1"/>
          <w:bCs w:val="1"/>
          <w:color w:val="auto"/>
        </w:rPr>
        <w:t xml:space="preserve"> </w:t>
      </w:r>
      <w:r>
        <w:rPr>
          <w:rFonts w:ascii="Arial" w:cs="Arial" w:eastAsia="Arial" w:hAnsi="Arial"/>
          <w:sz w:val="21"/>
          <w:szCs w:val="21"/>
          <w:color w:val="auto"/>
        </w:rPr>
        <w:t>Release specifically excludes and shall not affect: (i) the obligations of the Company or its Affiliates set forth in the Employment Agreement and to be performed after the date hereof, including without limitation under in Sections 5, 8 and 10 thereof, or under any other benefit plan, agreement, arrangement or policy of the Company or its Affiliates that is applicable to Executive and that, in each case, by its terms, contains obligations that are to be performed after the date hereof by the Company or its Affiliates; (ii) any indemnification or similar rights Executive has as a current or former officer, director, employee or agent of the Company or its Affiliates, including, without limitation, any and all rights thereto under applicable law, the certificate of incorporation, bylaws or other governance documents or such entities, or any rights with respect to coverage under any directors’ and officers’ insurance policies and/or indemnification agreements; (iii) any Claim the Releasors may have as the holder or beneficial owners of securities of the Company or its Affiliates or other rights relating to securities or equity awards in respect of the common stock of the Company or its Affiliates; (iv) rights to accrued but unpaid salary, paid time off, vacation or other compensation due through the date of termination of employment; (v) any unreimbursed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21" w:name="page422"/>
    <w:bookmarkEnd w:id="421"/>
    <w:p>
      <w:pPr>
        <w:jc w:val="both"/>
        <w:spacing w:after="0" w:line="238" w:lineRule="auto"/>
        <w:rPr>
          <w:sz w:val="20"/>
          <w:szCs w:val="20"/>
          <w:color w:val="auto"/>
        </w:rPr>
      </w:pPr>
      <w:r>
        <w:rPr>
          <w:rFonts w:ascii="Arial" w:cs="Arial" w:eastAsia="Arial" w:hAnsi="Arial"/>
          <w:sz w:val="22"/>
          <w:szCs w:val="22"/>
          <w:color w:val="auto"/>
        </w:rPr>
        <w:t>business expenses; (vi) benefits or the right to seek benefits under applicable workers’ compensation and/or unemployment compensation statutes; and (vii) any Claims that may arise in the future from events or actions occurring after the date Executive executes this Release or that Executive may not by law release through an agreement such as this.</w:t>
      </w:r>
    </w:p>
    <w:p>
      <w:pPr>
        <w:spacing w:after="0" w:line="179" w:lineRule="exact"/>
        <w:rPr>
          <w:sz w:val="20"/>
          <w:szCs w:val="20"/>
          <w:color w:val="auto"/>
        </w:rPr>
      </w:pPr>
    </w:p>
    <w:p>
      <w:pPr>
        <w:jc w:val="both"/>
        <w:ind w:firstLine="1304"/>
        <w:spacing w:after="0" w:line="271" w:lineRule="auto"/>
        <w:tabs>
          <w:tab w:leader="none" w:pos="1944" w:val="left"/>
        </w:tabs>
        <w:numPr>
          <w:ilvl w:val="1"/>
          <w:numId w:val="468"/>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Specific Release of ADEA Claims</w:t>
      </w:r>
      <w:r>
        <w:rPr>
          <w:rFonts w:ascii="Arial" w:cs="Arial" w:eastAsia="Arial" w:hAnsi="Arial"/>
          <w:sz w:val="19"/>
          <w:szCs w:val="19"/>
          <w:color w:val="auto"/>
        </w:rPr>
        <w:t>. In further consideration of the payments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to Executive under the Employment Agreement, the Releasors hereby unconditionally release and forever discharge the Releasees from any and all Claims that the Releasors may have as of the date Employee signs this Release arising under the Federal Age Discrimination in Employment Act of 1967, as amended, and the applicable rules and regulations promulgated thereunder (“</w:t>
      </w:r>
      <w:r>
        <w:rPr>
          <w:rFonts w:ascii="Arial" w:cs="Arial" w:eastAsia="Arial" w:hAnsi="Arial"/>
          <w:sz w:val="19"/>
          <w:szCs w:val="19"/>
          <w:b w:val="1"/>
          <w:bCs w:val="1"/>
          <w:color w:val="auto"/>
        </w:rPr>
        <w:t>ADEA</w:t>
      </w:r>
      <w:r>
        <w:rPr>
          <w:rFonts w:ascii="Arial" w:cs="Arial" w:eastAsia="Arial" w:hAnsi="Arial"/>
          <w:sz w:val="19"/>
          <w:szCs w:val="19"/>
          <w:color w:val="auto"/>
        </w:rPr>
        <w:t xml:space="preserve">”). By signing this Release, Executive hereby acknowledges and confirms the following: (i) Executive was advised by the Company in connection with Executive’s termination of employment to consult with an attorney of Executive’s choice prior to signing this Release and to have such attorney explain to Executive the terms of this Release, including, without limitation, the terms relating to Executive’s release of claims arising under ADEA, and Executive has in fact consulted with an attorney; (ii) Executive was given a period of not fewer than </w:t>
      </w:r>
      <w:r>
        <w:rPr>
          <w:rFonts w:ascii="Arial" w:cs="Arial" w:eastAsia="Arial" w:hAnsi="Arial"/>
          <w:sz w:val="19"/>
          <w:szCs w:val="19"/>
          <w:b w:val="1"/>
          <w:bCs w:val="1"/>
          <w:color w:val="auto"/>
        </w:rPr>
        <w:t>[twenty-one (21)] [forty-five (45)]</w:t>
      </w:r>
      <w:r>
        <w:rPr>
          <w:rFonts w:ascii="Arial" w:cs="Arial" w:eastAsia="Arial" w:hAnsi="Arial"/>
          <w:sz w:val="19"/>
          <w:szCs w:val="19"/>
          <w:color w:val="auto"/>
        </w:rPr>
        <w:t xml:space="preserve"> calendar days to consider the terms of this Release and to consult with an attorney of Executive’s choosing with respect thereto; and (iii) Executive knowingly and voluntarily accepts the terms of this Release. Executive also understands that Executive has seven (7) calendar days following the date on which Executive signs this Release within which to revoke the release contained in this Section 1(c), by providing the Company a written notice of Executive’s revocation of the release and waiver contained in this Section 1(c).</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firstLine="1304"/>
        <w:spacing w:after="0" w:line="256" w:lineRule="auto"/>
        <w:tabs>
          <w:tab w:leader="none" w:pos="1944" w:val="left"/>
        </w:tabs>
        <w:numPr>
          <w:ilvl w:val="1"/>
          <w:numId w:val="468"/>
        </w:numPr>
        <w:rPr>
          <w:rFonts w:ascii="Arial" w:cs="Arial" w:eastAsia="Arial" w:hAnsi="Arial"/>
          <w:sz w:val="22"/>
          <w:szCs w:val="22"/>
          <w:color w:val="auto"/>
        </w:rPr>
      </w:pPr>
      <w:r>
        <w:rPr>
          <w:rFonts w:ascii="Arial" w:cs="Arial" w:eastAsia="Arial" w:hAnsi="Arial"/>
          <w:sz w:val="22"/>
          <w:szCs w:val="22"/>
          <w:b w:val="1"/>
          <w:bCs w:val="1"/>
          <w:u w:val="single" w:color="auto"/>
          <w:color w:val="auto"/>
        </w:rPr>
        <w:t>No Assignment</w:t>
      </w:r>
      <w:r>
        <w:rPr>
          <w:rFonts w:ascii="Arial" w:cs="Arial" w:eastAsia="Arial" w:hAnsi="Arial"/>
          <w:sz w:val="22"/>
          <w:szCs w:val="22"/>
          <w:color w:val="auto"/>
        </w:rPr>
        <w:t>. Executive represents and warrants that Executive has not assigned any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Claims being released under this Release.</w:t>
      </w:r>
    </w:p>
    <w:p>
      <w:pPr>
        <w:spacing w:after="0" w:line="162" w:lineRule="exact"/>
        <w:rPr>
          <w:rFonts w:ascii="Arial" w:cs="Arial" w:eastAsia="Arial" w:hAnsi="Arial"/>
          <w:sz w:val="22"/>
          <w:szCs w:val="22"/>
          <w:color w:val="auto"/>
        </w:rPr>
      </w:pPr>
    </w:p>
    <w:p>
      <w:pPr>
        <w:jc w:val="both"/>
        <w:ind w:firstLine="332"/>
        <w:spacing w:after="0" w:line="272" w:lineRule="auto"/>
        <w:tabs>
          <w:tab w:leader="none" w:pos="648" w:val="left"/>
        </w:tabs>
        <w:numPr>
          <w:ilvl w:val="0"/>
          <w:numId w:val="469"/>
        </w:numPr>
        <w:rPr>
          <w:rFonts w:ascii="Arial" w:cs="Arial" w:eastAsia="Arial" w:hAnsi="Arial"/>
          <w:sz w:val="19"/>
          <w:szCs w:val="19"/>
          <w:color w:val="auto"/>
        </w:rPr>
      </w:pPr>
      <w:r>
        <w:rPr>
          <w:rFonts w:ascii="Arial" w:cs="Arial" w:eastAsia="Arial" w:hAnsi="Arial"/>
          <w:sz w:val="19"/>
          <w:szCs w:val="19"/>
          <w:b w:val="1"/>
          <w:bCs w:val="1"/>
          <w:u w:val="single" w:color="auto"/>
          <w:color w:val="auto"/>
        </w:rPr>
        <w:t>Proceedings</w:t>
      </w:r>
      <w:r>
        <w:rPr>
          <w:rFonts w:ascii="Arial" w:cs="Arial" w:eastAsia="Arial" w:hAnsi="Arial"/>
          <w:sz w:val="19"/>
          <w:szCs w:val="19"/>
          <w:color w:val="auto"/>
        </w:rPr>
        <w:t>. Executive has not filed, and agrees not to initiate or cause to be initiated on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behalf, any complaint, charge, claim or proceeding against the Releasees with respect to any Claims released under Section 1(a) or (c) before any local, state or federal agency, court or other body (each, individually,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and agrees not to participate voluntarily in any Proceeding involving such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and subject to the immediately following sentence, nothing set forth here in intended to or shall interfere with Executive’s right to participate in a Proceeding with any appropriate federal, state, or local government agency enforcing discrimination laws, nor shall this Release prohibit Executive from cooperating with any such agency in its investigation. Executive waives any right Executive may have to benefit in any manner from any relief (whether monetary or otherwise) arising out of any Proceeding involving such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any legally protected whistleblower rights (including under Rule 21F under the Exchange Act). For the avoidance of doubt, the term Proceeding shall not include any complaint, charge, claim or proceeding with respect to the obligations of the Company to Executive under the Employment Agreement or in respect of any other matter described in Section 1(b), and Executive retains all of Executive’s rights in connection with the same.</w:t>
      </w:r>
    </w:p>
    <w:p>
      <w:pPr>
        <w:spacing w:after="0" w:line="398" w:lineRule="exact"/>
        <w:rPr>
          <w:rFonts w:ascii="Arial" w:cs="Arial" w:eastAsia="Arial" w:hAnsi="Arial"/>
          <w:sz w:val="19"/>
          <w:szCs w:val="19"/>
          <w:color w:val="auto"/>
        </w:rPr>
      </w:pPr>
    </w:p>
    <w:p>
      <w:pPr>
        <w:ind w:firstLine="332"/>
        <w:spacing w:after="0" w:line="334" w:lineRule="auto"/>
        <w:tabs>
          <w:tab w:leader="none" w:pos="648" w:val="left"/>
        </w:tabs>
        <w:numPr>
          <w:ilvl w:val="0"/>
          <w:numId w:val="469"/>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 Clause</w:t>
      </w:r>
      <w:r>
        <w:rPr>
          <w:rFonts w:ascii="Arial" w:cs="Arial" w:eastAsia="Arial" w:hAnsi="Arial"/>
          <w:sz w:val="19"/>
          <w:szCs w:val="19"/>
          <w:color w:val="auto"/>
        </w:rPr>
        <w:t>. In the event any provision or part of this Release is found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only that particular provision or part so found, and not the entire Release, shall be inoperative.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22" w:name="page423"/>
    <w:bookmarkEnd w:id="422"/>
    <w:p>
      <w:pPr>
        <w:ind w:firstLine="332"/>
        <w:spacing w:after="0" w:line="256" w:lineRule="auto"/>
        <w:tabs>
          <w:tab w:leader="none" w:pos="648" w:val="left"/>
        </w:tabs>
        <w:numPr>
          <w:ilvl w:val="0"/>
          <w:numId w:val="470"/>
        </w:numPr>
        <w:rPr>
          <w:rFonts w:ascii="Arial" w:cs="Arial" w:eastAsia="Arial" w:hAnsi="Arial"/>
          <w:sz w:val="22"/>
          <w:szCs w:val="22"/>
          <w:color w:val="auto"/>
        </w:rPr>
      </w:pPr>
      <w:r>
        <w:rPr>
          <w:rFonts w:ascii="Arial" w:cs="Arial" w:eastAsia="Arial" w:hAnsi="Arial"/>
          <w:sz w:val="22"/>
          <w:szCs w:val="22"/>
          <w:b w:val="1"/>
          <w:bCs w:val="1"/>
          <w:u w:val="single" w:color="auto"/>
          <w:color w:val="auto"/>
        </w:rPr>
        <w:t>No Admission</w:t>
      </w:r>
      <w:r>
        <w:rPr>
          <w:rFonts w:ascii="Arial" w:cs="Arial" w:eastAsia="Arial" w:hAnsi="Arial"/>
          <w:sz w:val="22"/>
          <w:szCs w:val="22"/>
          <w:color w:val="auto"/>
        </w:rPr>
        <w:t>. Nothing contained in this Release shall be deemed or construed as an admission of</w:t>
      </w:r>
      <w:r>
        <w:rPr>
          <w:rFonts w:ascii="Arial" w:cs="Arial" w:eastAsia="Arial" w:hAnsi="Arial"/>
          <w:sz w:val="22"/>
          <w:szCs w:val="22"/>
          <w:b w:val="1"/>
          <w:bCs w:val="1"/>
          <w:color w:val="auto"/>
        </w:rPr>
        <w:t xml:space="preserve"> </w:t>
      </w:r>
      <w:r>
        <w:rPr>
          <w:rFonts w:ascii="Arial" w:cs="Arial" w:eastAsia="Arial" w:hAnsi="Arial"/>
          <w:sz w:val="22"/>
          <w:szCs w:val="22"/>
          <w:color w:val="auto"/>
        </w:rPr>
        <w:t>wrongdoing or liability on the part of the Releasees.</w:t>
      </w:r>
    </w:p>
    <w:p>
      <w:pPr>
        <w:spacing w:after="0" w:line="162" w:lineRule="exact"/>
        <w:rPr>
          <w:rFonts w:ascii="Arial" w:cs="Arial" w:eastAsia="Arial" w:hAnsi="Arial"/>
          <w:sz w:val="22"/>
          <w:szCs w:val="22"/>
          <w:color w:val="auto"/>
        </w:rPr>
      </w:pPr>
    </w:p>
    <w:p>
      <w:pPr>
        <w:jc w:val="both"/>
        <w:ind w:firstLine="332"/>
        <w:spacing w:after="0" w:line="239" w:lineRule="auto"/>
        <w:tabs>
          <w:tab w:leader="none" w:pos="648" w:val="left"/>
        </w:tabs>
        <w:numPr>
          <w:ilvl w:val="0"/>
          <w:numId w:val="47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Venue</w:t>
      </w:r>
      <w:r>
        <w:rPr>
          <w:rFonts w:ascii="Arial" w:cs="Arial" w:eastAsia="Arial" w:hAnsi="Arial"/>
          <w:sz w:val="22"/>
          <w:szCs w:val="22"/>
          <w:color w:val="auto"/>
        </w:rPr>
        <w:t>. All matters affecting this Release, including the validity thereof, are to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governed by, and interpreted and construed in accordance with, the laws of the State of Arkansas applicable to contracts executed in and to be performed in that State,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rights to indemnification shall be governed by and in accordance with the laws of the State of Delaware.</w:t>
      </w:r>
    </w:p>
    <w:p>
      <w:pPr>
        <w:spacing w:after="0" w:line="207" w:lineRule="exact"/>
        <w:rPr>
          <w:rFonts w:ascii="Arial" w:cs="Arial" w:eastAsia="Arial" w:hAnsi="Arial"/>
          <w:sz w:val="22"/>
          <w:szCs w:val="22"/>
          <w:color w:val="auto"/>
        </w:rPr>
      </w:pPr>
    </w:p>
    <w:p>
      <w:pPr>
        <w:ind w:firstLine="332"/>
        <w:spacing w:after="0" w:line="256" w:lineRule="auto"/>
        <w:tabs>
          <w:tab w:leader="none" w:pos="648" w:val="left"/>
        </w:tabs>
        <w:numPr>
          <w:ilvl w:val="0"/>
          <w:numId w:val="47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Release may be executed in counterparts and each counterpart shall be deemed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w:t>
      </w:r>
    </w:p>
    <w:p>
      <w:pPr>
        <w:spacing w:after="0" w:line="189" w:lineRule="exact"/>
        <w:rPr>
          <w:rFonts w:ascii="Arial" w:cs="Arial" w:eastAsia="Arial" w:hAnsi="Arial"/>
          <w:sz w:val="22"/>
          <w:szCs w:val="22"/>
          <w:color w:val="auto"/>
        </w:rPr>
      </w:pPr>
    </w:p>
    <w:p>
      <w:pPr>
        <w:jc w:val="both"/>
        <w:ind w:firstLine="332"/>
        <w:spacing w:after="0" w:line="239" w:lineRule="auto"/>
        <w:tabs>
          <w:tab w:leader="none" w:pos="648" w:val="left"/>
        </w:tabs>
        <w:numPr>
          <w:ilvl w:val="0"/>
          <w:numId w:val="470"/>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All notices, requests, demands or other communications under this Release shall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be deemed to have been duly given when delivered in person or deposited in the United States mail, postage prepaid, by registered or certified mail, return receipt requested, to the party to whom such notice is being given as follows:</w:t>
      </w:r>
    </w:p>
    <w:p>
      <w:pPr>
        <w:sectPr>
          <w:pgSz w:w="11900" w:h="16838" w:orient="portrait"/>
          <w:cols w:equalWidth="0" w:num="1">
            <w:col w:w="9920"/>
          </w:cols>
          <w:pgMar w:left="980" w:top="868" w:right="999" w:bottom="1440" w:gutter="0" w:footer="0" w:header="0"/>
        </w:sectPr>
      </w:pP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to Employee: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Executive’s last address on the books and records of the Company</w:t>
      </w:r>
    </w:p>
    <w:p>
      <w:pPr>
        <w:spacing w:after="0" w:line="200" w:lineRule="exact"/>
        <w:rPr>
          <w:sz w:val="20"/>
          <w:szCs w:val="20"/>
          <w:color w:val="auto"/>
        </w:rPr>
      </w:pPr>
    </w:p>
    <w:p>
      <w:pPr>
        <w:sectPr>
          <w:pgSz w:w="11900" w:h="16838" w:orient="portrait"/>
          <w:cols w:equalWidth="0" w:num="2">
            <w:col w:w="3180" w:space="720"/>
            <w:col w:w="6020"/>
          </w:cols>
          <w:pgMar w:left="980" w:top="868" w:right="99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to the Company: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[ADDRESS AS OF DATE OF RELEASE]</w:t>
      </w:r>
    </w:p>
    <w:p>
      <w:pPr>
        <w:spacing w:after="0" w:line="200" w:lineRule="exact"/>
        <w:rPr>
          <w:sz w:val="20"/>
          <w:szCs w:val="20"/>
          <w:color w:val="auto"/>
        </w:rPr>
      </w:pPr>
    </w:p>
    <w:p>
      <w:pPr>
        <w:sectPr>
          <w:pgSz w:w="11900" w:h="16838" w:orient="portrait"/>
          <w:cols w:equalWidth="0" w:num="2">
            <w:col w:w="3180" w:space="720"/>
            <w:col w:w="6020"/>
          </w:cols>
          <w:pgMar w:left="980" w:top="868" w:right="999" w:bottom="1440" w:gutter="0" w:footer="0" w:header="0"/>
          <w:type w:val="continuous"/>
        </w:sectPr>
      </w:pPr>
    </w:p>
    <w:p>
      <w:pPr>
        <w:spacing w:after="0" w:line="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party may change Executive’s address or the name of the person to whose attention the notice or other communication shall be directed from time to time by serving notice thereof upon the other party as provided herein.</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EXECUTIVE ACKNOWLEDGES THAT EXECUTIVE HAS READ THIS RELEASE AND THAT EXECUTIVE FULLY KNOWS, UNDERSTANDS AND APPRECIATES ITS CONTENTS, AND THAT EXECUTIVE HEREBY EXECUTES THE SAME AND MAKES THIS RELEASE AND THE RELEASE PROVIDED FOR HEREIN VOLUNTARILY AND OF EXECUTIVE’S OWN FREE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type w:val="continuous"/>
        </w:sectPr>
      </w:pPr>
    </w:p>
    <w:bookmarkStart w:id="423" w:name="page424"/>
    <w:bookmarkEnd w:id="423"/>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Executive has executed this Release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William A.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4174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68" w:right="1440" w:bottom="1440" w:gutter="0" w:footer="0" w:header="0"/>
        </w:sectPr>
      </w:pPr>
    </w:p>
    <w:bookmarkStart w:id="424" w:name="page425"/>
    <w:bookmarkEnd w:id="424"/>
    <w:p>
      <w:pPr>
        <w:jc w:val="right"/>
        <w:spacing w:after="0"/>
        <w:rPr>
          <w:sz w:val="20"/>
          <w:szCs w:val="20"/>
          <w:color w:val="auto"/>
        </w:rPr>
      </w:pPr>
      <w:r>
        <w:rPr>
          <w:rFonts w:ascii="Arial" w:cs="Arial" w:eastAsia="Arial" w:hAnsi="Arial"/>
          <w:sz w:val="22"/>
          <w:szCs w:val="22"/>
          <w:b w:val="1"/>
          <w:bCs w:val="1"/>
          <w:color w:val="auto"/>
        </w:rPr>
        <w:t>EXHIBIT 10.7</w:t>
      </w:r>
    </w:p>
    <w:p>
      <w:pPr>
        <w:spacing w:after="0" w:line="233"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WESTROCK COFFEE COMPANY</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2022 EQUITY INCENTIVE PLAN</w:t>
      </w:r>
    </w:p>
    <w:p>
      <w:pPr>
        <w:spacing w:after="0" w:line="3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Westrock Coffee Company 2022 Equity Incentive Plan (this “</w:t>
      </w:r>
      <w:r>
        <w:rPr>
          <w:rFonts w:ascii="Arial" w:cs="Arial" w:eastAsia="Arial" w:hAnsi="Arial"/>
          <w:sz w:val="22"/>
          <w:szCs w:val="22"/>
          <w:b w:val="1"/>
          <w:bCs w:val="1"/>
          <w:color w:val="auto"/>
        </w:rPr>
        <w:t>Plan</w:t>
      </w:r>
      <w:r>
        <w:rPr>
          <w:rFonts w:ascii="Arial" w:cs="Arial" w:eastAsia="Arial" w:hAnsi="Arial"/>
          <w:sz w:val="22"/>
          <w:szCs w:val="22"/>
          <w:color w:val="auto"/>
        </w:rPr>
        <w:t>”) is designed to</w:t>
      </w:r>
    </w:p>
    <w:p>
      <w:pPr>
        <w:spacing w:after="0" w:line="14" w:lineRule="exact"/>
        <w:rPr>
          <w:sz w:val="20"/>
          <w:szCs w:val="20"/>
          <w:color w:val="auto"/>
        </w:rPr>
      </w:pPr>
    </w:p>
    <w:p>
      <w:pPr>
        <w:jc w:val="both"/>
        <w:ind w:firstLine="8"/>
        <w:spacing w:after="0" w:line="266" w:lineRule="auto"/>
        <w:tabs>
          <w:tab w:leader="none" w:pos="315" w:val="left"/>
        </w:tabs>
        <w:numPr>
          <w:ilvl w:val="0"/>
          <w:numId w:val="471"/>
        </w:numPr>
        <w:rPr>
          <w:rFonts w:ascii="Arial" w:cs="Arial" w:eastAsia="Arial" w:hAnsi="Arial"/>
          <w:sz w:val="19"/>
          <w:szCs w:val="19"/>
          <w:color w:val="auto"/>
        </w:rPr>
      </w:pPr>
      <w:r>
        <w:rPr>
          <w:rFonts w:ascii="Arial" w:cs="Arial" w:eastAsia="Arial" w:hAnsi="Arial"/>
          <w:sz w:val="19"/>
          <w:szCs w:val="19"/>
          <w:color w:val="auto"/>
        </w:rPr>
        <w:t>promote the long-term financial interests and growth of Westrock Coffee Company,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its Affiliates by attracting and retaining management and other personnel with the training, experience and ability to enable them to make a substantial contribution to the success of the Company;</w:t>
      </w:r>
    </w:p>
    <w:p>
      <w:pPr>
        <w:spacing w:after="0" w:line="2" w:lineRule="exact"/>
        <w:rPr>
          <w:rFonts w:ascii="Arial" w:cs="Arial" w:eastAsia="Arial" w:hAnsi="Arial"/>
          <w:sz w:val="19"/>
          <w:szCs w:val="19"/>
          <w:color w:val="auto"/>
        </w:rPr>
      </w:pPr>
    </w:p>
    <w:p>
      <w:pPr>
        <w:ind w:left="360" w:hanging="352"/>
        <w:spacing w:after="0"/>
        <w:tabs>
          <w:tab w:leader="none" w:pos="360" w:val="left"/>
        </w:tabs>
        <w:numPr>
          <w:ilvl w:val="0"/>
          <w:numId w:val="471"/>
        </w:numPr>
        <w:rPr>
          <w:rFonts w:ascii="Arial" w:cs="Arial" w:eastAsia="Arial" w:hAnsi="Arial"/>
          <w:sz w:val="19"/>
          <w:szCs w:val="19"/>
          <w:color w:val="auto"/>
        </w:rPr>
      </w:pPr>
      <w:r>
        <w:rPr>
          <w:rFonts w:ascii="Arial" w:cs="Arial" w:eastAsia="Arial" w:hAnsi="Arial"/>
          <w:sz w:val="19"/>
          <w:szCs w:val="19"/>
          <w:color w:val="auto"/>
        </w:rPr>
        <w:t>motivate management personnel by means of growth-related incentives to achieve long-range goals; and</w:t>
      </w:r>
    </w:p>
    <w:p>
      <w:pPr>
        <w:spacing w:after="0" w:line="24" w:lineRule="exact"/>
        <w:rPr>
          <w:rFonts w:ascii="Arial" w:cs="Arial" w:eastAsia="Arial" w:hAnsi="Arial"/>
          <w:sz w:val="19"/>
          <w:szCs w:val="19"/>
          <w:color w:val="auto"/>
        </w:rPr>
      </w:pPr>
    </w:p>
    <w:p>
      <w:pPr>
        <w:jc w:val="both"/>
        <w:ind w:firstLine="8"/>
        <w:spacing w:after="0" w:line="234" w:lineRule="auto"/>
        <w:tabs>
          <w:tab w:leader="none" w:pos="298" w:val="left"/>
        </w:tabs>
        <w:numPr>
          <w:ilvl w:val="0"/>
          <w:numId w:val="471"/>
        </w:numPr>
        <w:rPr>
          <w:rFonts w:ascii="Arial" w:cs="Arial" w:eastAsia="Arial" w:hAnsi="Arial"/>
          <w:sz w:val="22"/>
          <w:szCs w:val="22"/>
          <w:color w:val="auto"/>
        </w:rPr>
      </w:pPr>
      <w:r>
        <w:rPr>
          <w:rFonts w:ascii="Arial" w:cs="Arial" w:eastAsia="Arial" w:hAnsi="Arial"/>
          <w:sz w:val="22"/>
          <w:szCs w:val="22"/>
          <w:color w:val="auto"/>
        </w:rPr>
        <w:t>further the alignment of interests of Participants with those of the members of the Company and the direct and indirect members of the Company through opportunities for increased equity, or equity-based ownership, in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DEFINITIONS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this Plan, the following terms are defined as set forth below:</w:t>
      </w:r>
    </w:p>
    <w:p>
      <w:pPr>
        <w:spacing w:after="0" w:line="200" w:lineRule="exact"/>
        <w:rPr>
          <w:sz w:val="20"/>
          <w:szCs w:val="20"/>
          <w:color w:val="auto"/>
        </w:rPr>
      </w:pPr>
    </w:p>
    <w:p>
      <w:pPr>
        <w:ind w:firstLine="656"/>
        <w:spacing w:after="0" w:line="256" w:lineRule="auto"/>
        <w:tabs>
          <w:tab w:leader="none" w:pos="1296" w:val="left"/>
        </w:tabs>
        <w:numPr>
          <w:ilvl w:val="0"/>
          <w:numId w:val="4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 company or other entity controlled by, controlling or under common control with the Company.</w:t>
      </w:r>
    </w:p>
    <w:p>
      <w:pPr>
        <w:spacing w:after="0" w:line="162" w:lineRule="exact"/>
        <w:rPr>
          <w:rFonts w:ascii="Arial" w:cs="Arial" w:eastAsia="Arial" w:hAnsi="Arial"/>
          <w:sz w:val="22"/>
          <w:szCs w:val="22"/>
          <w:color w:val="auto"/>
        </w:rPr>
      </w:pPr>
    </w:p>
    <w:p>
      <w:pPr>
        <w:ind w:firstLine="656"/>
        <w:spacing w:after="0" w:line="256" w:lineRule="auto"/>
        <w:tabs>
          <w:tab w:leader="none" w:pos="1296" w:val="left"/>
        </w:tabs>
        <w:numPr>
          <w:ilvl w:val="0"/>
          <w:numId w:val="4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Exchange</w:t>
      </w:r>
      <w:r>
        <w:rPr>
          <w:rFonts w:ascii="Arial" w:cs="Arial" w:eastAsia="Arial" w:hAnsi="Arial"/>
          <w:sz w:val="22"/>
          <w:szCs w:val="22"/>
          <w:color w:val="auto"/>
        </w:rPr>
        <w:t>” means the NASDAQ or such other securities exchange as may at the applicable time be the principal market for the Common Stock.</w:t>
      </w:r>
    </w:p>
    <w:p>
      <w:pPr>
        <w:spacing w:after="0" w:line="162" w:lineRule="exact"/>
        <w:rPr>
          <w:rFonts w:ascii="Arial" w:cs="Arial" w:eastAsia="Arial" w:hAnsi="Arial"/>
          <w:sz w:val="22"/>
          <w:szCs w:val="22"/>
          <w:color w:val="auto"/>
        </w:rPr>
      </w:pPr>
    </w:p>
    <w:p>
      <w:pPr>
        <w:ind w:firstLine="656"/>
        <w:spacing w:after="0" w:line="256" w:lineRule="auto"/>
        <w:tabs>
          <w:tab w:leader="none" w:pos="1296" w:val="left"/>
        </w:tabs>
        <w:numPr>
          <w:ilvl w:val="0"/>
          <w:numId w:val="4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a Stock Option, Stock Appreciation Right, Restricted Stock, Restricted Stock Unit, Other Stock-Based Award or Cash Award granted pursuant to the terms of this Plan.</w:t>
      </w:r>
    </w:p>
    <w:p>
      <w:pPr>
        <w:spacing w:after="0" w:line="162" w:lineRule="exact"/>
        <w:rPr>
          <w:rFonts w:ascii="Arial" w:cs="Arial" w:eastAsia="Arial" w:hAnsi="Arial"/>
          <w:sz w:val="22"/>
          <w:szCs w:val="22"/>
          <w:color w:val="auto"/>
        </w:rPr>
      </w:pPr>
    </w:p>
    <w:p>
      <w:pPr>
        <w:ind w:firstLine="656"/>
        <w:spacing w:after="0" w:line="256" w:lineRule="auto"/>
        <w:tabs>
          <w:tab w:leader="none" w:pos="1296" w:val="left"/>
        </w:tabs>
        <w:numPr>
          <w:ilvl w:val="0"/>
          <w:numId w:val="4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Agreement</w:t>
      </w:r>
      <w:r>
        <w:rPr>
          <w:rFonts w:ascii="Arial" w:cs="Arial" w:eastAsia="Arial" w:hAnsi="Arial"/>
          <w:sz w:val="22"/>
          <w:szCs w:val="22"/>
          <w:color w:val="auto"/>
        </w:rPr>
        <w:t>” means a written or electronic document or agreement setting forth the terms and conditions of a specific Award.</w:t>
      </w:r>
    </w:p>
    <w:p>
      <w:pPr>
        <w:spacing w:after="0" w:line="162" w:lineRule="exact"/>
        <w:rPr>
          <w:rFonts w:ascii="Arial" w:cs="Arial" w:eastAsia="Arial" w:hAnsi="Arial"/>
          <w:sz w:val="22"/>
          <w:szCs w:val="22"/>
          <w:color w:val="auto"/>
        </w:rPr>
      </w:pPr>
    </w:p>
    <w:p>
      <w:pPr>
        <w:ind w:left="1300" w:hanging="644"/>
        <w:spacing w:after="0"/>
        <w:tabs>
          <w:tab w:leader="none" w:pos="1300" w:val="left"/>
        </w:tabs>
        <w:numPr>
          <w:ilvl w:val="0"/>
          <w:numId w:val="4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Combination</w:t>
      </w:r>
      <w:r>
        <w:rPr>
          <w:rFonts w:ascii="Arial" w:cs="Arial" w:eastAsia="Arial" w:hAnsi="Arial"/>
          <w:sz w:val="22"/>
          <w:szCs w:val="22"/>
          <w:color w:val="auto"/>
        </w:rPr>
        <w:t>” has the meaning set forth in Section 10(e)(iii).</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Award</w:t>
      </w:r>
      <w:r>
        <w:rPr>
          <w:rFonts w:ascii="Arial" w:cs="Arial" w:eastAsia="Arial" w:hAnsi="Arial"/>
          <w:sz w:val="22"/>
          <w:szCs w:val="22"/>
          <w:color w:val="auto"/>
        </w:rPr>
        <w:t>” means a cash-settled Award granted pursuant to Section 9.</w:t>
      </w:r>
    </w:p>
    <w:p>
      <w:pPr>
        <w:spacing w:after="0" w:line="206"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4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xml:space="preserve">” means, unless otherwise provided in an Award Agreement, (i) “Cause” as defined in any Individual Agreement to which the Participant is a party as of the Grant Date, or (ii) if there is no such Individual Agreement or if it does not define Cause: (A) Participant’s willful failure to substantially perform Participant’s duties; (B) any act of fraud, misappropriation, dishonesty, malfeasance or embezzlement by Participant in connection with the performance of Participant’s duties to the Company and its Affiliates; (C) Participant’s material violation of any policies of the Company or its Affiliates or any restrictive covenants applicable to Participant; or (D) Participant’s conviction of, or entering a plea of </w:t>
      </w:r>
      <w:r>
        <w:rPr>
          <w:rFonts w:ascii="Arial" w:cs="Arial" w:eastAsia="Arial" w:hAnsi="Arial"/>
          <w:sz w:val="21"/>
          <w:szCs w:val="21"/>
          <w:i w:val="1"/>
          <w:iCs w:val="1"/>
          <w:color w:val="auto"/>
        </w:rPr>
        <w:t>nolo contendere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901700</wp:posOffset>
            </wp:positionV>
            <wp:extent cx="629221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425" w:name="page426"/>
    <w:bookmarkEnd w:id="425"/>
    <w:p>
      <w:pPr>
        <w:spacing w:after="0" w:line="250" w:lineRule="auto"/>
        <w:rPr>
          <w:sz w:val="20"/>
          <w:szCs w:val="20"/>
          <w:color w:val="auto"/>
        </w:rPr>
      </w:pPr>
      <w:r>
        <w:rPr>
          <w:rFonts w:ascii="Arial" w:cs="Arial" w:eastAsia="Arial" w:hAnsi="Arial"/>
          <w:sz w:val="22"/>
          <w:szCs w:val="22"/>
          <w:color w:val="auto"/>
        </w:rPr>
        <w:t xml:space="preserve">to, a felony. Notwithstanding the general rule of Section 2(c), following a Change in Control, any determination by the Committee as to whether “Cause” exists shall be subject to </w:t>
      </w:r>
      <w:r>
        <w:rPr>
          <w:rFonts w:ascii="Arial" w:cs="Arial" w:eastAsia="Arial" w:hAnsi="Arial"/>
          <w:sz w:val="22"/>
          <w:szCs w:val="22"/>
          <w:i w:val="1"/>
          <w:iCs w:val="1"/>
          <w:color w:val="auto"/>
        </w:rPr>
        <w:t>de novo</w:t>
      </w:r>
      <w:r>
        <w:rPr>
          <w:rFonts w:ascii="Arial" w:cs="Arial" w:eastAsia="Arial" w:hAnsi="Arial"/>
          <w:sz w:val="22"/>
          <w:szCs w:val="22"/>
          <w:color w:val="auto"/>
        </w:rPr>
        <w:t xml:space="preserve"> review.</w:t>
      </w:r>
    </w:p>
    <w:p>
      <w:pPr>
        <w:spacing w:after="0" w:line="169" w:lineRule="exact"/>
        <w:rPr>
          <w:sz w:val="20"/>
          <w:szCs w:val="20"/>
          <w:color w:val="auto"/>
        </w:rPr>
      </w:pPr>
    </w:p>
    <w:p>
      <w:pPr>
        <w:ind w:left="1300" w:hanging="644"/>
        <w:spacing w:after="0"/>
        <w:tabs>
          <w:tab w:leader="none" w:pos="130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has the meaning set forth in Section 10(e).</w:t>
      </w:r>
    </w:p>
    <w:p>
      <w:pPr>
        <w:spacing w:after="0" w:line="206"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4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35" w:lineRule="exact"/>
        <w:rPr>
          <w:rFonts w:ascii="Arial" w:cs="Arial" w:eastAsia="Arial" w:hAnsi="Arial"/>
          <w:sz w:val="19"/>
          <w:szCs w:val="19"/>
          <w:color w:val="auto"/>
        </w:rPr>
      </w:pPr>
    </w:p>
    <w:p>
      <w:pPr>
        <w:ind w:left="1300" w:hanging="644"/>
        <w:spacing w:after="0"/>
        <w:tabs>
          <w:tab w:leader="none" w:pos="130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Committee referred to in Section 2.</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common stock, $0.01 par value per share, of the Company.</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has the meaning set forth in the preamble.</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Transaction</w:t>
      </w:r>
      <w:r>
        <w:rPr>
          <w:rFonts w:ascii="Arial" w:cs="Arial" w:eastAsia="Arial" w:hAnsi="Arial"/>
          <w:sz w:val="22"/>
          <w:szCs w:val="22"/>
          <w:color w:val="auto"/>
        </w:rPr>
        <w:t>” has the meaning set forth in Section 3(d).</w:t>
      </w:r>
    </w:p>
    <w:p>
      <w:pPr>
        <w:spacing w:after="0" w:line="20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Disaffiliation</w:t>
      </w:r>
      <w:r>
        <w:rPr>
          <w:rFonts w:ascii="Arial" w:cs="Arial" w:eastAsia="Arial" w:hAnsi="Arial"/>
          <w:sz w:val="22"/>
          <w:szCs w:val="22"/>
          <w:color w:val="auto"/>
        </w:rPr>
        <w:t>” means a Subsidiary’s or an Affiliate’s ceasing to be a Subsidiary or Affiliate for any reason (including as a result of a public offering, or a spinoff or sale by the Company, of the stock of the Subsidiary or Affiliate) or a sale of a division of the Company and its Affiliates.</w:t>
      </w:r>
    </w:p>
    <w:p>
      <w:pPr>
        <w:spacing w:after="0" w:line="176" w:lineRule="exact"/>
        <w:rPr>
          <w:rFonts w:ascii="Arial" w:cs="Arial" w:eastAsia="Arial" w:hAnsi="Arial"/>
          <w:sz w:val="22"/>
          <w:szCs w:val="22"/>
          <w:color w:val="auto"/>
        </w:rPr>
      </w:pPr>
    </w:p>
    <w:p>
      <w:pPr>
        <w:ind w:left="1300" w:hanging="644"/>
        <w:spacing w:after="0"/>
        <w:tabs>
          <w:tab w:leader="none" w:pos="1300"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has the meaning set forth in Section 11(a).</w:t>
      </w:r>
    </w:p>
    <w:p>
      <w:pPr>
        <w:spacing w:after="0" w:line="206"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4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Individuals</w:t>
      </w:r>
      <w:r>
        <w:rPr>
          <w:rFonts w:ascii="Arial" w:cs="Arial" w:eastAsia="Arial" w:hAnsi="Arial"/>
          <w:sz w:val="21"/>
          <w:szCs w:val="21"/>
          <w:color w:val="auto"/>
        </w:rPr>
        <w:t>” means directors, officers, employees and consultants of the Company or any of its Subsidiaries or Affiliates, and prospective directors, officers, employees and consultants who have accepted offers of employment or consultancy from the Company or its Subsidiaries or Affiliates.</w:t>
      </w:r>
    </w:p>
    <w:p>
      <w:pPr>
        <w:spacing w:after="0" w:line="160" w:lineRule="exact"/>
        <w:rPr>
          <w:rFonts w:ascii="Arial" w:cs="Arial" w:eastAsia="Arial" w:hAnsi="Arial"/>
          <w:sz w:val="21"/>
          <w:szCs w:val="21"/>
          <w:color w:val="auto"/>
        </w:rPr>
      </w:pPr>
    </w:p>
    <w:p>
      <w:pPr>
        <w:ind w:firstLine="656"/>
        <w:spacing w:after="0" w:line="256" w:lineRule="auto"/>
        <w:tabs>
          <w:tab w:leader="none" w:pos="1296" w:val="left"/>
        </w:tabs>
        <w:numPr>
          <w:ilvl w:val="0"/>
          <w:numId w:val="4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from time to time, and any successor thereto.</w:t>
      </w:r>
    </w:p>
    <w:p>
      <w:pPr>
        <w:spacing w:after="0" w:line="162"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4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Fair Market Value</w:t>
      </w:r>
      <w:r>
        <w:rPr>
          <w:rFonts w:ascii="Arial" w:cs="Arial" w:eastAsia="Arial" w:hAnsi="Arial"/>
          <w:sz w:val="21"/>
          <w:szCs w:val="21"/>
          <w:color w:val="auto"/>
        </w:rPr>
        <w:t>” means, except as otherwise determined by the Committee, the closing price of a Share on the Applicable Exchange on the date of measurement or, if Shares were not traded on the Applicable Exchange on such measurement date, then on the immediately preceding date on which Shares were traded on the Applicable Exchange, as reported by such source as the Committee may select. If there is no regular public trading market for Shares, the Fair Market Value of a Share shall be determined by the Committee in good faith and, to the extent applicable, such determination shall be made in a manner that satisfies Sections 409A and 422(c)(1)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26" w:name="page427"/>
    <w:bookmarkEnd w:id="426"/>
    <w:p>
      <w:pPr>
        <w:ind w:left="1300" w:hanging="644"/>
        <w:spacing w:after="0"/>
        <w:tabs>
          <w:tab w:leader="none" w:pos="1300" w:val="left"/>
        </w:tabs>
        <w:numPr>
          <w:ilvl w:val="0"/>
          <w:numId w:val="4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Forfeiture Amount</w:t>
      </w:r>
      <w:r>
        <w:rPr>
          <w:rFonts w:ascii="Arial" w:cs="Arial" w:eastAsia="Arial" w:hAnsi="Arial"/>
          <w:sz w:val="22"/>
          <w:szCs w:val="22"/>
          <w:color w:val="auto"/>
        </w:rPr>
        <w:t>” has the meaning set forth in Section 12(k)(i).</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Full-Value Award</w:t>
      </w:r>
      <w:r>
        <w:rPr>
          <w:rFonts w:ascii="Arial" w:cs="Arial" w:eastAsia="Arial" w:hAnsi="Arial"/>
          <w:sz w:val="19"/>
          <w:szCs w:val="19"/>
          <w:color w:val="auto"/>
        </w:rPr>
        <w:t>” means any Award other than a Stock Option, Stock Appreciation Right or</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Cash Award.</w:t>
      </w:r>
    </w:p>
    <w:p>
      <w:pPr>
        <w:spacing w:after="0" w:line="182" w:lineRule="exact"/>
        <w:rPr>
          <w:rFonts w:ascii="Arial" w:cs="Arial" w:eastAsia="Arial" w:hAnsi="Arial"/>
          <w:sz w:val="19"/>
          <w:szCs w:val="19"/>
          <w:color w:val="auto"/>
        </w:rPr>
      </w:pPr>
    </w:p>
    <w:p>
      <w:pPr>
        <w:jc w:val="both"/>
        <w:ind w:firstLine="656"/>
        <w:spacing w:after="0" w:line="239" w:lineRule="auto"/>
        <w:tabs>
          <w:tab w:leader="none" w:pos="1296" w:val="left"/>
        </w:tabs>
        <w:numPr>
          <w:ilvl w:val="0"/>
          <w:numId w:val="4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 Date</w:t>
      </w:r>
      <w:r>
        <w:rPr>
          <w:rFonts w:ascii="Arial" w:cs="Arial" w:eastAsia="Arial" w:hAnsi="Arial"/>
          <w:sz w:val="22"/>
          <w:szCs w:val="22"/>
          <w:color w:val="auto"/>
        </w:rPr>
        <w:t>” means (i) the date on which the Committee by resolution selects an Eligible Individual to receive a grant of an Award and determines the number of Shares, or the formula for earning a number of Shares, to be subject to such Award or the cash amount subject to such Award, or (ii) such later date as the Committee shall provide in such resolution.</w:t>
      </w:r>
    </w:p>
    <w:p>
      <w:pPr>
        <w:spacing w:after="0" w:line="180" w:lineRule="exact"/>
        <w:rPr>
          <w:rFonts w:ascii="Arial" w:cs="Arial" w:eastAsia="Arial" w:hAnsi="Arial"/>
          <w:sz w:val="22"/>
          <w:szCs w:val="22"/>
          <w:color w:val="auto"/>
        </w:rPr>
      </w:pPr>
    </w:p>
    <w:p>
      <w:pPr>
        <w:ind w:firstLine="656"/>
        <w:spacing w:after="0" w:line="334" w:lineRule="auto"/>
        <w:tabs>
          <w:tab w:leader="none" w:pos="1296" w:val="left"/>
        </w:tabs>
        <w:numPr>
          <w:ilvl w:val="0"/>
          <w:numId w:val="47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color w:val="auto"/>
        </w:rPr>
        <w:t>Incentive Stock Option</w:t>
      </w:r>
      <w:r>
        <w:rPr>
          <w:rFonts w:ascii="Arial" w:cs="Arial" w:eastAsia="Arial" w:hAnsi="Arial"/>
          <w:sz w:val="19"/>
          <w:szCs w:val="19"/>
          <w:color w:val="auto"/>
        </w:rPr>
        <w:t>” means any Stock Option designated in the applicable Award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as an “incentive stock option” within the meaning of Section 422 of the Code, and that in fact so qualifies.</w:t>
      </w:r>
    </w:p>
    <w:p>
      <w:pPr>
        <w:spacing w:after="0" w:line="93" w:lineRule="exact"/>
        <w:rPr>
          <w:rFonts w:ascii="Arial" w:cs="Arial" w:eastAsia="Arial" w:hAnsi="Arial"/>
          <w:sz w:val="19"/>
          <w:szCs w:val="19"/>
          <w:color w:val="auto"/>
        </w:rPr>
      </w:pPr>
    </w:p>
    <w:p>
      <w:pPr>
        <w:ind w:left="1300" w:hanging="644"/>
        <w:spacing w:after="0"/>
        <w:tabs>
          <w:tab w:leader="none" w:pos="1300" w:val="left"/>
        </w:tabs>
        <w:numPr>
          <w:ilvl w:val="0"/>
          <w:numId w:val="4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Incumbent Board</w:t>
      </w:r>
      <w:r>
        <w:rPr>
          <w:rFonts w:ascii="Arial" w:cs="Arial" w:eastAsia="Arial" w:hAnsi="Arial"/>
          <w:sz w:val="22"/>
          <w:szCs w:val="22"/>
          <w:color w:val="auto"/>
        </w:rPr>
        <w:t>” has the meaning set forth in Section 10(e)(ii).</w:t>
      </w:r>
    </w:p>
    <w:p>
      <w:pPr>
        <w:spacing w:after="0" w:line="206"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4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Individual Agreement</w:t>
      </w:r>
      <w:r>
        <w:rPr>
          <w:rFonts w:ascii="Arial" w:cs="Arial" w:eastAsia="Arial" w:hAnsi="Arial"/>
          <w:sz w:val="22"/>
          <w:szCs w:val="22"/>
          <w:color w:val="auto"/>
        </w:rPr>
        <w:t>” means (i) an employment, consulting or similar agreement between a Participant and the Company or one of its Subsidiaries or Affiliates, or, (ii) after a Change in Control, a change in control or salary continuation agreement between a Participant and the Company or one of its Subsidiaries or Affiliates. If a Participant is party to both an employment agreement and a change in control or salary continuation agreement, the employment agreement shall be the relevant “Individual Agreement” prior to a Change in Control, and, the change in control or salary continuation agreement shall be the relevant “Individual Agreement” after a Change in Control.</w:t>
      </w:r>
    </w:p>
    <w:p>
      <w:pPr>
        <w:spacing w:after="0" w:line="183" w:lineRule="exact"/>
        <w:rPr>
          <w:rFonts w:ascii="Arial" w:cs="Arial" w:eastAsia="Arial" w:hAnsi="Arial"/>
          <w:sz w:val="22"/>
          <w:szCs w:val="22"/>
          <w:color w:val="auto"/>
        </w:rPr>
      </w:pPr>
    </w:p>
    <w:p>
      <w:pPr>
        <w:ind w:left="1300" w:hanging="644"/>
        <w:spacing w:after="0"/>
        <w:tabs>
          <w:tab w:leader="none" w:pos="1300" w:val="left"/>
        </w:tabs>
        <w:numPr>
          <w:ilvl w:val="0"/>
          <w:numId w:val="4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Nonqualified Stock Option</w:t>
      </w:r>
      <w:r>
        <w:rPr>
          <w:rFonts w:ascii="Arial" w:cs="Arial" w:eastAsia="Arial" w:hAnsi="Arial"/>
          <w:sz w:val="21"/>
          <w:szCs w:val="21"/>
          <w:color w:val="auto"/>
        </w:rPr>
        <w:t>” means any Stock Option that is not an Incentive Stock Option.</w:t>
      </w:r>
    </w:p>
    <w:p>
      <w:pPr>
        <w:spacing w:after="0" w:line="218" w:lineRule="exact"/>
        <w:rPr>
          <w:sz w:val="20"/>
          <w:szCs w:val="20"/>
          <w:color w:val="auto"/>
        </w:rPr>
      </w:pPr>
    </w:p>
    <w:p>
      <w:pPr>
        <w:ind w:left="1300" w:hanging="644"/>
        <w:spacing w:after="0"/>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Stock-Based Award</w:t>
      </w:r>
      <w:r>
        <w:rPr>
          <w:rFonts w:ascii="Arial" w:cs="Arial" w:eastAsia="Arial" w:hAnsi="Arial"/>
          <w:sz w:val="22"/>
          <w:szCs w:val="22"/>
          <w:color w:val="auto"/>
        </w:rPr>
        <w:t>” means an Award granted pursuant to Section 8.</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Outstanding Company Common Stock</w:t>
      </w:r>
      <w:r>
        <w:rPr>
          <w:rFonts w:ascii="Arial" w:cs="Arial" w:eastAsia="Arial" w:hAnsi="Arial"/>
          <w:sz w:val="22"/>
          <w:szCs w:val="22"/>
          <w:color w:val="auto"/>
        </w:rPr>
        <w:t>” has the meaning set forth in Section 10(e)(i).</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Outstanding Company Voting Securities</w:t>
      </w:r>
      <w:r>
        <w:rPr>
          <w:rFonts w:ascii="Arial" w:cs="Arial" w:eastAsia="Arial" w:hAnsi="Arial"/>
          <w:sz w:val="21"/>
          <w:szCs w:val="21"/>
          <w:color w:val="auto"/>
        </w:rPr>
        <w:t>” has the meaning set forth in Section 10(e)(i).</w:t>
      </w:r>
    </w:p>
    <w:p>
      <w:pPr>
        <w:spacing w:after="0" w:line="217" w:lineRule="exact"/>
        <w:rPr>
          <w:rFonts w:ascii="Arial" w:cs="Arial" w:eastAsia="Arial" w:hAnsi="Arial"/>
          <w:sz w:val="21"/>
          <w:szCs w:val="21"/>
          <w:color w:val="auto"/>
        </w:rPr>
      </w:pPr>
    </w:p>
    <w:p>
      <w:pPr>
        <w:ind w:left="1300" w:hanging="644"/>
        <w:spacing w:after="0"/>
        <w:tabs>
          <w:tab w:leader="none" w:pos="1300" w:val="left"/>
        </w:tabs>
        <w:numPr>
          <w:ilvl w:val="0"/>
          <w:numId w:val="47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 Eligible Individual to whom an Award is or has been granted.</w:t>
      </w:r>
    </w:p>
    <w:p>
      <w:pPr>
        <w:spacing w:after="0" w:line="206" w:lineRule="exact"/>
        <w:rPr>
          <w:rFonts w:ascii="Arial" w:cs="Arial" w:eastAsia="Arial" w:hAnsi="Arial"/>
          <w:sz w:val="22"/>
          <w:szCs w:val="22"/>
          <w:color w:val="auto"/>
        </w:rPr>
      </w:pPr>
    </w:p>
    <w:p>
      <w:pPr>
        <w:jc w:val="both"/>
        <w:ind w:firstLine="656"/>
        <w:spacing w:after="0" w:line="283" w:lineRule="auto"/>
        <w:tabs>
          <w:tab w:leader="none" w:pos="1296" w:val="left"/>
        </w:tabs>
        <w:numPr>
          <w:ilvl w:val="0"/>
          <w:numId w:val="4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Goals</w:t>
      </w:r>
      <w:r>
        <w:rPr>
          <w:rFonts w:ascii="Arial" w:cs="Arial" w:eastAsia="Arial" w:hAnsi="Arial"/>
          <w:sz w:val="19"/>
          <w:szCs w:val="19"/>
          <w:color w:val="auto"/>
        </w:rPr>
        <w:t>” means the performance goals established by the Committee in connection with the grant of an Award. Such goals shall be based on the attainment of specified levels of one (1) or more of the following measures or such other measures, as the Committee may establish: stock price, earnings (whether based on earnings before taxes, earnings before interest and taxes or earnings before interest, taxes, depreciation and amortization), earnings per share, return on equity, return on assets or operating assets,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27" w:name="page428"/>
    <w:bookmarkEnd w:id="427"/>
    <w:p>
      <w:pPr>
        <w:jc w:val="both"/>
        <w:spacing w:after="0" w:line="245" w:lineRule="auto"/>
        <w:rPr>
          <w:sz w:val="20"/>
          <w:szCs w:val="20"/>
          <w:color w:val="auto"/>
        </w:rPr>
      </w:pPr>
      <w:r>
        <w:rPr>
          <w:rFonts w:ascii="Arial" w:cs="Arial" w:eastAsia="Arial" w:hAnsi="Arial"/>
          <w:sz w:val="21"/>
          <w:szCs w:val="21"/>
          <w:color w:val="auto"/>
        </w:rPr>
        <w:t>quality, net interest margin, loan portfolio growth, efficiency ratio, deposit portfolio growth, liquidity, market share, customer service measures or indices, economic value added, shareholder value added, embedded value added, combined ratio, pre- or after-tax income, net income, cash flow (before or after dividends), cash flow per share (before or after dividends), gross margin, risk-based capital, revenues, revenue growth, return on capital (whether based on return on total capital or return on invested capital), cash flow return on investment, cost control, gross profit, operating profit, cash generation, unit volume, sales, asset quality, cost saving levels, market-spending efficiency, core non-interest income or change in working capital, in each case with respect to the Company or any one (1) or more Subsidiaries, divisions, business units or business segments thereof, either in absolute terms or relative to the performance of one (1) or more other companies (including an index covering multiple companies).</w:t>
      </w:r>
    </w:p>
    <w:p>
      <w:pPr>
        <w:spacing w:after="0" w:line="175" w:lineRule="exact"/>
        <w:rPr>
          <w:sz w:val="20"/>
          <w:szCs w:val="20"/>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has the meaning set forth in Section 10(e)(i).</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has the meaning set forth in the preamble.</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Replaced Award</w:t>
      </w:r>
      <w:r>
        <w:rPr>
          <w:rFonts w:ascii="Arial" w:cs="Arial" w:eastAsia="Arial" w:hAnsi="Arial"/>
          <w:sz w:val="22"/>
          <w:szCs w:val="22"/>
          <w:color w:val="auto"/>
        </w:rPr>
        <w:t>” has the meaning set forth in Section 10(b).</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Replacement Award</w:t>
      </w:r>
      <w:r>
        <w:rPr>
          <w:rFonts w:ascii="Arial" w:cs="Arial" w:eastAsia="Arial" w:hAnsi="Arial"/>
          <w:sz w:val="22"/>
          <w:szCs w:val="22"/>
          <w:color w:val="auto"/>
        </w:rPr>
        <w:t>” has the meaning set forth in Section 10(b).</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Stock</w:t>
      </w:r>
      <w:r>
        <w:rPr>
          <w:rFonts w:ascii="Arial" w:cs="Arial" w:eastAsia="Arial" w:hAnsi="Arial"/>
          <w:sz w:val="22"/>
          <w:szCs w:val="22"/>
          <w:color w:val="auto"/>
        </w:rPr>
        <w:t>” means an Award granted under Section 6.</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Stock Units</w:t>
      </w:r>
      <w:r>
        <w:rPr>
          <w:rFonts w:ascii="Arial" w:cs="Arial" w:eastAsia="Arial" w:hAnsi="Arial"/>
          <w:sz w:val="22"/>
          <w:szCs w:val="22"/>
          <w:color w:val="auto"/>
        </w:rPr>
        <w:t>” has the meaning set forth in Section 7(a).</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16(b)</w:t>
      </w:r>
      <w:r>
        <w:rPr>
          <w:rFonts w:ascii="Arial" w:cs="Arial" w:eastAsia="Arial" w:hAnsi="Arial"/>
          <w:sz w:val="22"/>
          <w:szCs w:val="22"/>
          <w:color w:val="auto"/>
        </w:rPr>
        <w:t>” has the meaning set forth in Section 2(g).</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Separation from Service</w:t>
      </w:r>
      <w:r>
        <w:rPr>
          <w:rFonts w:ascii="Arial" w:cs="Arial" w:eastAsia="Arial" w:hAnsi="Arial"/>
          <w:sz w:val="22"/>
          <w:szCs w:val="22"/>
          <w:color w:val="auto"/>
        </w:rPr>
        <w:t>” has the meaning set forth in Section 1(tt).</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w:t>
      </w:r>
      <w:r>
        <w:rPr>
          <w:rFonts w:ascii="Arial" w:cs="Arial" w:eastAsia="Arial" w:hAnsi="Arial"/>
          <w:sz w:val="22"/>
          <w:szCs w:val="22"/>
          <w:color w:val="auto"/>
        </w:rPr>
        <w:t>” means a share of Common Stock.</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Reserve</w:t>
      </w:r>
      <w:r>
        <w:rPr>
          <w:rFonts w:ascii="Arial" w:cs="Arial" w:eastAsia="Arial" w:hAnsi="Arial"/>
          <w:sz w:val="22"/>
          <w:szCs w:val="22"/>
          <w:color w:val="auto"/>
        </w:rPr>
        <w:t>” has the meaning set forth in Section 3(a).</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Appreciation Right</w:t>
      </w:r>
      <w:r>
        <w:rPr>
          <w:rFonts w:ascii="Arial" w:cs="Arial" w:eastAsia="Arial" w:hAnsi="Arial"/>
          <w:sz w:val="22"/>
          <w:szCs w:val="22"/>
          <w:color w:val="auto"/>
        </w:rPr>
        <w:t>” means an Award granted under Section 5(b).</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Option</w:t>
      </w:r>
      <w:r>
        <w:rPr>
          <w:rFonts w:ascii="Arial" w:cs="Arial" w:eastAsia="Arial" w:hAnsi="Arial"/>
          <w:sz w:val="22"/>
          <w:szCs w:val="22"/>
          <w:color w:val="auto"/>
        </w:rPr>
        <w:t>” means an Award granted under Section 5(a).</w:t>
      </w:r>
    </w:p>
    <w:p>
      <w:pPr>
        <w:spacing w:after="0" w:line="20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any corporation, partnership, joint venture, limited liability company or other entity during any period in which at least a fifty percent (50%) voting or profits interest is owned, directly or indirectly, by the Company or any successor to the Company.</w:t>
      </w:r>
    </w:p>
    <w:p>
      <w:pPr>
        <w:spacing w:after="0" w:line="17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4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means the maximum period during which a Stock Option or Stock Appreciation Right may remain outstanding, subject to earlier termination upon Termination of Service or otherwise, as specified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28" w:name="page429"/>
    <w:bookmarkEnd w:id="428"/>
    <w:p>
      <w:pPr>
        <w:jc w:val="both"/>
        <w:ind w:firstLine="656"/>
        <w:spacing w:after="0" w:line="271" w:lineRule="auto"/>
        <w:tabs>
          <w:tab w:leader="none" w:pos="1296" w:val="left"/>
        </w:tabs>
        <w:numPr>
          <w:ilvl w:val="0"/>
          <w:numId w:val="4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of Service</w:t>
      </w:r>
      <w:r>
        <w:rPr>
          <w:rFonts w:ascii="Arial" w:cs="Arial" w:eastAsia="Arial" w:hAnsi="Arial"/>
          <w:sz w:val="19"/>
          <w:szCs w:val="19"/>
          <w:color w:val="auto"/>
        </w:rPr>
        <w:t>” means the termination of the applicable Participant’s employment with, or performance of services for, the Company and any of its Subsidiaries or Affiliates. Unless otherwise determined by the Committee, (i) if a Participant’s employment with the Company and its Affiliates terminates but such Participant continues to provide services to the Company and its Affiliates in a non-employee capacity, such change in status shall not be deemed a Termination of Service and (ii) a Participant employed by, or performing services for, a Subsidiary or an Affiliate or a division of the Company and its Affiliates shall also be deemed to incur a Termination of Service if, as a result of a Disaffiliation, such Subsidiary, Affiliate or division ceases to be a Subsidiary, Affiliate or division, as the case may be, and the Participant does not immediately thereafter become an employee of, or service provider for, the Company or another Subsidiary or Affiliate. Temporary absences from employment because of illness, vacation or leave of absence and transfers among the Company and its Subsidiaries and Affiliates shall not be considered Terminations of Service. Notwithstanding the foregoing provisions of this definition, with respect to any Award that constitutes a “nonqualified deferred compensation plan” subject to Section 409A of the Code, a Participant shall not be considered to have experienced a “Termination of Service” unless the Participant has experienced a “separation from service” within the meaning of Section 409A of the Code (a “</w:t>
      </w:r>
      <w:r>
        <w:rPr>
          <w:rFonts w:ascii="Arial" w:cs="Arial" w:eastAsia="Arial" w:hAnsi="Arial"/>
          <w:sz w:val="19"/>
          <w:szCs w:val="19"/>
          <w:b w:val="1"/>
          <w:bCs w:val="1"/>
          <w:color w:val="auto"/>
        </w:rPr>
        <w:t>Separation from Service</w:t>
      </w:r>
      <w:r>
        <w:rPr>
          <w:rFonts w:ascii="Arial" w:cs="Arial" w:eastAsia="Arial" w:hAnsi="Arial"/>
          <w:sz w:val="19"/>
          <w:szCs w:val="19"/>
          <w:color w:val="auto"/>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ADMINISTRATION</w:t>
      </w:r>
    </w:p>
    <w:p>
      <w:pPr>
        <w:spacing w:after="0" w:line="206" w:lineRule="exact"/>
        <w:rPr>
          <w:sz w:val="20"/>
          <w:szCs w:val="20"/>
          <w:color w:val="auto"/>
        </w:rPr>
      </w:pPr>
    </w:p>
    <w:p>
      <w:pPr>
        <w:jc w:val="both"/>
        <w:ind w:firstLine="656"/>
        <w:spacing w:after="0" w:line="251" w:lineRule="auto"/>
        <w:tabs>
          <w:tab w:leader="none" w:pos="1296" w:val="left"/>
        </w:tabs>
        <w:numPr>
          <w:ilvl w:val="0"/>
          <w:numId w:val="478"/>
        </w:numPr>
        <w:rPr>
          <w:rFonts w:ascii="Arial" w:cs="Arial" w:eastAsia="Arial" w:hAnsi="Arial"/>
          <w:sz w:val="21"/>
          <w:szCs w:val="21"/>
          <w:color w:val="auto"/>
        </w:rPr>
      </w:pPr>
      <w:r>
        <w:rPr>
          <w:rFonts w:ascii="Arial" w:cs="Arial" w:eastAsia="Arial" w:hAnsi="Arial"/>
          <w:sz w:val="21"/>
          <w:szCs w:val="21"/>
          <w:b w:val="1"/>
          <w:bCs w:val="1"/>
          <w:u w:val="single" w:color="auto"/>
          <w:color w:val="auto"/>
        </w:rPr>
        <w:t>Committee</w:t>
      </w:r>
      <w:r>
        <w:rPr>
          <w:rFonts w:ascii="Arial" w:cs="Arial" w:eastAsia="Arial" w:hAnsi="Arial"/>
          <w:sz w:val="21"/>
          <w:szCs w:val="21"/>
          <w:color w:val="auto"/>
        </w:rPr>
        <w:t>. This Plan shall be administered by the Board directly, or if the Board elects,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Committee or such other committee of the Board as the Board may from time to time designate, which committee shall be composed of not fewer than two (2)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Subject to the terms and conditions of this Plan, the Committee shall have absolute authority:</w:t>
      </w:r>
    </w:p>
    <w:p>
      <w:pPr>
        <w:spacing w:after="0" w:line="241" w:lineRule="exact"/>
        <w:rPr>
          <w:sz w:val="20"/>
          <w:szCs w:val="20"/>
          <w:color w:val="auto"/>
        </w:rPr>
      </w:pPr>
    </w:p>
    <w:p>
      <w:pPr>
        <w:ind w:left="1960" w:hanging="656"/>
        <w:spacing w:after="0"/>
        <w:tabs>
          <w:tab w:leader="none" w:pos="1960" w:val="left"/>
        </w:tabs>
        <w:numPr>
          <w:ilvl w:val="0"/>
          <w:numId w:val="479"/>
        </w:numPr>
        <w:rPr>
          <w:rFonts w:ascii="Arial" w:cs="Arial" w:eastAsia="Arial" w:hAnsi="Arial"/>
          <w:sz w:val="21"/>
          <w:szCs w:val="21"/>
          <w:color w:val="auto"/>
        </w:rPr>
      </w:pPr>
      <w:r>
        <w:rPr>
          <w:rFonts w:ascii="Arial" w:cs="Arial" w:eastAsia="Arial" w:hAnsi="Arial"/>
          <w:sz w:val="21"/>
          <w:szCs w:val="21"/>
          <w:color w:val="auto"/>
        </w:rPr>
        <w:t>To select the Eligible Individuals to whom Awards may from time to time be granted;</w:t>
      </w:r>
    </w:p>
    <w:p>
      <w:pPr>
        <w:spacing w:after="0" w:line="217" w:lineRule="exact"/>
        <w:rPr>
          <w:rFonts w:ascii="Arial" w:cs="Arial" w:eastAsia="Arial" w:hAnsi="Arial"/>
          <w:sz w:val="21"/>
          <w:szCs w:val="21"/>
          <w:color w:val="auto"/>
        </w:rPr>
      </w:pPr>
    </w:p>
    <w:p>
      <w:pPr>
        <w:jc w:val="both"/>
        <w:ind w:left="660" w:right="20" w:firstLine="644"/>
        <w:spacing w:after="0"/>
        <w:tabs>
          <w:tab w:leader="none" w:pos="1956" w:val="left"/>
        </w:tabs>
        <w:numPr>
          <w:ilvl w:val="0"/>
          <w:numId w:val="479"/>
        </w:numPr>
        <w:rPr>
          <w:rFonts w:ascii="Arial" w:cs="Arial" w:eastAsia="Arial" w:hAnsi="Arial"/>
          <w:sz w:val="22"/>
          <w:szCs w:val="22"/>
          <w:color w:val="auto"/>
        </w:rPr>
      </w:pPr>
      <w:r>
        <w:rPr>
          <w:rFonts w:ascii="Arial" w:cs="Arial" w:eastAsia="Arial" w:hAnsi="Arial"/>
          <w:sz w:val="22"/>
          <w:szCs w:val="22"/>
          <w:color w:val="auto"/>
        </w:rPr>
        <w:t>To determine whether and to what extent Incentive Stock Options, Nonqualified Stock Options, Stock Appreciation Rights, Restricted Stock, Restricted Stock Units, Other Stock-Based Awards, Cash Awards or any combination thereof are to be granted hereunder;</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479"/>
        </w:numPr>
        <w:rPr>
          <w:rFonts w:ascii="Arial" w:cs="Arial" w:eastAsia="Arial" w:hAnsi="Arial"/>
          <w:sz w:val="19"/>
          <w:szCs w:val="19"/>
          <w:color w:val="auto"/>
        </w:rPr>
      </w:pPr>
      <w:r>
        <w:rPr>
          <w:rFonts w:ascii="Arial" w:cs="Arial" w:eastAsia="Arial" w:hAnsi="Arial"/>
          <w:sz w:val="19"/>
          <w:szCs w:val="19"/>
          <w:color w:val="auto"/>
        </w:rPr>
        <w:t>To determine the number of Shares to be covered by an Award or the amount of any Cash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Award;</w:t>
      </w:r>
    </w:p>
    <w:p>
      <w:pPr>
        <w:spacing w:after="0" w:line="188" w:lineRule="exact"/>
        <w:rPr>
          <w:rFonts w:ascii="Arial" w:cs="Arial" w:eastAsia="Arial" w:hAnsi="Arial"/>
          <w:sz w:val="19"/>
          <w:szCs w:val="19"/>
          <w:color w:val="auto"/>
        </w:rPr>
      </w:pPr>
    </w:p>
    <w:p>
      <w:pPr>
        <w:jc w:val="both"/>
        <w:ind w:left="660" w:firstLine="644"/>
        <w:spacing w:after="0"/>
        <w:tabs>
          <w:tab w:leader="none" w:pos="1956" w:val="left"/>
        </w:tabs>
        <w:numPr>
          <w:ilvl w:val="0"/>
          <w:numId w:val="479"/>
        </w:numPr>
        <w:rPr>
          <w:rFonts w:ascii="Arial" w:cs="Arial" w:eastAsia="Arial" w:hAnsi="Arial"/>
          <w:sz w:val="22"/>
          <w:szCs w:val="22"/>
          <w:color w:val="auto"/>
        </w:rPr>
      </w:pPr>
      <w:r>
        <w:rPr>
          <w:rFonts w:ascii="Arial" w:cs="Arial" w:eastAsia="Arial" w:hAnsi="Arial"/>
          <w:sz w:val="22"/>
          <w:szCs w:val="22"/>
          <w:color w:val="auto"/>
        </w:rPr>
        <w:t>To approve the form of any Award Agreement and determine the terms and conditions of any Award granted hereunder, including the exercise price and any vesting condition, restriction or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29" w:name="page430"/>
    <w:bookmarkEnd w:id="429"/>
    <w:p>
      <w:pPr>
        <w:ind w:left="1960" w:hanging="656"/>
        <w:spacing w:after="0"/>
        <w:tabs>
          <w:tab w:leader="none" w:pos="1960" w:val="left"/>
        </w:tabs>
        <w:numPr>
          <w:ilvl w:val="1"/>
          <w:numId w:val="480"/>
        </w:numPr>
        <w:rPr>
          <w:rFonts w:ascii="Arial" w:cs="Arial" w:eastAsia="Arial" w:hAnsi="Arial"/>
          <w:sz w:val="19"/>
          <w:szCs w:val="19"/>
          <w:color w:val="auto"/>
        </w:rPr>
      </w:pPr>
      <w:r>
        <w:rPr>
          <w:rFonts w:ascii="Arial" w:cs="Arial" w:eastAsia="Arial" w:hAnsi="Arial"/>
          <w:sz w:val="19"/>
          <w:szCs w:val="19"/>
          <w:color w:val="auto"/>
        </w:rPr>
        <w:t>To modify, amend or adjust the terms and conditions (including any Performance Goals)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any Award;</w:t>
      </w:r>
    </w:p>
    <w:p>
      <w:pPr>
        <w:spacing w:after="0" w:line="188" w:lineRule="exact"/>
        <w:rPr>
          <w:rFonts w:ascii="Arial" w:cs="Arial" w:eastAsia="Arial" w:hAnsi="Arial"/>
          <w:sz w:val="19"/>
          <w:szCs w:val="19"/>
          <w:color w:val="auto"/>
        </w:rPr>
      </w:pPr>
    </w:p>
    <w:p>
      <w:pPr>
        <w:ind w:left="660" w:firstLine="644"/>
        <w:spacing w:after="0" w:line="250" w:lineRule="auto"/>
        <w:tabs>
          <w:tab w:leader="none" w:pos="1956" w:val="left"/>
        </w:tabs>
        <w:numPr>
          <w:ilvl w:val="1"/>
          <w:numId w:val="480"/>
        </w:numPr>
        <w:rPr>
          <w:rFonts w:ascii="Arial" w:cs="Arial" w:eastAsia="Arial" w:hAnsi="Arial"/>
          <w:sz w:val="22"/>
          <w:szCs w:val="22"/>
          <w:color w:val="auto"/>
        </w:rPr>
      </w:pPr>
      <w:r>
        <w:rPr>
          <w:rFonts w:ascii="Arial" w:cs="Arial" w:eastAsia="Arial" w:hAnsi="Arial"/>
          <w:sz w:val="22"/>
          <w:szCs w:val="22"/>
          <w:color w:val="auto"/>
        </w:rPr>
        <w:t>To determine to what extent and under what circumstances Shares or cash payable with respect to an Award shall be deferred;</w:t>
      </w:r>
    </w:p>
    <w:p>
      <w:pPr>
        <w:spacing w:after="0" w:line="174" w:lineRule="exact"/>
        <w:rPr>
          <w:rFonts w:ascii="Arial" w:cs="Arial" w:eastAsia="Arial" w:hAnsi="Arial"/>
          <w:sz w:val="22"/>
          <w:szCs w:val="22"/>
          <w:color w:val="auto"/>
        </w:rPr>
      </w:pPr>
    </w:p>
    <w:p>
      <w:pPr>
        <w:ind w:left="660" w:firstLine="644"/>
        <w:spacing w:after="0" w:line="250" w:lineRule="auto"/>
        <w:tabs>
          <w:tab w:leader="none" w:pos="1956" w:val="left"/>
        </w:tabs>
        <w:numPr>
          <w:ilvl w:val="1"/>
          <w:numId w:val="480"/>
        </w:numPr>
        <w:rPr>
          <w:rFonts w:ascii="Arial" w:cs="Arial" w:eastAsia="Arial" w:hAnsi="Arial"/>
          <w:sz w:val="22"/>
          <w:szCs w:val="22"/>
          <w:color w:val="auto"/>
        </w:rPr>
      </w:pPr>
      <w:r>
        <w:rPr>
          <w:rFonts w:ascii="Arial" w:cs="Arial" w:eastAsia="Arial" w:hAnsi="Arial"/>
          <w:sz w:val="22"/>
          <w:szCs w:val="22"/>
          <w:color w:val="auto"/>
        </w:rPr>
        <w:t>To determine under what circumstances an Award may be settled in cash, Shares, other property or a combination of the foregoing;</w:t>
      </w:r>
    </w:p>
    <w:p>
      <w:pPr>
        <w:spacing w:after="0" w:line="174" w:lineRule="exact"/>
        <w:rPr>
          <w:rFonts w:ascii="Arial" w:cs="Arial" w:eastAsia="Arial" w:hAnsi="Arial"/>
          <w:sz w:val="22"/>
          <w:szCs w:val="22"/>
          <w:color w:val="auto"/>
        </w:rPr>
      </w:pPr>
    </w:p>
    <w:p>
      <w:pPr>
        <w:ind w:left="660" w:firstLine="644"/>
        <w:spacing w:after="0" w:line="250" w:lineRule="auto"/>
        <w:tabs>
          <w:tab w:leader="none" w:pos="1956" w:val="left"/>
        </w:tabs>
        <w:numPr>
          <w:ilvl w:val="1"/>
          <w:numId w:val="480"/>
        </w:numPr>
        <w:rPr>
          <w:rFonts w:ascii="Arial" w:cs="Arial" w:eastAsia="Arial" w:hAnsi="Arial"/>
          <w:sz w:val="22"/>
          <w:szCs w:val="22"/>
          <w:color w:val="auto"/>
        </w:rPr>
      </w:pPr>
      <w:r>
        <w:rPr>
          <w:rFonts w:ascii="Arial" w:cs="Arial" w:eastAsia="Arial" w:hAnsi="Arial"/>
          <w:sz w:val="22"/>
          <w:szCs w:val="22"/>
          <w:color w:val="auto"/>
        </w:rPr>
        <w:t>To adopt, alter and repeal such administrative rules, guidelines and practices governing this Plan as it shall from time to time deem advisable;</w:t>
      </w:r>
    </w:p>
    <w:p>
      <w:pPr>
        <w:spacing w:after="0" w:line="174" w:lineRule="exact"/>
        <w:rPr>
          <w:rFonts w:ascii="Arial" w:cs="Arial" w:eastAsia="Arial" w:hAnsi="Arial"/>
          <w:sz w:val="22"/>
          <w:szCs w:val="22"/>
          <w:color w:val="auto"/>
        </w:rPr>
      </w:pPr>
    </w:p>
    <w:p>
      <w:pPr>
        <w:ind w:firstLine="1304"/>
        <w:spacing w:after="0" w:line="250" w:lineRule="auto"/>
        <w:tabs>
          <w:tab w:leader="none" w:pos="1944" w:val="left"/>
        </w:tabs>
        <w:numPr>
          <w:ilvl w:val="1"/>
          <w:numId w:val="480"/>
        </w:numPr>
        <w:rPr>
          <w:rFonts w:ascii="Arial" w:cs="Arial" w:eastAsia="Arial" w:hAnsi="Arial"/>
          <w:sz w:val="22"/>
          <w:szCs w:val="22"/>
          <w:color w:val="auto"/>
        </w:rPr>
      </w:pPr>
      <w:r>
        <w:rPr>
          <w:rFonts w:ascii="Arial" w:cs="Arial" w:eastAsia="Arial" w:hAnsi="Arial"/>
          <w:sz w:val="22"/>
          <w:szCs w:val="22"/>
          <w:color w:val="auto"/>
        </w:rPr>
        <w:t>To establish any “blackout” period that the Committee in its sole discretion deems necessary or advisable;</w:t>
      </w:r>
    </w:p>
    <w:p>
      <w:pPr>
        <w:spacing w:after="0" w:line="174" w:lineRule="exact"/>
        <w:rPr>
          <w:rFonts w:ascii="Arial" w:cs="Arial" w:eastAsia="Arial" w:hAnsi="Arial"/>
          <w:sz w:val="22"/>
          <w:szCs w:val="22"/>
          <w:color w:val="auto"/>
        </w:rPr>
      </w:pPr>
    </w:p>
    <w:p>
      <w:pPr>
        <w:ind w:left="660" w:right="20" w:firstLine="644"/>
        <w:spacing w:after="0" w:line="250" w:lineRule="auto"/>
        <w:tabs>
          <w:tab w:leader="none" w:pos="1956" w:val="left"/>
        </w:tabs>
        <w:numPr>
          <w:ilvl w:val="1"/>
          <w:numId w:val="480"/>
        </w:numPr>
        <w:rPr>
          <w:rFonts w:ascii="Arial" w:cs="Arial" w:eastAsia="Arial" w:hAnsi="Arial"/>
          <w:sz w:val="22"/>
          <w:szCs w:val="22"/>
          <w:color w:val="auto"/>
        </w:rPr>
      </w:pPr>
      <w:r>
        <w:rPr>
          <w:rFonts w:ascii="Arial" w:cs="Arial" w:eastAsia="Arial" w:hAnsi="Arial"/>
          <w:sz w:val="22"/>
          <w:szCs w:val="22"/>
          <w:color w:val="auto"/>
        </w:rPr>
        <w:t>To interpret the terms and provisions of this Plan and any Award issued under this Plan (and any Award Agreement relating thereto);</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1"/>
          <w:numId w:val="480"/>
        </w:numPr>
        <w:rPr>
          <w:rFonts w:ascii="Arial" w:cs="Arial" w:eastAsia="Arial" w:hAnsi="Arial"/>
          <w:sz w:val="21"/>
          <w:szCs w:val="21"/>
          <w:color w:val="auto"/>
        </w:rPr>
      </w:pPr>
      <w:r>
        <w:rPr>
          <w:rFonts w:ascii="Arial" w:cs="Arial" w:eastAsia="Arial" w:hAnsi="Arial"/>
          <w:sz w:val="21"/>
          <w:szCs w:val="21"/>
          <w:color w:val="auto"/>
        </w:rPr>
        <w:t>To decide all other matters that must be determined in connection with an Award; and</w:t>
      </w:r>
    </w:p>
    <w:p>
      <w:pPr>
        <w:spacing w:after="0" w:line="217" w:lineRule="exact"/>
        <w:rPr>
          <w:rFonts w:ascii="Arial" w:cs="Arial" w:eastAsia="Arial" w:hAnsi="Arial"/>
          <w:sz w:val="21"/>
          <w:szCs w:val="21"/>
          <w:color w:val="auto"/>
        </w:rPr>
      </w:pPr>
    </w:p>
    <w:p>
      <w:pPr>
        <w:ind w:left="1960" w:hanging="656"/>
        <w:spacing w:after="0"/>
        <w:tabs>
          <w:tab w:leader="none" w:pos="1960" w:val="left"/>
        </w:tabs>
        <w:numPr>
          <w:ilvl w:val="1"/>
          <w:numId w:val="480"/>
        </w:numPr>
        <w:rPr>
          <w:rFonts w:ascii="Arial" w:cs="Arial" w:eastAsia="Arial" w:hAnsi="Arial"/>
          <w:sz w:val="22"/>
          <w:szCs w:val="22"/>
          <w:color w:val="auto"/>
        </w:rPr>
      </w:pPr>
      <w:r>
        <w:rPr>
          <w:rFonts w:ascii="Arial" w:cs="Arial" w:eastAsia="Arial" w:hAnsi="Arial"/>
          <w:sz w:val="22"/>
          <w:szCs w:val="22"/>
          <w:color w:val="auto"/>
        </w:rPr>
        <w:t>To otherwise administer this Plan.</w:t>
      </w:r>
    </w:p>
    <w:p>
      <w:pPr>
        <w:spacing w:after="0" w:line="200" w:lineRule="exact"/>
        <w:rPr>
          <w:rFonts w:ascii="Arial" w:cs="Arial" w:eastAsia="Arial" w:hAnsi="Arial"/>
          <w:sz w:val="22"/>
          <w:szCs w:val="22"/>
          <w:color w:val="auto"/>
        </w:rPr>
      </w:pPr>
    </w:p>
    <w:p>
      <w:pPr>
        <w:ind w:left="1300" w:hanging="644"/>
        <w:spacing w:after="0"/>
        <w:tabs>
          <w:tab w:leader="none" w:pos="1300" w:val="left"/>
        </w:tabs>
        <w:numPr>
          <w:ilvl w:val="0"/>
          <w:numId w:val="481"/>
        </w:numPr>
        <w:rPr>
          <w:rFonts w:ascii="Arial" w:cs="Arial" w:eastAsia="Arial" w:hAnsi="Arial"/>
          <w:sz w:val="22"/>
          <w:szCs w:val="22"/>
          <w:color w:val="auto"/>
        </w:rPr>
      </w:pPr>
      <w:r>
        <w:rPr>
          <w:rFonts w:ascii="Arial" w:cs="Arial" w:eastAsia="Arial" w:hAnsi="Arial"/>
          <w:sz w:val="22"/>
          <w:szCs w:val="22"/>
          <w:b w:val="1"/>
          <w:bCs w:val="1"/>
          <w:u w:val="single" w:color="auto"/>
          <w:color w:val="auto"/>
        </w:rPr>
        <w:t>Procedures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660" w:firstLine="644"/>
        <w:spacing w:after="0" w:line="282" w:lineRule="auto"/>
        <w:tabs>
          <w:tab w:leader="none" w:pos="1956" w:val="left"/>
        </w:tabs>
        <w:numPr>
          <w:ilvl w:val="1"/>
          <w:numId w:val="481"/>
        </w:numPr>
        <w:rPr>
          <w:rFonts w:ascii="Arial" w:cs="Arial" w:eastAsia="Arial" w:hAnsi="Arial"/>
          <w:sz w:val="19"/>
          <w:szCs w:val="19"/>
          <w:color w:val="auto"/>
        </w:rPr>
      </w:pPr>
      <w:r>
        <w:rPr>
          <w:rFonts w:ascii="Arial" w:cs="Arial" w:eastAsia="Arial" w:hAnsi="Arial"/>
          <w:sz w:val="19"/>
          <w:szCs w:val="19"/>
          <w:color w:val="auto"/>
        </w:rPr>
        <w:t>The Committee may act only by a majority of its members then in office, except that the Committee may, except to the extent prohibited by applicable law or the listing standards of the Applicable Exchange, allocate all or any portion of its responsibilities and powers to any one (1) or more of its members and may delegate all or any part of its responsibilities and powers to any person or persons selected by it. Any such allocation or delegation may be revoked by the Committee at any time.</w:t>
      </w:r>
    </w:p>
    <w:p>
      <w:pPr>
        <w:spacing w:after="0" w:line="147" w:lineRule="exact"/>
        <w:rPr>
          <w:rFonts w:ascii="Arial" w:cs="Arial" w:eastAsia="Arial" w:hAnsi="Arial"/>
          <w:sz w:val="19"/>
          <w:szCs w:val="19"/>
          <w:color w:val="auto"/>
        </w:rPr>
      </w:pPr>
    </w:p>
    <w:p>
      <w:pPr>
        <w:jc w:val="both"/>
        <w:ind w:left="660" w:right="20" w:firstLine="644"/>
        <w:spacing w:after="0"/>
        <w:tabs>
          <w:tab w:leader="none" w:pos="1956" w:val="left"/>
        </w:tabs>
        <w:numPr>
          <w:ilvl w:val="1"/>
          <w:numId w:val="481"/>
        </w:numPr>
        <w:rPr>
          <w:rFonts w:ascii="Arial" w:cs="Arial" w:eastAsia="Arial" w:hAnsi="Arial"/>
          <w:sz w:val="22"/>
          <w:szCs w:val="22"/>
          <w:color w:val="auto"/>
        </w:rPr>
      </w:pPr>
      <w:r>
        <w:rPr>
          <w:rFonts w:ascii="Arial" w:cs="Arial" w:eastAsia="Arial" w:hAnsi="Arial"/>
          <w:sz w:val="22"/>
          <w:szCs w:val="22"/>
          <w:color w:val="auto"/>
        </w:rPr>
        <w:t>Any authority granted to the Committee may be exercised by the full Board. To the extent that any permitted action taken by the Board conflicts with action taken by the Committee, the Board action shall control.</w:t>
      </w:r>
    </w:p>
    <w:p>
      <w:pPr>
        <w:spacing w:after="0" w:line="180" w:lineRule="exact"/>
        <w:rPr>
          <w:rFonts w:ascii="Arial" w:cs="Arial" w:eastAsia="Arial" w:hAnsi="Arial"/>
          <w:sz w:val="22"/>
          <w:szCs w:val="22"/>
          <w:color w:val="auto"/>
        </w:rPr>
      </w:pPr>
    </w:p>
    <w:p>
      <w:pPr>
        <w:jc w:val="both"/>
        <w:ind w:firstLine="656"/>
        <w:spacing w:after="0" w:line="278" w:lineRule="auto"/>
        <w:tabs>
          <w:tab w:leader="none" w:pos="1296" w:val="left"/>
        </w:tabs>
        <w:numPr>
          <w:ilvl w:val="0"/>
          <w:numId w:val="481"/>
        </w:numPr>
        <w:rPr>
          <w:rFonts w:ascii="Arial" w:cs="Arial" w:eastAsia="Arial" w:hAnsi="Arial"/>
          <w:sz w:val="19"/>
          <w:szCs w:val="19"/>
          <w:color w:val="auto"/>
        </w:rPr>
      </w:pPr>
      <w:r>
        <w:rPr>
          <w:rFonts w:ascii="Arial" w:cs="Arial" w:eastAsia="Arial" w:hAnsi="Arial"/>
          <w:sz w:val="19"/>
          <w:szCs w:val="19"/>
          <w:b w:val="1"/>
          <w:bCs w:val="1"/>
          <w:u w:val="single" w:color="auto"/>
          <w:color w:val="auto"/>
        </w:rPr>
        <w:t>Discretion of Committee</w:t>
      </w:r>
      <w:r>
        <w:rPr>
          <w:rFonts w:ascii="Arial" w:cs="Arial" w:eastAsia="Arial" w:hAnsi="Arial"/>
          <w:sz w:val="19"/>
          <w:szCs w:val="19"/>
          <w:color w:val="auto"/>
        </w:rPr>
        <w:t>. Subject to Section 1(h), any determination made by the Committee or</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delegated authority under the 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binding and conclusive on all persons, including the Company, Participants and Eligible Individuals. Any determination made by the Committee or pursuant to delegated authority under the provisions of this Plan, including conditions for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30" w:name="page431"/>
    <w:bookmarkEnd w:id="430"/>
    <w:p>
      <w:pPr>
        <w:spacing w:after="0"/>
        <w:rPr>
          <w:sz w:val="20"/>
          <w:szCs w:val="20"/>
          <w:color w:val="auto"/>
        </w:rPr>
      </w:pPr>
      <w:r>
        <w:rPr>
          <w:rFonts w:ascii="Arial" w:cs="Arial" w:eastAsia="Arial" w:hAnsi="Arial"/>
          <w:sz w:val="19"/>
          <w:szCs w:val="19"/>
          <w:color w:val="auto"/>
        </w:rPr>
        <w:t>or vesting and the adjustment of Awards pursuant to Section 3(d) need not be the same for each Participant.</w:t>
      </w:r>
    </w:p>
    <w:p>
      <w:pPr>
        <w:spacing w:after="0" w:line="235" w:lineRule="exact"/>
        <w:rPr>
          <w:sz w:val="20"/>
          <w:szCs w:val="20"/>
          <w:color w:val="auto"/>
        </w:rPr>
      </w:pPr>
    </w:p>
    <w:p>
      <w:pPr>
        <w:jc w:val="both"/>
        <w:ind w:firstLine="656"/>
        <w:spacing w:after="0" w:line="243" w:lineRule="auto"/>
        <w:tabs>
          <w:tab w:leader="none" w:pos="1296" w:val="left"/>
        </w:tabs>
        <w:numPr>
          <w:ilvl w:val="0"/>
          <w:numId w:val="482"/>
        </w:numPr>
        <w:rPr>
          <w:rFonts w:ascii="Arial" w:cs="Arial" w:eastAsia="Arial" w:hAnsi="Arial"/>
          <w:sz w:val="22"/>
          <w:szCs w:val="22"/>
          <w:color w:val="auto"/>
        </w:rPr>
      </w:pPr>
      <w:r>
        <w:rPr>
          <w:rFonts w:ascii="Arial" w:cs="Arial" w:eastAsia="Arial" w:hAnsi="Arial"/>
          <w:sz w:val="22"/>
          <w:szCs w:val="22"/>
          <w:b w:val="1"/>
          <w:bCs w:val="1"/>
          <w:u w:val="single" w:color="auto"/>
          <w:color w:val="auto"/>
        </w:rPr>
        <w:t>Cancellation or Suspension</w:t>
      </w:r>
      <w:r>
        <w:rPr>
          <w:rFonts w:ascii="Arial" w:cs="Arial" w:eastAsia="Arial" w:hAnsi="Arial"/>
          <w:sz w:val="22"/>
          <w:szCs w:val="22"/>
          <w:color w:val="auto"/>
        </w:rPr>
        <w:t>. Subject to Section 5(c), the Committee shall have full power and</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determine whether, to what extent and under what circumstances any Award shall be canceled or suspended.</w:t>
      </w:r>
    </w:p>
    <w:p>
      <w:pPr>
        <w:spacing w:after="0" w:line="176" w:lineRule="exact"/>
        <w:rPr>
          <w:rFonts w:ascii="Arial" w:cs="Arial" w:eastAsia="Arial" w:hAnsi="Arial"/>
          <w:sz w:val="22"/>
          <w:szCs w:val="22"/>
          <w:color w:val="auto"/>
        </w:rPr>
      </w:pPr>
    </w:p>
    <w:p>
      <w:pPr>
        <w:jc w:val="both"/>
        <w:ind w:firstLine="656"/>
        <w:spacing w:after="0" w:line="237" w:lineRule="auto"/>
        <w:tabs>
          <w:tab w:leader="none" w:pos="1296" w:val="left"/>
        </w:tabs>
        <w:numPr>
          <w:ilvl w:val="0"/>
          <w:numId w:val="482"/>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Agreements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and conditions of each Award, as determined by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set forth in a written (or electronic) Award Agreement, which shall be delivered to the Participant receiving such Award upon, or as promptly as is reasonably practicable following, the grant of such Award. The effectiveness of an Award shall be subject to the Participant’s acceptance of the applicable Award Agreement within the time period specified therein (if any).</w:t>
      </w:r>
    </w:p>
    <w:p>
      <w:pPr>
        <w:spacing w:after="0" w:line="181"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48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16(b)</w:t>
      </w:r>
      <w:r>
        <w:rPr>
          <w:rFonts w:ascii="Arial" w:cs="Arial" w:eastAsia="Arial" w:hAnsi="Arial"/>
          <w:sz w:val="22"/>
          <w:szCs w:val="22"/>
          <w:color w:val="auto"/>
        </w:rPr>
        <w:t>. The provisions of this Plan are intended to ensure that no transaction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Plan is subject to (and all such transactions shall be exempt from) the short-swing recovery rules of Section 16(b) of the Exchange Act (“</w:t>
      </w:r>
      <w:r>
        <w:rPr>
          <w:rFonts w:ascii="Arial" w:cs="Arial" w:eastAsia="Arial" w:hAnsi="Arial"/>
          <w:sz w:val="22"/>
          <w:szCs w:val="22"/>
          <w:b w:val="1"/>
          <w:bCs w:val="1"/>
          <w:color w:val="auto"/>
        </w:rPr>
        <w:t>Section 16(b)</w:t>
      </w:r>
      <w:r>
        <w:rPr>
          <w:rFonts w:ascii="Arial" w:cs="Arial" w:eastAsia="Arial" w:hAnsi="Arial"/>
          <w:sz w:val="22"/>
          <w:szCs w:val="22"/>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COMMON STOCK SUBJECT TO PLAN; OTHER LIMITS</w:t>
      </w:r>
    </w:p>
    <w:p>
      <w:pPr>
        <w:spacing w:after="0" w:line="206" w:lineRule="exact"/>
        <w:rPr>
          <w:sz w:val="20"/>
          <w:szCs w:val="20"/>
          <w:color w:val="auto"/>
        </w:rPr>
      </w:pPr>
    </w:p>
    <w:p>
      <w:pPr>
        <w:jc w:val="both"/>
        <w:ind w:firstLine="656"/>
        <w:spacing w:after="0" w:line="272" w:lineRule="auto"/>
        <w:tabs>
          <w:tab w:leader="none" w:pos="1296" w:val="left"/>
        </w:tabs>
        <w:numPr>
          <w:ilvl w:val="0"/>
          <w:numId w:val="483"/>
        </w:numPr>
        <w:rPr>
          <w:rFonts w:ascii="Arial" w:cs="Arial" w:eastAsia="Arial" w:hAnsi="Arial"/>
          <w:sz w:val="19"/>
          <w:szCs w:val="19"/>
          <w:color w:val="auto"/>
        </w:rPr>
      </w:pPr>
      <w:r>
        <w:rPr>
          <w:rFonts w:ascii="Arial" w:cs="Arial" w:eastAsia="Arial" w:hAnsi="Arial"/>
          <w:sz w:val="19"/>
          <w:szCs w:val="19"/>
          <w:b w:val="1"/>
          <w:bCs w:val="1"/>
          <w:u w:val="single" w:color="auto"/>
          <w:color w:val="auto"/>
        </w:rPr>
        <w:t>Plan Maximums</w:t>
      </w:r>
      <w:r>
        <w:rPr>
          <w:rFonts w:ascii="Arial" w:cs="Arial" w:eastAsia="Arial" w:hAnsi="Arial"/>
          <w:sz w:val="19"/>
          <w:szCs w:val="19"/>
          <w:color w:val="auto"/>
        </w:rPr>
        <w:t>. The maximum number of Shares that may be granted pursuant to Awards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Plan shall be 4,574,765 (the “</w:t>
      </w:r>
      <w:r>
        <w:rPr>
          <w:rFonts w:ascii="Arial" w:cs="Arial" w:eastAsia="Arial" w:hAnsi="Arial"/>
          <w:sz w:val="19"/>
          <w:szCs w:val="19"/>
          <w:b w:val="1"/>
          <w:bCs w:val="1"/>
          <w:color w:val="auto"/>
        </w:rPr>
        <w:t>Share Reserve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January 1, 2024 and on each January 1 thereafter until January 1, 2031, the Share Reserve shall automatically increase by an amount equal to 2% of the total number of Shares outstanding on December 31 of the preceding calendar year (or such lesser number as determined by the Committee). The maximum number of Shares that may be granted pursuant to Stock Options intended to be Incentive Stock Options shall be equal to the Share Reserve. Shares subject to an Award under this Plan may be authorized and unissued Shares. On and after the Effective Date, no new Awards may be granted under the Company’s prior equity compensation plans, it being understood that (x) Awards outstanding under any such plans as of the Effective Date shall remain in full force and effect under such plans according to their respective terms, and (y) to the extent that any such award is forfeited, terminates, expires or lapses without being exercised (to the extent applicable), or is settled for cash, the Shares subject to such award not delivered as a result thereof shall again be available for Awards under this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dividend equivalents may continue to be issued under the Company’s existing equity compensation plans in respect of Awards granted under such plans which are outstanding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31" w:name="page432"/>
    <w:bookmarkEnd w:id="431"/>
    <w:p>
      <w:pPr>
        <w:ind w:firstLine="656"/>
        <w:spacing w:after="0" w:line="334" w:lineRule="auto"/>
        <w:tabs>
          <w:tab w:leader="none" w:pos="1296" w:val="left"/>
        </w:tabs>
        <w:numPr>
          <w:ilvl w:val="0"/>
          <w:numId w:val="484"/>
        </w:numPr>
        <w:rPr>
          <w:rFonts w:ascii="Arial" w:cs="Arial" w:eastAsia="Arial" w:hAnsi="Arial"/>
          <w:sz w:val="19"/>
          <w:szCs w:val="19"/>
          <w:color w:val="auto"/>
        </w:rPr>
      </w:pPr>
      <w:r>
        <w:rPr>
          <w:rFonts w:ascii="Arial" w:cs="Arial" w:eastAsia="Arial" w:hAnsi="Arial"/>
          <w:sz w:val="19"/>
          <w:szCs w:val="19"/>
          <w:b w:val="1"/>
          <w:bCs w:val="1"/>
          <w:u w:val="single" w:color="auto"/>
          <w:color w:val="auto"/>
        </w:rPr>
        <w:t>Individual Limits</w:t>
      </w:r>
      <w:r>
        <w:rPr>
          <w:rFonts w:ascii="Arial" w:cs="Arial" w:eastAsia="Arial" w:hAnsi="Arial"/>
          <w:sz w:val="19"/>
          <w:szCs w:val="19"/>
          <w:color w:val="auto"/>
        </w:rPr>
        <w:t>. No Participant who is a non-employee director of the Company may be</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during any calendar year Awards covering Shares with a grant date fair value in excess of $500,000.</w:t>
      </w:r>
    </w:p>
    <w:p>
      <w:pPr>
        <w:spacing w:after="0" w:line="93" w:lineRule="exact"/>
        <w:rPr>
          <w:rFonts w:ascii="Arial" w:cs="Arial" w:eastAsia="Arial" w:hAnsi="Arial"/>
          <w:sz w:val="19"/>
          <w:szCs w:val="19"/>
          <w:color w:val="auto"/>
        </w:rPr>
      </w:pPr>
    </w:p>
    <w:p>
      <w:pPr>
        <w:jc w:val="both"/>
        <w:ind w:firstLine="656"/>
        <w:spacing w:after="0" w:line="278" w:lineRule="auto"/>
        <w:tabs>
          <w:tab w:leader="none" w:pos="1296" w:val="left"/>
        </w:tabs>
        <w:numPr>
          <w:ilvl w:val="0"/>
          <w:numId w:val="484"/>
        </w:numPr>
        <w:rPr>
          <w:rFonts w:ascii="Arial" w:cs="Arial" w:eastAsia="Arial" w:hAnsi="Arial"/>
          <w:sz w:val="19"/>
          <w:szCs w:val="19"/>
          <w:color w:val="auto"/>
        </w:rPr>
      </w:pPr>
      <w:r>
        <w:rPr>
          <w:rFonts w:ascii="Arial" w:cs="Arial" w:eastAsia="Arial" w:hAnsi="Arial"/>
          <w:sz w:val="19"/>
          <w:szCs w:val="19"/>
          <w:b w:val="1"/>
          <w:bCs w:val="1"/>
          <w:u w:val="single" w:color="auto"/>
          <w:color w:val="auto"/>
        </w:rPr>
        <w:t>Rules for Calculating Shares Issued</w:t>
      </w:r>
      <w:r>
        <w:rPr>
          <w:rFonts w:ascii="Arial" w:cs="Arial" w:eastAsia="Arial" w:hAnsi="Arial"/>
          <w:sz w:val="19"/>
          <w:szCs w:val="19"/>
          <w:color w:val="auto"/>
        </w:rPr>
        <w:t>. To the extent that any Award is forfeited, terminates,</w:t>
      </w:r>
      <w:r>
        <w:rPr>
          <w:rFonts w:ascii="Arial" w:cs="Arial" w:eastAsia="Arial" w:hAnsi="Arial"/>
          <w:sz w:val="19"/>
          <w:szCs w:val="19"/>
          <w:b w:val="1"/>
          <w:bCs w:val="1"/>
          <w:color w:val="auto"/>
        </w:rPr>
        <w:t xml:space="preserve"> </w:t>
      </w:r>
      <w:r>
        <w:rPr>
          <w:rFonts w:ascii="Arial" w:cs="Arial" w:eastAsia="Arial" w:hAnsi="Arial"/>
          <w:sz w:val="19"/>
          <w:szCs w:val="19"/>
          <w:color w:val="auto"/>
        </w:rPr>
        <w:t>expires or lapses instead of being exercised, or any Award is settled for cash, the Shares subject to such Award that are not delivered as a result thereof shall again be available for Awards under this Plan. If the exercise price of any Stock Option or Stock Appreciation Right and/or the tax withholding obligations relating to any Award are satisfied by delivering Shares (either actually or through a signed document affirming the Participant’s ownership and delivery of such Shares) or withholding Shares relating to such Award, the gross number of Shares subject to the Award shall nonetheless be deemed to have been granted for purposes of the first sentence of Section 3(a).</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0"/>
          <w:numId w:val="484"/>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 Provisions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304"/>
        <w:spacing w:after="0" w:line="269" w:lineRule="auto"/>
        <w:tabs>
          <w:tab w:leader="none" w:pos="1944" w:val="left"/>
        </w:tabs>
        <w:numPr>
          <w:ilvl w:val="1"/>
          <w:numId w:val="484"/>
        </w:numPr>
        <w:rPr>
          <w:rFonts w:ascii="Arial" w:cs="Arial" w:eastAsia="Arial" w:hAnsi="Arial"/>
          <w:sz w:val="19"/>
          <w:szCs w:val="19"/>
          <w:color w:val="auto"/>
        </w:rPr>
      </w:pPr>
      <w:r>
        <w:rPr>
          <w:rFonts w:ascii="Arial" w:cs="Arial" w:eastAsia="Arial" w:hAnsi="Arial"/>
          <w:sz w:val="19"/>
          <w:szCs w:val="19"/>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Arial" w:cs="Arial" w:eastAsia="Arial" w:hAnsi="Arial"/>
          <w:sz w:val="19"/>
          <w:szCs w:val="19"/>
          <w:b w:val="1"/>
          <w:bCs w:val="1"/>
          <w:color w:val="auto"/>
        </w:rPr>
        <w:t>Corporate Transaction</w:t>
      </w:r>
      <w:r>
        <w:rPr>
          <w:rFonts w:ascii="Arial" w:cs="Arial" w:eastAsia="Arial" w:hAnsi="Arial"/>
          <w:sz w:val="19"/>
          <w:szCs w:val="19"/>
          <w:color w:val="auto"/>
        </w:rPr>
        <w:t>”), the Committee or the Board may in its discretion make such substitutions or adjustments as it deems appropriate and equitable to (A) the limits set forth in Sections 3(a) and 3(b); (B) the number and kind of Shares or other securities subject to outstanding Awards; (C) the Performance Goals applicable to outstanding Awards; (D) the number of Shares considered delivered based on the type of Award granted as set forth in Section 3(c); and (E) the exercise price of outstanding Awards. In the event of a Corporate Transaction, such adjustments may include (I) the cancellation of outstanding Awards in exchange for payments of cash, property or a combination thereof having an aggregate value equal to the value of such Awards, as determined by the Committee in its sole discretion (it being understood that in the event of a Corporate Transaction with respect to which shareholders of Common Stock receive consideration other than publicly traded equity securities of the ultimate surviving entity, any such determination by the Committee that the value of a Stock Option or Stock Appreciation Right shall for this purpose be deemed to equal the excess, if any, of the value of the consideration being paid for each Share pursuant to such Corporate Transaction over the exercise price of such Stock Option or Stock Appreciation Right shall be deemed conclusively valid); (II) the substitution of other property (including cash or other securities of the Company and securities of entities other than the Company) for the Shares subject to outstanding Awards; and (III) in connection with any Disaffiliation, arranging for the assumption of Awards, or replacement of Awards with new awards based on other property or other securities (including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32" w:name="page433"/>
    <w:bookmarkEnd w:id="432"/>
    <w:p>
      <w:pPr>
        <w:jc w:val="both"/>
        <w:ind w:firstLine="1304"/>
        <w:spacing w:after="0" w:line="275" w:lineRule="auto"/>
        <w:tabs>
          <w:tab w:leader="none" w:pos="1944" w:val="left"/>
        </w:tabs>
        <w:numPr>
          <w:ilvl w:val="0"/>
          <w:numId w:val="485"/>
        </w:numPr>
        <w:rPr>
          <w:rFonts w:ascii="Arial" w:cs="Arial" w:eastAsia="Arial" w:hAnsi="Arial"/>
          <w:sz w:val="19"/>
          <w:szCs w:val="19"/>
          <w:color w:val="auto"/>
        </w:rPr>
      </w:pPr>
      <w:r>
        <w:rPr>
          <w:rFonts w:ascii="Arial" w:cs="Arial" w:eastAsia="Arial" w:hAnsi="Arial"/>
          <w:sz w:val="19"/>
          <w:szCs w:val="19"/>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limits set forth in Sections 3(a) and 3(b); (B) the number and kind of Shares or other securities subject to outstanding Awards; (C) the Performance Goals applicable to outstanding Awards; (D) the number of Shares considered delivered based on the type of Award granted as set forth in Section 3(c); and (E) the exercise price of outstanding Awards.</w:t>
      </w:r>
    </w:p>
    <w:p>
      <w:pPr>
        <w:spacing w:after="0" w:line="157"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485"/>
        </w:numPr>
        <w:rPr>
          <w:rFonts w:ascii="Arial" w:cs="Arial" w:eastAsia="Arial" w:hAnsi="Arial"/>
          <w:sz w:val="21"/>
          <w:szCs w:val="21"/>
          <w:color w:val="auto"/>
        </w:rPr>
      </w:pPr>
      <w:r>
        <w:rPr>
          <w:rFonts w:ascii="Arial" w:cs="Arial" w:eastAsia="Arial" w:hAnsi="Arial"/>
          <w:sz w:val="21"/>
          <w:szCs w:val="21"/>
          <w:color w:val="auto"/>
        </w:rPr>
        <w:t>Any adjustments made pursuant to this Section 3(d) to Awards that are considered “nonqualified deferred compensation” subject to Section 409A of the Code shall be made in compliance with the requirements of Section 409A of the Code. Any adjustments made pursuant to Section 3(d) to Awards that are not considered “nonqualified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ELIGIBILITY</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Awards may be granted under this Plan to Eligible Individuals;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Incentive Stock Options may be granted only to employees of the Company and its Subsidiaries or parent corporation (within the meaning of Section 424(f) of the Code).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STOCK OPTIONS AND STOCK APPRECIATION RIGHTS</w:t>
      </w:r>
    </w:p>
    <w:p>
      <w:pPr>
        <w:spacing w:after="0" w:line="206" w:lineRule="exact"/>
        <w:rPr>
          <w:sz w:val="20"/>
          <w:szCs w:val="20"/>
          <w:color w:val="auto"/>
        </w:rPr>
      </w:pPr>
    </w:p>
    <w:p>
      <w:pPr>
        <w:jc w:val="both"/>
        <w:ind w:firstLine="656"/>
        <w:spacing w:after="0" w:line="243" w:lineRule="auto"/>
        <w:tabs>
          <w:tab w:leader="none" w:pos="1296" w:val="left"/>
        </w:tabs>
        <w:numPr>
          <w:ilvl w:val="1"/>
          <w:numId w:val="48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Options</w:t>
      </w:r>
      <w:r>
        <w:rPr>
          <w:rFonts w:ascii="Arial" w:cs="Arial" w:eastAsia="Arial" w:hAnsi="Arial"/>
          <w:sz w:val="22"/>
          <w:szCs w:val="22"/>
          <w:color w:val="auto"/>
        </w:rPr>
        <w:t>. Stock Options may be granted alone or in addition to other Awards granted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Each Award Agreement shall indicate whether the Stock Option is intended to be an Incentive Stock Option or a Nonqualified Stock Option.</w:t>
      </w:r>
    </w:p>
    <w:p>
      <w:pPr>
        <w:spacing w:after="0" w:line="176" w:lineRule="exact"/>
        <w:rPr>
          <w:rFonts w:ascii="Arial" w:cs="Arial" w:eastAsia="Arial" w:hAnsi="Arial"/>
          <w:sz w:val="22"/>
          <w:szCs w:val="22"/>
          <w:color w:val="auto"/>
        </w:rPr>
      </w:pPr>
    </w:p>
    <w:p>
      <w:pPr>
        <w:jc w:val="both"/>
        <w:ind w:firstLine="656"/>
        <w:spacing w:after="0" w:line="275" w:lineRule="auto"/>
        <w:tabs>
          <w:tab w:leader="none" w:pos="1296" w:val="left"/>
        </w:tabs>
        <w:numPr>
          <w:ilvl w:val="1"/>
          <w:numId w:val="486"/>
        </w:numPr>
        <w:rPr>
          <w:rFonts w:ascii="Arial" w:cs="Arial" w:eastAsia="Arial" w:hAnsi="Arial"/>
          <w:sz w:val="19"/>
          <w:szCs w:val="19"/>
          <w:color w:val="auto"/>
        </w:rPr>
      </w:pPr>
      <w:r>
        <w:rPr>
          <w:rFonts w:ascii="Arial" w:cs="Arial" w:eastAsia="Arial" w:hAnsi="Arial"/>
          <w:sz w:val="19"/>
          <w:szCs w:val="19"/>
          <w:b w:val="1"/>
          <w:bCs w:val="1"/>
          <w:u w:val="single" w:color="auto"/>
          <w:color w:val="auto"/>
        </w:rPr>
        <w:t>Stock Appreciation Rights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exercise of a Stock Appreciation Right,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entitled to receive an amount in cash or Shares in value equal to the product of (i) the excess of the Fair Market Value of one Share over the exercise price of the applicable Stock Appreciation Right, multiplied by</w:t>
      </w:r>
    </w:p>
    <w:p>
      <w:pPr>
        <w:spacing w:after="0" w:line="1" w:lineRule="exact"/>
        <w:rPr>
          <w:rFonts w:ascii="Arial" w:cs="Arial" w:eastAsia="Arial" w:hAnsi="Arial"/>
          <w:sz w:val="19"/>
          <w:szCs w:val="19"/>
          <w:color w:val="auto"/>
        </w:rPr>
      </w:pPr>
    </w:p>
    <w:p>
      <w:pPr>
        <w:jc w:val="both"/>
        <w:ind w:firstLine="8"/>
        <w:spacing w:after="0" w:line="233" w:lineRule="auto"/>
        <w:tabs>
          <w:tab w:leader="none" w:pos="337" w:val="left"/>
        </w:tabs>
        <w:numPr>
          <w:ilvl w:val="0"/>
          <w:numId w:val="487"/>
        </w:numPr>
        <w:rPr>
          <w:rFonts w:ascii="Arial" w:cs="Arial" w:eastAsia="Arial" w:hAnsi="Arial"/>
          <w:sz w:val="22"/>
          <w:szCs w:val="22"/>
          <w:color w:val="auto"/>
        </w:rPr>
      </w:pPr>
      <w:r>
        <w:rPr>
          <w:rFonts w:ascii="Arial" w:cs="Arial" w:eastAsia="Arial" w:hAnsi="Arial"/>
          <w:sz w:val="22"/>
          <w:szCs w:val="22"/>
          <w:color w:val="auto"/>
        </w:rPr>
        <w:t>the number of Shares in respect of which the Stock Appreciation Right has been exercised. The applicable Award Agreement shall specify whether such payment is to be made in cash or Shares, or shall reserve to the Committee or the Participant the right to make that determination prior to or upon the exercise of the Stock Appreciation Right.</w:t>
      </w:r>
    </w:p>
    <w:p>
      <w:pPr>
        <w:spacing w:after="0" w:line="181" w:lineRule="exact"/>
        <w:rPr>
          <w:rFonts w:ascii="Arial" w:cs="Arial" w:eastAsia="Arial" w:hAnsi="Arial"/>
          <w:sz w:val="22"/>
          <w:szCs w:val="22"/>
          <w:color w:val="auto"/>
        </w:rPr>
      </w:pPr>
    </w:p>
    <w:p>
      <w:pPr>
        <w:jc w:val="both"/>
        <w:ind w:firstLine="656"/>
        <w:spacing w:after="0" w:line="239" w:lineRule="auto"/>
        <w:tabs>
          <w:tab w:leader="none" w:pos="1296" w:val="left"/>
        </w:tabs>
        <w:numPr>
          <w:ilvl w:val="1"/>
          <w:numId w:val="487"/>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Price; Prohibition on Repricing</w:t>
      </w:r>
      <w:r>
        <w:rPr>
          <w:rFonts w:ascii="Arial" w:cs="Arial" w:eastAsia="Arial" w:hAnsi="Arial"/>
          <w:sz w:val="22"/>
          <w:szCs w:val="22"/>
          <w:color w:val="auto"/>
        </w:rPr>
        <w:t>. The exercise price per Share subject to a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or Stock Appreciation Right shall be determined by the Committee and set forth in the applicable Award Agreement, and shall not be less than the Fair Market Value of a Share on the applicable Grant Date. In no event may any Stock Option or Stock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33" w:name="page434"/>
    <w:bookmarkEnd w:id="433"/>
    <w:p>
      <w:pPr>
        <w:jc w:val="both"/>
        <w:spacing w:after="0" w:line="235" w:lineRule="auto"/>
        <w:rPr>
          <w:sz w:val="20"/>
          <w:szCs w:val="20"/>
          <w:color w:val="auto"/>
        </w:rPr>
      </w:pPr>
      <w:r>
        <w:rPr>
          <w:rFonts w:ascii="Arial" w:cs="Arial" w:eastAsia="Arial" w:hAnsi="Arial"/>
          <w:sz w:val="22"/>
          <w:szCs w:val="22"/>
          <w:color w:val="auto"/>
        </w:rPr>
        <w:t>Right granted under this Plan be amended, other than pursuant to Section 3(d), to decrease the exercise price thereof, be cancelled in exchange for cash or other Awards or in conjunction with the grant of any new Stock Option or Stock Appreciation Right with a lower exercise price, or otherwise be subject to any action that would be treated, under the Applicable Exchange listing standards or for accounting purposes, as a “repricing” of such Stock Option or Stock Appreciation Right, unless such amendment, cancellation, or action is approved by the Company’s shareholders.</w:t>
      </w:r>
    </w:p>
    <w:p>
      <w:pPr>
        <w:spacing w:after="0" w:line="182" w:lineRule="exact"/>
        <w:rPr>
          <w:sz w:val="20"/>
          <w:szCs w:val="20"/>
          <w:color w:val="auto"/>
        </w:rPr>
      </w:pPr>
    </w:p>
    <w:p>
      <w:pPr>
        <w:jc w:val="both"/>
        <w:ind w:firstLine="656"/>
        <w:spacing w:after="0" w:line="243" w:lineRule="auto"/>
        <w:tabs>
          <w:tab w:leader="none" w:pos="1296" w:val="left"/>
        </w:tabs>
        <w:numPr>
          <w:ilvl w:val="0"/>
          <w:numId w:val="48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The Term of each Stock Option and each Stock Appreciation Right shall be fixed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but no Stock Option or Stock Appreciation Right shall be exercisable more than ten (10) years after its Grant Date.</w:t>
      </w:r>
    </w:p>
    <w:p>
      <w:pPr>
        <w:spacing w:after="0" w:line="17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488"/>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Exercisability</w:t>
      </w:r>
      <w:r>
        <w:rPr>
          <w:rFonts w:ascii="Arial" w:cs="Arial" w:eastAsia="Arial" w:hAnsi="Arial"/>
          <w:sz w:val="22"/>
          <w:szCs w:val="22"/>
          <w:color w:val="auto"/>
        </w:rPr>
        <w:t>. Except as otherwise provided herein, Stock Options and Stock Appreciation</w:t>
      </w:r>
      <w:r>
        <w:rPr>
          <w:rFonts w:ascii="Arial" w:cs="Arial" w:eastAsia="Arial" w:hAnsi="Arial"/>
          <w:sz w:val="22"/>
          <w:szCs w:val="22"/>
          <w:b w:val="1"/>
          <w:bCs w:val="1"/>
          <w:color w:val="auto"/>
        </w:rPr>
        <w:t xml:space="preserve"> </w:t>
      </w:r>
      <w:r>
        <w:rPr>
          <w:rFonts w:ascii="Arial" w:cs="Arial" w:eastAsia="Arial" w:hAnsi="Arial"/>
          <w:sz w:val="22"/>
          <w:szCs w:val="22"/>
          <w:color w:val="auto"/>
        </w:rPr>
        <w:t>Rights shall be exercisable at such time or times and subject to such terms and conditions as shall be determined by the Committee.</w:t>
      </w:r>
    </w:p>
    <w:p>
      <w:pPr>
        <w:spacing w:after="0" w:line="176" w:lineRule="exact"/>
        <w:rPr>
          <w:rFonts w:ascii="Arial" w:cs="Arial" w:eastAsia="Arial" w:hAnsi="Arial"/>
          <w:sz w:val="22"/>
          <w:szCs w:val="22"/>
          <w:color w:val="auto"/>
        </w:rPr>
      </w:pPr>
    </w:p>
    <w:p>
      <w:pPr>
        <w:jc w:val="both"/>
        <w:ind w:firstLine="656"/>
        <w:spacing w:after="0" w:line="300" w:lineRule="auto"/>
        <w:tabs>
          <w:tab w:leader="none" w:pos="1296" w:val="left"/>
        </w:tabs>
        <w:numPr>
          <w:ilvl w:val="0"/>
          <w:numId w:val="488"/>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Exercise</w:t>
      </w:r>
      <w:r>
        <w:rPr>
          <w:rFonts w:ascii="Arial" w:cs="Arial" w:eastAsia="Arial" w:hAnsi="Arial"/>
          <w:sz w:val="19"/>
          <w:szCs w:val="19"/>
          <w:color w:val="auto"/>
        </w:rPr>
        <w:t>. Subject to the provisions of this Section 5, Stock Options and Stock</w:t>
      </w:r>
      <w:r>
        <w:rPr>
          <w:rFonts w:ascii="Arial" w:cs="Arial" w:eastAsia="Arial" w:hAnsi="Arial"/>
          <w:sz w:val="19"/>
          <w:szCs w:val="19"/>
          <w:b w:val="1"/>
          <w:bCs w:val="1"/>
          <w:color w:val="auto"/>
        </w:rPr>
        <w:t xml:space="preserve"> </w:t>
      </w:r>
      <w:r>
        <w:rPr>
          <w:rFonts w:ascii="Arial" w:cs="Arial" w:eastAsia="Arial" w:hAnsi="Arial"/>
          <w:sz w:val="19"/>
          <w:szCs w:val="19"/>
          <w:color w:val="auto"/>
        </w:rPr>
        <w:t>Appreciation Rights may be exercised, in whole or in part, at any time during the Term thereof in accordance with the methods and procedures established by the Committee in the Award Agreement or otherwise.</w:t>
      </w:r>
    </w:p>
    <w:p>
      <w:pPr>
        <w:spacing w:after="0" w:line="125" w:lineRule="exact"/>
        <w:rPr>
          <w:rFonts w:ascii="Arial" w:cs="Arial" w:eastAsia="Arial" w:hAnsi="Arial"/>
          <w:sz w:val="19"/>
          <w:szCs w:val="19"/>
          <w:color w:val="auto"/>
        </w:rPr>
      </w:pPr>
    </w:p>
    <w:p>
      <w:pPr>
        <w:jc w:val="both"/>
        <w:ind w:firstLine="656"/>
        <w:spacing w:after="0" w:line="278" w:lineRule="auto"/>
        <w:tabs>
          <w:tab w:leader="none" w:pos="1296" w:val="left"/>
        </w:tabs>
        <w:numPr>
          <w:ilvl w:val="0"/>
          <w:numId w:val="488"/>
        </w:numPr>
        <w:rPr>
          <w:rFonts w:ascii="Arial" w:cs="Arial" w:eastAsia="Arial" w:hAnsi="Arial"/>
          <w:sz w:val="19"/>
          <w:szCs w:val="19"/>
          <w:color w:val="auto"/>
        </w:rPr>
      </w:pPr>
      <w:r>
        <w:rPr>
          <w:rFonts w:ascii="Arial" w:cs="Arial" w:eastAsia="Arial" w:hAnsi="Arial"/>
          <w:sz w:val="19"/>
          <w:szCs w:val="19"/>
          <w:b w:val="1"/>
          <w:bCs w:val="1"/>
          <w:u w:val="single" w:color="auto"/>
          <w:color w:val="auto"/>
        </w:rPr>
        <w:t>Delivery; Rights of Shareholders</w:t>
      </w:r>
      <w:r>
        <w:rPr>
          <w:rFonts w:ascii="Arial" w:cs="Arial" w:eastAsia="Arial" w:hAnsi="Arial"/>
          <w:sz w:val="19"/>
          <w:szCs w:val="19"/>
          <w:color w:val="auto"/>
        </w:rPr>
        <w:t>. A Participant shall not be entitled to delivery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exercise of a Stock Option or Stock Appreciation Right until the exercise price therefor has been fully paid and applicable taxes have been withheld. Except as otherwise provided in Section 5(k), a Participant shall have all of the rights of a shareholder of the Company holding the number of Shares deliverable pursuant to such Stock Option or Stock Appreciation Right (including, if applicable, the right to vote the applicable Shares), when the Participant (i) has given written notice of exercise, (ii) if requested, has given the representation described in Section 12(a) and (iii) in the case of a Stock Option, has paid in full for such Shares.</w:t>
      </w:r>
    </w:p>
    <w:p>
      <w:pPr>
        <w:spacing w:after="0" w:line="145" w:lineRule="exact"/>
        <w:rPr>
          <w:rFonts w:ascii="Arial" w:cs="Arial" w:eastAsia="Arial" w:hAnsi="Arial"/>
          <w:sz w:val="19"/>
          <w:szCs w:val="19"/>
          <w:color w:val="auto"/>
        </w:rPr>
      </w:pPr>
    </w:p>
    <w:p>
      <w:pPr>
        <w:jc w:val="both"/>
        <w:ind w:firstLine="656"/>
        <w:spacing w:after="0" w:line="276" w:lineRule="auto"/>
        <w:tabs>
          <w:tab w:leader="none" w:pos="1296" w:val="left"/>
        </w:tabs>
        <w:numPr>
          <w:ilvl w:val="0"/>
          <w:numId w:val="488"/>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 of Stock Options and Stock Appreciation Rights</w:t>
      </w:r>
      <w:r>
        <w:rPr>
          <w:rFonts w:ascii="Arial" w:cs="Arial" w:eastAsia="Arial" w:hAnsi="Arial"/>
          <w:sz w:val="19"/>
          <w:szCs w:val="19"/>
          <w:color w:val="auto"/>
        </w:rPr>
        <w:t>. No Stock Option or Stock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Appreciation Right shall be transferable by a Participant other than, for no value or consideration, by will or by the laws of descent and distribution or as otherwise expressly permitted by the Committee. Any Stock Option or Stock Appreciation Right shall be exercisable, subject to the terms of this Plan, only by the Participant, the guardian or legal representative of the Participant, or any person to whom such stock option is transferred pursuant to this Section 5(h), it being understood that the term “holder” and “Participant” include such guardian, legal representative and other transferee;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“Termination of Service” shall continue to refer to the Termination of Service of the original Participant.</w:t>
      </w:r>
    </w:p>
    <w:p>
      <w:pPr>
        <w:spacing w:after="0" w:line="149" w:lineRule="exact"/>
        <w:rPr>
          <w:rFonts w:ascii="Arial" w:cs="Arial" w:eastAsia="Arial" w:hAnsi="Arial"/>
          <w:sz w:val="19"/>
          <w:szCs w:val="19"/>
          <w:color w:val="auto"/>
        </w:rPr>
      </w:pPr>
    </w:p>
    <w:p>
      <w:pPr>
        <w:jc w:val="both"/>
        <w:ind w:firstLine="656"/>
        <w:spacing w:after="0" w:line="300" w:lineRule="auto"/>
        <w:tabs>
          <w:tab w:leader="none" w:pos="1296" w:val="left"/>
        </w:tabs>
        <w:numPr>
          <w:ilvl w:val="0"/>
          <w:numId w:val="488"/>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Service</w:t>
      </w:r>
      <w:r>
        <w:rPr>
          <w:rFonts w:ascii="Arial" w:cs="Arial" w:eastAsia="Arial" w:hAnsi="Arial"/>
          <w:sz w:val="19"/>
          <w:szCs w:val="19"/>
          <w:color w:val="auto"/>
        </w:rPr>
        <w:t>. The effect of a Participant’s Termination of Service on any Award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 Options or Stock Appreciation Rights then held by such Participant shall be set forth in the applicable Award Agreement or any other document approved by the Committee and applicable to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34" w:name="page435"/>
    <w:bookmarkEnd w:id="434"/>
    <w:p>
      <w:pPr>
        <w:jc w:val="both"/>
        <w:ind w:firstLine="656"/>
        <w:spacing w:after="0" w:line="244" w:lineRule="auto"/>
        <w:tabs>
          <w:tab w:leader="none" w:pos="1296" w:val="left"/>
        </w:tabs>
        <w:numPr>
          <w:ilvl w:val="0"/>
          <w:numId w:val="489"/>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Rules for Incentive Stock Options</w:t>
      </w:r>
      <w:r>
        <w:rPr>
          <w:rFonts w:ascii="Arial" w:cs="Arial" w:eastAsia="Arial" w:hAnsi="Arial"/>
          <w:sz w:val="21"/>
          <w:szCs w:val="21"/>
          <w:color w:val="auto"/>
        </w:rPr>
        <w:t>. Notwithstanding any other provision of this Plan</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contrary, no Stock Option that is intended to qualify as an Incentive Stock Option may be granted to any Eligible Individual who at the time of such grant owns stock possessing more than ten percent (10%) of the total combined voting power of all classes of stock of the Company or of any Subsidiary, unless at the time such Stock Option is granted the exercise price is at least one hundred ten percent (110%) of the Fair Market Value of a Share and such Stock Option by its terms is not exercisable after the expiration of five (5) years from the date such Stock Option is granted. In addition, the aggregate Fair Market Value of the Common Stock (determined at the time a Stock Option for the Common Stock is granted) for which Incentive Stock Options are exercisable for the first (1st) time by a Participant during any calendar year, under all of the Incentive Stock Option plans of the Company and of any Subsidiary, may not exceed one hundred thousand dollars ($100,000). To the extent a Stock Option that by its terms was intended to be an Incentive Stock Option exceeds this one hundred thousand dollars ($100,000) limit, the portion of the Stock Option in excess of such limit shall be treated as a Nonqualified Stock Option.</w:t>
      </w:r>
    </w:p>
    <w:p>
      <w:pPr>
        <w:spacing w:after="0" w:line="183" w:lineRule="exact"/>
        <w:rPr>
          <w:rFonts w:ascii="Arial" w:cs="Arial" w:eastAsia="Arial" w:hAnsi="Arial"/>
          <w:sz w:val="21"/>
          <w:szCs w:val="21"/>
          <w:color w:val="auto"/>
        </w:rPr>
      </w:pPr>
    </w:p>
    <w:p>
      <w:pPr>
        <w:jc w:val="both"/>
        <w:ind w:firstLine="656"/>
        <w:spacing w:after="0" w:line="239" w:lineRule="auto"/>
        <w:tabs>
          <w:tab w:leader="none" w:pos="1296" w:val="left"/>
        </w:tabs>
        <w:numPr>
          <w:ilvl w:val="0"/>
          <w:numId w:val="489"/>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Dividends and Dividend Equivalents</w:t>
      </w:r>
      <w:r>
        <w:rPr>
          <w:rFonts w:ascii="Arial" w:cs="Arial" w:eastAsia="Arial" w:hAnsi="Arial"/>
          <w:sz w:val="22"/>
          <w:szCs w:val="22"/>
          <w:color w:val="auto"/>
        </w:rPr>
        <w:t>. Dividends (whether paid in cash or Shares) and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equivalents may not be paid or accrued on Stock Options or Stock Appreciation Rights;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Stock Options and Stock Appreciation Rights may be adjusted under certain circumstances in accordance with the terms of Section 3(d).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RESTRICTED STOCK</w:t>
      </w:r>
    </w:p>
    <w:p>
      <w:pPr>
        <w:spacing w:after="0" w:line="206" w:lineRule="exact"/>
        <w:rPr>
          <w:sz w:val="20"/>
          <w:szCs w:val="20"/>
          <w:color w:val="auto"/>
        </w:rPr>
      </w:pPr>
    </w:p>
    <w:p>
      <w:pPr>
        <w:jc w:val="both"/>
        <w:ind w:right="20" w:firstLine="656"/>
        <w:spacing w:after="0" w:line="243" w:lineRule="auto"/>
        <w:tabs>
          <w:tab w:leader="none" w:pos="1296" w:val="left"/>
        </w:tabs>
        <w:numPr>
          <w:ilvl w:val="0"/>
          <w:numId w:val="490"/>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Awards</w:t>
      </w:r>
      <w:r>
        <w:rPr>
          <w:rFonts w:ascii="Arial" w:cs="Arial" w:eastAsia="Arial" w:hAnsi="Arial"/>
          <w:sz w:val="22"/>
          <w:szCs w:val="22"/>
          <w:color w:val="auto"/>
        </w:rPr>
        <w:t>. Shares of Restricted Stock are actual Shares issued to a Participant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vesting or forfeiture provisions and may be awarded either alone or in addition to other Awards granted under this Plan.</w:t>
      </w:r>
    </w:p>
    <w:p>
      <w:pPr>
        <w:spacing w:after="0" w:line="176" w:lineRule="exact"/>
        <w:rPr>
          <w:rFonts w:ascii="Arial" w:cs="Arial" w:eastAsia="Arial" w:hAnsi="Arial"/>
          <w:sz w:val="22"/>
          <w:szCs w:val="22"/>
          <w:color w:val="auto"/>
        </w:rPr>
      </w:pPr>
    </w:p>
    <w:p>
      <w:pPr>
        <w:jc w:val="both"/>
        <w:ind w:firstLine="656"/>
        <w:spacing w:after="0" w:line="283" w:lineRule="auto"/>
        <w:tabs>
          <w:tab w:leader="none" w:pos="1296" w:val="left"/>
        </w:tabs>
        <w:numPr>
          <w:ilvl w:val="0"/>
          <w:numId w:val="490"/>
        </w:numPr>
        <w:rPr>
          <w:rFonts w:ascii="Arial" w:cs="Arial" w:eastAsia="Arial" w:hAnsi="Arial"/>
          <w:sz w:val="19"/>
          <w:szCs w:val="19"/>
          <w:color w:val="auto"/>
        </w:rPr>
      </w:pPr>
      <w:r>
        <w:rPr>
          <w:rFonts w:ascii="Arial" w:cs="Arial" w:eastAsia="Arial" w:hAnsi="Arial"/>
          <w:sz w:val="19"/>
          <w:szCs w:val="19"/>
          <w:b w:val="1"/>
          <w:bCs w:val="1"/>
          <w:u w:val="single" w:color="auto"/>
          <w:color w:val="auto"/>
        </w:rPr>
        <w:t>Book Entry Registration or Certificated Shares</w:t>
      </w:r>
      <w:r>
        <w:rPr>
          <w:rFonts w:ascii="Arial" w:cs="Arial" w:eastAsia="Arial" w:hAnsi="Arial"/>
          <w:sz w:val="19"/>
          <w:szCs w:val="19"/>
          <w:color w:val="auto"/>
        </w:rPr>
        <w:t>. Shares of Restricted Stock shall be evidenced</w:t>
      </w:r>
      <w:r>
        <w:rPr>
          <w:rFonts w:ascii="Arial" w:cs="Arial" w:eastAsia="Arial" w:hAnsi="Arial"/>
          <w:sz w:val="19"/>
          <w:szCs w:val="19"/>
          <w:b w:val="1"/>
          <w:bCs w:val="1"/>
          <w:color w:val="auto"/>
        </w:rPr>
        <w:t xml:space="preserve"> </w:t>
      </w:r>
      <w:r>
        <w:rPr>
          <w:rFonts w:ascii="Arial" w:cs="Arial" w:eastAsia="Arial" w:hAnsi="Arial"/>
          <w:sz w:val="19"/>
          <w:szCs w:val="19"/>
          <w:color w:val="auto"/>
        </w:rPr>
        <w:t>in such manner as the Committee may deem appropriate, including book-entry registration or issuance of one or more stock certificates. If any certificate is issued in respect of Shares of Restricted Stock, such certificate shall be registered in the name of the Participant and shall bear an appropriate legend referring to the terms, conditions, and restrictions applicable to such Award, substantially in the following form:</w:t>
      </w:r>
    </w:p>
    <w:p>
      <w:pPr>
        <w:spacing w:after="0" w:line="149"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The transferability of this certificate and the shares of stock represented hereby are subject to the terms and conditions (including forfeiture) of the Westrock Coffee Company 2022 Equity Incentive Plan and an award agreement. Copies of such plan and award agreement are on file at the offices of Westrock Coffee Company, 100 River Bluff Drive, Suite 210, Little Rock, AR 72202.</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35" w:name="page436"/>
    <w:bookmarkEnd w:id="435"/>
    <w:p>
      <w:pPr>
        <w:jc w:val="both"/>
        <w:ind w:right="20" w:firstLine="656"/>
        <w:spacing w:after="0" w:line="243" w:lineRule="auto"/>
        <w:tabs>
          <w:tab w:leader="none" w:pos="1296" w:val="left"/>
        </w:tabs>
        <w:numPr>
          <w:ilvl w:val="0"/>
          <w:numId w:val="49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and Conditions</w:t>
      </w:r>
      <w:r>
        <w:rPr>
          <w:rFonts w:ascii="Arial" w:cs="Arial" w:eastAsia="Arial" w:hAnsi="Arial"/>
          <w:sz w:val="22"/>
          <w:szCs w:val="22"/>
          <w:color w:val="auto"/>
        </w:rPr>
        <w:t>. Shares of Restricted Stock shall be subject to the following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and such other terms and conditions as are set forth in the applicable Award Agreement (including the vesting or forfeiture provisions applicable upon a Termination of Service):</w:t>
      </w:r>
    </w:p>
    <w:p>
      <w:pPr>
        <w:spacing w:after="0" w:line="182" w:lineRule="exact"/>
        <w:rPr>
          <w:rFonts w:ascii="Arial" w:cs="Arial" w:eastAsia="Arial" w:hAnsi="Arial"/>
          <w:sz w:val="22"/>
          <w:szCs w:val="22"/>
          <w:color w:val="auto"/>
        </w:rPr>
      </w:pPr>
    </w:p>
    <w:p>
      <w:pPr>
        <w:jc w:val="both"/>
        <w:ind w:left="660" w:firstLine="644"/>
        <w:spacing w:after="0" w:line="238" w:lineRule="auto"/>
        <w:tabs>
          <w:tab w:leader="none" w:pos="1956" w:val="left"/>
        </w:tabs>
        <w:numPr>
          <w:ilvl w:val="1"/>
          <w:numId w:val="491"/>
        </w:numPr>
        <w:rPr>
          <w:rFonts w:ascii="Arial" w:cs="Arial" w:eastAsia="Arial" w:hAnsi="Arial"/>
          <w:sz w:val="22"/>
          <w:szCs w:val="22"/>
          <w:color w:val="auto"/>
        </w:rPr>
      </w:pPr>
      <w:r>
        <w:rPr>
          <w:rFonts w:ascii="Arial" w:cs="Arial" w:eastAsia="Arial" w:hAnsi="Arial"/>
          <w:sz w:val="22"/>
          <w:szCs w:val="22"/>
          <w:color w:val="auto"/>
        </w:rPr>
        <w:t>The Committee shall, prior to or at the time of grant, condition (A) the vesting of an Award of Restricted Stock upon the continued service of the applicable Participant, or (B) the grant or vesting of an Award of Restricted Stock upon the attainment of Performance Goals or the attainment of Performance Goals and the continued service of the applicable Participant.</w:t>
      </w:r>
    </w:p>
    <w:p>
      <w:pPr>
        <w:spacing w:after="0" w:line="184" w:lineRule="exact"/>
        <w:rPr>
          <w:rFonts w:ascii="Arial" w:cs="Arial" w:eastAsia="Arial" w:hAnsi="Arial"/>
          <w:sz w:val="22"/>
          <w:szCs w:val="22"/>
          <w:color w:val="auto"/>
        </w:rPr>
      </w:pPr>
    </w:p>
    <w:p>
      <w:pPr>
        <w:jc w:val="both"/>
        <w:ind w:left="660" w:firstLine="644"/>
        <w:spacing w:after="0"/>
        <w:tabs>
          <w:tab w:leader="none" w:pos="1956" w:val="left"/>
        </w:tabs>
        <w:numPr>
          <w:ilvl w:val="1"/>
          <w:numId w:val="491"/>
        </w:numPr>
        <w:rPr>
          <w:rFonts w:ascii="Arial" w:cs="Arial" w:eastAsia="Arial" w:hAnsi="Arial"/>
          <w:sz w:val="22"/>
          <w:szCs w:val="22"/>
          <w:color w:val="auto"/>
        </w:rPr>
      </w:pPr>
      <w:r>
        <w:rPr>
          <w:rFonts w:ascii="Arial" w:cs="Arial" w:eastAsia="Arial" w:hAnsi="Arial"/>
          <w:sz w:val="22"/>
          <w:szCs w:val="22"/>
          <w:color w:val="auto"/>
        </w:rPr>
        <w:t>Subject to the provisions of this Plan and the applicable Award Agreement, a Participant shall not be permitted to sell, assign, transfer, pledge or otherwise encumber an Award of Restricted Stock prior to such time as all applicable vesting conditions are satisfied.</w:t>
      </w:r>
    </w:p>
    <w:p>
      <w:pPr>
        <w:spacing w:after="0" w:line="180"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491"/>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of a Shareholder</w:t>
      </w:r>
      <w:r>
        <w:rPr>
          <w:rFonts w:ascii="Arial" w:cs="Arial" w:eastAsia="Arial" w:hAnsi="Arial"/>
          <w:sz w:val="21"/>
          <w:szCs w:val="21"/>
          <w:color w:val="auto"/>
        </w:rPr>
        <w:t>. Except as provided in this Section 6 and the applicable Award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a Participant shall have the same rights as any other holder of Shares with respect to Shares of Restricted Stock, including, if applicable, the right to vote the Shares and the right to receive any dividends;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unless otherwise determined by the Committee and subject to Section 12(e), (i) cash dividends on Shares shall be payable in cash and shall be held subject to the vesting of the underlying Restricted Stock and (ii) dividends payable in Shares shall be paid in the form of Restricted Stock, and shall be held subject to the vesting of the underlying Restricted Stock.</w:t>
      </w:r>
    </w:p>
    <w:p>
      <w:pPr>
        <w:spacing w:after="0" w:line="177" w:lineRule="exact"/>
        <w:rPr>
          <w:rFonts w:ascii="Arial" w:cs="Arial" w:eastAsia="Arial" w:hAnsi="Arial"/>
          <w:sz w:val="21"/>
          <w:szCs w:val="21"/>
          <w:color w:val="auto"/>
        </w:rPr>
      </w:pPr>
    </w:p>
    <w:p>
      <w:pPr>
        <w:jc w:val="both"/>
        <w:ind w:firstLine="656"/>
        <w:spacing w:after="0" w:line="243" w:lineRule="auto"/>
        <w:tabs>
          <w:tab w:leader="none" w:pos="1296" w:val="left"/>
        </w:tabs>
        <w:numPr>
          <w:ilvl w:val="0"/>
          <w:numId w:val="49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Service</w:t>
      </w:r>
      <w:r>
        <w:rPr>
          <w:rFonts w:ascii="Arial" w:cs="Arial" w:eastAsia="Arial" w:hAnsi="Arial"/>
          <w:sz w:val="22"/>
          <w:szCs w:val="22"/>
          <w:color w:val="auto"/>
        </w:rPr>
        <w:t>. The effect of a Participant’s Termination of Service on any Award of</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then held by such Participant shall be set forth in the applicable Award Agreement or any other document approved by the Committee and applicable to such Award.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RESTRICTED STOCK UNITS</w:t>
      </w:r>
    </w:p>
    <w:p>
      <w:pPr>
        <w:spacing w:after="0" w:line="206" w:lineRule="exact"/>
        <w:rPr>
          <w:sz w:val="20"/>
          <w:szCs w:val="20"/>
          <w:color w:val="auto"/>
        </w:rPr>
      </w:pPr>
    </w:p>
    <w:p>
      <w:pPr>
        <w:jc w:val="both"/>
        <w:ind w:firstLine="656"/>
        <w:spacing w:after="0" w:line="300" w:lineRule="auto"/>
        <w:tabs>
          <w:tab w:leader="none" w:pos="1296" w:val="left"/>
        </w:tabs>
        <w:numPr>
          <w:ilvl w:val="0"/>
          <w:numId w:val="492"/>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Awards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w:t>
      </w:r>
      <w:r>
        <w:rPr>
          <w:rFonts w:ascii="Arial" w:cs="Arial" w:eastAsia="Arial" w:hAnsi="Arial"/>
          <w:sz w:val="19"/>
          <w:szCs w:val="19"/>
          <w:b w:val="1"/>
          <w:bCs w:val="1"/>
          <w:color w:val="auto"/>
        </w:rPr>
        <w:t>Restricted Stock Units</w:t>
      </w:r>
      <w:r>
        <w:rPr>
          <w:rFonts w:ascii="Arial" w:cs="Arial" w:eastAsia="Arial" w:hAnsi="Arial"/>
          <w:sz w:val="19"/>
          <w:szCs w:val="19"/>
          <w:color w:val="auto"/>
        </w:rPr>
        <w:t>”) are Awards denominated in</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that will be settled, subject to the terms and conditions of the applicable Award Agreement, in a specified number of Shares or an amount of cash equal to the Fair Market Value of a specified number of Shares.</w:t>
      </w:r>
    </w:p>
    <w:p>
      <w:pPr>
        <w:spacing w:after="0" w:line="125"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49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Terms and Conditions</w:t>
      </w:r>
      <w:r>
        <w:rPr>
          <w:rFonts w:ascii="Arial" w:cs="Arial" w:eastAsia="Arial" w:hAnsi="Arial"/>
          <w:sz w:val="22"/>
          <w:szCs w:val="22"/>
          <w:color w:val="auto"/>
        </w:rPr>
        <w:t>. Restricted Stock Units shall be subject to the following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and such other terms and conditions as are set forth in the applicable Award Agreement (including the vesting or forfeiture provisions applicable upon a Termination of Service):</w:t>
      </w:r>
    </w:p>
    <w:p>
      <w:pPr>
        <w:spacing w:after="0" w:line="182" w:lineRule="exact"/>
        <w:rPr>
          <w:rFonts w:ascii="Arial" w:cs="Arial" w:eastAsia="Arial" w:hAnsi="Arial"/>
          <w:sz w:val="22"/>
          <w:szCs w:val="22"/>
          <w:color w:val="auto"/>
        </w:rPr>
      </w:pPr>
    </w:p>
    <w:p>
      <w:pPr>
        <w:jc w:val="both"/>
        <w:ind w:left="660" w:firstLine="644"/>
        <w:spacing w:after="0"/>
        <w:tabs>
          <w:tab w:leader="none" w:pos="1956" w:val="left"/>
        </w:tabs>
        <w:numPr>
          <w:ilvl w:val="1"/>
          <w:numId w:val="492"/>
        </w:numPr>
        <w:rPr>
          <w:rFonts w:ascii="Arial" w:cs="Arial" w:eastAsia="Arial" w:hAnsi="Arial"/>
          <w:sz w:val="22"/>
          <w:szCs w:val="22"/>
          <w:color w:val="auto"/>
        </w:rPr>
      </w:pPr>
      <w:r>
        <w:rPr>
          <w:rFonts w:ascii="Arial" w:cs="Arial" w:eastAsia="Arial" w:hAnsi="Arial"/>
          <w:sz w:val="22"/>
          <w:szCs w:val="22"/>
          <w:color w:val="auto"/>
        </w:rPr>
        <w:t>The Committee shall, prior to or at the time of grant, condition (A) the vesting of Restricted Stock Units upon the continued service of the applicable Participant, or (B) the grant or vesting of Restricted Stock Units upon the attainment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36" w:name="page437"/>
    <w:bookmarkEnd w:id="436"/>
    <w:p>
      <w:pPr>
        <w:jc w:val="both"/>
        <w:ind w:left="660"/>
        <w:spacing w:after="0" w:line="238" w:lineRule="auto"/>
        <w:rPr>
          <w:sz w:val="20"/>
          <w:szCs w:val="20"/>
          <w:color w:val="auto"/>
        </w:rPr>
      </w:pPr>
      <w:r>
        <w:rPr>
          <w:rFonts w:ascii="Arial" w:cs="Arial" w:eastAsia="Arial" w:hAnsi="Arial"/>
          <w:sz w:val="22"/>
          <w:szCs w:val="22"/>
          <w:color w:val="auto"/>
        </w:rPr>
        <w:t>Goals or the attainment of Performance Goals and the continued service of the applicable Participant. An Award of Restricted Stock Units shall be settled as and when the Restricted Stock Units vest, at a later time specified by the Committee in the applicable Award Agreement, or, if the Committee so permits, in accordance with an election of the Participant.</w:t>
      </w:r>
    </w:p>
    <w:p>
      <w:pPr>
        <w:spacing w:after="0" w:line="185" w:lineRule="exact"/>
        <w:rPr>
          <w:sz w:val="20"/>
          <w:szCs w:val="20"/>
          <w:color w:val="auto"/>
        </w:rPr>
      </w:pPr>
    </w:p>
    <w:p>
      <w:pPr>
        <w:ind w:left="660" w:firstLine="644"/>
        <w:spacing w:after="0" w:line="328" w:lineRule="auto"/>
        <w:tabs>
          <w:tab w:leader="none" w:pos="1956" w:val="left"/>
        </w:tabs>
        <w:numPr>
          <w:ilvl w:val="1"/>
          <w:numId w:val="493"/>
        </w:numPr>
        <w:rPr>
          <w:rFonts w:ascii="Arial" w:cs="Arial" w:eastAsia="Arial" w:hAnsi="Arial"/>
          <w:sz w:val="19"/>
          <w:szCs w:val="19"/>
          <w:color w:val="auto"/>
        </w:rPr>
      </w:pPr>
      <w:r>
        <w:rPr>
          <w:rFonts w:ascii="Arial" w:cs="Arial" w:eastAsia="Arial" w:hAnsi="Arial"/>
          <w:sz w:val="19"/>
          <w:szCs w:val="19"/>
          <w:color w:val="auto"/>
        </w:rPr>
        <w:t>Subject to the provisions of this Plan and the applicable Award Agreement, a Participant shall not be permitted to sell, assign, transfer, pledge or otherwise encumber Restricted Stock Units.</w:t>
      </w:r>
    </w:p>
    <w:p>
      <w:pPr>
        <w:spacing w:after="0" w:line="98" w:lineRule="exact"/>
        <w:rPr>
          <w:rFonts w:ascii="Arial" w:cs="Arial" w:eastAsia="Arial" w:hAnsi="Arial"/>
          <w:sz w:val="19"/>
          <w:szCs w:val="19"/>
          <w:color w:val="auto"/>
        </w:rPr>
      </w:pPr>
    </w:p>
    <w:p>
      <w:pPr>
        <w:jc w:val="both"/>
        <w:ind w:firstLine="656"/>
        <w:spacing w:after="0" w:line="280" w:lineRule="auto"/>
        <w:tabs>
          <w:tab w:leader="none" w:pos="1296" w:val="left"/>
        </w:tabs>
        <w:numPr>
          <w:ilvl w:val="0"/>
          <w:numId w:val="494"/>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of a Shareholder</w:t>
      </w:r>
      <w:r>
        <w:rPr>
          <w:rFonts w:ascii="Arial" w:cs="Arial" w:eastAsia="Arial" w:hAnsi="Arial"/>
          <w:sz w:val="19"/>
          <w:szCs w:val="19"/>
          <w:color w:val="auto"/>
        </w:rPr>
        <w:t>. A Participant to whom Restricted Stock Units are awarded shall have no</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as a shareholder with respect to the Shares represented by the Restricted Stock Units unless and until Shares are actually delivered to the Participant in settlement thereof. Unless otherwise determined by the Committee and subject to Section 12(e), an Award of Restricted Stock Units shall be adjusted to reflect deemed reinvestment in additional Restricted Stock Units of the dividends that would be paid and distributions that would be made with respect to the Award of Restricted Stock Units if it consisted of actual Shares.</w:t>
      </w:r>
    </w:p>
    <w:p>
      <w:pPr>
        <w:spacing w:after="0" w:line="144"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49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Service</w:t>
      </w:r>
      <w:r>
        <w:rPr>
          <w:rFonts w:ascii="Arial" w:cs="Arial" w:eastAsia="Arial" w:hAnsi="Arial"/>
          <w:sz w:val="22"/>
          <w:szCs w:val="22"/>
          <w:color w:val="auto"/>
        </w:rPr>
        <w:t>. The effect of a Participant’s Termination of Service on any Award of</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then held by such Participant shall be set forth in the applicable Award Agreement or any other document approved by the Committee and applicable to such Award.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OTHER STOCK-BASED AWARDS</w:t>
      </w:r>
    </w:p>
    <w:p>
      <w:pPr>
        <w:spacing w:after="0" w:line="21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The Committee may grant Awards of Shares or related to Shares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 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CASH AWARDS</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Committee may grant Awards to Eligible Individuals that are denominated and payable in cash in such amounts and subject to such terms and conditions consistent with the terms of this Plan as the Committee shall determine. With respect to a Cash Award subject to Performance Goals, the Performance Goals to be achieved during any performance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37" w:name="page438"/>
    <w:bookmarkEnd w:id="437"/>
    <w:p>
      <w:pPr>
        <w:ind w:right="260"/>
        <w:spacing w:after="0" w:line="432" w:lineRule="auto"/>
        <w:rPr>
          <w:sz w:val="20"/>
          <w:szCs w:val="20"/>
          <w:color w:val="auto"/>
        </w:rPr>
      </w:pPr>
      <w:r>
        <w:rPr>
          <w:rFonts w:ascii="Arial" w:cs="Arial" w:eastAsia="Arial" w:hAnsi="Arial"/>
          <w:sz w:val="22"/>
          <w:szCs w:val="22"/>
          <w:color w:val="auto"/>
        </w:rPr>
        <w:t xml:space="preserve">the length of the performance period shall be determined by the Committee upon the grant of such Cash Award. </w:t>
      </w:r>
      <w:r>
        <w:rPr>
          <w:rFonts w:ascii="Arial" w:cs="Arial" w:eastAsia="Arial" w:hAnsi="Arial"/>
          <w:sz w:val="22"/>
          <w:szCs w:val="22"/>
          <w:b w:val="1"/>
          <w:bCs w:val="1"/>
          <w:color w:val="auto"/>
        </w:rPr>
        <w:t>SECTION 10. CHANGE-IN-CONTROL PROVISIONS</w:t>
      </w:r>
    </w:p>
    <w:p>
      <w:pPr>
        <w:spacing w:after="0" w:line="1" w:lineRule="exact"/>
        <w:rPr>
          <w:sz w:val="20"/>
          <w:szCs w:val="20"/>
          <w:color w:val="auto"/>
        </w:rPr>
      </w:pPr>
    </w:p>
    <w:p>
      <w:pPr>
        <w:jc w:val="both"/>
        <w:ind w:firstLine="656"/>
        <w:spacing w:after="0" w:line="243" w:lineRule="auto"/>
        <w:tabs>
          <w:tab w:leader="none" w:pos="1296" w:val="left"/>
        </w:tabs>
        <w:numPr>
          <w:ilvl w:val="0"/>
          <w:numId w:val="495"/>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color w:val="auto"/>
        </w:rPr>
        <w:t>. The provisions of this Section 10 shall, subject to Section 3(d), apply notwithstanding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provision of this Plan to the contrary, except to the extent the Committee specifically provides otherwise in an Award Agreement.</w:t>
      </w:r>
    </w:p>
    <w:p>
      <w:pPr>
        <w:spacing w:after="0" w:line="176"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495"/>
        </w:numPr>
        <w:rPr>
          <w:rFonts w:ascii="Arial" w:cs="Arial" w:eastAsia="Arial" w:hAnsi="Arial"/>
          <w:sz w:val="19"/>
          <w:szCs w:val="19"/>
          <w:color w:val="auto"/>
        </w:rPr>
      </w:pPr>
      <w:r>
        <w:rPr>
          <w:rFonts w:ascii="Arial" w:cs="Arial" w:eastAsia="Arial" w:hAnsi="Arial"/>
          <w:sz w:val="19"/>
          <w:szCs w:val="19"/>
          <w:b w:val="1"/>
          <w:bCs w:val="1"/>
          <w:u w:val="single" w:color="auto"/>
          <w:color w:val="auto"/>
        </w:rPr>
        <w:t>Impact of Change in Control</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occurrence of a Change in Control, unless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the applicable Award Agreement: (i) all then-outstanding Stock Options and Stock Appreciation Rights shall become fully vested and exercisable, and all Full-Value Awards (other than performance-based Full-Value Awards) and all Cash Awards (other than performance-based Cash Awards) shall vest in full, be free of restrictions, and be deemed to be earned and payable in an amount equal to the full value of such Award, except in each case to the extent that another Award meeting the requirements of Section 10(c) (any award meeting the requirements of Section 10(c), a “</w:t>
      </w:r>
      <w:r>
        <w:rPr>
          <w:rFonts w:ascii="Arial" w:cs="Arial" w:eastAsia="Arial" w:hAnsi="Arial"/>
          <w:sz w:val="19"/>
          <w:szCs w:val="19"/>
          <w:b w:val="1"/>
          <w:bCs w:val="1"/>
          <w:color w:val="auto"/>
        </w:rPr>
        <w:t>Replacement Award</w:t>
      </w:r>
      <w:r>
        <w:rPr>
          <w:rFonts w:ascii="Arial" w:cs="Arial" w:eastAsia="Arial" w:hAnsi="Arial"/>
          <w:sz w:val="19"/>
          <w:szCs w:val="19"/>
          <w:color w:val="auto"/>
        </w:rPr>
        <w:t>”) is provided to the Participant pursuant to Section 3(d) to replace such Award (any award intended to be replaced by a Replacement Award, a “</w:t>
      </w:r>
      <w:r>
        <w:rPr>
          <w:rFonts w:ascii="Arial" w:cs="Arial" w:eastAsia="Arial" w:hAnsi="Arial"/>
          <w:sz w:val="19"/>
          <w:szCs w:val="19"/>
          <w:b w:val="1"/>
          <w:bCs w:val="1"/>
          <w:color w:val="auto"/>
        </w:rPr>
        <w:t>Replaced Award</w:t>
      </w:r>
      <w:r>
        <w:rPr>
          <w:rFonts w:ascii="Arial" w:cs="Arial" w:eastAsia="Arial" w:hAnsi="Arial"/>
          <w:sz w:val="19"/>
          <w:szCs w:val="19"/>
          <w:color w:val="auto"/>
        </w:rPr>
        <w:t>”), and (ii) any performance-based Full-Value Award or Cash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as determined by the Committee not later than the date of the Change in Control, taking into account performance through the latest date preceding the Change in Control as to which performance can, as a practical matter, be determined (but not later than the end of the applicable performance period)).</w:t>
      </w:r>
    </w:p>
    <w:p>
      <w:pPr>
        <w:spacing w:after="0" w:line="151" w:lineRule="exact"/>
        <w:rPr>
          <w:rFonts w:ascii="Arial" w:cs="Arial" w:eastAsia="Arial" w:hAnsi="Arial"/>
          <w:sz w:val="19"/>
          <w:szCs w:val="19"/>
          <w:color w:val="auto"/>
        </w:rPr>
      </w:pPr>
    </w:p>
    <w:p>
      <w:pPr>
        <w:jc w:val="both"/>
        <w:ind w:firstLine="656"/>
        <w:spacing w:after="0" w:line="272" w:lineRule="auto"/>
        <w:tabs>
          <w:tab w:leader="none" w:pos="1296" w:val="left"/>
        </w:tabs>
        <w:numPr>
          <w:ilvl w:val="0"/>
          <w:numId w:val="495"/>
        </w:numPr>
        <w:rPr>
          <w:rFonts w:ascii="Arial" w:cs="Arial" w:eastAsia="Arial" w:hAnsi="Arial"/>
          <w:sz w:val="19"/>
          <w:szCs w:val="19"/>
          <w:color w:val="auto"/>
        </w:rPr>
      </w:pPr>
      <w:r>
        <w:rPr>
          <w:rFonts w:ascii="Arial" w:cs="Arial" w:eastAsia="Arial" w:hAnsi="Arial"/>
          <w:sz w:val="19"/>
          <w:szCs w:val="19"/>
          <w:b w:val="1"/>
          <w:bCs w:val="1"/>
          <w:u w:val="single" w:color="auto"/>
          <w:color w:val="auto"/>
        </w:rPr>
        <w:t>Replacement Awards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 Award shall meet the conditions of this Section 10(c) (and hence</w:t>
      </w:r>
      <w:r>
        <w:rPr>
          <w:rFonts w:ascii="Arial" w:cs="Arial" w:eastAsia="Arial" w:hAnsi="Arial"/>
          <w:sz w:val="19"/>
          <w:szCs w:val="19"/>
          <w:b w:val="1"/>
          <w:bCs w:val="1"/>
          <w:color w:val="auto"/>
        </w:rPr>
        <w:t xml:space="preserve"> </w:t>
      </w:r>
      <w:r>
        <w:rPr>
          <w:rFonts w:ascii="Arial" w:cs="Arial" w:eastAsia="Arial" w:hAnsi="Arial"/>
          <w:sz w:val="19"/>
          <w:szCs w:val="19"/>
          <w:color w:val="auto"/>
        </w:rPr>
        <w:t>qualify as a Replacement Award) if: (i) it is of the same type as the Replaced Award; (ii) it has a value equal to the value of the Replaced Award as of the date of the Change in Control, as determined by the Committee in its sole discretion consistent with Section 3(d); (iii) the underlying Replaced Award was an equity-based award, it relates to publicly traded equity securities of the Company or the entity surviving the Company following the Change in Control; (iv) it contains terms relating to vesting (including with respect to a Termination of Service) that are substantially identical to those of the Replaced Award; and (v) its other terms and conditions are not less favorable to the Participant than the terms and conditions of the Replaced Award (including the provisions that would apply in the event of a subsequent Change in Control) as of the date of the Change in Control. Without limiting the generality of the foregoing, a Replacement Award may take the form of a continuation of the applicable Replaced Award if the requirements of the preceding sentence are satisfied. If a Replacement Award is granted, the Replaced Award shall not vest upon the Change in Control. The determination of whether the conditions of this Section 10(c) are satisfied shall be made by the Committee, as constituted immediately before the Change in Control,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38" w:name="page439"/>
    <w:bookmarkEnd w:id="438"/>
    <w:p>
      <w:pPr>
        <w:jc w:val="both"/>
        <w:ind w:firstLine="656"/>
        <w:spacing w:after="0" w:line="272" w:lineRule="auto"/>
        <w:tabs>
          <w:tab w:leader="none" w:pos="1296" w:val="left"/>
        </w:tabs>
        <w:numPr>
          <w:ilvl w:val="0"/>
          <w:numId w:val="496"/>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Service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Plan to the contrary and</w:t>
      </w:r>
      <w:r>
        <w:rPr>
          <w:rFonts w:ascii="Arial" w:cs="Arial" w:eastAsia="Arial" w:hAnsi="Arial"/>
          <w:sz w:val="19"/>
          <w:szCs w:val="19"/>
          <w:b w:val="1"/>
          <w:bCs w:val="1"/>
          <w:color w:val="auto"/>
        </w:rPr>
        <w:t xml:space="preserve"> </w:t>
      </w:r>
      <w:r>
        <w:rPr>
          <w:rFonts w:ascii="Arial" w:cs="Arial" w:eastAsia="Arial" w:hAnsi="Arial"/>
          <w:sz w:val="19"/>
          <w:szCs w:val="19"/>
          <w:color w:val="auto"/>
        </w:rPr>
        <w:t>unless otherwise determined by the Committee and set forth in the applicable Award Agreement, upon a Termination of Service of a Participant by the Company other than for Cause within twenty-four (24) months following a Change in Control, (i) all Replacement Awards held by such Participant shall vest in full, be free of restrictions, and be deemed to be earned in full (with respect to Performance Goals, unless otherwise agreed in connection with the Change in Control, at the greater of (x) the applicable target level and (y) the level of achievement of the Performance Goals for the Award as determined by the Committee taking into account performance through the latest date preceding the Termination of Service as to which performance can, as a practical matter, be determined (but not later than the end of the applicable performance period)), and (ii) unless otherwise provided in the applicable Award Agreement, notwithstanding any other provision of this Plan to the contrary, any Stock Option or Stock Appreciation Right held by the Participant as of the date of the Change in Control that remains outstanding as of the date of such Termination of Service may thereafter be exercised until the expiration of the stated full Term of such Nonqualified Stock Option or Stock Appreciation Right.</w:t>
      </w:r>
    </w:p>
    <w:p>
      <w:pPr>
        <w:spacing w:after="0" w:line="155" w:lineRule="exact"/>
        <w:rPr>
          <w:rFonts w:ascii="Arial" w:cs="Arial" w:eastAsia="Arial" w:hAnsi="Arial"/>
          <w:sz w:val="19"/>
          <w:szCs w:val="19"/>
          <w:color w:val="auto"/>
        </w:rPr>
      </w:pPr>
    </w:p>
    <w:p>
      <w:pPr>
        <w:ind w:firstLine="656"/>
        <w:spacing w:after="0" w:line="256" w:lineRule="auto"/>
        <w:tabs>
          <w:tab w:leader="none" w:pos="1296" w:val="left"/>
        </w:tabs>
        <w:numPr>
          <w:ilvl w:val="0"/>
          <w:numId w:val="496"/>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 of Change in Control</w:t>
      </w:r>
      <w:r>
        <w:rPr>
          <w:rFonts w:ascii="Arial" w:cs="Arial" w:eastAsia="Arial" w:hAnsi="Arial"/>
          <w:sz w:val="22"/>
          <w:szCs w:val="22"/>
          <w:color w:val="auto"/>
        </w:rPr>
        <w:t>. For purposes of this Plan, a “</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w:t>
      </w:r>
      <w:r>
        <w:rPr>
          <w:rFonts w:ascii="Arial" w:cs="Arial" w:eastAsia="Arial" w:hAnsi="Arial"/>
          <w:sz w:val="22"/>
          <w:szCs w:val="22"/>
          <w:b w:val="1"/>
          <w:bCs w:val="1"/>
          <w:color w:val="auto"/>
        </w:rPr>
        <w:t xml:space="preserve"> </w:t>
      </w:r>
      <w:r>
        <w:rPr>
          <w:rFonts w:ascii="Arial" w:cs="Arial" w:eastAsia="Arial" w:hAnsi="Arial"/>
          <w:sz w:val="22"/>
          <w:szCs w:val="22"/>
          <w:color w:val="auto"/>
        </w:rPr>
        <w:t>the occurrence of any of the following events:</w:t>
      </w:r>
    </w:p>
    <w:p>
      <w:pPr>
        <w:spacing w:after="0" w:line="168" w:lineRule="exact"/>
        <w:rPr>
          <w:rFonts w:ascii="Arial" w:cs="Arial" w:eastAsia="Arial" w:hAnsi="Arial"/>
          <w:sz w:val="22"/>
          <w:szCs w:val="22"/>
          <w:color w:val="auto"/>
        </w:rPr>
      </w:pPr>
    </w:p>
    <w:p>
      <w:pPr>
        <w:jc w:val="both"/>
        <w:ind w:left="660" w:firstLine="644"/>
        <w:spacing w:after="0" w:line="268" w:lineRule="auto"/>
        <w:tabs>
          <w:tab w:leader="none" w:pos="1956" w:val="left"/>
        </w:tabs>
        <w:numPr>
          <w:ilvl w:val="1"/>
          <w:numId w:val="496"/>
        </w:numPr>
        <w:rPr>
          <w:rFonts w:ascii="Arial" w:cs="Arial" w:eastAsia="Arial" w:hAnsi="Arial"/>
          <w:sz w:val="19"/>
          <w:szCs w:val="19"/>
          <w:color w:val="auto"/>
        </w:rPr>
      </w:pPr>
      <w:r>
        <w:rPr>
          <w:rFonts w:ascii="Arial" w:cs="Arial" w:eastAsia="Arial" w:hAnsi="Arial"/>
          <w:sz w:val="19"/>
          <w:szCs w:val="19"/>
          <w:color w:val="auto"/>
        </w:rPr>
        <w:t>An acquisition by any individual, entity or group (within the meaning of Section 13(d)(3) or 14(d)(2) of the Exchange Act) (a “</w:t>
      </w:r>
      <w:r>
        <w:rPr>
          <w:rFonts w:ascii="Arial" w:cs="Arial" w:eastAsia="Arial" w:hAnsi="Arial"/>
          <w:sz w:val="19"/>
          <w:szCs w:val="19"/>
          <w:b w:val="1"/>
          <w:bCs w:val="1"/>
          <w:color w:val="auto"/>
        </w:rPr>
        <w:t>Person</w:t>
      </w:r>
      <w:r>
        <w:rPr>
          <w:rFonts w:ascii="Arial" w:cs="Arial" w:eastAsia="Arial" w:hAnsi="Arial"/>
          <w:sz w:val="19"/>
          <w:szCs w:val="19"/>
          <w:color w:val="auto"/>
        </w:rPr>
        <w:t>”) of beneficial ownership (within the meaning of Rule 13d-3 promulgated under the Exchange Act) of thirty percent (30%) or more of either (1) the then outstanding shares of common stock of the Company (the “</w:t>
      </w:r>
      <w:r>
        <w:rPr>
          <w:rFonts w:ascii="Arial" w:cs="Arial" w:eastAsia="Arial" w:hAnsi="Arial"/>
          <w:sz w:val="19"/>
          <w:szCs w:val="19"/>
          <w:b w:val="1"/>
          <w:bCs w:val="1"/>
          <w:color w:val="auto"/>
        </w:rPr>
        <w:t>Outstanding Company Common Stock</w:t>
      </w:r>
      <w:r>
        <w:rPr>
          <w:rFonts w:ascii="Arial" w:cs="Arial" w:eastAsia="Arial" w:hAnsi="Arial"/>
          <w:sz w:val="19"/>
          <w:szCs w:val="19"/>
          <w:color w:val="auto"/>
        </w:rPr>
        <w:t>”) or (2) the combined voting power of the then outstanding voting securities of the Company entitled to vote generally in the election of directors (the “</w:t>
      </w:r>
      <w:r>
        <w:rPr>
          <w:rFonts w:ascii="Arial" w:cs="Arial" w:eastAsia="Arial" w:hAnsi="Arial"/>
          <w:sz w:val="19"/>
          <w:szCs w:val="19"/>
          <w:b w:val="1"/>
          <w:bCs w:val="1"/>
          <w:color w:val="auto"/>
        </w:rPr>
        <w:t>Outstanding Company Voting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subsection (i), the following acquisitions shall not constitute a Change in Control: (1) any acquisition directly from the Company; (2) any acquisition by the Company; (3) any acquisition by any employee benefit plan (or related trust) sponsored or maintained by the Company or any entity controlled by the Company; or (4) any acquisition by any entity pursuant to a transaction that complies with clauses</w:t>
      </w:r>
    </w:p>
    <w:p>
      <w:pPr>
        <w:spacing w:after="0" w:line="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 (2) and (3) of subsection (iii) of this Section 10(e); or</w:t>
      </w:r>
    </w:p>
    <w:p>
      <w:pPr>
        <w:spacing w:after="0" w:line="188" w:lineRule="exact"/>
        <w:rPr>
          <w:rFonts w:ascii="Arial" w:cs="Arial" w:eastAsia="Arial" w:hAnsi="Arial"/>
          <w:sz w:val="19"/>
          <w:szCs w:val="19"/>
          <w:color w:val="auto"/>
        </w:rPr>
      </w:pPr>
    </w:p>
    <w:p>
      <w:pPr>
        <w:jc w:val="both"/>
        <w:ind w:left="660" w:firstLine="644"/>
        <w:spacing w:after="0" w:line="245" w:lineRule="auto"/>
        <w:tabs>
          <w:tab w:leader="none" w:pos="1956" w:val="left"/>
        </w:tabs>
        <w:numPr>
          <w:ilvl w:val="1"/>
          <w:numId w:val="496"/>
        </w:numPr>
        <w:rPr>
          <w:rFonts w:ascii="Arial" w:cs="Arial" w:eastAsia="Arial" w:hAnsi="Arial"/>
          <w:sz w:val="21"/>
          <w:szCs w:val="21"/>
          <w:color w:val="auto"/>
        </w:rPr>
      </w:pPr>
      <w:r>
        <w:rPr>
          <w:rFonts w:ascii="Arial" w:cs="Arial" w:eastAsia="Arial" w:hAnsi="Arial"/>
          <w:sz w:val="21"/>
          <w:szCs w:val="21"/>
          <w:color w:val="auto"/>
        </w:rPr>
        <w:t>A change in the composition of the Board such that the individuals who, as of the Effective Date, constitute the Board (the “</w:t>
      </w:r>
      <w:r>
        <w:rPr>
          <w:rFonts w:ascii="Arial" w:cs="Arial" w:eastAsia="Arial" w:hAnsi="Arial"/>
          <w:sz w:val="21"/>
          <w:szCs w:val="21"/>
          <w:b w:val="1"/>
          <w:bCs w:val="1"/>
          <w:color w:val="auto"/>
        </w:rPr>
        <w:t>Incumbent Board</w:t>
      </w:r>
      <w:r>
        <w:rPr>
          <w:rFonts w:ascii="Arial" w:cs="Arial" w:eastAsia="Arial" w:hAnsi="Arial"/>
          <w:sz w:val="21"/>
          <w:szCs w:val="21"/>
          <w:color w:val="auto"/>
        </w:rPr>
        <w:t xml:space="preserve">”) cease for any reason to constitute at least a majority of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any such individual whose initial assumption of office occurs as a result of either an actual or threatened election contest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39" w:name="page440"/>
    <w:bookmarkEnd w:id="439"/>
    <w:p>
      <w:pPr>
        <w:ind w:left="660" w:right="20"/>
        <w:spacing w:after="0" w:line="328" w:lineRule="auto"/>
        <w:rPr>
          <w:sz w:val="20"/>
          <w:szCs w:val="20"/>
          <w:color w:val="auto"/>
        </w:rPr>
      </w:pPr>
      <w:r>
        <w:rPr>
          <w:rFonts w:ascii="Arial" w:cs="Arial" w:eastAsia="Arial" w:hAnsi="Arial"/>
          <w:sz w:val="19"/>
          <w:szCs w:val="19"/>
          <w:color w:val="auto"/>
        </w:rPr>
        <w:t>election or removal of directors or other actual or threatened solicitation of proxies or consents by or on behalf of a Person other than the Board shall not be considered as a member of the Incumbent Board; or</w:t>
      </w:r>
    </w:p>
    <w:p>
      <w:pPr>
        <w:spacing w:after="0" w:line="105" w:lineRule="exact"/>
        <w:rPr>
          <w:sz w:val="20"/>
          <w:szCs w:val="20"/>
          <w:color w:val="auto"/>
        </w:rPr>
      </w:pPr>
    </w:p>
    <w:p>
      <w:pPr>
        <w:jc w:val="both"/>
        <w:ind w:left="660" w:firstLine="644"/>
        <w:spacing w:after="0" w:line="269" w:lineRule="auto"/>
        <w:tabs>
          <w:tab w:leader="none" w:pos="1956" w:val="left"/>
        </w:tabs>
        <w:numPr>
          <w:ilvl w:val="0"/>
          <w:numId w:val="497"/>
        </w:numPr>
        <w:rPr>
          <w:rFonts w:ascii="Arial" w:cs="Arial" w:eastAsia="Arial" w:hAnsi="Arial"/>
          <w:sz w:val="19"/>
          <w:szCs w:val="19"/>
          <w:color w:val="auto"/>
        </w:rPr>
      </w:pPr>
      <w:r>
        <w:rPr>
          <w:rFonts w:ascii="Arial" w:cs="Arial" w:eastAsia="Arial" w:hAnsi="Arial"/>
          <w:sz w:val="19"/>
          <w:szCs w:val="19"/>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Arial" w:cs="Arial" w:eastAsia="Arial" w:hAnsi="Arial"/>
          <w:sz w:val="19"/>
          <w:szCs w:val="19"/>
          <w:b w:val="1"/>
          <w:bCs w:val="1"/>
          <w:color w:val="auto"/>
        </w:rPr>
        <w:t>Business Combination</w:t>
      </w:r>
      <w:r>
        <w:rPr>
          <w:rFonts w:ascii="Arial" w:cs="Arial" w:eastAsia="Arial" w:hAnsi="Arial"/>
          <w:sz w:val="19"/>
          <w:szCs w:val="19"/>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 outstanding shares of common stock (or, for a noncorporate entity, equivalent securities) and the combined voting power of the then-outstanding voting securities entitled to vote generally in the election of directors (or, for a noncorporate entity, equivalent securities), as the case may be,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entity resulting from such Business Combination or any employee benefit plan (or related trust) of the Company or such entity resulting from such Business Combination) beneficially owns, directly or indirectly, thirty percent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(3) at least a majority of the members of the board of directors (or, for a noncorporate entity, equivalent body or committee) of the entity resulting from such Business Combination were members of the Board at the time of the execution of the initial agreement, or of the action of the Board, providing for such Business Combination; or</w:t>
      </w:r>
    </w:p>
    <w:p>
      <w:pPr>
        <w:spacing w:after="0" w:line="170" w:lineRule="exact"/>
        <w:rPr>
          <w:rFonts w:ascii="Arial" w:cs="Arial" w:eastAsia="Arial" w:hAnsi="Arial"/>
          <w:sz w:val="19"/>
          <w:szCs w:val="19"/>
          <w:color w:val="auto"/>
        </w:rPr>
      </w:pPr>
    </w:p>
    <w:p>
      <w:pPr>
        <w:ind w:left="660" w:right="20" w:firstLine="644"/>
        <w:spacing w:after="0" w:line="250" w:lineRule="auto"/>
        <w:tabs>
          <w:tab w:leader="none" w:pos="1956" w:val="left"/>
        </w:tabs>
        <w:numPr>
          <w:ilvl w:val="0"/>
          <w:numId w:val="497"/>
        </w:numPr>
        <w:rPr>
          <w:rFonts w:ascii="Arial" w:cs="Arial" w:eastAsia="Arial" w:hAnsi="Arial"/>
          <w:sz w:val="22"/>
          <w:szCs w:val="22"/>
          <w:color w:val="auto"/>
        </w:rPr>
      </w:pPr>
      <w:r>
        <w:rPr>
          <w:rFonts w:ascii="Arial" w:cs="Arial" w:eastAsia="Arial" w:hAnsi="Arial"/>
          <w:sz w:val="22"/>
          <w:szCs w:val="22"/>
          <w:color w:val="auto"/>
        </w:rPr>
        <w:t>The approval by the shareholders of the Company of a complete liquidation or dissolution of the Company.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Notwithstanding any other provision of this Plan, any Award Agreement or any Individual Agreement, with respect to any Award that constitutes “nonqualified deferred compensation” within the meaning of Section 409A of the Code, a Change in Control shall not constitute a settlement or distribution event with respect to such Award, or an event that otherwise changes the timing of settlement or distribution of such Award, unless the Change in Control also constitutes an event described in Section 409A(a)(2)(v) of the Code and the regulations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40" w:name="page441"/>
    <w:bookmarkEnd w:id="440"/>
    <w:p>
      <w:pPr>
        <w:ind w:right="20"/>
        <w:spacing w:after="0" w:line="250" w:lineRule="auto"/>
        <w:rPr>
          <w:sz w:val="20"/>
          <w:szCs w:val="20"/>
          <w:color w:val="auto"/>
        </w:rPr>
      </w:pPr>
      <w:r>
        <w:rPr>
          <w:rFonts w:ascii="Arial" w:cs="Arial" w:eastAsia="Arial" w:hAnsi="Arial"/>
          <w:sz w:val="22"/>
          <w:szCs w:val="22"/>
          <w:color w:val="auto"/>
        </w:rPr>
        <w:t>For the avoidance of doubt, this paragraph shall have no bearing on whether an Award vests pursuant to the terms of this Plan or the applicable Award Agreement or Individual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  TERM, TERMINATION AND AMENDMENT</w:t>
      </w:r>
    </w:p>
    <w:p>
      <w:pPr>
        <w:spacing w:after="0" w:line="206" w:lineRule="exact"/>
        <w:rPr>
          <w:sz w:val="20"/>
          <w:szCs w:val="20"/>
          <w:color w:val="auto"/>
        </w:rPr>
      </w:pPr>
    </w:p>
    <w:p>
      <w:pPr>
        <w:ind w:firstLine="656"/>
        <w:spacing w:after="0" w:line="256" w:lineRule="auto"/>
        <w:tabs>
          <w:tab w:leader="none" w:pos="1296" w:val="left"/>
        </w:tabs>
        <w:numPr>
          <w:ilvl w:val="0"/>
          <w:numId w:val="49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Plan was approved by the Board and the Company’s shareholders, and became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on August 26, 2022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60" w:firstLine="596"/>
        <w:spacing w:after="0" w:line="280" w:lineRule="auto"/>
        <w:tabs>
          <w:tab w:leader="none" w:pos="1314" w:val="left"/>
        </w:tabs>
        <w:numPr>
          <w:ilvl w:val="0"/>
          <w:numId w:val="498"/>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w:t>
      </w:r>
      <w:r>
        <w:rPr>
          <w:rFonts w:ascii="Arial" w:cs="Arial" w:eastAsia="Arial" w:hAnsi="Arial"/>
          <w:sz w:val="21"/>
          <w:szCs w:val="21"/>
          <w:color w:val="auto"/>
        </w:rPr>
        <w:t>. This Plan shall terminate on the tenth (10th) anniversary of the Effective Date.</w:t>
      </w:r>
      <w:r>
        <w:rPr>
          <w:rFonts w:ascii="Arial" w:cs="Arial" w:eastAsia="Arial" w:hAnsi="Arial"/>
          <w:sz w:val="21"/>
          <w:szCs w:val="21"/>
          <w:b w:val="1"/>
          <w:bCs w:val="1"/>
          <w:color w:val="auto"/>
        </w:rPr>
        <w:t xml:space="preserve"> </w:t>
      </w:r>
      <w:r>
        <w:rPr>
          <w:rFonts w:ascii="Arial" w:cs="Arial" w:eastAsia="Arial" w:hAnsi="Arial"/>
          <w:sz w:val="21"/>
          <w:szCs w:val="21"/>
          <w:color w:val="auto"/>
        </w:rPr>
        <w:t>Awards outstanding as of such date shall not be affected or impaired by the termination of this Plan.</w:t>
      </w:r>
    </w:p>
    <w:p>
      <w:pPr>
        <w:spacing w:after="0" w:line="138" w:lineRule="exact"/>
        <w:rPr>
          <w:rFonts w:ascii="Arial" w:cs="Arial" w:eastAsia="Arial" w:hAnsi="Arial"/>
          <w:sz w:val="21"/>
          <w:szCs w:val="21"/>
          <w:color w:val="auto"/>
        </w:rPr>
      </w:pPr>
    </w:p>
    <w:p>
      <w:pPr>
        <w:jc w:val="both"/>
        <w:ind w:firstLine="656"/>
        <w:spacing w:after="0" w:line="235" w:lineRule="auto"/>
        <w:tabs>
          <w:tab w:leader="none" w:pos="1296" w:val="left"/>
        </w:tabs>
        <w:numPr>
          <w:ilvl w:val="0"/>
          <w:numId w:val="498"/>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The Committee may amend, alter, or discontinue this Plan or an Award,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that no amendment, alteration or discontinuation shall be made that would materially impair the rights of the Participant with respect to a previously granted Award without such Participant’s consent, except to the extent necessary to comply with applicable law, including Section 409A of the Code, Applicable Exchange listing standards or accounting rules. In addition, no amendment shall be made without the approval of the Company’s shareholders to the extent such approval is required by applicable law or the listing standards of the Applicable Exchange or as contemplated by Section 5(c).</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  MISCELLANEOUS PROVISIONS</w:t>
      </w:r>
    </w:p>
    <w:p>
      <w:pPr>
        <w:spacing w:after="0" w:line="206" w:lineRule="exact"/>
        <w:rPr>
          <w:sz w:val="20"/>
          <w:szCs w:val="20"/>
          <w:color w:val="auto"/>
        </w:rPr>
      </w:pPr>
    </w:p>
    <w:p>
      <w:pPr>
        <w:jc w:val="both"/>
        <w:ind w:firstLine="656"/>
        <w:spacing w:after="0" w:line="271" w:lineRule="auto"/>
        <w:tabs>
          <w:tab w:leader="none" w:pos="1296" w:val="left"/>
        </w:tabs>
        <w:numPr>
          <w:ilvl w:val="1"/>
          <w:numId w:val="499"/>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Conditions for Issuance</w:t>
      </w:r>
      <w:r>
        <w:rPr>
          <w:rFonts w:ascii="Arial" w:cs="Arial" w:eastAsia="Arial" w:hAnsi="Arial"/>
          <w:sz w:val="19"/>
          <w:szCs w:val="19"/>
          <w:color w:val="auto"/>
        </w:rPr>
        <w:t>. The Committee may require each Person purchasing or receiving Shares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an Award to represent to and agree with the Company in writing that such Person is acquiring the Shares without a view to the distribution thereof. The certificates for such Shares may include any legend that the Committee deems appropriate to reflect any restrictions on transfer. Notwithstanding any other provision of this Plan or agreements made pursuant thereto, the Company shall not be required to issue or deliver any Shares (whether in certificated or book entry form) under this Plan prior to fulfillment of all of the following conditions:</w:t>
      </w:r>
    </w:p>
    <w:p>
      <w:pPr>
        <w:spacing w:after="0" w:line="1" w:lineRule="exact"/>
        <w:rPr>
          <w:rFonts w:ascii="Arial" w:cs="Arial" w:eastAsia="Arial" w:hAnsi="Arial"/>
          <w:sz w:val="19"/>
          <w:szCs w:val="19"/>
          <w:color w:val="auto"/>
        </w:rPr>
      </w:pPr>
    </w:p>
    <w:p>
      <w:pPr>
        <w:jc w:val="both"/>
        <w:ind w:firstLine="8"/>
        <w:spacing w:after="0" w:line="275" w:lineRule="auto"/>
        <w:tabs>
          <w:tab w:leader="none" w:pos="284" w:val="left"/>
        </w:tabs>
        <w:numPr>
          <w:ilvl w:val="0"/>
          <w:numId w:val="500"/>
        </w:numPr>
        <w:rPr>
          <w:rFonts w:ascii="Arial" w:cs="Arial" w:eastAsia="Arial" w:hAnsi="Arial"/>
          <w:sz w:val="19"/>
          <w:szCs w:val="19"/>
          <w:color w:val="auto"/>
        </w:rPr>
      </w:pPr>
      <w:r>
        <w:rPr>
          <w:rFonts w:ascii="Arial" w:cs="Arial" w:eastAsia="Arial" w:hAnsi="Arial"/>
          <w:sz w:val="19"/>
          <w:szCs w:val="19"/>
          <w:color w:val="auto"/>
        </w:rPr>
        <w:t>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that the Committee shall, in its absolute discretion upon the advice of counsel, deem necessary or advisable; and (iii) obtaining any other consent, approval, or permit from any state or federal governmental agency that the Committee shall, in its absolute discretion after receiving the advice of counsel, determine to be necessary or advisable.</w:t>
      </w:r>
    </w:p>
    <w:p>
      <w:pPr>
        <w:spacing w:after="0" w:line="147" w:lineRule="exact"/>
        <w:rPr>
          <w:rFonts w:ascii="Arial" w:cs="Arial" w:eastAsia="Arial" w:hAnsi="Arial"/>
          <w:sz w:val="19"/>
          <w:szCs w:val="19"/>
          <w:color w:val="auto"/>
        </w:rPr>
      </w:pPr>
    </w:p>
    <w:p>
      <w:pPr>
        <w:jc w:val="both"/>
        <w:ind w:firstLine="656"/>
        <w:spacing w:after="0" w:line="243" w:lineRule="auto"/>
        <w:tabs>
          <w:tab w:leader="none" w:pos="1296" w:val="left"/>
        </w:tabs>
        <w:numPr>
          <w:ilvl w:val="1"/>
          <w:numId w:val="500"/>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Compensation Arrangements</w:t>
      </w:r>
      <w:r>
        <w:rPr>
          <w:rFonts w:ascii="Arial" w:cs="Arial" w:eastAsia="Arial" w:hAnsi="Arial"/>
          <w:sz w:val="22"/>
          <w:szCs w:val="22"/>
          <w:color w:val="auto"/>
        </w:rPr>
        <w:t>. Nothing contained in this Plan shall prevent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Subsidiary or Affiliate from adopting other or additional compensation arrangements for its employees.</w:t>
      </w:r>
    </w:p>
    <w:p>
      <w:pPr>
        <w:spacing w:after="0" w:line="176" w:lineRule="exact"/>
        <w:rPr>
          <w:rFonts w:ascii="Arial" w:cs="Arial" w:eastAsia="Arial" w:hAnsi="Arial"/>
          <w:sz w:val="22"/>
          <w:szCs w:val="22"/>
          <w:color w:val="auto"/>
        </w:rPr>
      </w:pPr>
    </w:p>
    <w:p>
      <w:pPr>
        <w:ind w:firstLine="656"/>
        <w:spacing w:after="0" w:line="256" w:lineRule="auto"/>
        <w:tabs>
          <w:tab w:leader="none" w:pos="1296" w:val="left"/>
        </w:tabs>
        <w:numPr>
          <w:ilvl w:val="1"/>
          <w:numId w:val="500"/>
        </w:numPr>
        <w:rPr>
          <w:rFonts w:ascii="Arial" w:cs="Arial" w:eastAsia="Arial" w:hAnsi="Arial"/>
          <w:sz w:val="22"/>
          <w:szCs w:val="22"/>
          <w:color w:val="auto"/>
        </w:rPr>
      </w:pPr>
      <w:r>
        <w:rPr>
          <w:rFonts w:ascii="Arial" w:cs="Arial" w:eastAsia="Arial" w:hAnsi="Arial"/>
          <w:sz w:val="22"/>
          <w:szCs w:val="22"/>
          <w:b w:val="1"/>
          <w:bCs w:val="1"/>
          <w:u w:val="single" w:color="auto"/>
          <w:color w:val="auto"/>
        </w:rPr>
        <w:t>No Contract of Employment</w:t>
      </w:r>
      <w:r>
        <w:rPr>
          <w:rFonts w:ascii="Arial" w:cs="Arial" w:eastAsia="Arial" w:hAnsi="Arial"/>
          <w:sz w:val="22"/>
          <w:szCs w:val="22"/>
          <w:color w:val="auto"/>
        </w:rPr>
        <w:t>. This Plan shall not constitute a contract of employment,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adoption of this Plan shall not confer upon any employee any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41" w:name="page442"/>
    <w:bookmarkEnd w:id="441"/>
    <w:p>
      <w:pPr>
        <w:ind w:right="20"/>
        <w:spacing w:after="0" w:line="250" w:lineRule="auto"/>
        <w:rPr>
          <w:sz w:val="20"/>
          <w:szCs w:val="20"/>
          <w:color w:val="auto"/>
        </w:rPr>
      </w:pPr>
      <w:r>
        <w:rPr>
          <w:rFonts w:ascii="Arial" w:cs="Arial" w:eastAsia="Arial" w:hAnsi="Arial"/>
          <w:sz w:val="22"/>
          <w:szCs w:val="22"/>
          <w:color w:val="auto"/>
        </w:rPr>
        <w:t>continued employment, nor shall it interfere in any way with the right of the Company or any Subsidiary or Affiliate to terminate the employment of any employee at any time.</w:t>
      </w:r>
    </w:p>
    <w:p>
      <w:pPr>
        <w:spacing w:after="0" w:line="169" w:lineRule="exact"/>
        <w:rPr>
          <w:sz w:val="20"/>
          <w:szCs w:val="20"/>
          <w:color w:val="auto"/>
        </w:rPr>
      </w:pPr>
    </w:p>
    <w:p>
      <w:pPr>
        <w:ind w:left="1300" w:hanging="644"/>
        <w:spacing w:after="0"/>
        <w:tabs>
          <w:tab w:leader="none" w:pos="1300" w:val="left"/>
        </w:tabs>
        <w:numPr>
          <w:ilvl w:val="0"/>
          <w:numId w:val="501"/>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501"/>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No later than the date as of which an amount first becomes includible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gross income of a Participant for federal, state, local 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Unless otherwise determined by the Company, withholding obligations may be settled with Common Stock, including Common Stock that is part of the Award that gives rise to the withholding requirement, having a Fair Market Value on the date of withholding equal to the amount to be withheld for tax purposes, all in accordance with such procedures as the Committee establishes.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unless otherwise subsequently determined by the Committee, with respect to a Participant subject to Section 16 of the Exchange Act, the withholding of Shares by the Company or any of its Affiliates to satisfy tax, exercise price or other withholding obligations in respect of an Award shall be mandatory.</w:t>
      </w:r>
    </w:p>
    <w:p>
      <w:pPr>
        <w:spacing w:after="0" w:line="160" w:lineRule="exact"/>
        <w:rPr>
          <w:rFonts w:ascii="Arial" w:cs="Arial" w:eastAsia="Arial" w:hAnsi="Arial"/>
          <w:sz w:val="19"/>
          <w:szCs w:val="19"/>
          <w:color w:val="auto"/>
        </w:rPr>
      </w:pPr>
    </w:p>
    <w:p>
      <w:pPr>
        <w:jc w:val="both"/>
        <w:ind w:firstLine="1304"/>
        <w:spacing w:after="0" w:line="243" w:lineRule="auto"/>
        <w:tabs>
          <w:tab w:leader="none" w:pos="1944" w:val="left"/>
        </w:tabs>
        <w:numPr>
          <w:ilvl w:val="1"/>
          <w:numId w:val="501"/>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This Plan and the Awards hereunder are intended to comply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requirements of Section 409A of the Code or an exemption or exclusion therefrom and, with respect to amounts that are subject to Section 409A of the Code, it is intended that this Plan be administered in all respects in accordance with Section 409A of the Code. Each payment under any Award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otherwise would be payable by reason of a Participant’s Separation from Service during the six (6)-month period immediately following such Separation from Service shall instead be paid or provided on the first (1st) business day following the date that is six (6) months following the Participant’s Separation from Service or any earlier date permitted by Section 409A of the Code. If the Participant dies following the Separation from Service and prior to the payment of any amounts delayed on account of Section 409A of the Code, such amounts shall be paid to the personal representative of the Participant’s estate within thirty (30) days following the date of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42" w:name="page443"/>
    <w:bookmarkEnd w:id="442"/>
    <w:p>
      <w:pPr>
        <w:jc w:val="both"/>
        <w:ind w:firstLine="656"/>
        <w:spacing w:after="0" w:line="246" w:lineRule="auto"/>
        <w:tabs>
          <w:tab w:leader="none" w:pos="1296" w:val="left"/>
        </w:tabs>
        <w:numPr>
          <w:ilvl w:val="0"/>
          <w:numId w:val="502"/>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Limitation on Dividend Reinvestment and Dividend Equivalents</w:t>
      </w:r>
      <w:r>
        <w:rPr>
          <w:rFonts w:ascii="Arial" w:cs="Arial" w:eastAsia="Arial" w:hAnsi="Arial"/>
          <w:sz w:val="21"/>
          <w:szCs w:val="21"/>
          <w:color w:val="auto"/>
        </w:rPr>
        <w:t>. Reinvestment of dividends</w:t>
      </w:r>
      <w:r>
        <w:rPr>
          <w:rFonts w:ascii="Arial" w:cs="Arial" w:eastAsia="Arial" w:hAnsi="Arial"/>
          <w:sz w:val="21"/>
          <w:szCs w:val="21"/>
          <w:b w:val="1"/>
          <w:bCs w:val="1"/>
          <w:color w:val="auto"/>
        </w:rPr>
        <w:t xml:space="preserve"> </w:t>
      </w:r>
      <w:r>
        <w:rPr>
          <w:rFonts w:ascii="Arial" w:cs="Arial" w:eastAsia="Arial" w:hAnsi="Arial"/>
          <w:sz w:val="21"/>
          <w:szCs w:val="21"/>
          <w:color w:val="auto"/>
        </w:rPr>
        <w:t>in additional Restricted Stock at the time of any dividend payment, and the payment of Shares with respect to dividends to Participants holding Awards of Restricted Stock Units, shall only be permissible if sufficient Shares are available under Section 3 for such reinvestment or payment (taking into account then-outstanding Awards). If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12(e).</w:t>
      </w:r>
    </w:p>
    <w:p>
      <w:pPr>
        <w:spacing w:after="0" w:line="175" w:lineRule="exact"/>
        <w:rPr>
          <w:rFonts w:ascii="Arial" w:cs="Arial" w:eastAsia="Arial" w:hAnsi="Arial"/>
          <w:sz w:val="21"/>
          <w:szCs w:val="21"/>
          <w:color w:val="auto"/>
        </w:rPr>
      </w:pPr>
    </w:p>
    <w:p>
      <w:pPr>
        <w:jc w:val="both"/>
        <w:ind w:firstLine="656"/>
        <w:spacing w:after="0" w:line="239" w:lineRule="auto"/>
        <w:tabs>
          <w:tab w:leader="none" w:pos="1296" w:val="left"/>
        </w:tabs>
        <w:numPr>
          <w:ilvl w:val="0"/>
          <w:numId w:val="502"/>
        </w:numPr>
        <w:rPr>
          <w:rFonts w:ascii="Arial" w:cs="Arial" w:eastAsia="Arial" w:hAnsi="Arial"/>
          <w:sz w:val="22"/>
          <w:szCs w:val="22"/>
          <w:color w:val="auto"/>
        </w:rPr>
      </w:pPr>
      <w:r>
        <w:rPr>
          <w:rFonts w:ascii="Arial" w:cs="Arial" w:eastAsia="Arial" w:hAnsi="Arial"/>
          <w:sz w:val="22"/>
          <w:szCs w:val="22"/>
          <w:b w:val="1"/>
          <w:bCs w:val="1"/>
          <w:u w:val="single" w:color="auto"/>
          <w:color w:val="auto"/>
        </w:rPr>
        <w:t>Designation of Death Beneficiary</w:t>
      </w:r>
      <w:r>
        <w:rPr>
          <w:rFonts w:ascii="Arial" w:cs="Arial" w:eastAsia="Arial" w:hAnsi="Arial"/>
          <w:sz w:val="22"/>
          <w:szCs w:val="22"/>
          <w:color w:val="auto"/>
        </w:rPr>
        <w:t>. The Committee shall establish such procedures as it deems</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for a Participant to designate a beneficiary to whom any amounts payable in the event of such Participant’s death are to be paid or by whom any rights of such Eligible Individual, after such Participant’s death, may be exercised.</w:t>
      </w:r>
    </w:p>
    <w:p>
      <w:pPr>
        <w:spacing w:after="0" w:line="180"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502"/>
        </w:numPr>
        <w:rPr>
          <w:rFonts w:ascii="Arial" w:cs="Arial" w:eastAsia="Arial" w:hAnsi="Arial"/>
          <w:sz w:val="22"/>
          <w:szCs w:val="22"/>
          <w:color w:val="auto"/>
        </w:rPr>
      </w:pPr>
      <w:r>
        <w:rPr>
          <w:rFonts w:ascii="Arial" w:cs="Arial" w:eastAsia="Arial" w:hAnsi="Arial"/>
          <w:sz w:val="22"/>
          <w:szCs w:val="22"/>
          <w:b w:val="1"/>
          <w:bCs w:val="1"/>
          <w:u w:val="single" w:color="auto"/>
          <w:color w:val="auto"/>
        </w:rPr>
        <w:t>Subsidiary Employees</w:t>
      </w:r>
      <w:r>
        <w:rPr>
          <w:rFonts w:ascii="Arial" w:cs="Arial" w:eastAsia="Arial" w:hAnsi="Arial"/>
          <w:sz w:val="22"/>
          <w:szCs w:val="22"/>
          <w:color w:val="auto"/>
        </w:rPr>
        <w:t>. In the case of a grant of an Award to any employee of a Subsidiary,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revert to the Company.</w:t>
      </w:r>
    </w:p>
    <w:p>
      <w:pPr>
        <w:spacing w:after="0" w:line="181" w:lineRule="exact"/>
        <w:rPr>
          <w:rFonts w:ascii="Arial" w:cs="Arial" w:eastAsia="Arial" w:hAnsi="Arial"/>
          <w:sz w:val="22"/>
          <w:szCs w:val="22"/>
          <w:color w:val="auto"/>
        </w:rPr>
      </w:pPr>
    </w:p>
    <w:p>
      <w:pPr>
        <w:jc w:val="both"/>
        <w:ind w:firstLine="656"/>
        <w:spacing w:after="0" w:line="283" w:lineRule="auto"/>
        <w:tabs>
          <w:tab w:leader="none" w:pos="1296" w:val="left"/>
        </w:tabs>
        <w:numPr>
          <w:ilvl w:val="0"/>
          <w:numId w:val="502"/>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and Interpretation</w:t>
      </w:r>
      <w:r>
        <w:rPr>
          <w:rFonts w:ascii="Arial" w:cs="Arial" w:eastAsia="Arial" w:hAnsi="Arial"/>
          <w:sz w:val="19"/>
          <w:szCs w:val="19"/>
          <w:color w:val="auto"/>
        </w:rPr>
        <w:t>. This Plan and all Awards made and actions taken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governed by and construed in accordance with the laws of the State of Delaware, without reference to principles of conflict of laws. The captions of this Plan are not part of the provisions hereof and shall have no force or effect. Whenever the words “include,” “includes” or “including” are used in this Plan, they shall be deemed to be followed by the words “but not limited to” and the word “or” shall be understood to mean “and/or.”</w:t>
      </w:r>
    </w:p>
    <w:p>
      <w:pPr>
        <w:spacing w:after="0" w:line="142" w:lineRule="exact"/>
        <w:rPr>
          <w:rFonts w:ascii="Arial" w:cs="Arial" w:eastAsia="Arial" w:hAnsi="Arial"/>
          <w:sz w:val="19"/>
          <w:szCs w:val="19"/>
          <w:color w:val="auto"/>
        </w:rPr>
      </w:pPr>
    </w:p>
    <w:p>
      <w:pPr>
        <w:ind w:firstLine="656"/>
        <w:spacing w:after="0" w:line="334" w:lineRule="auto"/>
        <w:tabs>
          <w:tab w:leader="none" w:pos="1296" w:val="left"/>
        </w:tabs>
        <w:numPr>
          <w:ilvl w:val="0"/>
          <w:numId w:val="502"/>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Except as otherwise provided in Section 5(h) or as determined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Awards under this Plan are not transferable except by will or by laws of descent and distribution.</w:t>
      </w:r>
    </w:p>
    <w:p>
      <w:pPr>
        <w:spacing w:after="0" w:line="93" w:lineRule="exact"/>
        <w:rPr>
          <w:rFonts w:ascii="Arial" w:cs="Arial" w:eastAsia="Arial" w:hAnsi="Arial"/>
          <w:sz w:val="19"/>
          <w:szCs w:val="19"/>
          <w:color w:val="auto"/>
        </w:rPr>
      </w:pPr>
    </w:p>
    <w:p>
      <w:pPr>
        <w:jc w:val="both"/>
        <w:ind w:firstLine="656"/>
        <w:spacing w:after="0" w:line="236" w:lineRule="auto"/>
        <w:tabs>
          <w:tab w:leader="none" w:pos="1296" w:val="left"/>
        </w:tabs>
        <w:numPr>
          <w:ilvl w:val="0"/>
          <w:numId w:val="502"/>
        </w:numPr>
        <w:rPr>
          <w:rFonts w:ascii="Arial" w:cs="Arial" w:eastAsia="Arial" w:hAnsi="Arial"/>
          <w:sz w:val="22"/>
          <w:szCs w:val="22"/>
          <w:color w:val="auto"/>
        </w:rPr>
      </w:pPr>
      <w:r>
        <w:rPr>
          <w:rFonts w:ascii="Arial" w:cs="Arial" w:eastAsia="Arial" w:hAnsi="Arial"/>
          <w:sz w:val="22"/>
          <w:szCs w:val="22"/>
          <w:b w:val="1"/>
          <w:bCs w:val="1"/>
          <w:u w:val="single" w:color="auto"/>
          <w:color w:val="auto"/>
        </w:rPr>
        <w:t>Unfunded Status of the Plan</w:t>
      </w:r>
      <w:r>
        <w:rPr>
          <w:rFonts w:ascii="Arial" w:cs="Arial" w:eastAsia="Arial" w:hAnsi="Arial"/>
          <w:sz w:val="22"/>
          <w:szCs w:val="22"/>
          <w:color w:val="auto"/>
        </w:rPr>
        <w:t>. It is intended that this Plan constitute an “unfunded” plan. Neither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nor the Committee shall have any obligation to segregate assets or establish a trust or other arrangements to meet the obligations created under this Plan. Any liability of the Company to any Participant with respect to an Award shall be based solely upon contractual obligation created by this Plan and the Award Agreement. No such obligation shall be deemed to be secured by any pledge or encumbrance on the property of the Company.</w:t>
      </w:r>
    </w:p>
    <w:p>
      <w:pPr>
        <w:spacing w:after="0" w:line="187" w:lineRule="exact"/>
        <w:rPr>
          <w:rFonts w:ascii="Arial" w:cs="Arial" w:eastAsia="Arial" w:hAnsi="Arial"/>
          <w:sz w:val="22"/>
          <w:szCs w:val="22"/>
          <w:color w:val="auto"/>
        </w:rPr>
      </w:pPr>
    </w:p>
    <w:p>
      <w:pPr>
        <w:ind w:left="426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43" w:name="page444"/>
    <w:bookmarkEnd w:id="443"/>
    <w:p>
      <w:pPr>
        <w:jc w:val="right"/>
        <w:spacing w:after="0"/>
        <w:rPr>
          <w:sz w:val="20"/>
          <w:szCs w:val="20"/>
          <w:color w:val="auto"/>
        </w:rPr>
      </w:pPr>
      <w:r>
        <w:rPr>
          <w:rFonts w:ascii="Arial" w:cs="Arial" w:eastAsia="Arial" w:hAnsi="Arial"/>
          <w:sz w:val="22"/>
          <w:szCs w:val="22"/>
          <w:b w:val="1"/>
          <w:bCs w:val="1"/>
          <w:color w:val="auto"/>
        </w:rPr>
        <w:t>EXHIBIT 10.8</w:t>
      </w:r>
    </w:p>
    <w:p>
      <w:pPr>
        <w:spacing w:after="0" w:line="206"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WESTROCK COFFEE COMPANY</w:t>
      </w:r>
    </w:p>
    <w:p>
      <w:pPr>
        <w:spacing w:after="0" w:line="14"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ANNUAL CASH INCENTIVE PLAN</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This Westrock Coffee Company Annual Cash Incentive Plan (this “</w:t>
      </w:r>
      <w:r>
        <w:rPr>
          <w:rFonts w:ascii="Arial" w:cs="Arial" w:eastAsia="Arial" w:hAnsi="Arial"/>
          <w:sz w:val="22"/>
          <w:szCs w:val="22"/>
          <w:b w:val="1"/>
          <w:bCs w:val="1"/>
          <w:color w:val="auto"/>
        </w:rPr>
        <w:t>Plan</w:t>
      </w:r>
      <w:r>
        <w:rPr>
          <w:rFonts w:ascii="Arial" w:cs="Arial" w:eastAsia="Arial" w:hAnsi="Arial"/>
          <w:sz w:val="22"/>
          <w:szCs w:val="22"/>
          <w:color w:val="auto"/>
        </w:rPr>
        <w:t>”) is designed to provide an incentive for superior work and to motivate eligible employees of Westrock Coffee Company,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its Affiliates toward ever higher achievement and business results, to tie their goals and interests to those of the Company and its stockholders, and to enable the Company to attract and retain highly qualified employees.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DEFINITIONS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this Plan, the following terms are defined as set forth below:</w:t>
      </w:r>
    </w:p>
    <w:p>
      <w:pPr>
        <w:spacing w:after="0" w:line="200" w:lineRule="exact"/>
        <w:rPr>
          <w:sz w:val="20"/>
          <w:szCs w:val="20"/>
          <w:color w:val="auto"/>
        </w:rPr>
      </w:pPr>
    </w:p>
    <w:p>
      <w:pPr>
        <w:ind w:firstLine="656"/>
        <w:spacing w:after="0" w:line="256" w:lineRule="auto"/>
        <w:tabs>
          <w:tab w:leader="none" w:pos="1296" w:val="left"/>
        </w:tabs>
        <w:numPr>
          <w:ilvl w:val="0"/>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a company or other entity controlled by, controlling or under common control with the Company.</w:t>
      </w:r>
    </w:p>
    <w:p>
      <w:pPr>
        <w:spacing w:after="0" w:line="162" w:lineRule="exact"/>
        <w:rPr>
          <w:rFonts w:ascii="Arial" w:cs="Arial" w:eastAsia="Arial" w:hAnsi="Arial"/>
          <w:sz w:val="22"/>
          <w:szCs w:val="22"/>
          <w:color w:val="auto"/>
        </w:rPr>
      </w:pPr>
    </w:p>
    <w:p>
      <w:pPr>
        <w:ind w:left="1300" w:hanging="644"/>
        <w:spacing w:after="0"/>
        <w:tabs>
          <w:tab w:leader="none" w:pos="130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5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35" w:lineRule="exact"/>
        <w:rPr>
          <w:rFonts w:ascii="Arial" w:cs="Arial" w:eastAsia="Arial" w:hAnsi="Arial"/>
          <w:sz w:val="19"/>
          <w:szCs w:val="19"/>
          <w:color w:val="auto"/>
        </w:rPr>
      </w:pPr>
    </w:p>
    <w:p>
      <w:pPr>
        <w:ind w:left="1300" w:hanging="644"/>
        <w:spacing w:after="0"/>
        <w:tabs>
          <w:tab w:leader="none" w:pos="130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means the Committee referred to in Section 2.</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has the meaning set forth in the preamble.</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Award</w:t>
      </w:r>
      <w:r>
        <w:rPr>
          <w:rFonts w:ascii="Arial" w:cs="Arial" w:eastAsia="Arial" w:hAnsi="Arial"/>
          <w:sz w:val="22"/>
          <w:szCs w:val="22"/>
          <w:color w:val="auto"/>
        </w:rPr>
        <w:t>” means an amount payable to a Participant under this Plan.</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Award Opportunity</w:t>
      </w:r>
      <w:r>
        <w:rPr>
          <w:rFonts w:ascii="Arial" w:cs="Arial" w:eastAsia="Arial" w:hAnsi="Arial"/>
          <w:sz w:val="22"/>
          <w:szCs w:val="22"/>
          <w:color w:val="auto"/>
        </w:rPr>
        <w:t>” means an opportunity to earn an Incentive Award.</w:t>
      </w:r>
    </w:p>
    <w:p>
      <w:pPr>
        <w:spacing w:after="0" w:line="206" w:lineRule="exact"/>
        <w:rPr>
          <w:rFonts w:ascii="Arial" w:cs="Arial" w:eastAsia="Arial" w:hAnsi="Arial"/>
          <w:sz w:val="22"/>
          <w:szCs w:val="22"/>
          <w:color w:val="auto"/>
        </w:rPr>
      </w:pPr>
    </w:p>
    <w:p>
      <w:pPr>
        <w:ind w:firstLine="656"/>
        <w:spacing w:after="0" w:line="256" w:lineRule="auto"/>
        <w:tabs>
          <w:tab w:leader="none" w:pos="1296" w:val="left"/>
        </w:tabs>
        <w:numPr>
          <w:ilvl w:val="0"/>
          <w:numId w:val="5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 employee of the Company or its Affiliates to whom an Incentive Award Opportunity is or has been granted.</w:t>
      </w:r>
    </w:p>
    <w:p>
      <w:pPr>
        <w:spacing w:after="0" w:line="162" w:lineRule="exact"/>
        <w:rPr>
          <w:rFonts w:ascii="Arial" w:cs="Arial" w:eastAsia="Arial" w:hAnsi="Arial"/>
          <w:sz w:val="22"/>
          <w:szCs w:val="22"/>
          <w:color w:val="auto"/>
        </w:rPr>
      </w:pPr>
    </w:p>
    <w:p>
      <w:pPr>
        <w:jc w:val="both"/>
        <w:ind w:firstLine="656"/>
        <w:spacing w:after="0" w:line="273" w:lineRule="auto"/>
        <w:tabs>
          <w:tab w:leader="none" w:pos="1296" w:val="left"/>
        </w:tabs>
        <w:numPr>
          <w:ilvl w:val="0"/>
          <w:numId w:val="5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Goals</w:t>
      </w:r>
      <w:r>
        <w:rPr>
          <w:rFonts w:ascii="Arial" w:cs="Arial" w:eastAsia="Arial" w:hAnsi="Arial"/>
          <w:sz w:val="19"/>
          <w:szCs w:val="19"/>
          <w:color w:val="auto"/>
        </w:rPr>
        <w:t>” means the performance goals established by the Committee in connection with the grant of an Incentive Award Opportunity. Such goals shall be based on the attainment of specified levels of one (1) or more of the following measures or such other measures, as the Committee may establish: stock price, earnings (whether based on earnings before taxes, earnings before interest and taxes or earnings before interest, taxes, depreciation and amortization), earnings per share, return on equity, return on assets or operating assets, asset quality, net interest margin, loan portfolio growth, efficiency ratio, deposit portfolio growth, liquidity, market share, customer service measures or indices, economic value added, shareholder value added, embedded value added, combined ratio, pre- or after-tax income, net income, cash flow (before or after dividends), cash flow per share (before or after dividends), gross margin, risk-based capital, revenues, revenue growth, return on capital (whether based on return on total capital or return on invested capital), cash flow return on investment, cost control, gross profit, operating profit, cash generation, unit volume, sales, asset quality, cost saving levels, market-spending efficiency, core non-interest income or change in working capital,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729615</wp:posOffset>
            </wp:positionV>
            <wp:extent cx="629221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444" w:name="page445"/>
    <w:bookmarkEnd w:id="444"/>
    <w:p>
      <w:pPr>
        <w:jc w:val="both"/>
        <w:ind w:right="20"/>
        <w:spacing w:after="0"/>
        <w:rPr>
          <w:sz w:val="20"/>
          <w:szCs w:val="20"/>
          <w:color w:val="auto"/>
        </w:rPr>
      </w:pPr>
      <w:r>
        <w:rPr>
          <w:rFonts w:ascii="Arial" w:cs="Arial" w:eastAsia="Arial" w:hAnsi="Arial"/>
          <w:sz w:val="22"/>
          <w:szCs w:val="22"/>
          <w:color w:val="auto"/>
        </w:rPr>
        <w:t>each case with respect to the Company or any one (1) or more subsidiaries, divisions, business units or business segments thereof, either in absolute terms or relative to the performance of one (1) or more other companies (including an index covering multiple companies).</w:t>
      </w:r>
    </w:p>
    <w:p>
      <w:pPr>
        <w:spacing w:after="0" w:line="180" w:lineRule="exact"/>
        <w:rPr>
          <w:sz w:val="20"/>
          <w:szCs w:val="20"/>
          <w:color w:val="auto"/>
        </w:rPr>
      </w:pPr>
    </w:p>
    <w:p>
      <w:pPr>
        <w:ind w:left="1300" w:hanging="644"/>
        <w:spacing w:after="0"/>
        <w:tabs>
          <w:tab w:leader="none" w:pos="1300" w:val="left"/>
        </w:tabs>
        <w:numPr>
          <w:ilvl w:val="0"/>
          <w:numId w:val="50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ADMINISTRATION</w:t>
      </w:r>
    </w:p>
    <w:p>
      <w:pPr>
        <w:spacing w:after="0" w:line="206" w:lineRule="exact"/>
        <w:rPr>
          <w:sz w:val="20"/>
          <w:szCs w:val="20"/>
          <w:color w:val="auto"/>
        </w:rPr>
      </w:pPr>
    </w:p>
    <w:p>
      <w:pPr>
        <w:jc w:val="both"/>
        <w:ind w:firstLine="656"/>
        <w:spacing w:after="0" w:line="251" w:lineRule="auto"/>
        <w:tabs>
          <w:tab w:leader="none" w:pos="1296" w:val="left"/>
        </w:tabs>
        <w:numPr>
          <w:ilvl w:val="0"/>
          <w:numId w:val="505"/>
        </w:numPr>
        <w:rPr>
          <w:rFonts w:ascii="Arial" w:cs="Arial" w:eastAsia="Arial" w:hAnsi="Arial"/>
          <w:sz w:val="21"/>
          <w:szCs w:val="21"/>
          <w:color w:val="auto"/>
        </w:rPr>
      </w:pPr>
      <w:r>
        <w:rPr>
          <w:rFonts w:ascii="Arial" w:cs="Arial" w:eastAsia="Arial" w:hAnsi="Arial"/>
          <w:sz w:val="21"/>
          <w:szCs w:val="21"/>
          <w:b w:val="1"/>
          <w:bCs w:val="1"/>
          <w:u w:val="single" w:color="auto"/>
          <w:color w:val="auto"/>
        </w:rPr>
        <w:t>Committee</w:t>
      </w:r>
      <w:r>
        <w:rPr>
          <w:rFonts w:ascii="Arial" w:cs="Arial" w:eastAsia="Arial" w:hAnsi="Arial"/>
          <w:sz w:val="21"/>
          <w:szCs w:val="21"/>
          <w:color w:val="auto"/>
        </w:rPr>
        <w:t>. This Plan shall be administered by the Board directly, or if the Board elects,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Committee or such other committee of the Board as the Board may from time to time designate, which committee shall be composed of not fewer than two (2)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Subject to the terms and conditions of this Plan, the Committee shall have absolute authority:</w:t>
      </w:r>
    </w:p>
    <w:p>
      <w:pPr>
        <w:spacing w:after="0" w:line="241" w:lineRule="exact"/>
        <w:rPr>
          <w:sz w:val="20"/>
          <w:szCs w:val="20"/>
          <w:color w:val="auto"/>
        </w:rPr>
      </w:pPr>
    </w:p>
    <w:p>
      <w:pPr>
        <w:ind w:left="1960" w:hanging="656"/>
        <w:spacing w:after="0"/>
        <w:tabs>
          <w:tab w:leader="none" w:pos="1960"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select Participants;</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1"/>
          <w:numId w:val="506"/>
        </w:numPr>
        <w:rPr>
          <w:rFonts w:ascii="Arial" w:cs="Arial" w:eastAsia="Arial" w:hAnsi="Arial"/>
          <w:sz w:val="19"/>
          <w:szCs w:val="19"/>
          <w:color w:val="auto"/>
        </w:rPr>
      </w:pPr>
      <w:r>
        <w:rPr>
          <w:rFonts w:ascii="Arial" w:cs="Arial" w:eastAsia="Arial" w:hAnsi="Arial"/>
          <w:sz w:val="19"/>
          <w:szCs w:val="19"/>
          <w:color w:val="auto"/>
        </w:rPr>
        <w:t>To determine whether and to what extent an Incentive Award Opportunity is to be granted</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88" w:lineRule="exact"/>
        <w:rPr>
          <w:rFonts w:ascii="Arial" w:cs="Arial" w:eastAsia="Arial" w:hAnsi="Arial"/>
          <w:sz w:val="19"/>
          <w:szCs w:val="19"/>
          <w:color w:val="auto"/>
        </w:rPr>
      </w:pPr>
    </w:p>
    <w:p>
      <w:pPr>
        <w:ind w:left="1960" w:hanging="656"/>
        <w:spacing w:after="0"/>
        <w:tabs>
          <w:tab w:leader="none" w:pos="1960"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determine the amount of any Incentive Award or Incentive Award Opportunity;</w:t>
      </w:r>
    </w:p>
    <w:p>
      <w:pPr>
        <w:spacing w:after="0" w:line="206" w:lineRule="exact"/>
        <w:rPr>
          <w:rFonts w:ascii="Arial" w:cs="Arial" w:eastAsia="Arial" w:hAnsi="Arial"/>
          <w:sz w:val="22"/>
          <w:szCs w:val="22"/>
          <w:color w:val="auto"/>
        </w:rPr>
      </w:pPr>
    </w:p>
    <w:p>
      <w:pPr>
        <w:ind w:left="660" w:right="20" w:firstLine="644"/>
        <w:spacing w:after="0" w:line="250" w:lineRule="auto"/>
        <w:tabs>
          <w:tab w:leader="none" w:pos="1956"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approve the form of any Incentive Award Opportunity and determine the terms and conditions thereof;</w:t>
      </w:r>
    </w:p>
    <w:p>
      <w:pPr>
        <w:spacing w:after="0" w:line="174" w:lineRule="exact"/>
        <w:rPr>
          <w:rFonts w:ascii="Arial" w:cs="Arial" w:eastAsia="Arial" w:hAnsi="Arial"/>
          <w:sz w:val="22"/>
          <w:szCs w:val="22"/>
          <w:color w:val="auto"/>
        </w:rPr>
      </w:pPr>
    </w:p>
    <w:p>
      <w:pPr>
        <w:ind w:left="660" w:firstLine="644"/>
        <w:spacing w:after="0" w:line="250" w:lineRule="auto"/>
        <w:tabs>
          <w:tab w:leader="none" w:pos="1956"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modify, amend or adjust the terms and conditions (including any Performance Goals) of any Incentive Award Opportunity;</w:t>
      </w:r>
    </w:p>
    <w:p>
      <w:pPr>
        <w:spacing w:after="0" w:line="174" w:lineRule="exact"/>
        <w:rPr>
          <w:rFonts w:ascii="Arial" w:cs="Arial" w:eastAsia="Arial" w:hAnsi="Arial"/>
          <w:sz w:val="22"/>
          <w:szCs w:val="22"/>
          <w:color w:val="auto"/>
        </w:rPr>
      </w:pPr>
    </w:p>
    <w:p>
      <w:pPr>
        <w:ind w:left="660" w:firstLine="644"/>
        <w:spacing w:after="0" w:line="250" w:lineRule="auto"/>
        <w:tabs>
          <w:tab w:leader="none" w:pos="1956"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determine to what extent and under what circumstances amounts payable with respect to an Incentive Award Opportunity shall be deferred;</w:t>
      </w:r>
    </w:p>
    <w:p>
      <w:pPr>
        <w:spacing w:after="0" w:line="174" w:lineRule="exact"/>
        <w:rPr>
          <w:rFonts w:ascii="Arial" w:cs="Arial" w:eastAsia="Arial" w:hAnsi="Arial"/>
          <w:sz w:val="22"/>
          <w:szCs w:val="22"/>
          <w:color w:val="auto"/>
        </w:rPr>
      </w:pPr>
    </w:p>
    <w:p>
      <w:pPr>
        <w:ind w:left="660" w:firstLine="644"/>
        <w:spacing w:after="0" w:line="250" w:lineRule="auto"/>
        <w:tabs>
          <w:tab w:leader="none" w:pos="1956"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adopt, alter and repeal such administrative rules, guidelines and practices governing this Plan as it shall from time to time deem advisable;</w:t>
      </w:r>
    </w:p>
    <w:p>
      <w:pPr>
        <w:spacing w:after="0" w:line="174" w:lineRule="exact"/>
        <w:rPr>
          <w:rFonts w:ascii="Arial" w:cs="Arial" w:eastAsia="Arial" w:hAnsi="Arial"/>
          <w:sz w:val="22"/>
          <w:szCs w:val="22"/>
          <w:color w:val="auto"/>
        </w:rPr>
      </w:pPr>
    </w:p>
    <w:p>
      <w:pPr>
        <w:ind w:left="660" w:firstLine="644"/>
        <w:spacing w:after="0" w:line="250" w:lineRule="auto"/>
        <w:tabs>
          <w:tab w:leader="none" w:pos="1956"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interpret the terms and provisions of this Plan and any Incentive Award Opportunity under this Plan;</w:t>
      </w:r>
    </w:p>
    <w:p>
      <w:pPr>
        <w:spacing w:after="0" w:line="174" w:lineRule="exact"/>
        <w:rPr>
          <w:rFonts w:ascii="Arial" w:cs="Arial" w:eastAsia="Arial" w:hAnsi="Arial"/>
          <w:sz w:val="22"/>
          <w:szCs w:val="22"/>
          <w:color w:val="auto"/>
        </w:rPr>
      </w:pPr>
    </w:p>
    <w:p>
      <w:pPr>
        <w:ind w:left="660" w:right="20" w:firstLine="644"/>
        <w:spacing w:after="0" w:line="250" w:lineRule="auto"/>
        <w:tabs>
          <w:tab w:leader="none" w:pos="1956"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decide all other matters that must be determined in connection with an Incentive Award Opportunity; and</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1"/>
          <w:numId w:val="506"/>
        </w:numPr>
        <w:rPr>
          <w:rFonts w:ascii="Arial" w:cs="Arial" w:eastAsia="Arial" w:hAnsi="Arial"/>
          <w:sz w:val="22"/>
          <w:szCs w:val="22"/>
          <w:color w:val="auto"/>
        </w:rPr>
      </w:pPr>
      <w:r>
        <w:rPr>
          <w:rFonts w:ascii="Arial" w:cs="Arial" w:eastAsia="Arial" w:hAnsi="Arial"/>
          <w:sz w:val="22"/>
          <w:szCs w:val="22"/>
          <w:color w:val="auto"/>
        </w:rPr>
        <w:t>To otherwise administer this Plan.</w:t>
      </w:r>
    </w:p>
    <w:p>
      <w:pPr>
        <w:spacing w:after="0" w:line="200" w:lineRule="exact"/>
        <w:rPr>
          <w:rFonts w:ascii="Arial" w:cs="Arial" w:eastAsia="Arial" w:hAnsi="Arial"/>
          <w:sz w:val="22"/>
          <w:szCs w:val="22"/>
          <w:color w:val="auto"/>
        </w:rPr>
      </w:pPr>
    </w:p>
    <w:p>
      <w:pPr>
        <w:ind w:left="1300" w:hanging="644"/>
        <w:spacing w:after="0"/>
        <w:tabs>
          <w:tab w:leader="none" w:pos="1300" w:val="left"/>
        </w:tabs>
        <w:numPr>
          <w:ilvl w:val="0"/>
          <w:numId w:val="507"/>
        </w:numPr>
        <w:rPr>
          <w:rFonts w:ascii="Arial" w:cs="Arial" w:eastAsia="Arial" w:hAnsi="Arial"/>
          <w:sz w:val="22"/>
          <w:szCs w:val="22"/>
          <w:color w:val="auto"/>
        </w:rPr>
      </w:pPr>
      <w:r>
        <w:rPr>
          <w:rFonts w:ascii="Arial" w:cs="Arial" w:eastAsia="Arial" w:hAnsi="Arial"/>
          <w:sz w:val="22"/>
          <w:szCs w:val="22"/>
          <w:b w:val="1"/>
          <w:bCs w:val="1"/>
          <w:u w:val="single" w:color="auto"/>
          <w:color w:val="auto"/>
        </w:rPr>
        <w:t>Procedures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660" w:firstLine="644"/>
        <w:spacing w:after="0"/>
        <w:tabs>
          <w:tab w:leader="none" w:pos="1956" w:val="left"/>
        </w:tabs>
        <w:numPr>
          <w:ilvl w:val="1"/>
          <w:numId w:val="507"/>
        </w:numPr>
        <w:rPr>
          <w:rFonts w:ascii="Arial" w:cs="Arial" w:eastAsia="Arial" w:hAnsi="Arial"/>
          <w:sz w:val="22"/>
          <w:szCs w:val="22"/>
          <w:color w:val="auto"/>
        </w:rPr>
      </w:pPr>
      <w:r>
        <w:rPr>
          <w:rFonts w:ascii="Arial" w:cs="Arial" w:eastAsia="Arial" w:hAnsi="Arial"/>
          <w:sz w:val="22"/>
          <w:szCs w:val="22"/>
          <w:color w:val="auto"/>
        </w:rPr>
        <w:t>The Committee may act only by a majority of its members then in office, except that the Committee may, except to the extent prohibited by applicable law or the applicable listing standards of a securities exchange, allocate all or any portion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45" w:name="page446"/>
    <w:bookmarkEnd w:id="445"/>
    <w:p>
      <w:pPr>
        <w:jc w:val="both"/>
        <w:ind w:left="660"/>
        <w:spacing w:after="0"/>
        <w:rPr>
          <w:sz w:val="20"/>
          <w:szCs w:val="20"/>
          <w:color w:val="auto"/>
        </w:rPr>
      </w:pPr>
      <w:r>
        <w:rPr>
          <w:rFonts w:ascii="Arial" w:cs="Arial" w:eastAsia="Arial" w:hAnsi="Arial"/>
          <w:sz w:val="22"/>
          <w:szCs w:val="22"/>
          <w:color w:val="auto"/>
        </w:rPr>
        <w:t>responsibilities and powers to any one (1) or more of its members and may delegate all or any part of its responsibilities and powers to any person or persons selected by it. Any such allocation or delegation may be revoked by the Committee at any time.</w:t>
      </w:r>
    </w:p>
    <w:p>
      <w:pPr>
        <w:spacing w:after="0" w:line="186" w:lineRule="exact"/>
        <w:rPr>
          <w:sz w:val="20"/>
          <w:szCs w:val="20"/>
          <w:color w:val="auto"/>
        </w:rPr>
      </w:pPr>
    </w:p>
    <w:p>
      <w:pPr>
        <w:jc w:val="both"/>
        <w:ind w:left="660" w:right="20" w:firstLine="644"/>
        <w:spacing w:after="0"/>
        <w:tabs>
          <w:tab w:leader="none" w:pos="1956" w:val="left"/>
        </w:tabs>
        <w:numPr>
          <w:ilvl w:val="1"/>
          <w:numId w:val="508"/>
        </w:numPr>
        <w:rPr>
          <w:rFonts w:ascii="Arial" w:cs="Arial" w:eastAsia="Arial" w:hAnsi="Arial"/>
          <w:sz w:val="22"/>
          <w:szCs w:val="22"/>
          <w:color w:val="auto"/>
        </w:rPr>
      </w:pPr>
      <w:r>
        <w:rPr>
          <w:rFonts w:ascii="Arial" w:cs="Arial" w:eastAsia="Arial" w:hAnsi="Arial"/>
          <w:sz w:val="22"/>
          <w:szCs w:val="22"/>
          <w:color w:val="auto"/>
        </w:rPr>
        <w:t>Any authority granted to the Committee may be exercised by the full Board. To the extent that any permitted action taken by the Board conflicts with action taken by the Committee, the Board action shall control.</w:t>
      </w:r>
    </w:p>
    <w:p>
      <w:pPr>
        <w:spacing w:after="0" w:line="180"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509"/>
        </w:numPr>
        <w:rPr>
          <w:rFonts w:ascii="Arial" w:cs="Arial" w:eastAsia="Arial" w:hAnsi="Arial"/>
          <w:sz w:val="22"/>
          <w:szCs w:val="22"/>
          <w:color w:val="auto"/>
        </w:rPr>
      </w:pPr>
      <w:r>
        <w:rPr>
          <w:rFonts w:ascii="Arial" w:cs="Arial" w:eastAsia="Arial" w:hAnsi="Arial"/>
          <w:sz w:val="22"/>
          <w:szCs w:val="22"/>
          <w:b w:val="1"/>
          <w:bCs w:val="1"/>
          <w:u w:val="single" w:color="auto"/>
          <w:color w:val="auto"/>
        </w:rPr>
        <w:t>Discretion of Committee</w:t>
      </w:r>
      <w:r>
        <w:rPr>
          <w:rFonts w:ascii="Arial" w:cs="Arial" w:eastAsia="Arial" w:hAnsi="Arial"/>
          <w:sz w:val="22"/>
          <w:szCs w:val="22"/>
          <w:color w:val="auto"/>
        </w:rPr>
        <w:t>. Any determination made by the Committee or pursuant to delegated</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under the provisions of this Plan shall be made in the sole discretion of the Committee or such delegate. All decisions made by the Committee or any appropriately delegated officer pursuant to the provisions of this Plan shall be final, binding and conclusive on all persons, including the Company and Participants. Any determination made by the Committee or pursuant to delegated authority under the provisions of this Plan need not be the same for each Participant.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ELIGIBILITY</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From time to time, the Committee may select certain employees of the Company or its Affiliates, including its executive officers, to be Participants.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INCENTIVE AWARD OPPORTUNITIES AND DETERMINATIONS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Company may establish Incentive Award Opportunities and pay Incentive Awards to Participants under this Plan based upon such terms and conditions as the Committee determines in its discretion, including the achievement of Performance Goals. Incentive Award Opportunities may be based on a percentage of the Participant’s annual base salary or a fixed dollar amount. The Committee may establish different levels of achievement for Performance Goals, including threshold, target, maximum and stretch, and may vary the amount of an Incentive Award to be earned based on the level of achievement. In determining the amount of an Incentive Award to be paid, the Committee may take into account such factors as it determines to be appropriate, including the Participant’s individual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INCENTIVE AWARD PAYMENT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Participant’s Incentive Award shall be payable by the Company in cash at such time as determined by the Committee and in no event later than two and one-half months following the last day of the calendar year in which the Incentive Award was earned.</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The payment of an Incentive Award to a Participant with respect to a given performance period shall be conditioned upon the Participant’s continued employment through the end of the applicable performance period or, if determined by the Committee at the time the Incentive Award Opportunity is established, the date on which the Incentive Award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Committee may make exceptions to this requirement, in its sole discretion, including, without limitation, in the case of a Participant’s termination of employment, retirement, death, or disability, or as may be required by or contemplated in an individual employment, severance, change in control or similar agreement, or upon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46" w:name="page447"/>
    <w:bookmarkEnd w:id="446"/>
    <w:p>
      <w:pPr>
        <w:spacing w:after="0"/>
        <w:tabs>
          <w:tab w:leader="none" w:pos="1440" w:val="left"/>
        </w:tabs>
        <w:rPr>
          <w:sz w:val="20"/>
          <w:szCs w:val="20"/>
          <w:color w:val="auto"/>
        </w:rPr>
      </w:pPr>
      <w:r>
        <w:rPr>
          <w:rFonts w:ascii="Arial" w:cs="Arial" w:eastAsia="Arial" w:hAnsi="Arial"/>
          <w:sz w:val="22"/>
          <w:szCs w:val="22"/>
          <w:b w:val="1"/>
          <w:bCs w:val="1"/>
          <w:color w:val="auto"/>
        </w:rPr>
        <w:t>SECTION 6.</w:t>
        <w:tab/>
        <w:t>EFFECTIVENESS; TERMINATION AND AMENDMENT</w:t>
      </w:r>
    </w:p>
    <w:p>
      <w:pPr>
        <w:spacing w:after="0" w:line="206" w:lineRule="exact"/>
        <w:rPr>
          <w:sz w:val="20"/>
          <w:szCs w:val="20"/>
          <w:color w:val="auto"/>
        </w:rPr>
      </w:pPr>
    </w:p>
    <w:p>
      <w:pPr>
        <w:ind w:firstLine="656"/>
        <w:spacing w:after="0" w:line="334" w:lineRule="auto"/>
        <w:tabs>
          <w:tab w:leader="none" w:pos="1296" w:val="left"/>
        </w:tabs>
        <w:numPr>
          <w:ilvl w:val="0"/>
          <w:numId w:val="510"/>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Effectiveness</w:t>
      </w:r>
      <w:r>
        <w:rPr>
          <w:rFonts w:ascii="Arial" w:cs="Arial" w:eastAsia="Arial" w:hAnsi="Arial"/>
          <w:sz w:val="19"/>
          <w:szCs w:val="19"/>
          <w:color w:val="auto"/>
        </w:rPr>
        <w:t>. This Plan shall become effective as of August 26, 2022, and, for the avoidance of</w:t>
      </w:r>
      <w:r>
        <w:rPr>
          <w:rFonts w:ascii="Arial" w:cs="Arial" w:eastAsia="Arial" w:hAnsi="Arial"/>
          <w:sz w:val="19"/>
          <w:szCs w:val="19"/>
          <w:b w:val="1"/>
          <w:bCs w:val="1"/>
          <w:color w:val="auto"/>
        </w:rPr>
        <w:t xml:space="preserve"> </w:t>
      </w:r>
      <w:r>
        <w:rPr>
          <w:rFonts w:ascii="Arial" w:cs="Arial" w:eastAsia="Arial" w:hAnsi="Arial"/>
          <w:sz w:val="19"/>
          <w:szCs w:val="19"/>
          <w:color w:val="auto"/>
        </w:rPr>
        <w:t>doubt, applies to the Incentive Awards payable in respect of performance during the Company’s 2022 fiscal year.</w:t>
      </w:r>
    </w:p>
    <w:p>
      <w:pPr>
        <w:spacing w:after="0" w:line="93" w:lineRule="exact"/>
        <w:rPr>
          <w:rFonts w:ascii="Arial" w:cs="Arial" w:eastAsia="Arial" w:hAnsi="Arial"/>
          <w:sz w:val="19"/>
          <w:szCs w:val="19"/>
          <w:color w:val="auto"/>
        </w:rPr>
      </w:pPr>
    </w:p>
    <w:p>
      <w:pPr>
        <w:ind w:firstLine="656"/>
        <w:spacing w:after="0" w:line="256" w:lineRule="auto"/>
        <w:tabs>
          <w:tab w:leader="none" w:pos="1296" w:val="left"/>
        </w:tabs>
        <w:numPr>
          <w:ilvl w:val="0"/>
          <w:numId w:val="51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and Termination</w:t>
      </w:r>
      <w:r>
        <w:rPr>
          <w:rFonts w:ascii="Arial" w:cs="Arial" w:eastAsia="Arial" w:hAnsi="Arial"/>
          <w:sz w:val="22"/>
          <w:szCs w:val="22"/>
          <w:color w:val="auto"/>
        </w:rPr>
        <w:t>. The Committee may amend, modify, suspend, discontinue or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this Plan at any time in its sole discretion.</w:t>
      </w:r>
    </w:p>
    <w:p>
      <w:pPr>
        <w:spacing w:after="0" w:line="162"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MISCELLANEOUS PROVISIONS</w:t>
      </w:r>
    </w:p>
    <w:p>
      <w:pPr>
        <w:spacing w:after="0" w:line="206" w:lineRule="exact"/>
        <w:rPr>
          <w:sz w:val="20"/>
          <w:szCs w:val="20"/>
          <w:color w:val="auto"/>
        </w:rPr>
      </w:pPr>
    </w:p>
    <w:p>
      <w:pPr>
        <w:ind w:firstLine="656"/>
        <w:spacing w:after="0" w:line="280" w:lineRule="auto"/>
        <w:tabs>
          <w:tab w:leader="none" w:pos="1296" w:val="left"/>
        </w:tabs>
        <w:numPr>
          <w:ilvl w:val="0"/>
          <w:numId w:val="511"/>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Compensation Arrangements</w:t>
      </w:r>
      <w:r>
        <w:rPr>
          <w:rFonts w:ascii="Arial" w:cs="Arial" w:eastAsia="Arial" w:hAnsi="Arial"/>
          <w:sz w:val="21"/>
          <w:szCs w:val="21"/>
          <w:color w:val="auto"/>
        </w:rPr>
        <w:t>. Nothing contained in this Plan shall prevent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any Affiliate from adopting other or additional compensation arrangements for its employees.</w:t>
      </w:r>
    </w:p>
    <w:p>
      <w:pPr>
        <w:spacing w:after="0" w:line="138" w:lineRule="exact"/>
        <w:rPr>
          <w:rFonts w:ascii="Arial" w:cs="Arial" w:eastAsia="Arial" w:hAnsi="Arial"/>
          <w:sz w:val="21"/>
          <w:szCs w:val="21"/>
          <w:color w:val="auto"/>
        </w:rPr>
      </w:pPr>
    </w:p>
    <w:p>
      <w:pPr>
        <w:jc w:val="both"/>
        <w:ind w:firstLine="656"/>
        <w:spacing w:after="0" w:line="239" w:lineRule="auto"/>
        <w:tabs>
          <w:tab w:leader="none" w:pos="1296" w:val="left"/>
        </w:tabs>
        <w:numPr>
          <w:ilvl w:val="0"/>
          <w:numId w:val="511"/>
        </w:numPr>
        <w:rPr>
          <w:rFonts w:ascii="Arial" w:cs="Arial" w:eastAsia="Arial" w:hAnsi="Arial"/>
          <w:sz w:val="22"/>
          <w:szCs w:val="22"/>
          <w:color w:val="auto"/>
        </w:rPr>
      </w:pPr>
      <w:r>
        <w:rPr>
          <w:rFonts w:ascii="Arial" w:cs="Arial" w:eastAsia="Arial" w:hAnsi="Arial"/>
          <w:sz w:val="22"/>
          <w:szCs w:val="22"/>
          <w:b w:val="1"/>
          <w:bCs w:val="1"/>
          <w:u w:val="single" w:color="auto"/>
          <w:color w:val="auto"/>
        </w:rPr>
        <w:t>No Contract of Employment</w:t>
      </w:r>
      <w:r>
        <w:rPr>
          <w:rFonts w:ascii="Arial" w:cs="Arial" w:eastAsia="Arial" w:hAnsi="Arial"/>
          <w:sz w:val="22"/>
          <w:szCs w:val="22"/>
          <w:color w:val="auto"/>
        </w:rPr>
        <w:t>. This Plan shall not constitute a contract of employment,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adoption of this Plan shall not confer upon any employee any right to continued employment, nor shall it interfere in any way with the right of the Company or any Affiliate to terminate the employment of any employee at any time.</w:t>
      </w:r>
    </w:p>
    <w:p>
      <w:pPr>
        <w:spacing w:after="0" w:line="180" w:lineRule="exact"/>
        <w:rPr>
          <w:rFonts w:ascii="Arial" w:cs="Arial" w:eastAsia="Arial" w:hAnsi="Arial"/>
          <w:sz w:val="22"/>
          <w:szCs w:val="22"/>
          <w:color w:val="auto"/>
        </w:rPr>
      </w:pPr>
    </w:p>
    <w:p>
      <w:pPr>
        <w:ind w:left="1300" w:hanging="644"/>
        <w:spacing w:after="0"/>
        <w:tabs>
          <w:tab w:leader="none" w:pos="1300" w:val="left"/>
        </w:tabs>
        <w:numPr>
          <w:ilvl w:val="0"/>
          <w:numId w:val="511"/>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43" w:lineRule="auto"/>
        <w:tabs>
          <w:tab w:leader="none" w:pos="1944" w:val="left"/>
        </w:tabs>
        <w:numPr>
          <w:ilvl w:val="1"/>
          <w:numId w:val="511"/>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The Company and its Affiliates may withhold from any amounts payable</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Plan such federal, state and local taxes as the Company determines are required to be withheld pursuant to applicable law.</w:t>
      </w:r>
    </w:p>
    <w:p>
      <w:pPr>
        <w:spacing w:after="0" w:line="176" w:lineRule="exact"/>
        <w:rPr>
          <w:rFonts w:ascii="Arial" w:cs="Arial" w:eastAsia="Arial" w:hAnsi="Arial"/>
          <w:sz w:val="22"/>
          <w:szCs w:val="22"/>
          <w:color w:val="auto"/>
        </w:rPr>
      </w:pPr>
    </w:p>
    <w:p>
      <w:pPr>
        <w:jc w:val="both"/>
        <w:ind w:firstLine="1304"/>
        <w:spacing w:after="0" w:line="271" w:lineRule="auto"/>
        <w:tabs>
          <w:tab w:leader="none" w:pos="1944" w:val="left"/>
        </w:tabs>
        <w:numPr>
          <w:ilvl w:val="1"/>
          <w:numId w:val="511"/>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This Plan and Incentive Awards hereunder are intended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of Section 409A of the Code or an exemption or exclusion therefrom and, with respect to amounts that are subject to Section 409A of the Code, it is intended that this Plan be administered in all respects in accordance with Section 409A of the Code. Each payment under this Plan shall be treated as a separate payment for purposes of Section 409A of the Code. In no event may a Participant, directly or indirectly, designate the calendar year of any payment to be made under any Incentive Award that constitutes nonqualified deferred compensation subject to Section 409A of the Code. Notwithstanding any other provision of this Plan to the contrary, if a Participant is a “specified employee” within the meaning of Section 409A of the Code (as determined in accordance with the methodology established by the Company), amounts that constitute “nonqualified deferred compensation” within the meaning of Section 409A of the Code that otherwise would be payable by reason of a Participant’s “separation from service” (within the meaning of Section 409A of the Code) during the six (6)-month period immediately following such separation from service shall instead be paid or provided on the first (1st) business day following the date that is six (6) months following such separation from service or any earlier date permitted by Section 409A of the Code. If the Participant dies following the separation from service and prior to the payment of any amounts delayed on account of Section 409A of the Code, such amounts shall be paid to the personal representative of the Participant’s estate within thirty (30) days following the date of the Participant’s death.</w:t>
      </w:r>
    </w:p>
    <w:p>
      <w:pPr>
        <w:spacing w:after="0" w:line="399"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51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Interpretation</w:t>
      </w:r>
      <w:r>
        <w:rPr>
          <w:rFonts w:ascii="Arial" w:cs="Arial" w:eastAsia="Arial" w:hAnsi="Arial"/>
          <w:sz w:val="22"/>
          <w:szCs w:val="22"/>
          <w:color w:val="auto"/>
        </w:rPr>
        <w:t>. This Plan and all Incentive Awards made and actions taken</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shall be governed by and construed in accordance with the laws of the State of Delaware, without reference to principles of conflict of laws. The captions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47" w:name="page448"/>
    <w:bookmarkEnd w:id="447"/>
    <w:p>
      <w:pPr>
        <w:jc w:val="both"/>
        <w:spacing w:after="0"/>
        <w:rPr>
          <w:sz w:val="20"/>
          <w:szCs w:val="20"/>
          <w:color w:val="auto"/>
        </w:rPr>
      </w:pPr>
      <w:r>
        <w:rPr>
          <w:rFonts w:ascii="Arial" w:cs="Arial" w:eastAsia="Arial" w:hAnsi="Arial"/>
          <w:sz w:val="22"/>
          <w:szCs w:val="22"/>
          <w:color w:val="auto"/>
        </w:rPr>
        <w:t>Plan are not part of the provisions hereof and shall have no force or effect. Whenever the words “include,” “includes” or “including” are used in this Plan, they shall be deemed to be followed by the words “but not limited to” and the word “or” shall be understood to mean “and/or.”</w:t>
      </w:r>
    </w:p>
    <w:p>
      <w:pPr>
        <w:spacing w:after="0" w:line="180" w:lineRule="exact"/>
        <w:rPr>
          <w:sz w:val="20"/>
          <w:szCs w:val="20"/>
          <w:color w:val="auto"/>
        </w:rPr>
      </w:pPr>
    </w:p>
    <w:p>
      <w:pPr>
        <w:jc w:val="both"/>
        <w:ind w:firstLine="656"/>
        <w:spacing w:after="0" w:line="249" w:lineRule="auto"/>
        <w:tabs>
          <w:tab w:leader="none" w:pos="1296" w:val="left"/>
        </w:tabs>
        <w:numPr>
          <w:ilvl w:val="0"/>
          <w:numId w:val="512"/>
        </w:numPr>
        <w:rPr>
          <w:rFonts w:ascii="Arial" w:cs="Arial" w:eastAsia="Arial" w:hAnsi="Arial"/>
          <w:sz w:val="21"/>
          <w:szCs w:val="21"/>
          <w:color w:val="auto"/>
        </w:rPr>
      </w:pPr>
      <w:r>
        <w:rPr>
          <w:rFonts w:ascii="Arial" w:cs="Arial" w:eastAsia="Arial" w:hAnsi="Arial"/>
          <w:sz w:val="21"/>
          <w:szCs w:val="21"/>
          <w:b w:val="1"/>
          <w:bCs w:val="1"/>
          <w:u w:val="single" w:color="auto"/>
          <w:color w:val="auto"/>
        </w:rPr>
        <w:t>Unfunded Status of the Plan</w:t>
      </w:r>
      <w:r>
        <w:rPr>
          <w:rFonts w:ascii="Arial" w:cs="Arial" w:eastAsia="Arial" w:hAnsi="Arial"/>
          <w:sz w:val="21"/>
          <w:szCs w:val="21"/>
          <w:color w:val="auto"/>
        </w:rPr>
        <w:t>. It is intended that this Plan constitute an “unfunded” plan. Neither</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nor the Committee shall have any obligation to segregate assets or establish a trust or other arrangements to meet the obligations created under this Plan. Any liability of the Company to any Participant with respect to an Incentive Award shall be based solely upon contractual obligation created by this Plan and any award agreement issued hereunder (if any). No such obligation shall be deemed to be secured by any pledge or encumbrance on the property of the Company.</w:t>
      </w:r>
    </w:p>
    <w:p>
      <w:pPr>
        <w:spacing w:after="0" w:line="176" w:lineRule="exact"/>
        <w:rPr>
          <w:rFonts w:ascii="Arial" w:cs="Arial" w:eastAsia="Arial" w:hAnsi="Arial"/>
          <w:sz w:val="21"/>
          <w:szCs w:val="21"/>
          <w:color w:val="auto"/>
        </w:rPr>
      </w:pPr>
    </w:p>
    <w:p>
      <w:pPr>
        <w:ind w:left="4260"/>
        <w:spacing w:after="0"/>
        <w:rPr>
          <w:rFonts w:ascii="Arial" w:cs="Arial" w:eastAsia="Arial" w:hAnsi="Arial"/>
          <w:sz w:val="21"/>
          <w:szCs w:val="2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448" w:name="page449"/>
    <w:bookmarkEnd w:id="448"/>
    <w:p>
      <w:pPr>
        <w:jc w:val="right"/>
        <w:spacing w:after="0"/>
        <w:rPr>
          <w:sz w:val="20"/>
          <w:szCs w:val="20"/>
          <w:color w:val="auto"/>
        </w:rPr>
      </w:pPr>
      <w:r>
        <w:rPr>
          <w:rFonts w:ascii="Arial" w:cs="Arial" w:eastAsia="Arial" w:hAnsi="Arial"/>
          <w:sz w:val="22"/>
          <w:szCs w:val="22"/>
          <w:b w:val="1"/>
          <w:bCs w:val="1"/>
          <w:color w:val="auto"/>
        </w:rPr>
        <w:t>EXHIBIT 10.9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WESTROCK COFFEE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STOCK OPTION INCENTIVE PLAN</w:t>
      </w:r>
    </w:p>
    <w:p>
      <w:pPr>
        <w:spacing w:after="0" w:line="182"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Amended and Restated Effective as of August 26, 2022</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 OF PLAN</w:t>
      </w:r>
    </w:p>
    <w:p>
      <w:pPr>
        <w:spacing w:after="0" w:line="182"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This Westrock Coffee Company 2020 Stock Option Incentive Plan (this “</w:t>
      </w:r>
      <w:r>
        <w:rPr>
          <w:rFonts w:ascii="Arial" w:cs="Arial" w:eastAsia="Arial" w:hAnsi="Arial"/>
          <w:sz w:val="19"/>
          <w:szCs w:val="19"/>
          <w:b w:val="1"/>
          <w:bCs w:val="1"/>
          <w:color w:val="auto"/>
        </w:rPr>
        <w:t>Plan</w:t>
      </w:r>
      <w:r>
        <w:rPr>
          <w:rFonts w:ascii="Arial" w:cs="Arial" w:eastAsia="Arial" w:hAnsi="Arial"/>
          <w:sz w:val="19"/>
          <w:szCs w:val="19"/>
          <w:color w:val="auto"/>
        </w:rPr>
        <w:t>”), as amended and restated, effective as of August 26, 2022 in order to reflect the conversion of Westrock Coffee Holdings, LLC into Westrock Coffee Company, is designed to (a) promote the long-term financial interests and growth of Westrock Coffee Company,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its Affiliates by attracting and retaining management and other personnel with the training, experience and ability to enable them to make a substantial contribution to the success of the Company; (b) motivate management personnel by means of growth-related incentives to achieve long-range goals; and (c) further the alignment of interests of Participants with those of the shareholders of the Company and the direct and indirect shareholders of the Company through opportunities for increased equity, or equity-based ownership, in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Plan, the following words shall have the following meanings:</w:t>
      </w:r>
    </w:p>
    <w:p>
      <w:pPr>
        <w:spacing w:after="0" w:line="200"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(a) in the case of a Person (other than an individual), another Person that, directly, or indirectly through one or more intermediaries, controls, is controlled by or is under common control with such Person, and (b) in the case of an individual, (i) any member of the immediate family of such individual, including parents, siblings, spouse and children (including those by adoption) and any other Person who lives in such individual’s household; the parents, siblings, spouse and children (including those by adoption) of such immediate family member and in any such case any trust whose primary beneficiary is such individual or one or more members of such individual’s immediate family and/or lineal descendants; (ii) the legal representative or guardian of such individual or of any such immediate family member if such individual or any such immediate family member becomes mentally incompetent; and (iii) any Person controlling, controlled by or under common control with such individual. Notwithstanding the foregoing, with respect to any financial sponsor, the term “Affiliate” shall not include any an operating portfolio company of such financial sponsor.</w:t>
      </w:r>
    </w:p>
    <w:p>
      <w:pPr>
        <w:spacing w:after="0" w:line="155"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Exchange</w:t>
      </w:r>
      <w:r>
        <w:rPr>
          <w:rFonts w:ascii="Arial" w:cs="Arial" w:eastAsia="Arial" w:hAnsi="Arial"/>
          <w:sz w:val="22"/>
          <w:szCs w:val="22"/>
          <w:color w:val="auto"/>
        </w:rPr>
        <w:t>” means the NASDAQ or such other securities exchange as may at the applicable time be the principal market for the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a nonqualified option to purchase Shares granted pursuant to this Plan.</w:t>
      </w:r>
    </w:p>
    <w:p>
      <w:pPr>
        <w:spacing w:after="0" w:line="206" w:lineRule="exact"/>
        <w:rPr>
          <w:sz w:val="20"/>
          <w:szCs w:val="20"/>
          <w:color w:val="auto"/>
        </w:rPr>
      </w:pPr>
    </w:p>
    <w:p>
      <w:pPr>
        <w:ind w:right="2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Agreement</w:t>
      </w:r>
      <w:r>
        <w:rPr>
          <w:rFonts w:ascii="Arial" w:cs="Arial" w:eastAsia="Arial" w:hAnsi="Arial"/>
          <w:sz w:val="22"/>
          <w:szCs w:val="22"/>
          <w:color w:val="auto"/>
        </w:rPr>
        <w:t>” means a written agreement between the Company and a Participant that sets forth the terms, conditions and limitations applicable to an Award.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799465</wp:posOffset>
            </wp:positionV>
            <wp:extent cx="629221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49" w:name="page450"/>
    <w:bookmarkEnd w:id="449"/>
    <w:p>
      <w:pPr>
        <w:ind w:right="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has the meaning set forth in the employment agreement between Participant and the Company or one of its Affiliates or, if Participant does not have an employment agreement, (a) Participant’s willful failure to substantially perform Participant’s duties; (b) any act of fraud, misappropriation, dishonesty, malfeasance or embezzlement by Participant in connection with the performance of Participant’s duties to the Company and its Affiliates; (c) Participant’s material violation of any policies of the Company or its Affiliates or any restrictive covenants applicable to Participant; or (d) Participant’s conviction of, or entering a plea of nolo contendere to, a felony.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first to occur of the following events:</w:t>
      </w:r>
    </w:p>
    <w:p>
      <w:pPr>
        <w:spacing w:after="0" w:line="212" w:lineRule="exact"/>
        <w:rPr>
          <w:sz w:val="20"/>
          <w:szCs w:val="20"/>
          <w:color w:val="auto"/>
        </w:rPr>
      </w:pPr>
    </w:p>
    <w:p>
      <w:pPr>
        <w:ind w:left="1300" w:hanging="644"/>
        <w:spacing w:after="0"/>
        <w:tabs>
          <w:tab w:leader="none" w:pos="1300" w:val="left"/>
        </w:tabs>
        <w:numPr>
          <w:ilvl w:val="1"/>
          <w:numId w:val="513"/>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w:t>
      </w:r>
    </w:p>
    <w:p>
      <w:pPr>
        <w:spacing w:after="0" w:line="42" w:lineRule="exact"/>
        <w:rPr>
          <w:rFonts w:ascii="Arial" w:cs="Arial" w:eastAsia="Arial" w:hAnsi="Arial"/>
          <w:sz w:val="19"/>
          <w:szCs w:val="19"/>
          <w:color w:val="auto"/>
        </w:rPr>
      </w:pPr>
    </w:p>
    <w:p>
      <w:pPr>
        <w:ind w:right="80" w:firstLine="8"/>
        <w:spacing w:after="0" w:line="233" w:lineRule="auto"/>
        <w:tabs>
          <w:tab w:leader="none" w:pos="306" w:val="left"/>
        </w:tabs>
        <w:numPr>
          <w:ilvl w:val="0"/>
          <w:numId w:val="514"/>
        </w:numPr>
        <w:rPr>
          <w:rFonts w:ascii="Arial" w:cs="Arial" w:eastAsia="Arial" w:hAnsi="Arial"/>
          <w:sz w:val="22"/>
          <w:szCs w:val="22"/>
          <w:color w:val="auto"/>
        </w:rPr>
      </w:pPr>
      <w:r>
        <w:rPr>
          <w:rFonts w:ascii="Arial" w:cs="Arial" w:eastAsia="Arial" w:hAnsi="Arial"/>
          <w:sz w:val="22"/>
          <w:szCs w:val="22"/>
          <w:color w:val="auto"/>
        </w:rPr>
        <w:t>of the Exchange Act of beneficial ownership (within the meaning of Rule 13d-3 promulgated under the Exchange Act) of more than fifty percent (50%), indirectly or directly, of the voting power of the Company, other than any acquisition by (i) an Affiliate of the Company immediately prior to such acquisition, (ii) an employee benefit plan (or related trust) sponsored or maintained by the Company or any of its Affiliates or (iii) Westrock Group and its Affiliates; or</w:t>
      </w:r>
    </w:p>
    <w:p>
      <w:pPr>
        <w:spacing w:after="0" w:line="185" w:lineRule="exact"/>
        <w:rPr>
          <w:rFonts w:ascii="Arial" w:cs="Arial" w:eastAsia="Arial" w:hAnsi="Arial"/>
          <w:sz w:val="22"/>
          <w:szCs w:val="22"/>
          <w:color w:val="auto"/>
        </w:rPr>
      </w:pPr>
    </w:p>
    <w:p>
      <w:pPr>
        <w:ind w:firstLine="656"/>
        <w:spacing w:after="0" w:line="273" w:lineRule="auto"/>
        <w:tabs>
          <w:tab w:leader="none" w:pos="1296" w:val="left"/>
        </w:tabs>
        <w:numPr>
          <w:ilvl w:val="1"/>
          <w:numId w:val="514"/>
        </w:numPr>
        <w:rPr>
          <w:rFonts w:ascii="Arial" w:cs="Arial" w:eastAsia="Arial" w:hAnsi="Arial"/>
          <w:sz w:val="19"/>
          <w:szCs w:val="19"/>
          <w:color w:val="auto"/>
        </w:rPr>
      </w:pPr>
      <w:r>
        <w:rPr>
          <w:rFonts w:ascii="Arial" w:cs="Arial" w:eastAsia="Arial" w:hAnsi="Arial"/>
          <w:sz w:val="19"/>
          <w:szCs w:val="19"/>
          <w:color w:val="auto"/>
        </w:rPr>
        <w:t>The consummation of an amalgamation, a merger, consolidation, recapitalization or similar business combination transaction of the Company or any direct or indirect Subsidiary thereof with any other entity (other than an entity controlled by (i) an Affiliate of the Company immediately prior to such transaction or</w:t>
      </w:r>
    </w:p>
    <w:p>
      <w:pPr>
        <w:spacing w:after="0" w:line="1" w:lineRule="exact"/>
        <w:rPr>
          <w:rFonts w:ascii="Arial" w:cs="Arial" w:eastAsia="Arial" w:hAnsi="Arial"/>
          <w:sz w:val="19"/>
          <w:szCs w:val="19"/>
          <w:color w:val="auto"/>
        </w:rPr>
      </w:pPr>
    </w:p>
    <w:p>
      <w:pPr>
        <w:ind w:right="20"/>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(ii) Westrock Group and its Affiliates) or a sale or other disposition of all or substantially all of the assets of the Company to any other person or entity (other than (i) an Affiliate of the Company immediately prior to such transaction or (ii) Westrock Group and its Affiliates), following which the voting securities of the Company that are outstanding immediately prior to such transaction cease to represent (either by remaining outstanding or by being converted into voting securities of the surviving entity (or the person or entity that owns substantially all of the Company’s assets either directly or through one or more subsidiaries) or any parent or other Affiliate thereof) at least fifty percent (50%) of the combined voting power of the securities of the Company or, if the Company is not the surviving entity, such surviving entity (or the person or entity that owns substantially all of the Company’s assets either directly or through one or more subsidiaries) or any parent or other Affiliate thereof, outstanding immediately after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 transaction contemplated by clause (a) or (b) above shall only qualify as a Change in Control if, as of or in connection therewith, Westrock Group and its Affiliates have disposed of more than 50% of their investment in the Company for cash proceeds or marketable securities.</w:t>
      </w:r>
    </w:p>
    <w:p>
      <w:pPr>
        <w:spacing w:after="0" w:line="158" w:lineRule="exact"/>
        <w:rPr>
          <w:sz w:val="20"/>
          <w:szCs w:val="20"/>
          <w:color w:val="auto"/>
        </w:rPr>
      </w:pPr>
    </w:p>
    <w:p>
      <w:pPr>
        <w:ind w:right="30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450" w:name="page451"/>
    <w:bookmarkEnd w:id="450"/>
    <w:p>
      <w:pPr>
        <w:ind w:right="4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xml:space="preserve">” means the committee described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if a committee has not been appointed by the Board, the Board shall be deemed to be the Committee for purposes of this Plan) or the Board, if it acts in lieu of the Committee.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common stock, $0.01 par value per share, of the Company.</w:t>
      </w:r>
    </w:p>
    <w:p>
      <w:pPr>
        <w:spacing w:after="0" w:line="20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from time to time, and the rules and regulations promulgated pursuant thereto.</w:t>
      </w:r>
    </w:p>
    <w:p>
      <w:pPr>
        <w:spacing w:after="0" w:line="162"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except as otherwise determined by the Committee, the closing price of a Share on the Applicable Exchange on the date of measurement or, if Shares were not traded on the Applicable Exchange on such measurement date, then on the immediately preceding date on which Shares were traded on the Applicable Exchange, as reported by such source as the Committee may select. If there is no regular public trading market for Shares, the Fair Market Value of a Share shall be determined by the Committee in good faith and, to the extent applicable, such determination shall be made in a manner that satisfies Sections 409A and 422(c)(1) of the Code.</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 employee, director, consultant or other service provider of the Company or any of its Affiliates who is selected by the Committee to participate in this Plan.</w:t>
      </w:r>
    </w:p>
    <w:p>
      <w:pPr>
        <w:spacing w:after="0" w:line="162" w:lineRule="exact"/>
        <w:rPr>
          <w:sz w:val="20"/>
          <w:szCs w:val="20"/>
          <w:color w:val="auto"/>
        </w:rPr>
      </w:pPr>
    </w:p>
    <w:p>
      <w:pPr>
        <w:ind w:right="160"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be construed broadly and includes, without limitation, an individual, a partnership, a limited liability company, a corporation, an association, a joint stock company, a trust, a joint venture, an unincorporated organization or a governmental entity or any department, agency or political subdivision thereof.</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w:t>
      </w:r>
      <w:r>
        <w:rPr>
          <w:rFonts w:ascii="Arial" w:cs="Arial" w:eastAsia="Arial" w:hAnsi="Arial"/>
          <w:sz w:val="22"/>
          <w:szCs w:val="22"/>
          <w:color w:val="auto"/>
        </w:rPr>
        <w:t>” means a share of Common Stock.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Westrock Group</w:t>
      </w:r>
      <w:r>
        <w:rPr>
          <w:rFonts w:ascii="Arial" w:cs="Arial" w:eastAsia="Arial" w:hAnsi="Arial"/>
          <w:sz w:val="22"/>
          <w:szCs w:val="22"/>
          <w:color w:val="auto"/>
        </w:rPr>
        <w:t>” shall mean Westrock Group, LLC.</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ADMINISTRATION</w:t>
      </w:r>
    </w:p>
    <w:p>
      <w:pPr>
        <w:spacing w:after="0" w:line="182" w:lineRule="exact"/>
        <w:rPr>
          <w:sz w:val="20"/>
          <w:szCs w:val="20"/>
          <w:color w:val="auto"/>
        </w:rPr>
      </w:pPr>
    </w:p>
    <w:p>
      <w:pPr>
        <w:ind w:right="20" w:firstLine="648"/>
        <w:spacing w:after="0" w:line="251"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u w:val="single" w:color="auto"/>
          <w:color w:val="auto"/>
        </w:rPr>
        <w:t>Generally</w:t>
      </w:r>
      <w:r>
        <w:rPr>
          <w:rFonts w:ascii="Arial" w:cs="Arial" w:eastAsia="Arial" w:hAnsi="Arial"/>
          <w:sz w:val="21"/>
          <w:szCs w:val="21"/>
          <w:color w:val="auto"/>
        </w:rPr>
        <w:t>. This Plan shall be administered by the Board or, if the Board shall so determine, by a Committee consisting of one or more members of the Board. The members of the Committee shall be selected by the Board. If, for any reason, a member of the Committee shall cease to serve, the vacancy shall be filled by the Board. During any period of time in which this Plan is administered by the Board, all references in this Plan or any Award Agreement to the Committee shall be deemed to refer to the Board.</w:t>
      </w:r>
    </w:p>
    <w:p>
      <w:pPr>
        <w:spacing w:after="0" w:line="168"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u w:val="single" w:color="auto"/>
          <w:color w:val="auto"/>
        </w:rPr>
        <w:t>Power of the Committee</w:t>
      </w:r>
      <w:r>
        <w:rPr>
          <w:rFonts w:ascii="Arial" w:cs="Arial" w:eastAsia="Arial" w:hAnsi="Arial"/>
          <w:sz w:val="19"/>
          <w:szCs w:val="19"/>
          <w:color w:val="auto"/>
        </w:rPr>
        <w:t>. Except as otherwise provided in an Award Agreement, the Committee shall have full power and authority to administer and interpret this Plan, Awards granted under this Plan and each Award Agreement, including, without limitation, the power to take the following actions: (a) exercise all of the powers granted to it under this Plan; (b) construe, interpret and implement this Plan and any Award Agreement;</w:t>
      </w:r>
    </w:p>
    <w:p>
      <w:pPr>
        <w:spacing w:after="0" w:line="2" w:lineRule="exact"/>
        <w:rPr>
          <w:sz w:val="20"/>
          <w:szCs w:val="20"/>
          <w:color w:val="auto"/>
        </w:rPr>
      </w:pPr>
    </w:p>
    <w:p>
      <w:pPr>
        <w:ind w:right="100" w:firstLine="8"/>
        <w:spacing w:after="0" w:line="248" w:lineRule="auto"/>
        <w:tabs>
          <w:tab w:leader="none" w:pos="294" w:val="left"/>
        </w:tabs>
        <w:numPr>
          <w:ilvl w:val="0"/>
          <w:numId w:val="515"/>
        </w:numPr>
        <w:rPr>
          <w:rFonts w:ascii="Arial" w:cs="Arial" w:eastAsia="Arial" w:hAnsi="Arial"/>
          <w:sz w:val="21"/>
          <w:szCs w:val="21"/>
          <w:color w:val="auto"/>
        </w:rPr>
      </w:pPr>
      <w:r>
        <w:rPr>
          <w:rFonts w:ascii="Arial" w:cs="Arial" w:eastAsia="Arial" w:hAnsi="Arial"/>
          <w:sz w:val="21"/>
          <w:szCs w:val="21"/>
          <w:color w:val="auto"/>
        </w:rPr>
        <w:t>prescribe, amend and rescind rules and regulations relating to this Plan, including rules governing its own operations; (d) make all determinations necessary or advisable in administering this Plan, Awards and any Award Agreements; (e) correct any defect, supply any omission and reconcile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1" w:right="1039" w:bottom="1440" w:gutter="0" w:footer="0" w:header="0"/>
        </w:sectPr>
      </w:pPr>
    </w:p>
    <w:bookmarkStart w:id="451" w:name="page452"/>
    <w:bookmarkEnd w:id="451"/>
    <w:p>
      <w:pPr>
        <w:ind w:right="40"/>
        <w:spacing w:after="0" w:line="274" w:lineRule="auto"/>
        <w:rPr>
          <w:sz w:val="20"/>
          <w:szCs w:val="20"/>
          <w:color w:val="auto"/>
        </w:rPr>
      </w:pPr>
      <w:r>
        <w:rPr>
          <w:rFonts w:ascii="Arial" w:cs="Arial" w:eastAsia="Arial" w:hAnsi="Arial"/>
          <w:sz w:val="19"/>
          <w:szCs w:val="19"/>
          <w:color w:val="auto"/>
        </w:rPr>
        <w:t xml:space="preserve">any inconsistency in this Plan, Awards or any Award Agreement; (f) amend this Plan, Awards and any Award Agreement to reflect changes in applicable law or, without the consent of the Participants, make any other amendment not adverse to the Participants; (g) determine from among those Persons determined to be eligible for this Plan, the particular Persons who will be Participants; (h) grant Awards under this Plan and determine the terms and conditions of such Awards, consistent with the express limitations of this Plan; (i) delegate such powers and authority to such Persons as it deems appropriate;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delegation is consistent with applicable law and any guidelines as may be established by the Committee from time to time; and (j) waive any forfeiture, vesting or other conditions under any Awards. The determination of the Committee on all matters relating to this Plan, any Award Agreement or any Awards shall be final, binding and conclusive upon all Persons.</w:t>
      </w:r>
    </w:p>
    <w:p>
      <w:pPr>
        <w:spacing w:after="0" w:line="152"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b w:val="1"/>
          <w:bCs w:val="1"/>
          <w:u w:val="single" w:color="auto"/>
          <w:color w:val="auto"/>
        </w:rPr>
        <w:t>Professional Assistance; Committee Actions</w:t>
      </w:r>
      <w:r>
        <w:rPr>
          <w:rFonts w:ascii="Arial" w:cs="Arial" w:eastAsia="Arial" w:hAnsi="Arial"/>
          <w:sz w:val="21"/>
          <w:szCs w:val="21"/>
          <w:color w:val="auto"/>
        </w:rPr>
        <w:t>. The Committee may employ counsel, consultants, accountants, appraisers, brokers or other Persons at the expense of the Company. The Board, Committee, the Company, and the officers of the Company shall be entitled to rely upon the advice, opinions or valuations of any such Persons. Except as otherwise provided in an Award Agreement,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this Plan or the Awards, and all members of the Committee shall be fully protected by the Company with respect to any such action, determination or interpretation.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AWARDS</w:t>
      </w:r>
    </w:p>
    <w:p>
      <w:pPr>
        <w:spacing w:after="0" w:line="182" w:lineRule="exact"/>
        <w:rPr>
          <w:sz w:val="20"/>
          <w:szCs w:val="20"/>
          <w:color w:val="auto"/>
        </w:rPr>
      </w:pPr>
    </w:p>
    <w:p>
      <w:pPr>
        <w:ind w:right="80" w:firstLine="648"/>
        <w:spacing w:after="0" w:line="280" w:lineRule="auto"/>
        <w:rPr>
          <w:sz w:val="20"/>
          <w:szCs w:val="20"/>
          <w:color w:val="auto"/>
        </w:rPr>
      </w:pPr>
      <w:r>
        <w:rPr>
          <w:rFonts w:ascii="Arial" w:cs="Arial" w:eastAsia="Arial" w:hAnsi="Arial"/>
          <w:sz w:val="19"/>
          <w:szCs w:val="19"/>
          <w:b w:val="1"/>
          <w:bCs w:val="1"/>
          <w:u w:val="single" w:color="auto"/>
          <w:color w:val="auto"/>
        </w:rPr>
        <w:t>Grant of Awards</w:t>
      </w:r>
      <w:r>
        <w:rPr>
          <w:rFonts w:ascii="Arial" w:cs="Arial" w:eastAsia="Arial" w:hAnsi="Arial"/>
          <w:sz w:val="19"/>
          <w:szCs w:val="19"/>
          <w:color w:val="auto"/>
        </w:rPr>
        <w:t>. From time to time, the Committee will determine the amounts, terms, conditions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limitations of Awards, consistent with the terms of this Plan. The amount, terms, conditions and limitations of each Award under this Plan shall be set forth in an Award Agreement, in a form approved by the Committee. Unless otherwise agreed by the Committee or provided in any Award Agreement, the Participant shall pay any taxes due in respect of any Award in cash. Notwithstanding the foregoing, from and after the effective date of the Westrock Coffee Company 2022 Equity Incentive Plan, no new Awards shall be granted under this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SUBJECT TO THIS PLAN; LIMITATIONS AND CONDITIONS</w:t>
      </w:r>
    </w:p>
    <w:p>
      <w:pPr>
        <w:spacing w:after="0" w:line="182" w:lineRule="exact"/>
        <w:rPr>
          <w:sz w:val="20"/>
          <w:szCs w:val="20"/>
          <w:color w:val="auto"/>
        </w:rPr>
      </w:pPr>
    </w:p>
    <w:p>
      <w:pPr>
        <w:ind w:right="380" w:firstLine="648"/>
        <w:spacing w:after="0" w:line="237"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u w:val="single" w:color="auto"/>
          <w:color w:val="auto"/>
        </w:rPr>
        <w:t>Shares Available for Awards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Article VII</w:t>
      </w:r>
      <w:r>
        <w:rPr>
          <w:rFonts w:ascii="Arial" w:cs="Arial" w:eastAsia="Arial" w:hAnsi="Arial"/>
          <w:sz w:val="22"/>
          <w:szCs w:val="22"/>
          <w:color w:val="auto"/>
        </w:rPr>
        <w:t>, 3,390,992</w:t>
      </w:r>
      <w:r>
        <w:rPr>
          <w:rFonts w:ascii="Arial" w:cs="Arial" w:eastAsia="Arial" w:hAnsi="Arial"/>
          <w:sz w:val="16"/>
          <w:szCs w:val="16"/>
          <w:color w:val="auto"/>
        </w:rPr>
        <w:t>1</w:t>
      </w:r>
      <w:r>
        <w:rPr>
          <w:rFonts w:ascii="Arial" w:cs="Arial" w:eastAsia="Arial" w:hAnsi="Arial"/>
          <w:sz w:val="22"/>
          <w:szCs w:val="22"/>
          <w:color w:val="auto"/>
        </w:rPr>
        <w:t xml:space="preserve"> Shares shall be available for Awards under this Plan. Unless restricted by applicable law, Shares related to Awards that are forfeited, repurchased, terminated, or canceled shall immediately become available for new Awards;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Shares withheld in payment of the exercise price or taxes in respect of any Award shall not become available for new Awards.</w:t>
      </w:r>
    </w:p>
    <w:p>
      <w:pPr>
        <w:spacing w:after="0" w:line="182" w:lineRule="exact"/>
        <w:rPr>
          <w:sz w:val="20"/>
          <w:szCs w:val="20"/>
          <w:color w:val="auto"/>
        </w:rPr>
      </w:pPr>
    </w:p>
    <w:p>
      <w:pPr>
        <w:ind w:right="480" w:firstLine="648"/>
        <w:spacing w:after="0" w:line="25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Terms of Awards</w:t>
      </w:r>
      <w:r>
        <w:rPr>
          <w:rFonts w:ascii="Arial" w:cs="Arial" w:eastAsia="Arial" w:hAnsi="Arial"/>
          <w:sz w:val="22"/>
          <w:szCs w:val="22"/>
          <w:color w:val="auto"/>
        </w:rPr>
        <w:t>. At the time an Award is made or amended or the terms or conditions of an Award are changed in accordance with the terms of this Plan or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206375</wp:posOffset>
            </wp:positionV>
            <wp:extent cx="156845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9" w:lineRule="exact"/>
        <w:rPr>
          <w:sz w:val="20"/>
          <w:szCs w:val="20"/>
          <w:color w:val="auto"/>
        </w:rPr>
      </w:pPr>
    </w:p>
    <w:p>
      <w:pPr>
        <w:ind w:right="200" w:firstLine="8"/>
        <w:spacing w:after="0" w:line="280" w:lineRule="auto"/>
        <w:tabs>
          <w:tab w:leader="none" w:pos="135" w:val="left"/>
        </w:tabs>
        <w:numPr>
          <w:ilvl w:val="0"/>
          <w:numId w:val="516"/>
        </w:numPr>
        <w:rPr>
          <w:rFonts w:ascii="Arial" w:cs="Arial" w:eastAsia="Arial" w:hAnsi="Arial"/>
          <w:sz w:val="15"/>
          <w:szCs w:val="15"/>
          <w:b w:val="1"/>
          <w:bCs w:val="1"/>
          <w:color w:val="auto"/>
        </w:rPr>
      </w:pPr>
      <w:r>
        <w:rPr>
          <w:rFonts w:ascii="Arial" w:cs="Arial" w:eastAsia="Arial" w:hAnsi="Arial"/>
          <w:sz w:val="21"/>
          <w:szCs w:val="21"/>
          <w:b w:val="1"/>
          <w:bCs w:val="1"/>
          <w:u w:val="single" w:color="auto"/>
          <w:color w:val="auto"/>
        </w:rPr>
        <w:t>Note to Draft</w:t>
      </w:r>
      <w:r>
        <w:rPr>
          <w:rFonts w:ascii="Arial" w:cs="Arial" w:eastAsia="Arial" w:hAnsi="Arial"/>
          <w:sz w:val="21"/>
          <w:szCs w:val="21"/>
          <w:color w:val="auto"/>
        </w:rPr>
        <w:t>: Based on the understanding that there will be no new awards granted under this Plan post-IPO,</w:t>
      </w:r>
      <w:r>
        <w:rPr>
          <w:rFonts w:ascii="Arial" w:cs="Arial" w:eastAsia="Arial" w:hAnsi="Arial"/>
          <w:sz w:val="21"/>
          <w:szCs w:val="21"/>
          <w:b w:val="1"/>
          <w:bCs w:val="1"/>
          <w:color w:val="auto"/>
        </w:rPr>
        <w:t xml:space="preserve"> </w:t>
      </w:r>
      <w:r>
        <w:rPr>
          <w:rFonts w:ascii="Arial" w:cs="Arial" w:eastAsia="Arial" w:hAnsi="Arial"/>
          <w:sz w:val="21"/>
          <w:szCs w:val="21"/>
          <w:color w:val="auto"/>
        </w:rPr>
        <w:t>share pool matches the shares subject to the rollover options (based on Blake’s data).</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52" w:name="page453"/>
    <w:bookmarkEnd w:id="452"/>
    <w:p>
      <w:pPr>
        <w:spacing w:after="0"/>
        <w:rPr>
          <w:sz w:val="20"/>
          <w:szCs w:val="20"/>
          <w:color w:val="auto"/>
        </w:rPr>
      </w:pPr>
      <w:r>
        <w:rPr>
          <w:rFonts w:ascii="Arial" w:cs="Arial" w:eastAsia="Arial" w:hAnsi="Arial"/>
          <w:sz w:val="19"/>
          <w:szCs w:val="19"/>
          <w:color w:val="auto"/>
        </w:rPr>
        <w:t>Agreement, the Committee may provide for limitations or conditions on such Award in accordance with this Plan.</w:t>
      </w:r>
    </w:p>
    <w:p>
      <w:pPr>
        <w:spacing w:after="0" w:line="235" w:lineRule="exact"/>
        <w:rPr>
          <w:sz w:val="20"/>
          <w:szCs w:val="20"/>
          <w:color w:val="auto"/>
        </w:rPr>
      </w:pPr>
    </w:p>
    <w:p>
      <w:pPr>
        <w:jc w:val="both"/>
        <w:ind w:right="60" w:firstLine="648"/>
        <w:spacing w:after="0" w:line="24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b w:val="1"/>
          <w:bCs w:val="1"/>
          <w:u w:val="single" w:color="auto"/>
          <w:color w:val="auto"/>
        </w:rPr>
        <w:t>Transfer Restrictions</w:t>
      </w:r>
      <w:r>
        <w:rPr>
          <w:rFonts w:ascii="Arial" w:cs="Arial" w:eastAsia="Arial" w:hAnsi="Arial"/>
          <w:sz w:val="21"/>
          <w:szCs w:val="21"/>
          <w:color w:val="auto"/>
        </w:rPr>
        <w:t>. Other than as specifically provided in the Award Agreement to be entered into by and between the Company and a given Participant, no Award or benefit under this Plan shall be subject in any manner to anticipation, alienation, sale, transfer, assignment, pledge, encumbrance or charge, and any attempt to do so shall be void. Unless otherwise determined by the Committee and other than as specifically provided in the Award Agreement, an Award shall not be transferable or assignable by the Participant other than by will or by the laws of descent and distribution.</w:t>
      </w:r>
    </w:p>
    <w:p>
      <w:pPr>
        <w:spacing w:after="0" w:line="171"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u w:val="single" w:color="auto"/>
          <w:color w:val="auto"/>
        </w:rPr>
        <w:t>Rights as Shareholders</w:t>
      </w:r>
      <w:r>
        <w:rPr>
          <w:rFonts w:ascii="Arial" w:cs="Arial" w:eastAsia="Arial" w:hAnsi="Arial"/>
          <w:sz w:val="22"/>
          <w:szCs w:val="22"/>
          <w:color w:val="auto"/>
        </w:rPr>
        <w:t>. Other than as specifically provided in the Award Agreement, Participants shall not be, and shall not have any of the rights or privileges of, shareholders of the Company in respect of any Awards settled, convertible or exchangeable into Shares, unless and until book entry representing such Shares has been made.</w:t>
      </w:r>
    </w:p>
    <w:p>
      <w:pPr>
        <w:spacing w:after="0" w:line="180" w:lineRule="exact"/>
        <w:rPr>
          <w:sz w:val="20"/>
          <w:szCs w:val="20"/>
          <w:color w:val="auto"/>
        </w:rPr>
      </w:pPr>
    </w:p>
    <w:p>
      <w:pPr>
        <w:ind w:right="60" w:firstLine="648"/>
        <w:spacing w:after="0" w:line="283"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b w:val="1"/>
          <w:bCs w:val="1"/>
          <w:u w:val="single" w:color="auto"/>
          <w:color w:val="auto"/>
        </w:rPr>
        <w:t>Coordination with Other Benefit Plans</w:t>
      </w:r>
      <w:r>
        <w:rPr>
          <w:rFonts w:ascii="Arial" w:cs="Arial" w:eastAsia="Arial" w:hAnsi="Arial"/>
          <w:sz w:val="19"/>
          <w:szCs w:val="19"/>
          <w:color w:val="auto"/>
        </w:rPr>
        <w:t>. Absent express provisions to the contrary in the applicable retirement, severance or other benefit plan or arrangement, no Award under this Plan (a) shall be deemed compensation for purposes of computing benefits or contributions under any retirement or severance plan of the Company or its Affiliates or (b) shall affect any benefits under any other benefit plan of any kind now or subsequently in effect under which the availability or amount of benefits is related to level of compensation.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TRANSFERS AND LEAVES OF ABSENCE</w:t>
      </w:r>
    </w:p>
    <w:p>
      <w:pPr>
        <w:spacing w:after="0" w:line="188"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For purposes of this Plan, unless the Committee determines otherwise: (a) a transfer of a Participant’s service without an intervening period of separation among the Company and any of its Affiliates shall not be deemed a termination of service; and (b) a Participant who is awarded in writing a leave of absence or who is entitled to a statutory leave of absence shall be deemed to have remained in the service of the Company (and any of its Affiliates) during such leave of absence.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ADJUSTMENTS FOR CHANGES IN CAPITALIZATION AND REORGANIZATION EVENTS</w:t>
      </w:r>
    </w:p>
    <w:p>
      <w:pPr>
        <w:spacing w:after="0" w:line="18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u w:val="single" w:color="auto"/>
          <w:color w:val="auto"/>
        </w:rPr>
        <w:t>Share Change</w:t>
      </w:r>
      <w:r>
        <w:rPr>
          <w:rFonts w:ascii="Arial" w:cs="Arial" w:eastAsia="Arial" w:hAnsi="Arial"/>
          <w:sz w:val="19"/>
          <w:szCs w:val="19"/>
          <w:color w:val="auto"/>
        </w:rPr>
        <w:t>. In the event of an equity dividend, equity split, reverse equity split, separation, spinoff, reorganization, extraordinary dividend of cash or other property, equity combination, or recapitalization or similar event affecting the capital structure of the Company (each, a “</w:t>
      </w:r>
      <w:r>
        <w:rPr>
          <w:rFonts w:ascii="Arial" w:cs="Arial" w:eastAsia="Arial" w:hAnsi="Arial"/>
          <w:sz w:val="19"/>
          <w:szCs w:val="19"/>
          <w:b w:val="1"/>
          <w:bCs w:val="1"/>
          <w:color w:val="auto"/>
        </w:rPr>
        <w:t>Share Change</w:t>
      </w:r>
      <w:r>
        <w:rPr>
          <w:rFonts w:ascii="Arial" w:cs="Arial" w:eastAsia="Arial" w:hAnsi="Arial"/>
          <w:sz w:val="19"/>
          <w:szCs w:val="19"/>
          <w:color w:val="auto"/>
        </w:rPr>
        <w:t xml:space="preserve">”), the Committee shall, in such manner and on such terms and conditions as it, in good faith, deems appropriate, adjust any or all of the following: (a) the number and kind of Shares subject to this Plan, as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and available for or covered by Awards, and the exercise price applicable to outstanding Awards; (b) any performance goals governing the vesting of such Awards; and (c) any other provisions of Awards affected by such Share Change as it deems, in good faith, to be equitable or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53" w:name="page454"/>
    <w:bookmarkEnd w:id="453"/>
    <w:p>
      <w:pPr>
        <w:ind w:firstLine="648"/>
        <w:spacing w:after="0" w:line="235"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u w:val="single" w:color="auto"/>
          <w:color w:val="auto"/>
        </w:rPr>
        <w:t>Reorganization Event</w:t>
      </w:r>
      <w:r>
        <w:rPr>
          <w:rFonts w:ascii="Arial" w:cs="Arial" w:eastAsia="Arial" w:hAnsi="Arial"/>
          <w:sz w:val="22"/>
          <w:szCs w:val="22"/>
          <w:color w:val="auto"/>
        </w:rPr>
        <w:t>. In the event of a merger, consolidation, acquisition of property or shares, Share rights offering, liquidation, disaffiliation (other than a spinoff) (including, but not limited to, a Change in Control) or similar transaction or event (each, a “</w:t>
      </w:r>
      <w:r>
        <w:rPr>
          <w:rFonts w:ascii="Arial" w:cs="Arial" w:eastAsia="Arial" w:hAnsi="Arial"/>
          <w:sz w:val="22"/>
          <w:szCs w:val="22"/>
          <w:b w:val="1"/>
          <w:bCs w:val="1"/>
          <w:color w:val="auto"/>
        </w:rPr>
        <w:t>Reorganization Event</w:t>
      </w:r>
      <w:r>
        <w:rPr>
          <w:rFonts w:ascii="Arial" w:cs="Arial" w:eastAsia="Arial" w:hAnsi="Arial"/>
          <w:sz w:val="22"/>
          <w:szCs w:val="22"/>
          <w:color w:val="auto"/>
        </w:rPr>
        <w:t>”), the Committee shall in its discretion and in such manner and on such terms and conditions as it, in good faith, deems appropriate, make such substitutions or adjustments as it deems appropriate and equitable to the outstanding Awards. Without limiting the generality of the foregoing, in the event of a Reorganization Event the Committee may take any one or more of the following actions:</w:t>
      </w:r>
    </w:p>
    <w:p>
      <w:pPr>
        <w:spacing w:after="0" w:line="190" w:lineRule="exact"/>
        <w:rPr>
          <w:sz w:val="20"/>
          <w:szCs w:val="20"/>
          <w:color w:val="auto"/>
        </w:rPr>
      </w:pPr>
    </w:p>
    <w:p>
      <w:pPr>
        <w:ind w:firstLine="1304"/>
        <w:spacing w:after="0" w:line="274" w:lineRule="auto"/>
        <w:tabs>
          <w:tab w:leader="none" w:pos="1944" w:val="left"/>
        </w:tabs>
        <w:numPr>
          <w:ilvl w:val="0"/>
          <w:numId w:val="517"/>
        </w:numPr>
        <w:rPr>
          <w:rFonts w:ascii="Arial" w:cs="Arial" w:eastAsia="Arial" w:hAnsi="Arial"/>
          <w:sz w:val="19"/>
          <w:szCs w:val="19"/>
          <w:color w:val="auto"/>
        </w:rPr>
      </w:pPr>
      <w:r>
        <w:rPr>
          <w:rFonts w:ascii="Arial" w:cs="Arial" w:eastAsia="Arial" w:hAnsi="Arial"/>
          <w:sz w:val="19"/>
          <w:szCs w:val="19"/>
          <w:color w:val="auto"/>
        </w:rPr>
        <w:t>the Committee may provide, either by the terms of the agreement governing such transaction or by action taken prior to the occurrence of such transaction or event, for either (i) the cancellation of all or any portion of the outstanding Awards for an amount of cash or other property or a combination thereof having an aggregate value equal to the amount that could have been attained upon the realization of the Participant’s rights had such Award (or portion thereof) been fully vested, as determined by the Committee in its sole discretion, or (ii) the replacement of an Award, whether vested or unvested, with other rights or property, including cash, selected by the Committee in its sole discretion, which replacement award may be subject to vesting or the lapsing of restrictions, as applicable, on terms not substantially less favorable in the aggregate to the affected Participant than the terms of the Award for which such replacement award is substituted;</w:t>
      </w:r>
    </w:p>
    <w:p>
      <w:pPr>
        <w:spacing w:after="0" w:line="158" w:lineRule="exact"/>
        <w:rPr>
          <w:rFonts w:ascii="Arial" w:cs="Arial" w:eastAsia="Arial" w:hAnsi="Arial"/>
          <w:sz w:val="19"/>
          <w:szCs w:val="19"/>
          <w:color w:val="auto"/>
        </w:rPr>
      </w:pPr>
    </w:p>
    <w:p>
      <w:pPr>
        <w:ind w:right="160" w:firstLine="1304"/>
        <w:spacing w:after="0" w:line="248" w:lineRule="auto"/>
        <w:tabs>
          <w:tab w:leader="none" w:pos="1944" w:val="left"/>
        </w:tabs>
        <w:numPr>
          <w:ilvl w:val="0"/>
          <w:numId w:val="517"/>
        </w:numPr>
        <w:rPr>
          <w:rFonts w:ascii="Arial" w:cs="Arial" w:eastAsia="Arial" w:hAnsi="Arial"/>
          <w:sz w:val="21"/>
          <w:szCs w:val="21"/>
          <w:color w:val="auto"/>
        </w:rPr>
      </w:pPr>
      <w:r>
        <w:rPr>
          <w:rFonts w:ascii="Arial" w:cs="Arial" w:eastAsia="Arial" w:hAnsi="Arial"/>
          <w:sz w:val="21"/>
          <w:szCs w:val="21"/>
          <w:color w:val="auto"/>
        </w:rPr>
        <w:t>the Committee may provide, either by the terms of such Award or by action taken prior to the occurrence of such transaction or event, that upon such event, such Award be assumed by the successor or survivor entity, or a parent or subsidiary thereof, or shall be substituted for by similar awards covering the securities of the successor or survivor entity, or a parent or subsidiary thereof, with appropriate adjustments as to the number and kind of securities subject to such Award, the exercise price thereof and any performance goals governing the vesting of such Awards; and</w:t>
      </w:r>
    </w:p>
    <w:p>
      <w:pPr>
        <w:spacing w:after="0" w:line="176" w:lineRule="exact"/>
        <w:rPr>
          <w:rFonts w:ascii="Arial" w:cs="Arial" w:eastAsia="Arial" w:hAnsi="Arial"/>
          <w:sz w:val="21"/>
          <w:szCs w:val="21"/>
          <w:color w:val="auto"/>
        </w:rPr>
      </w:pPr>
    </w:p>
    <w:p>
      <w:pPr>
        <w:ind w:right="60" w:firstLine="1304"/>
        <w:spacing w:after="0" w:line="236" w:lineRule="auto"/>
        <w:tabs>
          <w:tab w:leader="none" w:pos="1944" w:val="left"/>
        </w:tabs>
        <w:numPr>
          <w:ilvl w:val="0"/>
          <w:numId w:val="517"/>
        </w:numPr>
        <w:rPr>
          <w:rFonts w:ascii="Arial" w:cs="Arial" w:eastAsia="Arial" w:hAnsi="Arial"/>
          <w:sz w:val="22"/>
          <w:szCs w:val="22"/>
          <w:color w:val="auto"/>
        </w:rPr>
      </w:pPr>
      <w:r>
        <w:rPr>
          <w:rFonts w:ascii="Arial" w:cs="Arial" w:eastAsia="Arial" w:hAnsi="Arial"/>
          <w:sz w:val="22"/>
          <w:szCs w:val="22"/>
          <w:color w:val="auto"/>
        </w:rPr>
        <w:t>the Committee may make adjustments in the number and type of Shares (or other securities or property) subject to outstanding Awards or in the terms and conditions of (including the exercise price, the repurchase price, the vesting schedule or the performance goals governing the vesting of such Awards), and the criteria included in, outstanding Awards and the related agreements and Awards which may be granted in the future.</w:t>
      </w:r>
    </w:p>
    <w:p>
      <w:pPr>
        <w:spacing w:after="0" w:line="181" w:lineRule="exact"/>
        <w:rPr>
          <w:sz w:val="20"/>
          <w:szCs w:val="20"/>
          <w:color w:val="auto"/>
        </w:rPr>
      </w:pPr>
    </w:p>
    <w:p>
      <w:pPr>
        <w:jc w:val="both"/>
        <w:ind w:right="520" w:firstLine="648"/>
        <w:spacing w:after="0" w:line="243"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u w:val="single" w:color="auto"/>
          <w:color w:val="auto"/>
        </w:rPr>
        <w:t>Fractional Shares</w:t>
      </w:r>
      <w:r>
        <w:rPr>
          <w:rFonts w:ascii="Arial" w:cs="Arial" w:eastAsia="Arial" w:hAnsi="Arial"/>
          <w:sz w:val="22"/>
          <w:szCs w:val="22"/>
          <w:color w:val="auto"/>
        </w:rPr>
        <w:t xml:space="preserve">. Any adjustment provided under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may, in the Committee’s discretion, provide for the cash payment of any fractional Shares that might otherwise become subject to an Award.</w:t>
      </w:r>
    </w:p>
    <w:p>
      <w:pPr>
        <w:spacing w:after="0" w:line="177" w:lineRule="exact"/>
        <w:rPr>
          <w:sz w:val="20"/>
          <w:szCs w:val="20"/>
          <w:color w:val="auto"/>
        </w:rPr>
      </w:pPr>
    </w:p>
    <w:p>
      <w:pPr>
        <w:ind w:right="80" w:firstLine="648"/>
        <w:spacing w:after="0" w:line="239"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b w:val="1"/>
          <w:bCs w:val="1"/>
          <w:u w:val="single" w:color="auto"/>
          <w:color w:val="auto"/>
        </w:rPr>
        <w:t>Other Distributions</w:t>
      </w:r>
      <w:r>
        <w:rPr>
          <w:rFonts w:ascii="Arial" w:cs="Arial" w:eastAsia="Arial" w:hAnsi="Arial"/>
          <w:sz w:val="22"/>
          <w:szCs w:val="22"/>
          <w:color w:val="auto"/>
        </w:rPr>
        <w:t xml:space="preserve">. The Committee may in its discretion also make adjustments of the type described in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to take into account distributions to shareholders or any other event if the Committee determines that adjustments are appropriate to avoid distortions in the operation of this Plan and to preserve the value of Awards made hereunder.</w:t>
      </w:r>
    </w:p>
    <w:p>
      <w:pPr>
        <w:spacing w:after="0" w:line="180" w:lineRule="exact"/>
        <w:rPr>
          <w:sz w:val="20"/>
          <w:szCs w:val="20"/>
          <w:color w:val="auto"/>
        </w:rPr>
      </w:pPr>
    </w:p>
    <w:p>
      <w:pPr>
        <w:ind w:right="480" w:firstLine="648"/>
        <w:spacing w:after="0" w:line="25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u w:val="single" w:color="auto"/>
          <w:color w:val="auto"/>
        </w:rPr>
        <w:t>New Securities</w:t>
      </w:r>
      <w:r>
        <w:rPr>
          <w:rFonts w:ascii="Arial" w:cs="Arial" w:eastAsia="Arial" w:hAnsi="Arial"/>
          <w:sz w:val="22"/>
          <w:szCs w:val="22"/>
          <w:color w:val="auto"/>
        </w:rPr>
        <w:t xml:space="preserve">. References in this Plan to Shares shall be construed to include any securities resulting from any adjustment described in this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454" w:name="page455"/>
    <w:bookmarkEnd w:id="454"/>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AND TERMINATION</w:t>
      </w:r>
    </w:p>
    <w:p>
      <w:pPr>
        <w:spacing w:after="0" w:line="182" w:lineRule="exact"/>
        <w:rPr>
          <w:sz w:val="20"/>
          <w:szCs w:val="20"/>
          <w:color w:val="auto"/>
        </w:rPr>
      </w:pPr>
    </w:p>
    <w:p>
      <w:pPr>
        <w:ind w:right="140" w:firstLine="648"/>
        <w:spacing w:after="0" w:line="239"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u w:val="single" w:color="auto"/>
          <w:color w:val="auto"/>
        </w:rPr>
        <w:t>Awards</w:t>
      </w:r>
      <w:r>
        <w:rPr>
          <w:rFonts w:ascii="Arial" w:cs="Arial" w:eastAsia="Arial" w:hAnsi="Arial"/>
          <w:sz w:val="22"/>
          <w:szCs w:val="22"/>
          <w:color w:val="auto"/>
        </w:rPr>
        <w:t xml:space="preserve">. The Committee shall have the authority to amend outstanding Awards;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action shall modify an Award in a manner adverse to the applicable Participant without the Participant’s consent, except to the extent such modification is provided for or contemplated in the terms of the Award or this Plan (including, for the avoidance of doubt,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0" w:lineRule="exact"/>
        <w:rPr>
          <w:sz w:val="20"/>
          <w:szCs w:val="20"/>
          <w:color w:val="auto"/>
        </w:rPr>
      </w:pPr>
    </w:p>
    <w:p>
      <w:pPr>
        <w:ind w:right="100" w:firstLine="648"/>
        <w:spacing w:after="0" w:line="239"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xml:space="preserve">. The Board may amend, suspend or terminate this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action shall affect an outstanding Award in a manner adverse to the applicable Participant without the Participant’s consent, except to the extent such action is provided for or contemplated in the terms of the Award or this Plan (including, for the avoidance of doubt,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GOVERNING LAW</w:t>
      </w:r>
    </w:p>
    <w:p>
      <w:pPr>
        <w:spacing w:after="0" w:line="182" w:lineRule="exact"/>
        <w:rPr>
          <w:sz w:val="20"/>
          <w:szCs w:val="20"/>
          <w:color w:val="auto"/>
        </w:rPr>
      </w:pPr>
    </w:p>
    <w:p>
      <w:pPr>
        <w:ind w:right="120" w:firstLine="648"/>
        <w:spacing w:after="0" w:line="237"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u w:val="single" w:color="auto"/>
          <w:color w:val="auto"/>
        </w:rPr>
        <w:t>Generally</w:t>
      </w:r>
      <w:r>
        <w:rPr>
          <w:rFonts w:ascii="Arial" w:cs="Arial" w:eastAsia="Arial" w:hAnsi="Arial"/>
          <w:sz w:val="22"/>
          <w:szCs w:val="22"/>
          <w:color w:val="auto"/>
        </w:rPr>
        <w:t>. This Plan, the legal relations between the parties and the adjudication and the enforcement thereof, shall be governed by and interpreted and construed in accordance with the laws of the State of Delaware applicable to agreements made and to be performed entirely within the State of Delaware, without regard to the conflict of law provisions thereof that could result in the application of the laws of any other jurisdiction.</w:t>
      </w:r>
    </w:p>
    <w:p>
      <w:pPr>
        <w:spacing w:after="0" w:line="182"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u w:val="single" w:color="auto"/>
          <w:color w:val="auto"/>
        </w:rPr>
        <w:t>Non-U.S. Participants</w:t>
      </w:r>
      <w:r>
        <w:rPr>
          <w:rFonts w:ascii="Arial" w:cs="Arial" w:eastAsia="Arial" w:hAnsi="Arial"/>
          <w:sz w:val="19"/>
          <w:szCs w:val="19"/>
          <w:color w:val="auto"/>
        </w:rPr>
        <w:t>. The Committee may make Awards to employees, non-employee members of the Board, consultants or other natural Persons having a service relationship with the Company or any of its Affiliates who are subject to the laws of jurisdictions other than those of the United States, which Awards may have terms and conditions that differ from the terms thereof as provided elsewhere in this Plan for the purpose of complying with non-U.S. laws or otherwise as deemed to be necessary or desirable by the Committee.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TAXES</w:t>
      </w:r>
    </w:p>
    <w:p>
      <w:pPr>
        <w:spacing w:after="0" w:line="18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b w:val="1"/>
          <w:bCs w:val="1"/>
          <w:u w:val="single" w:color="auto"/>
          <w:color w:val="auto"/>
        </w:rPr>
        <w:t>Section 409A of the Code</w:t>
      </w:r>
      <w:r>
        <w:rPr>
          <w:rFonts w:ascii="Arial" w:cs="Arial" w:eastAsia="Arial" w:hAnsi="Arial"/>
          <w:sz w:val="19"/>
          <w:szCs w:val="19"/>
          <w:color w:val="auto"/>
        </w:rPr>
        <w:t>. It is intended that all Awards under this Plan and any Award Agreement, either be exempt from or comply with Section 409A of the Code. Any ambiguity in this Plan and any Award Agreement shall be interpreted to comply with Section 409A of the Code. In the case of an Award that constitutes a “nonqualified deferred compensation plan” subject to Section 409A of the Code, with respect to any provision providing for payment in connection with a Participant’s termination of employment, no termination of employment shall be deemed a termination from employment for purposes of such Award unless it is a “separation from service” under Section 409A of the Code. To the extent applicable, as determined in the sole discretion of the Committee with and upon advice of counsel, each amount or benefit payable pursuant to this Plan and any Award Agreement shall be deemed a separate payment for purposes of Section 409A of the Code, and in no event may a Participant, directly or indirectly, designate the calendar year of any payment to be made under this Plan or any Award Agreement. In the event the equity interests of the Company are publicly traded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28" w:right="1039" w:bottom="1440" w:gutter="0" w:footer="0" w:header="0"/>
        </w:sectPr>
      </w:pPr>
    </w:p>
    <w:bookmarkStart w:id="455" w:name="page456"/>
    <w:bookmarkEnd w:id="455"/>
    <w:p>
      <w:pPr>
        <w:spacing w:after="0" w:line="247" w:lineRule="auto"/>
        <w:rPr>
          <w:sz w:val="20"/>
          <w:szCs w:val="20"/>
          <w:color w:val="auto"/>
        </w:rPr>
      </w:pPr>
      <w:r>
        <w:rPr>
          <w:rFonts w:ascii="Arial" w:cs="Arial" w:eastAsia="Arial" w:hAnsi="Arial"/>
          <w:sz w:val="21"/>
          <w:szCs w:val="21"/>
          <w:color w:val="auto"/>
        </w:rPr>
        <w:t>an established securities market or otherwise and the Participant is a “specified employee” (as determined under the Company’s administrative procedure for such determinations, in accordance with Section 409A of the Code) at the time of the Participant’s termination of employment, any payments under this Plan or any Award Agreement that are deemed to be non-qualified deferred compensation subject to Section 409A of the Code and that are payable (whether in cash, Shares or other property) in connection with the Participant’s separation from service shall not be paid or begin payment until the earlier of the Participant’s death and the first day following the six (6)-month anniversary of the Participant’s separation from service.</w:t>
      </w:r>
    </w:p>
    <w:p>
      <w:pPr>
        <w:spacing w:after="0" w:line="1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If the Company or any Affiliate shall be required to withhold any amounts by reason of any federal, state, local or foreign tax rules or regulations in respect of any Award, the Company or any Affiliate shall be entitled to take such action as it deems appropriate in order to ensure compliance with such withholding requirements. The Company or any of its Affiliates shall have the right, at its option, to take the following actions: (a) require the Participant to pay or provide for payment of the amount of any taxes which the Company or any of its Affiliates may be required to withhold with respect to such Award; (b) deduct from any amount otherwise payable in cash (whether related to the Award or otherwise) to the Participant the amount of any taxes which the Company or any of its Affiliates may be required to withhold with respect to such Award; or</w:t>
      </w:r>
    </w:p>
    <w:p>
      <w:pPr>
        <w:spacing w:after="0" w:line="2" w:lineRule="exact"/>
        <w:rPr>
          <w:sz w:val="20"/>
          <w:szCs w:val="20"/>
          <w:color w:val="auto"/>
        </w:rPr>
      </w:pPr>
    </w:p>
    <w:p>
      <w:pPr>
        <w:jc w:val="both"/>
        <w:ind w:right="140" w:firstLine="8"/>
        <w:spacing w:after="0" w:line="234" w:lineRule="auto"/>
        <w:tabs>
          <w:tab w:leader="none" w:pos="294" w:val="left"/>
        </w:tabs>
        <w:numPr>
          <w:ilvl w:val="0"/>
          <w:numId w:val="518"/>
        </w:numPr>
        <w:rPr>
          <w:rFonts w:ascii="Arial" w:cs="Arial" w:eastAsia="Arial" w:hAnsi="Arial"/>
          <w:sz w:val="22"/>
          <w:szCs w:val="22"/>
          <w:color w:val="auto"/>
        </w:rPr>
      </w:pPr>
      <w:r>
        <w:rPr>
          <w:rFonts w:ascii="Arial" w:cs="Arial" w:eastAsia="Arial" w:hAnsi="Arial"/>
          <w:sz w:val="22"/>
          <w:szCs w:val="22"/>
          <w:color w:val="auto"/>
        </w:rPr>
        <w:t>withhold Shares subject to the Award having a Fair Market Value of the minimum amount of any taxes which the Company or any of its Affiliates are required to withhold with respect to such Award (or such greater amount as determined by the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right="440" w:firstLine="648"/>
        <w:spacing w:after="0" w:line="25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u w:val="single" w:color="auto"/>
          <w:color w:val="auto"/>
        </w:rPr>
        <w:t>ERISA</w:t>
      </w:r>
      <w:r>
        <w:rPr>
          <w:rFonts w:ascii="Arial" w:cs="Arial" w:eastAsia="Arial" w:hAnsi="Arial"/>
          <w:sz w:val="22"/>
          <w:szCs w:val="22"/>
          <w:color w:val="auto"/>
        </w:rPr>
        <w:t>. This Plan is not subject to the Employee Retirement Income Security Act of 1974, as amended.</w:t>
      </w:r>
    </w:p>
    <w:p>
      <w:pPr>
        <w:spacing w:after="0" w:line="162"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u w:val="single" w:color="auto"/>
          <w:color w:val="auto"/>
        </w:rPr>
        <w:t>No Right of Employment or Service</w:t>
      </w:r>
      <w:r>
        <w:rPr>
          <w:rFonts w:ascii="Arial" w:cs="Arial" w:eastAsia="Arial" w:hAnsi="Arial"/>
          <w:sz w:val="21"/>
          <w:szCs w:val="21"/>
          <w:color w:val="auto"/>
        </w:rPr>
        <w:t>. Nothing contained herein, in an Award Agreement or in an Award shall confer on any employee, director or consultant any right to be continued in the employ or service of the Company or any Affiliates, constitute any contract or agreement of employment or other service, or affect an employee’s status as an at-will employee, nor shall anything contained herein, in any Award Agreement or an Award affect any rights which the Company or its Affiliates may have to change a person’s compensation or other benefits or terminate such person’s employment or association with the Company or its Affiliates for any reason (with or without Cause, with or without compensation) at any time.</w:t>
      </w:r>
    </w:p>
    <w:p>
      <w:pPr>
        <w:spacing w:after="0" w:line="177" w:lineRule="exact"/>
        <w:rPr>
          <w:sz w:val="20"/>
          <w:szCs w:val="20"/>
          <w:color w:val="auto"/>
        </w:rPr>
      </w:pPr>
    </w:p>
    <w:p>
      <w:pPr>
        <w:jc w:val="both"/>
        <w:ind w:right="360" w:firstLine="648"/>
        <w:spacing w:after="0" w:line="239"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u w:val="single" w:color="auto"/>
          <w:color w:val="auto"/>
        </w:rPr>
        <w:t>Unfunded Plan</w:t>
      </w:r>
      <w:r>
        <w:rPr>
          <w:rFonts w:ascii="Arial" w:cs="Arial" w:eastAsia="Arial" w:hAnsi="Arial"/>
          <w:sz w:val="22"/>
          <w:szCs w:val="22"/>
          <w:color w:val="auto"/>
        </w:rPr>
        <w:t>. Unless the Committee determines otherwise, no benefit or promise under this Plan shall be secured by any specific assets of the Company or any of its Affiliates, nor shall any assets of the Company or any of its Affiliates be designated as attributable or allocated to the satisfaction of the Company’s obligations under this Plan.</w:t>
      </w:r>
    </w:p>
    <w:p>
      <w:pPr>
        <w:spacing w:after="0" w:line="180" w:lineRule="exact"/>
        <w:rPr>
          <w:sz w:val="20"/>
          <w:szCs w:val="20"/>
          <w:color w:val="auto"/>
        </w:rPr>
      </w:pPr>
    </w:p>
    <w:p>
      <w:pPr>
        <w:ind w:right="80" w:firstLine="648"/>
        <w:spacing w:after="0" w:line="239"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b w:val="1"/>
          <w:bCs w:val="1"/>
          <w:u w:val="single" w:color="auto"/>
          <w:color w:val="auto"/>
        </w:rPr>
        <w:t>Non-Uniform Determinations</w:t>
      </w:r>
      <w:r>
        <w:rPr>
          <w:rFonts w:ascii="Arial" w:cs="Arial" w:eastAsia="Arial" w:hAnsi="Arial"/>
          <w:sz w:val="22"/>
          <w:szCs w:val="22"/>
          <w:color w:val="auto"/>
        </w:rPr>
        <w:t>. The Committee’s determinations under this Plan need not be uniform and may be made by it selectively among Persons who receive or are eligible to receive Awards (whether or not such Persons are similarly situated). Without limiting the generality of the foregoing, the Committee shall be entitled, among other things,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56" w:name="page457"/>
    <w:bookmarkEnd w:id="456"/>
    <w:p>
      <w:pPr>
        <w:ind w:right="240"/>
        <w:spacing w:after="0" w:line="328" w:lineRule="auto"/>
        <w:rPr>
          <w:sz w:val="20"/>
          <w:szCs w:val="20"/>
          <w:color w:val="auto"/>
        </w:rPr>
      </w:pPr>
      <w:r>
        <w:rPr>
          <w:rFonts w:ascii="Arial" w:cs="Arial" w:eastAsia="Arial" w:hAnsi="Arial"/>
          <w:sz w:val="19"/>
          <w:szCs w:val="19"/>
          <w:color w:val="auto"/>
        </w:rPr>
        <w:t>non-uniform and selective determinations, and to enter into non-uniform and selective Award Agreements, as to the Persons to receive Awards under this Plan and the terms and provisions of Awards under this Plan.</w:t>
      </w:r>
    </w:p>
    <w:p>
      <w:pPr>
        <w:spacing w:after="0" w:line="99" w:lineRule="exact"/>
        <w:rPr>
          <w:sz w:val="20"/>
          <w:szCs w:val="20"/>
          <w:color w:val="auto"/>
        </w:rPr>
      </w:pPr>
    </w:p>
    <w:p>
      <w:pPr>
        <w:ind w:right="180" w:firstLine="648"/>
        <w:spacing w:after="0" w:line="289"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b w:val="1"/>
          <w:bCs w:val="1"/>
          <w:u w:val="single" w:color="auto"/>
          <w:color w:val="auto"/>
        </w:rPr>
        <w:t>Section Headings; Construction</w:t>
      </w:r>
      <w:r>
        <w:rPr>
          <w:rFonts w:ascii="Arial" w:cs="Arial" w:eastAsia="Arial" w:hAnsi="Arial"/>
          <w:sz w:val="19"/>
          <w:szCs w:val="19"/>
          <w:color w:val="auto"/>
        </w:rPr>
        <w:t>. The section headings contained herein are for the purpose of convenience only and are not intended to define or limit the contents of the sections. All words used in this Plan shall be construed to be of such gender or number, as the circumstances require. Unless otherwise expressly provided, the word “including” does not limit the preceding words or terms and the word “or” is not exclusive.</w:t>
      </w:r>
    </w:p>
    <w:p>
      <w:pPr>
        <w:spacing w:after="0" w:line="13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any provision of this Plan or any Award Agreement shall be held by a court of competent jurisdiction to be illegal, invalid or unenforceable for any reason, the illegality, invalidity or unenforceability shall not affect the remaining provisions of this Plan and such Award Agreement and such illegal, invalid or unenforceable provision shall be deemed modified as if such provision had not been included.</w:t>
      </w:r>
    </w:p>
    <w:p>
      <w:pPr>
        <w:spacing w:after="0" w:line="136" w:lineRule="exact"/>
        <w:rPr>
          <w:sz w:val="20"/>
          <w:szCs w:val="20"/>
          <w:color w:val="auto"/>
        </w:rPr>
      </w:pPr>
    </w:p>
    <w:p>
      <w:pPr>
        <w:ind w:right="400" w:firstLine="648"/>
        <w:spacing w:after="0" w:line="254"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u w:val="single" w:color="auto"/>
          <w:color w:val="auto"/>
        </w:rPr>
        <w:t>Survival of Terms; Conflicts</w:t>
      </w:r>
      <w:r>
        <w:rPr>
          <w:rFonts w:ascii="Arial" w:cs="Arial" w:eastAsia="Arial" w:hAnsi="Arial"/>
          <w:sz w:val="21"/>
          <w:szCs w:val="21"/>
          <w:color w:val="auto"/>
        </w:rPr>
        <w:t xml:space="preserve">. The provisions of this Plan shall survive the termination of this Plan to the extent consistent with, or necessary to carry out, the purposes thereof. Each Award Agreement remains subject to the terms of this Plan;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in the event of any conflict between specific provisions of this Plan and an Award Agreement, the Award Agreement shall control.</w:t>
      </w:r>
    </w:p>
    <w:p>
      <w:pPr>
        <w:spacing w:after="0" w:line="172" w:lineRule="exact"/>
        <w:rPr>
          <w:sz w:val="20"/>
          <w:szCs w:val="20"/>
          <w:color w:val="auto"/>
        </w:rPr>
      </w:pPr>
    </w:p>
    <w:p>
      <w:pPr>
        <w:ind w:left="3620"/>
        <w:spacing w:after="0"/>
        <w:tabs>
          <w:tab w:leader="none" w:pos="4240" w:val="left"/>
          <w:tab w:leader="none" w:pos="4900" w:val="left"/>
          <w:tab w:leader="none" w:pos="5540" w:val="left"/>
          <w:tab w:leader="none" w:pos="6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36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25"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80" w:hanging="332"/>
        <w:spacing w:after="0" w:line="256" w:lineRule="auto"/>
        <w:tabs>
          <w:tab w:leader="none" w:pos="3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5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91" w:val="left"/>
        </w:tabs>
        <w:numPr>
          <w:ilvl w:val="1"/>
          <w:numId w:val="5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100" w:hanging="324"/>
        <w:spacing w:after="0" w:line="311" w:lineRule="auto"/>
        <w:tabs>
          <w:tab w:leader="none" w:pos="1001" w:val="left"/>
        </w:tabs>
        <w:numPr>
          <w:ilvl w:val="1"/>
          <w:numId w:val="5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56" w:lineRule="auto"/>
        <w:tabs>
          <w:tab w:leader="none" w:pos="981"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980" w:right="580" w:hanging="324"/>
        <w:spacing w:after="0" w:line="277" w:lineRule="auto"/>
        <w:tabs>
          <w:tab w:leader="none" w:pos="991"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T.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ind w:left="1360"/>
        <w:spacing w:after="0"/>
        <w:rPr>
          <w:sz w:val="20"/>
          <w:szCs w:val="20"/>
          <w:color w:val="auto"/>
        </w:rPr>
      </w:pPr>
      <w:r>
        <w:rPr>
          <w:rFonts w:ascii="Arial" w:cs="Arial" w:eastAsia="Arial" w:hAnsi="Arial"/>
          <w:sz w:val="18"/>
          <w:szCs w:val="18"/>
          <w:b w:val="1"/>
          <w:bCs w:val="1"/>
          <w:color w:val="auto"/>
        </w:rPr>
        <w:t>AS ADOPTED PURSUANT TO SECTION 302 OF THE SARBANES-OXLEY ACT OF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Westrock Coffee Company;</w:t>
      </w:r>
    </w:p>
    <w:p>
      <w:pPr>
        <w:spacing w:after="0" w:line="225"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80" w:hanging="332"/>
        <w:spacing w:after="0" w:line="256" w:lineRule="auto"/>
        <w:tabs>
          <w:tab w:leader="none" w:pos="3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5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91" w:val="left"/>
        </w:tabs>
        <w:numPr>
          <w:ilvl w:val="1"/>
          <w:numId w:val="5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100" w:hanging="324"/>
        <w:spacing w:after="0" w:line="311" w:lineRule="auto"/>
        <w:tabs>
          <w:tab w:leader="none" w:pos="1001" w:val="left"/>
        </w:tabs>
        <w:numPr>
          <w:ilvl w:val="1"/>
          <w:numId w:val="5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56" w:lineRule="auto"/>
        <w:tabs>
          <w:tab w:leader="none" w:pos="981"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8"/>
          <w:szCs w:val="18"/>
          <w:color w:val="auto"/>
        </w:rPr>
      </w:pPr>
    </w:p>
    <w:p>
      <w:pPr>
        <w:ind w:left="980" w:right="580" w:hanging="324"/>
        <w:spacing w:after="0" w:line="277" w:lineRule="auto"/>
        <w:tabs>
          <w:tab w:leader="none" w:pos="991"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15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June 30, 2022,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73" w:lineRule="exact"/>
        <w:rPr>
          <w:sz w:val="20"/>
          <w:szCs w:val="20"/>
          <w:color w:val="auto"/>
        </w:rPr>
      </w:pPr>
    </w:p>
    <w:p>
      <w:pPr>
        <w:ind w:left="660" w:hanging="328"/>
        <w:spacing w:after="0"/>
        <w:tabs>
          <w:tab w:leader="none" w:pos="660" w:val="left"/>
        </w:tabs>
        <w:numPr>
          <w:ilvl w:val="0"/>
          <w:numId w:val="5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248"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943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T.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0" w:name="page461"/>
    <w:bookmarkEnd w:id="4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connection with the accompanying Quarterly Report of Westrock Coffee Company (the “Company”) on Form 10-Q for the period ended June 30, 2022,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73" w:lineRule="exact"/>
        <w:rPr>
          <w:sz w:val="20"/>
          <w:szCs w:val="20"/>
          <w:color w:val="auto"/>
        </w:rPr>
      </w:pPr>
    </w:p>
    <w:p>
      <w:pPr>
        <w:ind w:left="660" w:hanging="328"/>
        <w:spacing w:after="0"/>
        <w:tabs>
          <w:tab w:leader="none" w:pos="66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248"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943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7C9FD68"/>
    <w:multiLevelType w:val="hybridMultilevel"/>
    <w:lvl w:ilvl="0">
      <w:lvlJc w:val="left"/>
      <w:lvlText w:val="☒"/>
      <w:numFmt w:val="bullet"/>
      <w:start w:val="1"/>
    </w:lvl>
  </w:abstractNum>
  <w:abstractNum w:abstractNumId="1">
    <w:nsid w:val="298A92BA"/>
    <w:multiLevelType w:val="hybridMultilevel"/>
    <w:lvl w:ilvl="0">
      <w:lvlJc w:val="left"/>
      <w:lvlText w:val="☐"/>
      <w:numFmt w:val="bullet"/>
      <w:start w:val="1"/>
    </w:lvl>
  </w:abstractNum>
  <w:abstractNum w:abstractNumId="2">
    <w:nsid w:val="6FE95EAC"/>
    <w:multiLevelType w:val="hybridMultilevel"/>
    <w:lvl w:ilvl="0">
      <w:lvlJc w:val="left"/>
      <w:lvlText w:val="●"/>
      <w:numFmt w:val="bullet"/>
      <w:start w:val="1"/>
    </w:lvl>
  </w:abstractNum>
  <w:abstractNum w:abstractNumId="3">
    <w:nsid w:val="4B697C7A"/>
    <w:multiLevelType w:val="hybridMultilevel"/>
    <w:lvl w:ilvl="0">
      <w:lvlJc w:val="left"/>
      <w:lvlText w:val="●"/>
      <w:numFmt w:val="bullet"/>
      <w:start w:val="1"/>
    </w:lvl>
  </w:abstractNum>
  <w:abstractNum w:abstractNumId="4">
    <w:nsid w:val="51A27AA6"/>
    <w:multiLevelType w:val="hybridMultilevel"/>
    <w:lvl w:ilvl="0">
      <w:lvlJc w:val="left"/>
      <w:lvlText w:val="(%1)"/>
      <w:numFmt w:val="lowerRoman"/>
      <w:start w:val="1"/>
    </w:lvl>
  </w:abstractNum>
  <w:abstractNum w:abstractNumId="5">
    <w:nsid w:val="613183F2"/>
    <w:multiLevelType w:val="hybridMultilevel"/>
    <w:lvl w:ilvl="0">
      <w:lvlJc w:val="left"/>
      <w:lvlText w:val="●"/>
      <w:numFmt w:val="bullet"/>
      <w:start w:val="1"/>
    </w:lvl>
  </w:abstractNum>
  <w:abstractNum w:abstractNumId="6">
    <w:nsid w:val="634102B4"/>
    <w:multiLevelType w:val="hybridMultilevel"/>
    <w:lvl w:ilvl="0">
      <w:lvlJc w:val="left"/>
      <w:lvlText w:val="●"/>
      <w:numFmt w:val="bullet"/>
      <w:start w:val="1"/>
    </w:lvl>
  </w:abstractNum>
  <w:abstractNum w:abstractNumId="7">
    <w:nsid w:val="65BF9DA8"/>
    <w:multiLevelType w:val="hybridMultilevel"/>
    <w:lvl w:ilvl="0">
      <w:lvlJc w:val="left"/>
      <w:lvlText w:val="●"/>
      <w:numFmt w:val="bullet"/>
      <w:start w:val="1"/>
    </w:lvl>
  </w:abstractNum>
  <w:abstractNum w:abstractNumId="8">
    <w:nsid w:val="21A2ECCA"/>
    <w:multiLevelType w:val="hybridMultilevel"/>
    <w:lvl w:ilvl="0">
      <w:lvlJc w:val="left"/>
      <w:lvlText w:val="●"/>
      <w:numFmt w:val="bullet"/>
      <w:start w:val="1"/>
    </w:lvl>
  </w:abstractNum>
  <w:abstractNum w:abstractNumId="9">
    <w:nsid w:val="4D5C4899"/>
    <w:multiLevelType w:val="hybridMultilevel"/>
    <w:lvl w:ilvl="0">
      <w:lvlJc w:val="left"/>
      <w:lvlText w:val="●"/>
      <w:numFmt w:val="bullet"/>
      <w:start w:val="1"/>
    </w:lvl>
  </w:abstractNum>
  <w:abstractNum w:abstractNumId="10">
    <w:nsid w:val="3C3B72B2"/>
    <w:multiLevelType w:val="hybridMultilevel"/>
    <w:lvl w:ilvl="0">
      <w:lvlJc w:val="left"/>
      <w:lvlText w:val="*"/>
      <w:numFmt w:val="bullet"/>
      <w:start w:val="1"/>
    </w:lvl>
    <w:lvl w:ilvl="1">
      <w:lvlJc w:val="left"/>
      <w:lvlText w:val="%2"/>
      <w:numFmt w:val="decimal"/>
      <w:start w:val="104"/>
    </w:lvl>
  </w:abstractNum>
  <w:abstractNum w:abstractNumId="11">
    <w:nsid w:val="155EC4C2"/>
    <w:multiLevelType w:val="hybridMultilevel"/>
    <w:lvl w:ilvl="0">
      <w:lvlJc w:val="left"/>
      <w:lvlText w:val="**"/>
      <w:numFmt w:val="bullet"/>
      <w:start w:val="1"/>
    </w:lvl>
    <w:lvl w:ilvl="1">
      <w:lvlJc w:val="left"/>
      <w:lvlText w:val="%2"/>
      <w:numFmt w:val="decimal"/>
      <w:start w:val="1"/>
    </w:lvl>
  </w:abstractNum>
  <w:abstractNum w:abstractNumId="12">
    <w:nsid w:val="65D2A137"/>
    <w:multiLevelType w:val="hybridMultilevel"/>
    <w:lvl w:ilvl="0">
      <w:lvlJc w:val="left"/>
      <w:lvlText w:val="%1."/>
      <w:numFmt w:val="upperLetter"/>
      <w:start w:val="1"/>
    </w:lvl>
  </w:abstractNum>
  <w:abstractNum w:abstractNumId="13">
    <w:nsid w:val="6EBB1F2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4">
    <w:nsid w:val="6FBF29CB"/>
    <w:multiLevelType w:val="hybridMultilevel"/>
    <w:lvl w:ilvl="0">
      <w:lvlJc w:val="left"/>
      <w:lvlText w:val="%1."/>
      <w:numFmt w:val="upperLetter"/>
      <w:start w:val="1"/>
    </w:lvl>
  </w:abstractNum>
  <w:abstractNum w:abstractNumId="15">
    <w:nsid w:val="550B8808"/>
    <w:multiLevelType w:val="hybridMultilevel"/>
    <w:lvl w:ilvl="0">
      <w:lvlJc w:val="left"/>
      <w:lvlText w:val="%1."/>
      <w:numFmt w:val="upperLetter"/>
      <w:start w:val="5"/>
    </w:lvl>
  </w:abstractNum>
  <w:abstractNum w:abstractNumId="16">
    <w:nsid w:val="34CC3ACF"/>
    <w:multiLevelType w:val="hybridMultilevel"/>
    <w:lvl w:ilvl="0">
      <w:lvlJc w:val="left"/>
      <w:lvlText w:val="%1."/>
      <w:numFmt w:val="upperLetter"/>
      <w:start w:val="1"/>
    </w:lvl>
  </w:abstractNum>
  <w:abstractNum w:abstractNumId="17">
    <w:nsid w:val="4E556261"/>
    <w:multiLevelType w:val="hybridMultilevel"/>
    <w:lvl w:ilvl="0">
      <w:lvlJc w:val="left"/>
      <w:lvlText w:val="%1."/>
      <w:numFmt w:val="upperLetter"/>
      <w:start w:val="3"/>
    </w:lvl>
  </w:abstractNum>
  <w:abstractNum w:abstractNumId="18">
    <w:nsid w:val="4C672FC9"/>
    <w:multiLevelType w:val="hybridMultilevel"/>
    <w:lvl w:ilvl="0">
      <w:lvlJc w:val="left"/>
      <w:lvlText w:val="%1."/>
      <w:numFmt w:val="upperLetter"/>
      <w:start w:val="1"/>
    </w:lvl>
  </w:abstractNum>
  <w:abstractNum w:abstractNumId="19">
    <w:nsid w:val="52A311C3"/>
    <w:multiLevelType w:val="hybridMultilevel"/>
    <w:lvl w:ilvl="0">
      <w:lvlJc w:val="left"/>
      <w:lvlText w:val="(%1)"/>
      <w:numFmt w:val="lowerRoman"/>
      <w:start w:val="2"/>
    </w:lvl>
  </w:abstractNum>
  <w:abstractNum w:abstractNumId="20">
    <w:nsid w:val="44EF6B80"/>
    <w:multiLevelType w:val="hybridMultilevel"/>
    <w:lvl w:ilvl="0">
      <w:lvlJc w:val="left"/>
      <w:lvlText w:val="(%1)"/>
      <w:numFmt w:val="lowerRoman"/>
      <w:start w:val="1"/>
    </w:lvl>
  </w:abstractNum>
  <w:abstractNum w:abstractNumId="21">
    <w:nsid w:val="12FCDE5E"/>
    <w:multiLevelType w:val="hybridMultilevel"/>
    <w:lvl w:ilvl="0">
      <w:lvlJc w:val="left"/>
      <w:lvlText w:val="(%1)"/>
      <w:numFmt w:val="lowerRoman"/>
      <w:start w:val="2"/>
    </w:lvl>
  </w:abstractNum>
  <w:abstractNum w:abstractNumId="22">
    <w:nsid w:val="4A1D606E"/>
    <w:multiLevelType w:val="hybridMultilevel"/>
    <w:lvl w:ilvl="0">
      <w:lvlJc w:val="left"/>
      <w:lvlText w:val="(%1)"/>
      <w:numFmt w:val="lowerLetter"/>
      <w:start w:val="1"/>
    </w:lvl>
  </w:abstractNum>
  <w:abstractNum w:abstractNumId="23">
    <w:nsid w:val="4382503"/>
    <w:multiLevelType w:val="hybridMultilevel"/>
    <w:lvl w:ilvl="0">
      <w:lvlJc w:val="left"/>
      <w:lvlText w:val="(%1)"/>
      <w:numFmt w:val="lowerLetter"/>
      <w:start w:val="2"/>
    </w:lvl>
  </w:abstractNum>
  <w:abstractNum w:abstractNumId="24">
    <w:nsid w:val="59B76E28"/>
    <w:multiLevelType w:val="hybridMultilevel"/>
    <w:lvl w:ilvl="0">
      <w:lvlJc w:val="left"/>
      <w:lvlText w:val="(%1)"/>
      <w:numFmt w:val="lowerRoman"/>
      <w:start w:val="1"/>
    </w:lvl>
  </w:abstractNum>
  <w:abstractNum w:abstractNumId="25">
    <w:nsid w:val="4252C2DA"/>
    <w:multiLevelType w:val="hybridMultilevel"/>
    <w:lvl w:ilvl="0">
      <w:lvlJc w:val="left"/>
      <w:lvlText w:val="(%1)"/>
      <w:numFmt w:val="lowerRoman"/>
      <w:start w:val="5"/>
    </w:lvl>
  </w:abstractNum>
  <w:abstractNum w:abstractNumId="26">
    <w:nsid w:val="6A92EF4C"/>
    <w:multiLevelType w:val="hybridMultilevel"/>
    <w:lvl w:ilvl="0">
      <w:lvlJc w:val="left"/>
      <w:lvlText w:val="(%1)"/>
      <w:numFmt w:val="lowerLetter"/>
      <w:start w:val="1"/>
    </w:lvl>
  </w:abstractNum>
  <w:abstractNum w:abstractNumId="27">
    <w:nsid w:val="41ED20D7"/>
    <w:multiLevelType w:val="hybridMultilevel"/>
    <w:lvl w:ilvl="0">
      <w:lvlJc w:val="left"/>
      <w:lvlText w:val="(%1)"/>
      <w:numFmt w:val="lowerLetter"/>
      <w:start w:val="3"/>
    </w:lvl>
  </w:abstractNum>
  <w:abstractNum w:abstractNumId="28">
    <w:nsid w:val="E6B3F6A"/>
    <w:multiLevelType w:val="hybridMultilevel"/>
    <w:lvl w:ilvl="0">
      <w:lvlJc w:val="left"/>
      <w:lvlText w:val="(%1)"/>
      <w:numFmt w:val="lowerLetter"/>
      <w:start w:val="1"/>
    </w:lvl>
  </w:abstractNum>
  <w:abstractNum w:abstractNumId="29">
    <w:nsid w:val="3EB21819"/>
    <w:multiLevelType w:val="hybridMultilevel"/>
    <w:lvl w:ilvl="0">
      <w:lvlJc w:val="left"/>
      <w:lvlText w:val="(%1)"/>
      <w:numFmt w:val="upperLetter"/>
      <w:start w:val="3"/>
    </w:lvl>
    <w:lvl w:ilvl="1">
      <w:lvlJc w:val="left"/>
      <w:lvlText w:val="(%2)"/>
      <w:numFmt w:val="lowerLetter"/>
      <w:start w:val="3"/>
    </w:lvl>
  </w:abstractNum>
  <w:abstractNum w:abstractNumId="30">
    <w:nsid w:val="41531DED"/>
    <w:multiLevelType w:val="hybridMultilevel"/>
    <w:lvl w:ilvl="0">
      <w:lvlJc w:val="left"/>
      <w:lvlText w:val="(%1)"/>
      <w:numFmt w:val="lowerLetter"/>
      <w:start w:val="4"/>
    </w:lvl>
  </w:abstractNum>
  <w:abstractNum w:abstractNumId="31">
    <w:nsid w:val="6353CD2"/>
    <w:multiLevelType w:val="hybridMultilevel"/>
    <w:lvl w:ilvl="0">
      <w:lvlJc w:val="left"/>
      <w:lvlText w:val="(%1)"/>
      <w:numFmt w:val="lowerLetter"/>
      <w:start w:val="6"/>
    </w:lvl>
  </w:abstractNum>
  <w:abstractNum w:abstractNumId="32">
    <w:nsid w:val="683CAAD3"/>
    <w:multiLevelType w:val="hybridMultilevel"/>
    <w:lvl w:ilvl="0">
      <w:lvlJc w:val="left"/>
      <w:lvlText w:val="(%1)"/>
      <w:numFmt w:val="lowerLetter"/>
      <w:start w:val="1"/>
    </w:lvl>
  </w:abstractNum>
  <w:abstractNum w:abstractNumId="33">
    <w:nsid w:val="313C7C99"/>
    <w:multiLevelType w:val="hybridMultilevel"/>
    <w:lvl w:ilvl="0">
      <w:lvlJc w:val="left"/>
      <w:lvlText w:val="(%1)"/>
      <w:numFmt w:val="lowerRoman"/>
      <w:start w:val="1"/>
    </w:lvl>
  </w:abstractNum>
  <w:abstractNum w:abstractNumId="34">
    <w:nsid w:val="519EB94C"/>
    <w:multiLevelType w:val="hybridMultilevel"/>
    <w:lvl w:ilvl="0">
      <w:lvlJc w:val="left"/>
      <w:lvlText w:val="(%1)"/>
      <w:numFmt w:val="lowerRoman"/>
      <w:start w:val="3"/>
    </w:lvl>
  </w:abstractNum>
  <w:abstractNum w:abstractNumId="35">
    <w:nsid w:val="39DF2579"/>
    <w:multiLevelType w:val="hybridMultilevel"/>
    <w:lvl w:ilvl="0">
      <w:lvlJc w:val="left"/>
      <w:lvlText w:val="(%1)"/>
      <w:numFmt w:val="decimal"/>
      <w:start w:val="1"/>
    </w:lvl>
  </w:abstractNum>
  <w:abstractNum w:abstractNumId="36">
    <w:nsid w:val="126E008B"/>
    <w:multiLevelType w:val="hybridMultilevel"/>
    <w:lvl w:ilvl="0">
      <w:lvlJc w:val="left"/>
      <w:lvlText w:val="(%1)"/>
      <w:numFmt w:val="lowerLetter"/>
      <w:start w:val="3"/>
    </w:lvl>
  </w:abstractNum>
  <w:abstractNum w:abstractNumId="37">
    <w:nsid w:val="34DFBC00"/>
    <w:multiLevelType w:val="hybridMultilevel"/>
    <w:lvl w:ilvl="0">
      <w:lvlJc w:val="left"/>
      <w:lvlText w:val="(%1)"/>
      <w:numFmt w:val="lowerRoman"/>
      <w:start w:val="1"/>
    </w:lvl>
  </w:abstractNum>
  <w:abstractNum w:abstractNumId="38">
    <w:nsid w:val="1F9EC322"/>
    <w:multiLevelType w:val="hybridMultilevel"/>
    <w:lvl w:ilvl="0">
      <w:lvlJc w:val="left"/>
      <w:lvlText w:val="(%1)"/>
      <w:numFmt w:val="lowerLetter"/>
      <w:start w:val="4"/>
    </w:lvl>
  </w:abstractNum>
  <w:abstractNum w:abstractNumId="39">
    <w:nsid w:val="3410ED56"/>
    <w:multiLevelType w:val="hybridMultilevel"/>
    <w:lvl w:ilvl="0">
      <w:lvlJc w:val="left"/>
      <w:lvlText w:val="(%1)"/>
      <w:numFmt w:val="lowerLetter"/>
      <w:start w:val="5"/>
    </w:lvl>
  </w:abstractNum>
  <w:abstractNum w:abstractNumId="40">
    <w:nsid w:val="23C049A"/>
    <w:multiLevelType w:val="hybridMultilevel"/>
    <w:lvl w:ilvl="0">
      <w:lvlJc w:val="left"/>
      <w:lvlText w:val="(%1)"/>
      <w:numFmt w:val="lowerLetter"/>
      <w:start w:val="1"/>
    </w:lvl>
  </w:abstractNum>
  <w:abstractNum w:abstractNumId="41">
    <w:nsid w:val="5BDA35D4"/>
    <w:multiLevelType w:val="hybridMultilevel"/>
    <w:lvl w:ilvl="0">
      <w:lvlJc w:val="left"/>
      <w:lvlText w:val="(%1)"/>
      <w:numFmt w:val="lowerLetter"/>
      <w:start w:val="2"/>
    </w:lvl>
  </w:abstractNum>
  <w:abstractNum w:abstractNumId="42">
    <w:nsid w:val="496FB218"/>
    <w:multiLevelType w:val="hybridMultilevel"/>
    <w:lvl w:ilvl="0">
      <w:lvlJc w:val="left"/>
      <w:lvlText w:val="(%1)"/>
      <w:numFmt w:val="lowerRoman"/>
      <w:start w:val="1"/>
    </w:lvl>
  </w:abstractNum>
  <w:abstractNum w:abstractNumId="43">
    <w:nsid w:val="680EA5D1"/>
    <w:multiLevelType w:val="hybridMultilevel"/>
    <w:lvl w:ilvl="0">
      <w:lvlJc w:val="left"/>
      <w:lvlText w:val="(%1)"/>
      <w:numFmt w:val="lowerLetter"/>
      <w:start w:val="3"/>
    </w:lvl>
  </w:abstractNum>
  <w:abstractNum w:abstractNumId="44">
    <w:nsid w:val="4A9554FE"/>
    <w:multiLevelType w:val="hybridMultilevel"/>
    <w:lvl w:ilvl="0">
      <w:lvlJc w:val="left"/>
      <w:lvlText w:val="(%1)"/>
      <w:numFmt w:val="upperLetter"/>
      <w:start w:val="1"/>
    </w:lvl>
  </w:abstractNum>
  <w:abstractNum w:abstractNumId="45">
    <w:nsid w:val="392EDBE4"/>
    <w:multiLevelType w:val="hybridMultilevel"/>
    <w:lvl w:ilvl="0">
      <w:lvlJc w:val="left"/>
      <w:lvlText w:val="(%1)"/>
      <w:numFmt w:val="lowerLetter"/>
      <w:start w:val="1"/>
    </w:lvl>
  </w:abstractNum>
  <w:abstractNum w:abstractNumId="46">
    <w:nsid w:val="3D1A2DD9"/>
    <w:multiLevelType w:val="hybridMultilevel"/>
    <w:lvl w:ilvl="0">
      <w:lvlJc w:val="left"/>
      <w:lvlText w:val="(%1)"/>
      <w:numFmt w:val="lowerLetter"/>
      <w:start w:val="5"/>
    </w:lvl>
  </w:abstractNum>
  <w:abstractNum w:abstractNumId="47">
    <w:nsid w:val="7F618FCD"/>
    <w:multiLevelType w:val="hybridMultilevel"/>
    <w:lvl w:ilvl="0">
      <w:lvlJc w:val="left"/>
      <w:lvlText w:val="(%1)"/>
      <w:numFmt w:val="lowerLetter"/>
      <w:start w:val="1"/>
    </w:lvl>
  </w:abstractNum>
  <w:abstractNum w:abstractNumId="48">
    <w:nsid w:val="7843E45"/>
    <w:multiLevelType w:val="hybridMultilevel"/>
    <w:lvl w:ilvl="0">
      <w:lvlJc w:val="left"/>
      <w:lvlText w:val="(%1)"/>
      <w:numFmt w:val="lowerLetter"/>
      <w:start w:val="2"/>
    </w:lvl>
  </w:abstractNum>
  <w:abstractNum w:abstractNumId="49">
    <w:nsid w:val="9815DA3"/>
    <w:multiLevelType w:val="hybridMultilevel"/>
    <w:lvl w:ilvl="0">
      <w:lvlJc w:val="left"/>
      <w:lvlText w:val="(%1)"/>
      <w:numFmt w:val="lowerLetter"/>
      <w:start w:val="1"/>
    </w:lvl>
  </w:abstractNum>
  <w:abstractNum w:abstractNumId="50">
    <w:nsid w:val="5204A191"/>
    <w:multiLevelType w:val="hybridMultilevel"/>
    <w:lvl w:ilvl="0">
      <w:lvlJc w:val="left"/>
      <w:lvlText w:val="(%1)"/>
      <w:numFmt w:val="lowerRoman"/>
      <w:start w:val="1"/>
    </w:lvl>
  </w:abstractNum>
  <w:abstractNum w:abstractNumId="51">
    <w:nsid w:val="4C73A9C6"/>
    <w:multiLevelType w:val="hybridMultilevel"/>
    <w:lvl w:ilvl="0">
      <w:lvlJc w:val="left"/>
      <w:lvlText w:val="(%1)"/>
      <w:numFmt w:val="upperLetter"/>
      <w:start w:val="1"/>
    </w:lvl>
    <w:lvl w:ilvl="1">
      <w:lvlJc w:val="left"/>
      <w:lvlText w:val="(%2)"/>
      <w:numFmt w:val="lowerRoman"/>
      <w:start w:val="2"/>
    </w:lvl>
  </w:abstractNum>
  <w:abstractNum w:abstractNumId="52">
    <w:nsid w:val="1C7E3C01"/>
    <w:multiLevelType w:val="hybridMultilevel"/>
    <w:lvl w:ilvl="0">
      <w:lvlJc w:val="left"/>
      <w:lvlText w:val="(%1)"/>
      <w:numFmt w:val="lowerRoman"/>
      <w:start w:val="3"/>
    </w:lvl>
  </w:abstractNum>
  <w:abstractNum w:abstractNumId="53">
    <w:nsid w:val="1C2201FF"/>
    <w:multiLevelType w:val="hybridMultilevel"/>
    <w:lvl w:ilvl="0">
      <w:lvlJc w:val="left"/>
      <w:lvlText w:val="(%1)"/>
      <w:numFmt w:val="lowerRoman"/>
      <w:start w:val="4"/>
    </w:lvl>
    <w:lvl w:ilvl="1">
      <w:lvlJc w:val="left"/>
      <w:lvlText w:val="(%2)"/>
      <w:numFmt w:val="upperLetter"/>
      <w:start w:val="1"/>
    </w:lvl>
  </w:abstractNum>
  <w:abstractNum w:abstractNumId="54">
    <w:nsid w:val="50ABCEC9"/>
    <w:multiLevelType w:val="hybridMultilevel"/>
    <w:lvl w:ilvl="0">
      <w:lvlJc w:val="left"/>
      <w:lvlText w:val="%1"/>
      <w:numFmt w:val="lowerLetter"/>
      <w:start w:val="1"/>
    </w:lvl>
    <w:lvl w:ilvl="1">
      <w:lvlJc w:val="left"/>
      <w:lvlText w:val="(%2)"/>
      <w:numFmt w:val="upperLetter"/>
      <w:start w:val="8"/>
    </w:lvl>
  </w:abstractNum>
  <w:abstractNum w:abstractNumId="55">
    <w:nsid w:val="7635AA2A"/>
    <w:multiLevelType w:val="hybridMultilevel"/>
    <w:lvl w:ilvl="0">
      <w:lvlJc w:val="left"/>
      <w:lvlText w:val="(%1)"/>
      <w:numFmt w:val="lowerLetter"/>
      <w:start w:val="2"/>
    </w:lvl>
    <w:lvl w:ilvl="1">
      <w:lvlJc w:val="left"/>
      <w:lvlText w:val="%2"/>
      <w:numFmt w:val="upperLetter"/>
      <w:start w:val="1"/>
    </w:lvl>
  </w:abstractNum>
  <w:abstractNum w:abstractNumId="56">
    <w:nsid w:val="5E74C4D9"/>
    <w:multiLevelType w:val="hybridMultilevel"/>
    <w:lvl w:ilvl="0">
      <w:lvlJc w:val="left"/>
      <w:lvlText w:val="(%1)"/>
      <w:numFmt w:val="lowerRoman"/>
      <w:start w:val="1"/>
    </w:lvl>
  </w:abstractNum>
  <w:abstractNum w:abstractNumId="57">
    <w:nsid w:val="3B3EBE15"/>
    <w:multiLevelType w:val="hybridMultilevel"/>
    <w:lvl w:ilvl="0">
      <w:lvlJc w:val="left"/>
      <w:lvlText w:val="(%1)"/>
      <w:numFmt w:val="lowerLetter"/>
      <w:start w:val="3"/>
    </w:lvl>
  </w:abstractNum>
  <w:abstractNum w:abstractNumId="58">
    <w:nsid w:val="3822CB01"/>
    <w:multiLevelType w:val="hybridMultilevel"/>
    <w:lvl w:ilvl="0">
      <w:lvlJc w:val="left"/>
      <w:lvlText w:val="(%1)"/>
      <w:numFmt w:val="lowerRoman"/>
      <w:start w:val="1"/>
    </w:lvl>
  </w:abstractNum>
  <w:abstractNum w:abstractNumId="59">
    <w:nsid w:val="6CE00443"/>
    <w:multiLevelType w:val="hybridMultilevel"/>
    <w:lvl w:ilvl="0">
      <w:lvlJc w:val="left"/>
      <w:lvlText w:val="(%1)"/>
      <w:numFmt w:val="lowerRoman"/>
      <w:start w:val="2"/>
    </w:lvl>
  </w:abstractNum>
  <w:abstractNum w:abstractNumId="60">
    <w:nsid w:val="79F0D62F"/>
    <w:multiLevelType w:val="hybridMultilevel"/>
    <w:lvl w:ilvl="0">
      <w:lvlJc w:val="left"/>
      <w:lvlText w:val="(%1)"/>
      <w:numFmt w:val="lowerRoman"/>
      <w:start w:val="1"/>
    </w:lvl>
  </w:abstractNum>
  <w:abstractNum w:abstractNumId="61">
    <w:nsid w:val="7975E8EE"/>
    <w:multiLevelType w:val="hybridMultilevel"/>
    <w:lvl w:ilvl="0">
      <w:lvlJc w:val="left"/>
      <w:lvlText w:val="*"/>
      <w:numFmt w:val="bullet"/>
      <w:start w:val="1"/>
    </w:lvl>
  </w:abstractNum>
  <w:abstractNum w:abstractNumId="62">
    <w:nsid w:val="73154115"/>
    <w:multiLevelType w:val="hybridMultilevel"/>
    <w:lvl w:ilvl="0">
      <w:lvlJc w:val="left"/>
      <w:lvlText w:val="(%1)"/>
      <w:numFmt w:val="upperLetter"/>
      <w:start w:val="1"/>
    </w:lvl>
  </w:abstractNum>
  <w:abstractNum w:abstractNumId="63">
    <w:nsid w:val="622D8102"/>
    <w:multiLevelType w:val="hybridMultilevel"/>
    <w:lvl w:ilvl="0">
      <w:lvlJc w:val="left"/>
      <w:lvlText w:val="%1"/>
      <w:numFmt w:val="lowerLetter"/>
      <w:start w:val="1"/>
    </w:lvl>
    <w:lvl w:ilvl="1">
      <w:lvlJc w:val="left"/>
      <w:lvlText w:val="(%2)"/>
      <w:numFmt w:val="upperLetter"/>
      <w:start w:val="2"/>
    </w:lvl>
  </w:abstractNum>
  <w:abstractNum w:abstractNumId="64">
    <w:nsid w:val="2AB26587"/>
    <w:multiLevelType w:val="hybridMultilevel"/>
    <w:lvl w:ilvl="0">
      <w:lvlJc w:val="left"/>
      <w:lvlText w:val="(%1)"/>
      <w:numFmt w:val="lowerLetter"/>
      <w:start w:val="1"/>
    </w:lvl>
    <w:lvl w:ilvl="1">
      <w:lvlJc w:val="left"/>
      <w:lvlText w:val="%2"/>
      <w:numFmt w:val="upperLetter"/>
      <w:start w:val="1"/>
    </w:lvl>
  </w:abstractNum>
  <w:abstractNum w:abstractNumId="65">
    <w:nsid w:val="44B3FA61"/>
    <w:multiLevelType w:val="hybridMultilevel"/>
    <w:lvl w:ilvl="0">
      <w:lvlJc w:val="left"/>
      <w:lvlText w:val="(%1)"/>
      <w:numFmt w:val="upperLetter"/>
      <w:start w:val="3"/>
    </w:lvl>
  </w:abstractNum>
  <w:abstractNum w:abstractNumId="66">
    <w:nsid w:val="1C0CA67C"/>
    <w:multiLevelType w:val="hybridMultilevel"/>
    <w:lvl w:ilvl="0">
      <w:lvlJc w:val="left"/>
      <w:lvlText w:val="(%1)"/>
      <w:numFmt w:val="upperLetter"/>
      <w:start w:val="1"/>
    </w:lvl>
  </w:abstractNum>
  <w:abstractNum w:abstractNumId="67">
    <w:nsid w:val="3D206613"/>
    <w:multiLevelType w:val="hybridMultilevel"/>
    <w:lvl w:ilvl="0">
      <w:lvlJc w:val="left"/>
      <w:lvlText w:val="(%1)"/>
      <w:numFmt w:val="upperLetter"/>
      <w:start w:val="2"/>
    </w:lvl>
  </w:abstractNum>
  <w:abstractNum w:abstractNumId="68">
    <w:nsid w:val="7993B66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69">
    <w:nsid w:val="3BAB699E"/>
    <w:multiLevelType w:val="hybridMultilevel"/>
    <w:lvl w:ilvl="0">
      <w:lvlJc w:val="left"/>
      <w:lvlText w:val="(%1)"/>
      <w:numFmt w:val="upperLetter"/>
      <w:start w:val="5"/>
    </w:lvl>
  </w:abstractNum>
  <w:abstractNum w:abstractNumId="70">
    <w:nsid w:val="71315369"/>
    <w:multiLevelType w:val="hybridMultilevel"/>
    <w:lvl w:ilvl="0">
      <w:lvlJc w:val="left"/>
      <w:lvlText w:val="(%1)"/>
      <w:numFmt w:val="lowerLetter"/>
      <w:start w:val="2"/>
    </w:lvl>
  </w:abstractNum>
  <w:abstractNum w:abstractNumId="71">
    <w:nsid w:val="7BCFBAFC"/>
    <w:multiLevelType w:val="hybridMultilevel"/>
    <w:lvl w:ilvl="0">
      <w:lvlJc w:val="left"/>
      <w:lvlText w:val="(%1)"/>
      <w:numFmt w:val="decimal"/>
      <w:start w:val="2"/>
    </w:lvl>
  </w:abstractNum>
  <w:abstractNum w:abstractNumId="72">
    <w:nsid w:val="17859F72"/>
    <w:multiLevelType w:val="hybridMultilevel"/>
    <w:lvl w:ilvl="0">
      <w:lvlJc w:val="left"/>
      <w:lvlText w:val="(%1)"/>
      <w:numFmt w:val="upperLetter"/>
      <w:start w:val="2"/>
    </w:lvl>
  </w:abstractNum>
  <w:abstractNum w:abstractNumId="73">
    <w:nsid w:val="3AA10581"/>
    <w:multiLevelType w:val="hybridMultilevel"/>
    <w:lvl w:ilvl="0">
      <w:lvlJc w:val="left"/>
      <w:lvlText w:val="(%1)"/>
      <w:numFmt w:val="upperLetter"/>
      <w:start w:val="1"/>
    </w:lvl>
  </w:abstractNum>
  <w:abstractNum w:abstractNumId="74">
    <w:nsid w:val="63DE60CD"/>
    <w:multiLevelType w:val="hybridMultilevel"/>
    <w:lvl w:ilvl="0">
      <w:lvlJc w:val="left"/>
      <w:lvlText w:val="(%1)"/>
      <w:numFmt w:val="upperLetter"/>
      <w:start w:val="1"/>
    </w:lvl>
  </w:abstractNum>
  <w:abstractNum w:abstractNumId="75">
    <w:nsid w:val="621AF471"/>
    <w:multiLevelType w:val="hybridMultilevel"/>
    <w:lvl w:ilvl="0">
      <w:lvlJc w:val="left"/>
      <w:lvlText w:val="(%1)"/>
      <w:numFmt w:val="upperLetter"/>
      <w:start w:val="3"/>
    </w:lvl>
  </w:abstractNum>
  <w:abstractNum w:abstractNumId="76">
    <w:nsid w:val="73CFE165"/>
    <w:multiLevelType w:val="hybridMultilevel"/>
    <w:lvl w:ilvl="0">
      <w:lvlJc w:val="left"/>
      <w:lvlText w:val="(%1)"/>
      <w:numFmt w:val="upperLetter"/>
      <w:start w:val="5"/>
    </w:lvl>
  </w:abstractNum>
  <w:abstractNum w:abstractNumId="77">
    <w:nsid w:val="20F88EA6"/>
    <w:multiLevelType w:val="hybridMultilevel"/>
    <w:lvl w:ilvl="0">
      <w:lvlJc w:val="left"/>
      <w:lvlText w:val="(%1)"/>
      <w:numFmt w:val="upperLetter"/>
      <w:start w:val="10"/>
    </w:lvl>
    <w:lvl w:ilvl="1">
      <w:lvlJc w:val="left"/>
      <w:lvlText w:val="(%2)"/>
      <w:numFmt w:val="decimal"/>
      <w:start w:val="1"/>
    </w:lvl>
  </w:abstractNum>
  <w:abstractNum w:abstractNumId="78">
    <w:nsid w:val="617C843E"/>
    <w:multiLevelType w:val="hybridMultilevel"/>
    <w:lvl w:ilvl="0">
      <w:lvlJc w:val="left"/>
      <w:lvlText w:val="&amp;"/>
      <w:numFmt w:val="bullet"/>
      <w:start w:val="1"/>
    </w:lvl>
  </w:abstractNum>
  <w:abstractNum w:abstractNumId="79">
    <w:nsid w:val="7B541FAB"/>
    <w:multiLevelType w:val="hybridMultilevel"/>
    <w:lvl w:ilvl="0">
      <w:lvlJc w:val="left"/>
      <w:lvlText w:val="%1."/>
      <w:numFmt w:val="decimal"/>
      <w:start w:val="1"/>
    </w:lvl>
  </w:abstractNum>
  <w:abstractNum w:abstractNumId="80">
    <w:nsid w:val="2A79EC49"/>
    <w:multiLevelType w:val="hybridMultilevel"/>
    <w:lvl w:ilvl="0">
      <w:lvlJc w:val="left"/>
      <w:lvlText w:val="(%1)"/>
      <w:numFmt w:val="lowerLetter"/>
      <w:start w:val="1"/>
    </w:lvl>
  </w:abstractNum>
  <w:abstractNum w:abstractNumId="81">
    <w:nsid w:val="338125CF"/>
    <w:multiLevelType w:val="hybridMultilevel"/>
    <w:lvl w:ilvl="0">
      <w:lvlJc w:val="left"/>
      <w:lvlText w:val="%1."/>
      <w:numFmt w:val="decimal"/>
      <w:start w:val="3"/>
    </w:lvl>
  </w:abstractNum>
  <w:abstractNum w:abstractNumId="82">
    <w:nsid w:val="47C7C971"/>
    <w:multiLevelType w:val="hybridMultilevel"/>
    <w:lvl w:ilvl="0">
      <w:lvlJc w:val="left"/>
      <w:lvlText w:val="(%1)"/>
      <w:numFmt w:val="lowerLetter"/>
      <w:start w:val="1"/>
    </w:lvl>
  </w:abstractNum>
  <w:abstractNum w:abstractNumId="83">
    <w:nsid w:val="46F8284B"/>
    <w:multiLevelType w:val="hybridMultilevel"/>
    <w:lvl w:ilvl="0">
      <w:lvlJc w:val="left"/>
      <w:lvlText w:val="(%1)"/>
      <w:numFmt w:val="lowerLetter"/>
      <w:start w:val="2"/>
    </w:lvl>
  </w:abstractNum>
  <w:abstractNum w:abstractNumId="84">
    <w:nsid w:val="4FA327CE"/>
    <w:multiLevelType w:val="hybridMultilevel"/>
    <w:lvl w:ilvl="0">
      <w:lvlJc w:val="left"/>
      <w:lvlText w:val="%1."/>
      <w:numFmt w:val="decimal"/>
      <w:start w:val="4"/>
    </w:lvl>
  </w:abstractNum>
  <w:abstractNum w:abstractNumId="85">
    <w:nsid w:val="1873983A"/>
    <w:multiLevelType w:val="hybridMultilevel"/>
    <w:lvl w:ilvl="0">
      <w:lvlJc w:val="left"/>
      <w:lvlText w:val="(%1)"/>
      <w:numFmt w:val="lowerRoman"/>
      <w:start w:val="10"/>
    </w:lvl>
  </w:abstractNum>
  <w:abstractNum w:abstractNumId="86">
    <w:nsid w:val="3D2DD275"/>
    <w:multiLevelType w:val="hybridMultilevel"/>
    <w:lvl w:ilvl="0">
      <w:lvlJc w:val="left"/>
      <w:lvlText w:val="%1."/>
      <w:numFmt w:val="decimal"/>
      <w:start w:val="5"/>
    </w:lvl>
  </w:abstractNum>
  <w:abstractNum w:abstractNumId="87">
    <w:nsid w:val="2E17ECA7"/>
    <w:multiLevelType w:val="hybridMultilevel"/>
    <w:lvl w:ilvl="0">
      <w:lvlJc w:val="left"/>
      <w:lvlText w:val="%1."/>
      <w:numFmt w:val="decimal"/>
      <w:start w:val="6"/>
    </w:lvl>
  </w:abstractNum>
  <w:abstractNum w:abstractNumId="88">
    <w:nsid w:val="53B2564F"/>
    <w:multiLevelType w:val="hybridMultilevel"/>
    <w:lvl w:ilvl="0">
      <w:lvlJc w:val="left"/>
      <w:lvlText w:val="%1."/>
      <w:numFmt w:val="decimal"/>
      <w:start w:val="7"/>
    </w:lvl>
  </w:abstractNum>
  <w:abstractNum w:abstractNumId="89">
    <w:nsid w:val="75509D76"/>
    <w:multiLevelType w:val="hybridMultilevel"/>
    <w:lvl w:ilvl="0">
      <w:lvlJc w:val="left"/>
      <w:lvlText w:val="%1."/>
      <w:numFmt w:val="decimal"/>
      <w:start w:val="8"/>
    </w:lvl>
  </w:abstractNum>
  <w:abstractNum w:abstractNumId="90">
    <w:nsid w:val="1AF7F0EA"/>
    <w:multiLevelType w:val="hybridMultilevel"/>
    <w:lvl w:ilvl="0">
      <w:lvlJc w:val="left"/>
      <w:lvlText w:val="%1."/>
      <w:numFmt w:val="decimal"/>
      <w:start w:val="9"/>
    </w:lvl>
  </w:abstractNum>
  <w:abstractNum w:abstractNumId="91">
    <w:nsid w:val="4DA32C7E"/>
    <w:multiLevelType w:val="hybridMultilevel"/>
    <w:lvl w:ilvl="0">
      <w:lvlJc w:val="left"/>
      <w:lvlText w:val="(%1)"/>
      <w:numFmt w:val="lowerLetter"/>
      <w:start w:val="2"/>
    </w:lvl>
  </w:abstractNum>
  <w:abstractNum w:abstractNumId="92">
    <w:nsid w:val="6EC68664"/>
    <w:multiLevelType w:val="hybridMultilevel"/>
    <w:lvl w:ilvl="0">
      <w:lvlJc w:val="left"/>
      <w:lvlText w:val="(%1)"/>
      <w:numFmt w:val="lowerLetter"/>
      <w:start w:val="1"/>
    </w:lvl>
    <w:lvl w:ilvl="1">
      <w:lvlJc w:val="left"/>
      <w:lvlText w:val="(%2)"/>
      <w:numFmt w:val="lowerLetter"/>
      <w:start w:val="9"/>
    </w:lvl>
  </w:abstractNum>
  <w:abstractNum w:abstractNumId="93">
    <w:nsid w:val="E0D31FF"/>
    <w:multiLevelType w:val="hybridMultilevel"/>
    <w:lvl w:ilvl="0">
      <w:lvlJc w:val="left"/>
      <w:lvlText w:val="(%1)"/>
      <w:numFmt w:val="lowerRoman"/>
      <w:start w:val="2"/>
    </w:lvl>
    <w:lvl w:ilvl="1">
      <w:lvlJc w:val="left"/>
      <w:lvlText w:val="(%2)"/>
      <w:numFmt w:val="lowerRoman"/>
      <w:start w:val="3"/>
    </w:lvl>
  </w:abstractNum>
  <w:abstractNum w:abstractNumId="94">
    <w:nsid w:val="2FD0AD81"/>
    <w:multiLevelType w:val="hybridMultilevel"/>
    <w:lvl w:ilvl="0">
      <w:lvlJc w:val="left"/>
      <w:lvlText w:val="%1"/>
      <w:numFmt w:val="upperLetter"/>
      <w:start w:val="1"/>
    </w:lvl>
    <w:lvl w:ilvl="1">
      <w:lvlJc w:val="left"/>
      <w:lvlText w:val="(%2)"/>
      <w:numFmt w:val="lowerRoman"/>
      <w:start w:val="5"/>
    </w:lvl>
    <w:lvl w:ilvl="2">
      <w:lvlJc w:val="left"/>
      <w:lvlText w:val="(%3)"/>
      <w:numFmt w:val="lowerRoman"/>
      <w:start w:val="6"/>
    </w:lvl>
  </w:abstractNum>
  <w:abstractNum w:abstractNumId="95">
    <w:nsid w:val="1978EBEB"/>
    <w:multiLevelType w:val="hybridMultilevel"/>
    <w:lvl w:ilvl="0">
      <w:lvlJc w:val="left"/>
      <w:lvlText w:val="(%1)"/>
      <w:numFmt w:val="upperLetter"/>
      <w:start w:val="4"/>
    </w:lvl>
    <w:lvl w:ilvl="1">
      <w:lvlJc w:val="left"/>
      <w:lvlText w:val="%2"/>
      <w:numFmt w:val="lowerRoman"/>
      <w:start w:val="1"/>
    </w:lvl>
    <w:lvl w:ilvl="2">
      <w:lvlJc w:val="left"/>
      <w:lvlText w:val="(%3)"/>
      <w:numFmt w:val="lowerRoman"/>
      <w:start w:val="7"/>
    </w:lvl>
  </w:abstractNum>
  <w:abstractNum w:abstractNumId="96">
    <w:nsid w:val="52C12C61"/>
    <w:multiLevelType w:val="hybridMultilevel"/>
    <w:lvl w:ilvl="0">
      <w:lvlJc w:val="left"/>
      <w:lvlText w:val="%1"/>
      <w:numFmt w:val="lowerRoman"/>
      <w:start w:val="1"/>
    </w:lvl>
    <w:lvl w:ilvl="1">
      <w:lvlJc w:val="left"/>
      <w:lvlText w:val="(%2)"/>
      <w:numFmt w:val="lowerRoman"/>
      <w:start w:val="8"/>
    </w:lvl>
  </w:abstractNum>
  <w:abstractNum w:abstractNumId="97">
    <w:nsid w:val="4BDD53FD"/>
    <w:multiLevelType w:val="hybridMultilevel"/>
    <w:lvl w:ilvl="0">
      <w:lvlJc w:val="left"/>
      <w:lvlText w:val="(%1)"/>
      <w:numFmt w:val="lowerRoman"/>
      <w:start w:val="13"/>
    </w:lvl>
    <w:lvl w:ilvl="1">
      <w:lvlJc w:val="left"/>
      <w:lvlText w:val="%2"/>
      <w:numFmt w:val="lowerRoman"/>
      <w:start w:val="1"/>
    </w:lvl>
  </w:abstractNum>
  <w:abstractNum w:abstractNumId="98">
    <w:nsid w:val="569951FE"/>
    <w:multiLevelType w:val="hybridMultilevel"/>
    <w:lvl w:ilvl="0">
      <w:lvlJc w:val="left"/>
      <w:lvlText w:val="(%1)"/>
      <w:numFmt w:val="lowerRoman"/>
      <w:start w:val="15"/>
    </w:lvl>
  </w:abstractNum>
  <w:abstractNum w:abstractNumId="99">
    <w:nsid w:val="4C54E2C3"/>
    <w:multiLevelType w:val="hybridMultilevel"/>
    <w:lvl w:ilvl="0">
      <w:lvlJc w:val="left"/>
      <w:lvlText w:val="(%1)"/>
      <w:numFmt w:val="lowerLetter"/>
      <w:start w:val="2"/>
    </w:lvl>
  </w:abstractNum>
  <w:abstractNum w:abstractNumId="100">
    <w:nsid w:val="788BD9B"/>
    <w:multiLevelType w:val="hybridMultilevel"/>
    <w:lvl w:ilvl="0">
      <w:lvlJc w:val="left"/>
      <w:lvlText w:val="(%1)"/>
      <w:numFmt w:val="lowerLetter"/>
      <w:start w:val="3"/>
    </w:lvl>
    <w:lvl w:ilvl="1">
      <w:lvlJc w:val="left"/>
      <w:lvlText w:val="(%2)"/>
      <w:numFmt w:val="lowerRoman"/>
      <w:start w:val="1"/>
    </w:lvl>
  </w:abstractNum>
  <w:abstractNum w:abstractNumId="101">
    <w:nsid w:val="47CAA567"/>
    <w:multiLevelType w:val="hybridMultilevel"/>
    <w:lvl w:ilvl="0">
      <w:lvlJc w:val="left"/>
      <w:lvlText w:val="(%1)"/>
      <w:numFmt w:val="upperLetter"/>
      <w:start w:val="9"/>
    </w:lvl>
  </w:abstractNum>
  <w:abstractNum w:abstractNumId="102">
    <w:nsid w:val="48249DBF"/>
    <w:multiLevelType w:val="hybridMultilevel"/>
    <w:lvl w:ilvl="0">
      <w:lvlJc w:val="left"/>
      <w:lvlText w:val="(%1)"/>
      <w:numFmt w:val="upperLetter"/>
      <w:start w:val="35"/>
    </w:lvl>
  </w:abstractNum>
  <w:abstractNum w:abstractNumId="103">
    <w:nsid w:val="1F0E5D0D"/>
    <w:multiLevelType w:val="hybridMultilevel"/>
    <w:lvl w:ilvl="0">
      <w:lvlJc w:val="left"/>
      <w:lvlText w:val="(%1)"/>
      <w:numFmt w:val="lowerRoman"/>
      <w:start w:val="1"/>
    </w:lvl>
  </w:abstractNum>
  <w:abstractNum w:abstractNumId="104">
    <w:nsid w:val="26BAAE9"/>
    <w:multiLevelType w:val="hybridMultilevel"/>
    <w:lvl w:ilvl="0">
      <w:lvlJc w:val="left"/>
      <w:lvlText w:val="(%1)"/>
      <w:numFmt w:val="lowerRoman"/>
      <w:start w:val="2"/>
    </w:lvl>
  </w:abstractNum>
  <w:abstractNum w:abstractNumId="105">
    <w:nsid w:val="2C02FE8C"/>
    <w:multiLevelType w:val="hybridMultilevel"/>
    <w:lvl w:ilvl="0">
      <w:lvlJc w:val="left"/>
      <w:lvlText w:val="(%1)"/>
      <w:numFmt w:val="lowerLetter"/>
      <w:start w:val="1"/>
    </w:lvl>
  </w:abstractNum>
  <w:abstractNum w:abstractNumId="106">
    <w:nsid w:val="129517E"/>
    <w:multiLevelType w:val="hybridMultilevel"/>
    <w:lvl w:ilvl="0">
      <w:lvlJc w:val="left"/>
      <w:lvlText w:val="(%1)"/>
      <w:numFmt w:val="lowerLetter"/>
      <w:start w:val="8"/>
    </w:lvl>
  </w:abstractNum>
  <w:abstractNum w:abstractNumId="107">
    <w:nsid w:val="763B8C4E"/>
    <w:multiLevelType w:val="hybridMultilevel"/>
    <w:lvl w:ilvl="0">
      <w:lvlJc w:val="left"/>
      <w:lvlText w:val="(%1)"/>
      <w:numFmt w:val="decimal"/>
      <w:start w:val="1"/>
    </w:lvl>
  </w:abstractNum>
  <w:abstractNum w:abstractNumId="108">
    <w:nsid w:val="4CFB8D32"/>
    <w:multiLevelType w:val="hybridMultilevel"/>
    <w:lvl w:ilvl="0">
      <w:lvlJc w:val="left"/>
      <w:lvlText w:val="(%1)"/>
      <w:numFmt w:val="decimal"/>
      <w:start w:val="1"/>
    </w:lvl>
  </w:abstractNum>
  <w:abstractNum w:abstractNumId="109">
    <w:nsid w:val="62A5D5BD"/>
    <w:multiLevelType w:val="hybridMultilevel"/>
    <w:lvl w:ilvl="0">
      <w:lvlJc w:val="left"/>
      <w:lvlText w:val="(%1)"/>
      <w:numFmt w:val="decimal"/>
      <w:start w:val="1"/>
    </w:lvl>
  </w:abstractNum>
  <w:abstractNum w:abstractNumId="110">
    <w:nsid w:val="718FABF9"/>
    <w:multiLevelType w:val="hybridMultilevel"/>
    <w:lvl w:ilvl="0">
      <w:lvlJc w:val="left"/>
      <w:lvlText w:val="(%1)"/>
      <w:numFmt w:val="decimal"/>
      <w:start w:val="3"/>
    </w:lvl>
  </w:abstractNum>
  <w:abstractNum w:abstractNumId="111">
    <w:nsid w:val="7775797C"/>
    <w:multiLevelType w:val="hybridMultilevel"/>
    <w:lvl w:ilvl="0">
      <w:lvlJc w:val="left"/>
      <w:lvlText w:val="(%1)"/>
      <w:numFmt w:val="lowerLetter"/>
      <w:start w:val="3"/>
    </w:lvl>
  </w:abstractNum>
  <w:abstractNum w:abstractNumId="112">
    <w:nsid w:val="1626FB8C"/>
    <w:multiLevelType w:val="hybridMultilevel"/>
    <w:lvl w:ilvl="0">
      <w:lvlJc w:val="left"/>
      <w:lvlText w:val="(%1)"/>
      <w:numFmt w:val="lowerLetter"/>
      <w:start w:val="1"/>
    </w:lvl>
  </w:abstractNum>
  <w:abstractNum w:abstractNumId="113">
    <w:nsid w:val="3957756A"/>
    <w:multiLevelType w:val="hybridMultilevel"/>
    <w:lvl w:ilvl="0">
      <w:lvlJc w:val="left"/>
      <w:lvlText w:val="(%1)"/>
      <w:numFmt w:val="lowerLetter"/>
      <w:start w:val="4"/>
    </w:lvl>
  </w:abstractNum>
  <w:abstractNum w:abstractNumId="114">
    <w:nsid w:val="3E6DA1C7"/>
    <w:multiLevelType w:val="hybridMultilevel"/>
    <w:lvl w:ilvl="0">
      <w:lvlJc w:val="left"/>
      <w:lvlText w:val="(%1)"/>
      <w:numFmt w:val="lowerLetter"/>
      <w:start w:val="2"/>
    </w:lvl>
  </w:abstractNum>
  <w:abstractNum w:abstractNumId="115">
    <w:nsid w:val="65CA235B"/>
    <w:multiLevelType w:val="hybridMultilevel"/>
    <w:lvl w:ilvl="0">
      <w:lvlJc w:val="left"/>
      <w:lvlText w:val="(%1)"/>
      <w:numFmt w:val="lowerLetter"/>
      <w:start w:val="1"/>
    </w:lvl>
  </w:abstractNum>
  <w:abstractNum w:abstractNumId="116">
    <w:nsid w:val="51CB0DA4"/>
    <w:multiLevelType w:val="hybridMultilevel"/>
    <w:lvl w:ilvl="0">
      <w:lvlJc w:val="left"/>
      <w:lvlText w:val="(%1)"/>
      <w:numFmt w:val="lowerLetter"/>
      <w:start w:val="6"/>
    </w:lvl>
  </w:abstractNum>
  <w:abstractNum w:abstractNumId="117">
    <w:nsid w:val="7B9B743C"/>
    <w:multiLevelType w:val="hybridMultilevel"/>
    <w:lvl w:ilvl="0">
      <w:lvlJc w:val="left"/>
      <w:lvlText w:val="(%1)"/>
      <w:numFmt w:val="lowerLetter"/>
      <w:start w:val="15"/>
    </w:lvl>
  </w:abstractNum>
  <w:abstractNum w:abstractNumId="118">
    <w:nsid w:val="13E21002"/>
    <w:multiLevelType w:val="hybridMultilevel"/>
    <w:lvl w:ilvl="0">
      <w:lvlJc w:val="left"/>
      <w:lvlText w:val="(%1)"/>
      <w:numFmt w:val="lowerRoman"/>
      <w:start w:val="1"/>
    </w:lvl>
  </w:abstractNum>
  <w:abstractNum w:abstractNumId="119">
    <w:nsid w:val="257D63F4"/>
    <w:multiLevelType w:val="hybridMultilevel"/>
    <w:lvl w:ilvl="0">
      <w:lvlJc w:val="left"/>
      <w:lvlText w:val="(%1)"/>
      <w:numFmt w:val="lowerLetter"/>
      <w:start w:val="1"/>
    </w:lvl>
    <w:lvl w:ilvl="1">
      <w:lvlJc w:val="left"/>
      <w:lvlText w:val="(%2)"/>
      <w:numFmt w:val="lowerRoman"/>
      <w:start w:val="1"/>
    </w:lvl>
  </w:abstractNum>
  <w:abstractNum w:abstractNumId="120">
    <w:nsid w:val="70EC11B2"/>
    <w:multiLevelType w:val="hybridMultilevel"/>
    <w:lvl w:ilvl="0">
      <w:lvlJc w:val="left"/>
      <w:lvlText w:val="(%1)"/>
      <w:numFmt w:val="decimal"/>
      <w:start w:val="3"/>
    </w:lvl>
  </w:abstractNum>
  <w:abstractNum w:abstractNumId="121">
    <w:nsid w:val="2EDA00ED"/>
    <w:multiLevelType w:val="hybridMultilevel"/>
    <w:lvl w:ilvl="0">
      <w:lvlJc w:val="left"/>
      <w:lvlText w:val="(%1)"/>
      <w:numFmt w:val="lowerRoman"/>
      <w:start w:val="3"/>
    </w:lvl>
  </w:abstractNum>
  <w:abstractNum w:abstractNumId="122">
    <w:nsid w:val="73209072"/>
    <w:multiLevelType w:val="hybridMultilevel"/>
    <w:lvl w:ilvl="0">
      <w:lvlJc w:val="left"/>
      <w:lvlText w:val="(%1)"/>
      <w:numFmt w:val="lowerRoman"/>
      <w:start w:val="1"/>
    </w:lvl>
  </w:abstractNum>
  <w:abstractNum w:abstractNumId="123">
    <w:nsid w:val="5FB29816"/>
    <w:multiLevelType w:val="hybridMultilevel"/>
    <w:lvl w:ilvl="0">
      <w:lvlJc w:val="left"/>
      <w:lvlText w:val="(%1)"/>
      <w:numFmt w:val="lowerLetter"/>
      <w:start w:val="3"/>
    </w:lvl>
  </w:abstractNum>
  <w:abstractNum w:abstractNumId="124">
    <w:nsid w:val="3CE732EC"/>
    <w:multiLevelType w:val="hybridMultilevel"/>
    <w:lvl w:ilvl="0">
      <w:lvlJc w:val="left"/>
      <w:lvlText w:val="(%1)"/>
      <w:numFmt w:val="lowerLetter"/>
      <w:start w:val="1"/>
    </w:lvl>
  </w:abstractNum>
  <w:abstractNum w:abstractNumId="125">
    <w:nsid w:val="22F13DF3"/>
    <w:multiLevelType w:val="hybridMultilevel"/>
    <w:lvl w:ilvl="0">
      <w:lvlJc w:val="left"/>
      <w:lvlText w:val="%1"/>
      <w:numFmt w:val="upperLetter"/>
      <w:start w:val="1"/>
    </w:lvl>
    <w:lvl w:ilvl="1">
      <w:lvlJc w:val="left"/>
      <w:lvlText w:val="(%2)"/>
      <w:numFmt w:val="lowerLetter"/>
      <w:start w:val="4"/>
    </w:lvl>
  </w:abstractNum>
  <w:abstractNum w:abstractNumId="126">
    <w:nsid w:val="792B8401"/>
    <w:multiLevelType w:val="hybridMultilevel"/>
    <w:lvl w:ilvl="0">
      <w:lvlJc w:val="left"/>
      <w:lvlText w:val="(%1)"/>
      <w:numFmt w:val="upperLetter"/>
      <w:start w:val="1"/>
    </w:lvl>
    <w:lvl w:ilvl="1">
      <w:lvlJc w:val="left"/>
      <w:lvlText w:val="%2"/>
      <w:numFmt w:val="lowerLetter"/>
      <w:start w:val="1"/>
    </w:lvl>
  </w:abstractNum>
  <w:abstractNum w:abstractNumId="127">
    <w:nsid w:val="FA85F4D"/>
    <w:multiLevelType w:val="hybridMultilevel"/>
    <w:lvl w:ilvl="0">
      <w:lvlJc w:val="left"/>
      <w:lvlText w:val="(%1)"/>
      <w:numFmt w:val="lowerLetter"/>
      <w:start w:val="1"/>
    </w:lvl>
  </w:abstractNum>
  <w:abstractNum w:abstractNumId="128">
    <w:nsid w:val="6ECE91F0"/>
    <w:multiLevelType w:val="hybridMultilevel"/>
    <w:lvl w:ilvl="0">
      <w:lvlJc w:val="left"/>
      <w:lvlText w:val="(%1)"/>
      <w:numFmt w:val="lowerLetter"/>
      <w:start w:val="5"/>
    </w:lvl>
  </w:abstractNum>
  <w:abstractNum w:abstractNumId="129">
    <w:nsid w:val="4FC4D600"/>
    <w:multiLevelType w:val="hybridMultilevel"/>
    <w:lvl w:ilvl="0">
      <w:lvlJc w:val="left"/>
      <w:lvlText w:val="(%1)"/>
      <w:numFmt w:val="upperLetter"/>
      <w:start w:val="2"/>
    </w:lvl>
  </w:abstractNum>
  <w:abstractNum w:abstractNumId="130">
    <w:nsid w:val="5BFD4210"/>
    <w:multiLevelType w:val="hybridMultilevel"/>
    <w:lvl w:ilvl="0">
      <w:lvlJc w:val="left"/>
      <w:lvlText w:val="(%1)"/>
      <w:numFmt w:val="lowerLetter"/>
      <w:start w:val="2"/>
    </w:lvl>
    <w:lvl w:ilvl="1">
      <w:lvlJc w:val="left"/>
      <w:lvlText w:val="(%2)"/>
      <w:numFmt w:val="lowerRoman"/>
      <w:start w:val="1"/>
    </w:lvl>
  </w:abstractNum>
  <w:abstractNum w:abstractNumId="131">
    <w:nsid w:val="76574F8B"/>
    <w:multiLevelType w:val="hybridMultilevel"/>
    <w:lvl w:ilvl="0">
      <w:lvlJc w:val="left"/>
      <w:lvlText w:val="(%1)"/>
      <w:numFmt w:val="lowerLetter"/>
      <w:start w:val="1"/>
    </w:lvl>
  </w:abstractNum>
  <w:abstractNum w:abstractNumId="132">
    <w:nsid w:val="178F7B67"/>
    <w:multiLevelType w:val="hybridMultilevel"/>
    <w:lvl w:ilvl="0">
      <w:lvlJc w:val="left"/>
      <w:lvlText w:val="(%1)"/>
      <w:numFmt w:val="lowerRoman"/>
      <w:start w:val="4"/>
    </w:lvl>
  </w:abstractNum>
  <w:abstractNum w:abstractNumId="133">
    <w:nsid w:val="2421DFCF"/>
    <w:multiLevelType w:val="hybridMultilevel"/>
    <w:lvl w:ilvl="0">
      <w:lvlJc w:val="left"/>
      <w:lvlText w:val="(%1)"/>
      <w:numFmt w:val="lowerRoman"/>
      <w:start w:val="3"/>
    </w:lvl>
  </w:abstractNum>
  <w:abstractNum w:abstractNumId="134">
    <w:nsid w:val="1565AC99"/>
    <w:multiLevelType w:val="hybridMultilevel"/>
    <w:lvl w:ilvl="0">
      <w:lvlJc w:val="left"/>
      <w:lvlText w:val="(%1)"/>
      <w:numFmt w:val="lowerLetter"/>
      <w:start w:val="25"/>
    </w:lvl>
  </w:abstractNum>
  <w:abstractNum w:abstractNumId="135">
    <w:nsid w:val="19FB2650"/>
    <w:multiLevelType w:val="hybridMultilevel"/>
    <w:lvl w:ilvl="0">
      <w:lvlJc w:val="left"/>
      <w:lvlText w:val="%1"/>
      <w:numFmt w:val="lowerLetter"/>
      <w:start w:val="1"/>
    </w:lvl>
    <w:lvl w:ilvl="1">
      <w:lvlJc w:val="left"/>
      <w:lvlText w:val="(%2)"/>
      <w:numFmt w:val="lowerLetter"/>
      <w:start w:val="1"/>
    </w:lvl>
  </w:abstractNum>
  <w:abstractNum w:abstractNumId="136">
    <w:nsid w:val="5024DE5B"/>
    <w:multiLevelType w:val="hybridMultilevel"/>
    <w:lvl w:ilvl="0">
      <w:lvlJc w:val="left"/>
      <w:lvlText w:val="(%1)"/>
      <w:numFmt w:val="lowerLetter"/>
      <w:start w:val="35"/>
    </w:lvl>
    <w:lvl w:ilvl="1">
      <w:lvlJc w:val="left"/>
      <w:lvlText w:val="%2"/>
      <w:numFmt w:val="lowerLetter"/>
      <w:start w:val="1"/>
    </w:lvl>
  </w:abstractNum>
  <w:abstractNum w:abstractNumId="137">
    <w:nsid w:val="168EFE17"/>
    <w:multiLevelType w:val="hybridMultilevel"/>
    <w:lvl w:ilvl="0">
      <w:lvlJc w:val="left"/>
      <w:lvlText w:val="(%1)"/>
      <w:numFmt w:val="decimal"/>
      <w:start w:val="12"/>
    </w:lvl>
    <w:lvl w:ilvl="1">
      <w:lvlJc w:val="left"/>
      <w:lvlText w:val="(%2)"/>
      <w:numFmt w:val="lowerLetter"/>
      <w:start w:val="2"/>
    </w:lvl>
  </w:abstractNum>
  <w:abstractNum w:abstractNumId="138">
    <w:nsid w:val="1036B29F"/>
    <w:multiLevelType w:val="hybridMultilevel"/>
    <w:lvl w:ilvl="0">
      <w:lvlJc w:val="left"/>
      <w:lvlText w:val="(%1)"/>
      <w:numFmt w:val="lowerLetter"/>
      <w:start w:val="3"/>
    </w:lvl>
  </w:abstractNum>
  <w:abstractNum w:abstractNumId="139">
    <w:nsid w:val="1D206B8E"/>
    <w:multiLevelType w:val="hybridMultilevel"/>
    <w:lvl w:ilvl="0">
      <w:lvlJc w:val="left"/>
      <w:lvlText w:val="(%1)"/>
      <w:numFmt w:val="lowerLetter"/>
      <w:start w:val="2"/>
    </w:lvl>
  </w:abstractNum>
  <w:abstractNum w:abstractNumId="140">
    <w:nsid w:val="7934D3D4"/>
    <w:multiLevelType w:val="hybridMultilevel"/>
    <w:lvl w:ilvl="0">
      <w:lvlJc w:val="left"/>
      <w:lvlText w:val="(%1)"/>
      <w:numFmt w:val="lowerLetter"/>
      <w:start w:val="1"/>
    </w:lvl>
  </w:abstractNum>
  <w:abstractNum w:abstractNumId="141">
    <w:nsid w:val="1C65E98"/>
    <w:multiLevelType w:val="hybridMultilevel"/>
    <w:lvl w:ilvl="0">
      <w:lvlJc w:val="left"/>
      <w:lvlText w:val="(%1)"/>
      <w:numFmt w:val="lowerLetter"/>
      <w:start w:val="6"/>
    </w:lvl>
  </w:abstractNum>
  <w:abstractNum w:abstractNumId="142">
    <w:nsid w:val="1495E50A"/>
    <w:multiLevelType w:val="hybridMultilevel"/>
    <w:lvl w:ilvl="0">
      <w:lvlJc w:val="left"/>
      <w:lvlText w:val="(%1)"/>
      <w:numFmt w:val="lowerLetter"/>
      <w:start w:val="12"/>
    </w:lvl>
  </w:abstractNum>
  <w:abstractNum w:abstractNumId="143">
    <w:nsid w:val="F5BCF61"/>
    <w:multiLevelType w:val="hybridMultilevel"/>
    <w:lvl w:ilvl="0">
      <w:lvlJc w:val="left"/>
      <w:lvlText w:val="(%1)"/>
      <w:numFmt w:val="lowerLetter"/>
      <w:start w:val="2"/>
    </w:lvl>
  </w:abstractNum>
  <w:abstractNum w:abstractNumId="144">
    <w:nsid w:val="3B1DD403"/>
    <w:multiLevelType w:val="hybridMultilevel"/>
    <w:lvl w:ilvl="0">
      <w:lvlJc w:val="left"/>
      <w:lvlText w:val="(%1)"/>
      <w:numFmt w:val="lowerLetter"/>
      <w:start w:val="25"/>
    </w:lvl>
  </w:abstractNum>
  <w:abstractNum w:abstractNumId="145">
    <w:nsid w:val="530386D1"/>
    <w:multiLevelType w:val="hybridMultilevel"/>
    <w:lvl w:ilvl="0">
      <w:lvlJc w:val="left"/>
      <w:lvlText w:val="(%1)"/>
      <w:numFmt w:val="lowerRoman"/>
      <w:start w:val="4"/>
    </w:lvl>
  </w:abstractNum>
  <w:abstractNum w:abstractNumId="146">
    <w:nsid w:val="7525F2BC"/>
    <w:multiLevelType w:val="hybridMultilevel"/>
    <w:lvl w:ilvl="0">
      <w:lvlJc w:val="left"/>
      <w:lvlText w:val="(%1)"/>
      <w:numFmt w:val="lowerLetter"/>
      <w:start w:val="2"/>
    </w:lvl>
  </w:abstractNum>
  <w:abstractNum w:abstractNumId="147">
    <w:nsid w:val="CE8E1A7"/>
    <w:multiLevelType w:val="hybridMultilevel"/>
    <w:lvl w:ilvl="0">
      <w:lvlJc w:val="left"/>
      <w:lvlText w:val="(%1)"/>
      <w:numFmt w:val="lowerLetter"/>
      <w:start w:val="1"/>
    </w:lvl>
  </w:abstractNum>
  <w:abstractNum w:abstractNumId="148">
    <w:nsid w:val="4E9EFB0D"/>
    <w:multiLevelType w:val="hybridMultilevel"/>
    <w:lvl w:ilvl="0">
      <w:lvlJc w:val="left"/>
      <w:lvlText w:val="(%1)"/>
      <w:numFmt w:val="lowerLetter"/>
      <w:start w:val="2"/>
    </w:lvl>
  </w:abstractNum>
  <w:abstractNum w:abstractNumId="149">
    <w:nsid w:val="90802BE"/>
    <w:multiLevelType w:val="hybridMultilevel"/>
    <w:lvl w:ilvl="0">
      <w:lvlJc w:val="left"/>
      <w:lvlText w:val="(%1)"/>
      <w:numFmt w:val="lowerLetter"/>
      <w:start w:val="1"/>
    </w:lvl>
  </w:abstractNum>
  <w:abstractNum w:abstractNumId="150">
    <w:nsid w:val="3266459B"/>
    <w:multiLevelType w:val="hybridMultilevel"/>
    <w:lvl w:ilvl="0">
      <w:lvlJc w:val="left"/>
      <w:lvlText w:val="(%1)"/>
      <w:numFmt w:val="lowerLetter"/>
      <w:start w:val="35"/>
    </w:lvl>
  </w:abstractNum>
  <w:abstractNum w:abstractNumId="151">
    <w:nsid w:val="3F8B0CBF"/>
    <w:multiLevelType w:val="hybridMultilevel"/>
    <w:lvl w:ilvl="0">
      <w:lvlJc w:val="left"/>
      <w:lvlText w:val="(%1)"/>
      <w:numFmt w:val="lowerLetter"/>
      <w:start w:val="1"/>
    </w:lvl>
  </w:abstractNum>
  <w:abstractNum w:abstractNumId="152">
    <w:nsid w:val="37E203AB"/>
    <w:multiLevelType w:val="hybridMultilevel"/>
    <w:lvl w:ilvl="0">
      <w:lvlJc w:val="left"/>
      <w:lvlText w:val="(%1)"/>
      <w:numFmt w:val="lowerRoman"/>
      <w:start w:val="1"/>
    </w:lvl>
  </w:abstractNum>
  <w:abstractNum w:abstractNumId="153">
    <w:nsid w:val="2586D60E"/>
    <w:multiLevelType w:val="hybridMultilevel"/>
    <w:lvl w:ilvl="0">
      <w:lvlJc w:val="left"/>
      <w:lvlText w:val="(%1)"/>
      <w:numFmt w:val="lowerRoman"/>
      <w:start w:val="2"/>
    </w:lvl>
  </w:abstractNum>
  <w:abstractNum w:abstractNumId="154">
    <w:nsid w:val="1F3DA4D5"/>
    <w:multiLevelType w:val="hybridMultilevel"/>
    <w:lvl w:ilvl="0">
      <w:lvlJc w:val="left"/>
      <w:lvlText w:val="(%1)"/>
      <w:numFmt w:val="lowerLetter"/>
      <w:start w:val="2"/>
    </w:lvl>
  </w:abstractNum>
  <w:abstractNum w:abstractNumId="155">
    <w:nsid w:val="74C93698"/>
    <w:multiLevelType w:val="hybridMultilevel"/>
    <w:lvl w:ilvl="0">
      <w:lvlJc w:val="left"/>
      <w:lvlText w:val="(%1)"/>
      <w:numFmt w:val="lowerLetter"/>
      <w:start w:val="1"/>
    </w:lvl>
  </w:abstractNum>
  <w:abstractNum w:abstractNumId="156">
    <w:nsid w:val="48781401"/>
    <w:multiLevelType w:val="hybridMultilevel"/>
    <w:lvl w:ilvl="0">
      <w:lvlJc w:val="left"/>
      <w:lvlText w:val="(%1)"/>
      <w:numFmt w:val="lowerLetter"/>
      <w:start w:val="1"/>
    </w:lvl>
  </w:abstractNum>
  <w:abstractNum w:abstractNumId="157">
    <w:nsid w:val="186928D6"/>
    <w:multiLevelType w:val="hybridMultilevel"/>
    <w:lvl w:ilvl="0">
      <w:lvlJc w:val="left"/>
      <w:lvlText w:val="(%1)"/>
      <w:numFmt w:val="lowerLetter"/>
      <w:start w:val="4"/>
    </w:lvl>
  </w:abstractNum>
  <w:abstractNum w:abstractNumId="158">
    <w:nsid w:val="47195E5"/>
    <w:multiLevelType w:val="hybridMultilevel"/>
    <w:lvl w:ilvl="0">
      <w:lvlJc w:val="left"/>
      <w:lvlText w:val="(%1)"/>
      <w:numFmt w:val="lowerRoman"/>
      <w:start w:val="1"/>
    </w:lvl>
  </w:abstractNum>
  <w:abstractNum w:abstractNumId="159">
    <w:nsid w:val="3746A5F2"/>
    <w:multiLevelType w:val="hybridMultilevel"/>
    <w:lvl w:ilvl="0">
      <w:lvlJc w:val="left"/>
      <w:lvlText w:val="(%1)"/>
      <w:numFmt w:val="lowerRoman"/>
      <w:start w:val="5"/>
    </w:lvl>
  </w:abstractNum>
  <w:abstractNum w:abstractNumId="160">
    <w:nsid w:val="682DFED6"/>
    <w:multiLevelType w:val="hybridMultilevel"/>
    <w:lvl w:ilvl="0">
      <w:lvlJc w:val="left"/>
      <w:lvlText w:val="(%1)"/>
      <w:numFmt w:val="lowerLetter"/>
      <w:start w:val="1"/>
    </w:lvl>
  </w:abstractNum>
  <w:abstractNum w:abstractNumId="161">
    <w:nsid w:val="606ED7F6"/>
    <w:multiLevelType w:val="hybridMultilevel"/>
    <w:lvl w:ilvl="0">
      <w:lvlJc w:val="left"/>
      <w:lvlText w:val="%1"/>
      <w:numFmt w:val="lowerLetter"/>
      <w:start w:val="1"/>
    </w:lvl>
    <w:lvl w:ilvl="1">
      <w:lvlJc w:val="left"/>
      <w:lvlText w:val="(%2)"/>
      <w:numFmt w:val="lowerLetter"/>
      <w:start w:val="3"/>
    </w:lvl>
  </w:abstractNum>
  <w:abstractNum w:abstractNumId="162">
    <w:nsid w:val="2D9DF57D"/>
    <w:multiLevelType w:val="hybridMultilevel"/>
    <w:lvl w:ilvl="0">
      <w:lvlJc w:val="left"/>
      <w:lvlText w:val="(%1)"/>
      <w:numFmt w:val="lowerLetter"/>
      <w:start w:val="9"/>
    </w:lvl>
    <w:lvl w:ilvl="1">
      <w:lvlJc w:val="left"/>
      <w:lvlText w:val="%2"/>
      <w:numFmt w:val="lowerLetter"/>
      <w:start w:val="1"/>
    </w:lvl>
  </w:abstractNum>
  <w:abstractNum w:abstractNumId="163">
    <w:nsid w:val="7FBD7A3E"/>
    <w:multiLevelType w:val="hybridMultilevel"/>
    <w:lvl w:ilvl="0">
      <w:lvlJc w:val="left"/>
      <w:lvlText w:val="(%1)"/>
      <w:numFmt w:val="lowerLetter"/>
      <w:start w:val="4"/>
    </w:lvl>
  </w:abstractNum>
  <w:abstractNum w:abstractNumId="164">
    <w:nsid w:val="490B7C5"/>
    <w:multiLevelType w:val="hybridMultilevel"/>
    <w:lvl w:ilvl="0">
      <w:lvlJc w:val="left"/>
      <w:lvlText w:val="(%1)"/>
      <w:numFmt w:val="lowerLetter"/>
      <w:start w:val="1"/>
    </w:lvl>
  </w:abstractNum>
  <w:abstractNum w:abstractNumId="165">
    <w:nsid w:val="4303A216"/>
    <w:multiLevelType w:val="hybridMultilevel"/>
    <w:lvl w:ilvl="0">
      <w:lvlJc w:val="left"/>
      <w:lvlText w:val="(%1)"/>
      <w:numFmt w:val="lowerLetter"/>
      <w:start w:val="2"/>
    </w:lvl>
  </w:abstractNum>
  <w:abstractNum w:abstractNumId="166">
    <w:nsid w:val="19B8A08E"/>
    <w:multiLevelType w:val="hybridMultilevel"/>
    <w:lvl w:ilvl="0">
      <w:lvlJc w:val="left"/>
      <w:lvlText w:val="(%1)"/>
      <w:numFmt w:val="lowerLetter"/>
      <w:start w:val="4"/>
    </w:lvl>
  </w:abstractNum>
  <w:abstractNum w:abstractNumId="167">
    <w:nsid w:val="54B59621"/>
    <w:multiLevelType w:val="hybridMultilevel"/>
    <w:lvl w:ilvl="0">
      <w:lvlJc w:val="left"/>
      <w:lvlText w:val="(%1)"/>
      <w:numFmt w:val="lowerLetter"/>
      <w:start w:val="6"/>
    </w:lvl>
  </w:abstractNum>
  <w:abstractNum w:abstractNumId="168">
    <w:nsid w:val="5992A02E"/>
    <w:multiLevelType w:val="hybridMultilevel"/>
    <w:lvl w:ilvl="0">
      <w:lvlJc w:val="left"/>
      <w:lvlText w:val="%1"/>
      <w:numFmt w:val="lowerLetter"/>
      <w:start w:val="1"/>
    </w:lvl>
    <w:lvl w:ilvl="1">
      <w:lvlJc w:val="left"/>
      <w:lvlText w:val="(%2)"/>
      <w:numFmt w:val="lowerLetter"/>
      <w:start w:val="9"/>
    </w:lvl>
  </w:abstractNum>
  <w:abstractNum w:abstractNumId="169">
    <w:nsid w:val="29EF532D"/>
    <w:multiLevelType w:val="hybridMultilevel"/>
    <w:lvl w:ilvl="0">
      <w:lvlJc w:val="left"/>
      <w:lvlText w:val="(%1)"/>
      <w:numFmt w:val="lowerLetter"/>
      <w:start w:val="22"/>
    </w:lvl>
    <w:lvl w:ilvl="1">
      <w:lvlJc w:val="left"/>
      <w:lvlText w:val="%2"/>
      <w:numFmt w:val="lowerLetter"/>
      <w:start w:val="1"/>
    </w:lvl>
  </w:abstractNum>
  <w:abstractNum w:abstractNumId="170">
    <w:nsid w:val="71D601AF"/>
    <w:multiLevelType w:val="hybridMultilevel"/>
    <w:lvl w:ilvl="0">
      <w:lvlJc w:val="left"/>
      <w:lvlText w:val="(%1)"/>
      <w:numFmt w:val="lowerLetter"/>
      <w:start w:val="11"/>
    </w:lvl>
  </w:abstractNum>
  <w:abstractNum w:abstractNumId="171">
    <w:nsid w:val="52C77402"/>
    <w:multiLevelType w:val="hybridMultilevel"/>
    <w:lvl w:ilvl="0">
      <w:lvlJc w:val="left"/>
      <w:lvlText w:val="(%1)"/>
      <w:numFmt w:val="lowerLetter"/>
      <w:start w:val="1"/>
    </w:lvl>
  </w:abstractNum>
  <w:abstractNum w:abstractNumId="172">
    <w:nsid w:val="2BB5B1C6"/>
    <w:multiLevelType w:val="hybridMultilevel"/>
    <w:lvl w:ilvl="0">
      <w:lvlJc w:val="left"/>
      <w:lvlText w:val="(%1)"/>
      <w:numFmt w:val="lowerLetter"/>
      <w:start w:val="2"/>
    </w:lvl>
  </w:abstractNum>
  <w:abstractNum w:abstractNumId="173">
    <w:nsid w:val="66BE6B9"/>
    <w:multiLevelType w:val="hybridMultilevel"/>
    <w:lvl w:ilvl="0">
      <w:lvlJc w:val="left"/>
      <w:lvlText w:val="(%1)"/>
      <w:numFmt w:val="lowerLetter"/>
      <w:start w:val="1"/>
    </w:lvl>
  </w:abstractNum>
  <w:abstractNum w:abstractNumId="174">
    <w:nsid w:val="62234363"/>
    <w:multiLevelType w:val="hybridMultilevel"/>
    <w:lvl w:ilvl="0">
      <w:lvlJc w:val="left"/>
      <w:lvlText w:val="(%1)"/>
      <w:numFmt w:val="lowerLetter"/>
      <w:start w:val="3"/>
    </w:lvl>
    <w:lvl w:ilvl="1">
      <w:lvlJc w:val="left"/>
      <w:lvlText w:val="(%2)"/>
      <w:numFmt w:val="lowerRoman"/>
      <w:start w:val="1"/>
    </w:lvl>
  </w:abstractNum>
  <w:abstractNum w:abstractNumId="175">
    <w:nsid w:val="66D385C9"/>
    <w:multiLevelType w:val="hybridMultilevel"/>
    <w:lvl w:ilvl="0">
      <w:lvlJc w:val="left"/>
      <w:lvlText w:val="(%1)"/>
      <w:numFmt w:val="lowerLetter"/>
      <w:start w:val="4"/>
    </w:lvl>
  </w:abstractNum>
  <w:abstractNum w:abstractNumId="176">
    <w:nsid w:val="596F6D8A"/>
    <w:multiLevelType w:val="hybridMultilevel"/>
    <w:lvl w:ilvl="0">
      <w:lvlJc w:val="left"/>
      <w:lvlText w:val="(%1)"/>
      <w:numFmt w:val="lowerLetter"/>
      <w:start w:val="1"/>
    </w:lvl>
  </w:abstractNum>
  <w:abstractNum w:abstractNumId="177">
    <w:nsid w:val="5749361F"/>
    <w:multiLevelType w:val="hybridMultilevel"/>
    <w:lvl w:ilvl="0">
      <w:lvlJc w:val="left"/>
      <w:lvlText w:val="(%1)"/>
      <w:numFmt w:val="lowerLetter"/>
      <w:start w:val="2"/>
    </w:lvl>
  </w:abstractNum>
  <w:abstractNum w:abstractNumId="178">
    <w:nsid w:val="73BC6770"/>
    <w:multiLevelType w:val="hybridMultilevel"/>
    <w:lvl w:ilvl="0">
      <w:lvlJc w:val="left"/>
      <w:lvlText w:val="%1"/>
      <w:numFmt w:val="lowerLetter"/>
      <w:start w:val="1"/>
    </w:lvl>
    <w:lvl w:ilvl="1">
      <w:lvlJc w:val="left"/>
      <w:lvlText w:val="(%2)"/>
      <w:numFmt w:val="lowerLetter"/>
      <w:start w:val="1"/>
    </w:lvl>
  </w:abstractNum>
  <w:abstractNum w:abstractNumId="179">
    <w:nsid w:val="280E6897"/>
    <w:multiLevelType w:val="hybridMultilevel"/>
    <w:lvl w:ilvl="0">
      <w:lvlJc w:val="left"/>
      <w:lvlText w:val="(%1)"/>
      <w:numFmt w:val="lowerLetter"/>
      <w:start w:val="61"/>
    </w:lvl>
    <w:lvl w:ilvl="1">
      <w:lvlJc w:val="left"/>
      <w:lvlText w:val="%2"/>
      <w:numFmt w:val="lowerLetter"/>
      <w:start w:val="1"/>
    </w:lvl>
  </w:abstractNum>
  <w:abstractNum w:abstractNumId="180">
    <w:nsid w:val="605138DE"/>
    <w:multiLevelType w:val="hybridMultilevel"/>
    <w:lvl w:ilvl="0">
      <w:lvlJc w:val="left"/>
      <w:lvlText w:val="(%1)"/>
      <w:numFmt w:val="lowerLetter"/>
      <w:start w:val="4"/>
    </w:lvl>
  </w:abstractNum>
  <w:abstractNum w:abstractNumId="181">
    <w:nsid w:val="2622AD0C"/>
    <w:multiLevelType w:val="hybridMultilevel"/>
    <w:lvl w:ilvl="0">
      <w:lvlJc w:val="left"/>
      <w:lvlText w:val="(%1)"/>
      <w:numFmt w:val="lowerLetter"/>
      <w:start w:val="1"/>
    </w:lvl>
    <w:lvl w:ilvl="1">
      <w:lvlJc w:val="left"/>
      <w:lvlText w:val="(%2)"/>
      <w:numFmt w:val="lowerRoman"/>
      <w:start w:val="1"/>
    </w:lvl>
  </w:abstractNum>
  <w:abstractNum w:abstractNumId="182">
    <w:nsid w:val="67997556"/>
    <w:multiLevelType w:val="hybridMultilevel"/>
    <w:lvl w:ilvl="0">
      <w:lvlJc w:val="left"/>
      <w:lvlText w:val="(%1)"/>
      <w:numFmt w:val="lowerLetter"/>
      <w:start w:val="2"/>
    </w:lvl>
  </w:abstractNum>
  <w:abstractNum w:abstractNumId="183">
    <w:nsid w:val="18333C89"/>
    <w:multiLevelType w:val="hybridMultilevel"/>
    <w:lvl w:ilvl="0">
      <w:lvlJc w:val="left"/>
      <w:lvlText w:val="(%1)"/>
      <w:numFmt w:val="lowerLetter"/>
      <w:start w:val="4"/>
    </w:lvl>
  </w:abstractNum>
  <w:abstractNum w:abstractNumId="184">
    <w:nsid w:val="4BA9831A"/>
    <w:multiLevelType w:val="hybridMultilevel"/>
    <w:lvl w:ilvl="0">
      <w:lvlJc w:val="left"/>
      <w:lvlText w:val="(%1)"/>
      <w:numFmt w:val="lowerLetter"/>
      <w:start w:val="1"/>
    </w:lvl>
  </w:abstractNum>
  <w:abstractNum w:abstractNumId="185">
    <w:nsid w:val="6D71A2B"/>
    <w:multiLevelType w:val="hybridMultilevel"/>
    <w:lvl w:ilvl="0">
      <w:lvlJc w:val="left"/>
      <w:lvlText w:val="%1"/>
      <w:numFmt w:val="lowerLetter"/>
      <w:start w:val="1"/>
    </w:lvl>
    <w:lvl w:ilvl="1">
      <w:lvlJc w:val="left"/>
      <w:lvlText w:val="(%2)"/>
      <w:numFmt w:val="lowerLetter"/>
      <w:start w:val="8"/>
    </w:lvl>
  </w:abstractNum>
  <w:abstractNum w:abstractNumId="186">
    <w:nsid w:val="CFC7321"/>
    <w:multiLevelType w:val="hybridMultilevel"/>
    <w:lvl w:ilvl="0">
      <w:lvlJc w:val="left"/>
      <w:lvlText w:val="(%1)"/>
      <w:numFmt w:val="lowerLetter"/>
      <w:start w:val="24"/>
    </w:lvl>
    <w:lvl w:ilvl="1">
      <w:lvlJc w:val="left"/>
      <w:lvlText w:val="%2"/>
      <w:numFmt w:val="lowerLetter"/>
      <w:start w:val="1"/>
    </w:lvl>
  </w:abstractNum>
  <w:abstractNum w:abstractNumId="187">
    <w:nsid w:val="1421971B"/>
    <w:multiLevelType w:val="hybridMultilevel"/>
    <w:lvl w:ilvl="0">
      <w:lvlJc w:val="left"/>
      <w:lvlText w:val="(%1)"/>
      <w:numFmt w:val="lowerLetter"/>
      <w:start w:val="1"/>
    </w:lvl>
  </w:abstractNum>
  <w:abstractNum w:abstractNumId="188">
    <w:nsid w:val="1F404301"/>
    <w:multiLevelType w:val="hybridMultilevel"/>
    <w:lvl w:ilvl="0">
      <w:lvlJc w:val="left"/>
      <w:lvlText w:val="(%1)"/>
      <w:numFmt w:val="lowerLetter"/>
      <w:start w:val="3"/>
    </w:lvl>
  </w:abstractNum>
  <w:abstractNum w:abstractNumId="189">
    <w:nsid w:val="116E0907"/>
    <w:multiLevelType w:val="hybridMultilevel"/>
    <w:lvl w:ilvl="0">
      <w:lvlJc w:val="left"/>
      <w:lvlText w:val="(%1)"/>
      <w:numFmt w:val="lowerLetter"/>
      <w:start w:val="1"/>
    </w:lvl>
  </w:abstractNum>
  <w:abstractNum w:abstractNumId="190">
    <w:nsid w:val="4B683D0D"/>
    <w:multiLevelType w:val="hybridMultilevel"/>
    <w:lvl w:ilvl="0">
      <w:lvlJc w:val="left"/>
      <w:lvlText w:val="%1"/>
      <w:numFmt w:val="lowerLetter"/>
      <w:start w:val="1"/>
    </w:lvl>
    <w:lvl w:ilvl="1">
      <w:lvlJc w:val="left"/>
      <w:lvlText w:val="(%2)"/>
      <w:numFmt w:val="lowerLetter"/>
      <w:start w:val="5"/>
    </w:lvl>
  </w:abstractNum>
  <w:abstractNum w:abstractNumId="191">
    <w:nsid w:val="76E41D8"/>
    <w:multiLevelType w:val="hybridMultilevel"/>
    <w:lvl w:ilvl="0">
      <w:lvlJc w:val="left"/>
      <w:lvlText w:val="(%1)"/>
      <w:numFmt w:val="lowerLetter"/>
      <w:start w:val="35"/>
    </w:lvl>
    <w:lvl w:ilvl="1">
      <w:lvlJc w:val="left"/>
      <w:lvlText w:val="(%2)"/>
      <w:numFmt w:val="lowerLetter"/>
      <w:start w:val="6"/>
    </w:lvl>
  </w:abstractNum>
  <w:abstractNum w:abstractNumId="192">
    <w:nsid w:val="71DCE0FD"/>
    <w:multiLevelType w:val="hybridMultilevel"/>
    <w:lvl w:ilvl="0">
      <w:lvlJc w:val="left"/>
      <w:lvlText w:val="(%1)"/>
      <w:numFmt w:val="lowerLetter"/>
      <w:start w:val="1"/>
    </w:lvl>
    <w:lvl w:ilvl="1">
      <w:lvlJc w:val="left"/>
      <w:lvlText w:val="(%2)"/>
      <w:numFmt w:val="lowerRoman"/>
      <w:start w:val="1"/>
    </w:lvl>
  </w:abstractNum>
  <w:abstractNum w:abstractNumId="193">
    <w:nsid w:val="7906328B"/>
    <w:multiLevelType w:val="hybridMultilevel"/>
    <w:lvl w:ilvl="0">
      <w:lvlJc w:val="left"/>
      <w:lvlText w:val="(%1)"/>
      <w:numFmt w:val="lowerLetter"/>
      <w:start w:val="2"/>
    </w:lvl>
  </w:abstractNum>
  <w:abstractNum w:abstractNumId="194">
    <w:nsid w:val="72BBC16"/>
    <w:multiLevelType w:val="hybridMultilevel"/>
    <w:lvl w:ilvl="0">
      <w:lvlJc w:val="left"/>
      <w:lvlText w:val="%1"/>
      <w:numFmt w:val="upperLetter"/>
      <w:start w:val="1"/>
    </w:lvl>
    <w:lvl w:ilvl="1">
      <w:lvlJc w:val="left"/>
      <w:lvlText w:val="(%2)"/>
      <w:numFmt w:val="lowerLetter"/>
      <w:start w:val="5"/>
    </w:lvl>
  </w:abstractNum>
  <w:abstractNum w:abstractNumId="195">
    <w:nsid w:val="766D98C2"/>
    <w:multiLevelType w:val="hybridMultilevel"/>
    <w:lvl w:ilvl="0">
      <w:lvlJc w:val="left"/>
      <w:lvlText w:val="(%1)"/>
      <w:numFmt w:val="upperLetter"/>
      <w:start w:val="1"/>
    </w:lvl>
    <w:lvl w:ilvl="1">
      <w:lvlJc w:val="left"/>
      <w:lvlText w:val="(%2)"/>
      <w:numFmt w:val="lowerLetter"/>
      <w:start w:val="6"/>
    </w:lvl>
  </w:abstractNum>
  <w:abstractNum w:abstractNumId="196">
    <w:nsid w:val="3C09D4A1"/>
    <w:multiLevelType w:val="hybridMultilevel"/>
    <w:lvl w:ilvl="0">
      <w:lvlJc w:val="left"/>
      <w:lvlText w:val="(%1)"/>
      <w:numFmt w:val="lowerLetter"/>
      <w:start w:val="1"/>
    </w:lvl>
    <w:lvl w:ilvl="1">
      <w:lvlJc w:val="left"/>
      <w:lvlText w:val="(%2)"/>
      <w:numFmt w:val="lowerLetter"/>
      <w:start w:val="9"/>
    </w:lvl>
  </w:abstractNum>
  <w:abstractNum w:abstractNumId="197">
    <w:nsid w:val="20E45CA4"/>
    <w:multiLevelType w:val="hybridMultilevel"/>
    <w:lvl w:ilvl="0">
      <w:lvlJc w:val="left"/>
      <w:lvlText w:val="(%1)"/>
      <w:numFmt w:val="lowerRoman"/>
      <w:start w:val="2"/>
    </w:lvl>
  </w:abstractNum>
  <w:abstractNum w:abstractNumId="198">
    <w:nsid w:val="4B232EE3"/>
    <w:multiLevelType w:val="hybridMultilevel"/>
    <w:lvl w:ilvl="0">
      <w:lvlJc w:val="left"/>
      <w:lvlText w:val="%1"/>
      <w:numFmt w:val="lowerLetter"/>
      <w:start w:val="1"/>
    </w:lvl>
    <w:lvl w:ilvl="1">
      <w:lvlJc w:val="left"/>
      <w:lvlText w:val="(%2)"/>
      <w:numFmt w:val="lowerLetter"/>
      <w:start w:val="2"/>
    </w:lvl>
  </w:abstractNum>
  <w:abstractNum w:abstractNumId="199">
    <w:nsid w:val="159C74CF"/>
    <w:multiLevelType w:val="hybridMultilevel"/>
    <w:lvl w:ilvl="0">
      <w:lvlJc w:val="left"/>
      <w:lvlText w:val="(%1)"/>
      <w:numFmt w:val="lowerLetter"/>
      <w:start w:val="2"/>
    </w:lvl>
    <w:lvl w:ilvl="1">
      <w:lvlJc w:val="left"/>
      <w:lvlText w:val="%2"/>
      <w:numFmt w:val="lowerLetter"/>
      <w:start w:val="1"/>
    </w:lvl>
  </w:abstractNum>
  <w:abstractNum w:abstractNumId="200">
    <w:nsid w:val="4AD3AFD2"/>
    <w:multiLevelType w:val="hybridMultilevel"/>
    <w:lvl w:ilvl="0">
      <w:lvlJc w:val="left"/>
      <w:lvlText w:val="(%1)"/>
      <w:numFmt w:val="lowerLetter"/>
      <w:start w:val="4"/>
    </w:lvl>
  </w:abstractNum>
  <w:abstractNum w:abstractNumId="201">
    <w:nsid w:val="3CF93092"/>
    <w:multiLevelType w:val="hybridMultilevel"/>
    <w:lvl w:ilvl="0">
      <w:lvlJc w:val="left"/>
      <w:lvlText w:val="(%1)"/>
      <w:numFmt w:val="lowerLetter"/>
      <w:start w:val="1"/>
    </w:lvl>
  </w:abstractNum>
  <w:abstractNum w:abstractNumId="202">
    <w:nsid w:val="6863E8D2"/>
    <w:multiLevelType w:val="hybridMultilevel"/>
    <w:lvl w:ilvl="0">
      <w:lvlJc w:val="left"/>
      <w:lvlText w:val="(%1)"/>
      <w:numFmt w:val="lowerLetter"/>
      <w:start w:val="2"/>
    </w:lvl>
  </w:abstractNum>
  <w:abstractNum w:abstractNumId="203">
    <w:nsid w:val="76896198"/>
    <w:multiLevelType w:val="hybridMultilevel"/>
    <w:lvl w:ilvl="0">
      <w:lvlJc w:val="left"/>
      <w:lvlText w:val="(%1)"/>
      <w:numFmt w:val="lowerRoman"/>
      <w:start w:val="1"/>
    </w:lvl>
    <w:lvl w:ilvl="1">
      <w:lvlJc w:val="left"/>
      <w:lvlText w:val="(%2)"/>
      <w:numFmt w:val="decimal"/>
      <w:start w:val="1"/>
    </w:lvl>
  </w:abstractNum>
  <w:abstractNum w:abstractNumId="204">
    <w:nsid w:val="4365174B"/>
    <w:multiLevelType w:val="hybridMultilevel"/>
    <w:lvl w:ilvl="0">
      <w:lvlJc w:val="left"/>
      <w:lvlText w:val="%1"/>
      <w:numFmt w:val="lowerRoman"/>
      <w:start w:val="1"/>
    </w:lvl>
    <w:lvl w:ilvl="1">
      <w:lvlJc w:val="left"/>
      <w:lvlText w:val="(%2)"/>
      <w:numFmt w:val="decimal"/>
      <w:start w:val="3"/>
    </w:lvl>
  </w:abstractNum>
  <w:abstractNum w:abstractNumId="205">
    <w:nsid w:val="4A872C35"/>
    <w:multiLevelType w:val="hybridMultilevel"/>
    <w:lvl w:ilvl="0">
      <w:lvlJc w:val="left"/>
      <w:lvlText w:val="(%1)"/>
      <w:numFmt w:val="lowerRoman"/>
      <w:start w:val="3"/>
    </w:lvl>
    <w:lvl w:ilvl="1">
      <w:lvlJc w:val="left"/>
      <w:lvlText w:val="%2"/>
      <w:numFmt w:val="decimal"/>
      <w:start w:val="1"/>
    </w:lvl>
  </w:abstractNum>
  <w:abstractNum w:abstractNumId="206">
    <w:nsid w:val="5D5CE761"/>
    <w:multiLevelType w:val="hybridMultilevel"/>
    <w:lvl w:ilvl="0">
      <w:lvlJc w:val="left"/>
      <w:lvlText w:val="(%1)"/>
      <w:numFmt w:val="lowerLetter"/>
      <w:start w:val="5"/>
    </w:lvl>
  </w:abstractNum>
  <w:abstractNum w:abstractNumId="207">
    <w:nsid w:val="1CD484D5"/>
    <w:multiLevelType w:val="hybridMultilevel"/>
    <w:lvl w:ilvl="0">
      <w:lvlJc w:val="left"/>
      <w:lvlText w:val="%1"/>
      <w:numFmt w:val="lowerRoman"/>
      <w:start w:val="1"/>
    </w:lvl>
    <w:lvl w:ilvl="1">
      <w:lvlJc w:val="left"/>
      <w:lvlText w:val="(%2)"/>
      <w:numFmt w:val="lowerLetter"/>
      <w:start w:val="7"/>
    </w:lvl>
  </w:abstractNum>
  <w:abstractNum w:abstractNumId="208">
    <w:nsid w:val="21D06255"/>
    <w:multiLevelType w:val="hybridMultilevel"/>
    <w:lvl w:ilvl="0">
      <w:lvlJc w:val="left"/>
      <w:lvlText w:val="(%1)"/>
      <w:numFmt w:val="lowerRoman"/>
      <w:start w:val="1"/>
    </w:lvl>
    <w:lvl w:ilvl="1">
      <w:lvlJc w:val="left"/>
      <w:lvlText w:val="(%2)"/>
      <w:numFmt w:val="lowerLetter"/>
      <w:start w:val="9"/>
    </w:lvl>
  </w:abstractNum>
  <w:abstractNum w:abstractNumId="209">
    <w:nsid w:val="51194ED1"/>
    <w:multiLevelType w:val="hybridMultilevel"/>
    <w:lvl w:ilvl="0">
      <w:lvlJc w:val="left"/>
      <w:lvlText w:val="(%1)"/>
      <w:numFmt w:val="lowerLetter"/>
      <w:start w:val="1"/>
    </w:lvl>
  </w:abstractNum>
  <w:abstractNum w:abstractNumId="210">
    <w:nsid w:val="44E2ED6C"/>
    <w:multiLevelType w:val="hybridMultilevel"/>
    <w:lvl w:ilvl="0">
      <w:lvlJc w:val="left"/>
      <w:lvlText w:val="(%1)"/>
      <w:numFmt w:val="lowerLetter"/>
      <w:start w:val="2"/>
    </w:lvl>
  </w:abstractNum>
  <w:abstractNum w:abstractNumId="211">
    <w:nsid w:val="2219B33"/>
    <w:multiLevelType w:val="hybridMultilevel"/>
    <w:lvl w:ilvl="0">
      <w:lvlJc w:val="left"/>
      <w:lvlText w:val="(%1)"/>
      <w:numFmt w:val="lowerLetter"/>
      <w:start w:val="4"/>
    </w:lvl>
  </w:abstractNum>
  <w:abstractNum w:abstractNumId="212">
    <w:nsid w:val="773BFBDD"/>
    <w:multiLevelType w:val="hybridMultilevel"/>
    <w:lvl w:ilvl="0">
      <w:lvlJc w:val="left"/>
      <w:lvlText w:val="(%1)"/>
      <w:numFmt w:val="lowerLetter"/>
      <w:start w:val="1"/>
    </w:lvl>
  </w:abstractNum>
  <w:abstractNum w:abstractNumId="213">
    <w:nsid w:val="2C7C62C2"/>
    <w:multiLevelType w:val="hybridMultilevel"/>
    <w:lvl w:ilvl="0">
      <w:lvlJc w:val="left"/>
      <w:lvlText w:val="(%1)"/>
      <w:numFmt w:val="lowerLetter"/>
      <w:start w:val="61"/>
    </w:lvl>
    <w:lvl w:ilvl="1">
      <w:lvlJc w:val="left"/>
      <w:lvlText w:val="(%2)"/>
      <w:numFmt w:val="lowerLetter"/>
      <w:start w:val="3"/>
    </w:lvl>
  </w:abstractNum>
  <w:abstractNum w:abstractNumId="214">
    <w:nsid w:val="1A54D7BC"/>
    <w:multiLevelType w:val="hybridMultilevel"/>
    <w:lvl w:ilvl="0">
      <w:lvlJc w:val="left"/>
      <w:lvlText w:val="(%1)"/>
      <w:numFmt w:val="lowerLetter"/>
      <w:start w:val="1"/>
    </w:lvl>
  </w:abstractNum>
  <w:abstractNum w:abstractNumId="215">
    <w:nsid w:val="42E57EF7"/>
    <w:multiLevelType w:val="hybridMultilevel"/>
    <w:lvl w:ilvl="0">
      <w:lvlJc w:val="left"/>
      <w:lvlText w:val="(%1)"/>
      <w:numFmt w:val="lowerLetter"/>
      <w:start w:val="2"/>
    </w:lvl>
    <w:lvl w:ilvl="1">
      <w:lvlJc w:val="left"/>
      <w:lvlText w:val="(%2)"/>
      <w:numFmt w:val="lowerRoman"/>
      <w:start w:val="1"/>
    </w:lvl>
  </w:abstractNum>
  <w:abstractNum w:abstractNumId="216">
    <w:nsid w:val="33537CED"/>
    <w:multiLevelType w:val="hybridMultilevel"/>
    <w:lvl w:ilvl="0">
      <w:lvlJc w:val="left"/>
      <w:lvlText w:val="(%1)"/>
      <w:numFmt w:val="lowerRoman"/>
      <w:start w:val="6"/>
    </w:lvl>
  </w:abstractNum>
  <w:abstractNum w:abstractNumId="217">
    <w:nsid w:val="27514ADE"/>
    <w:multiLevelType w:val="hybridMultilevel"/>
    <w:lvl w:ilvl="0">
      <w:lvlJc w:val="left"/>
      <w:lvlText w:val="(%1)"/>
      <w:numFmt w:val="lowerLetter"/>
      <w:start w:val="3"/>
    </w:lvl>
  </w:abstractNum>
  <w:abstractNum w:abstractNumId="218">
    <w:nsid w:val="57071613"/>
    <w:multiLevelType w:val="hybridMultilevel"/>
    <w:lvl w:ilvl="0">
      <w:lvlJc w:val="left"/>
      <w:lvlText w:val="(%1)"/>
      <w:numFmt w:val="lowerRoman"/>
      <w:start w:val="4"/>
    </w:lvl>
    <w:lvl w:ilvl="1">
      <w:lvlJc w:val="left"/>
      <w:lvlText w:val="(%2)"/>
      <w:numFmt w:val="lowerLetter"/>
      <w:start w:val="4"/>
    </w:lvl>
  </w:abstractNum>
  <w:abstractNum w:abstractNumId="219">
    <w:nsid w:val="5293BFEF"/>
    <w:multiLevelType w:val="hybridMultilevel"/>
    <w:lvl w:ilvl="0">
      <w:lvlJc w:val="left"/>
      <w:lvlText w:val="(%1)"/>
      <w:numFmt w:val="lowerRoman"/>
      <w:start w:val="2"/>
    </w:lvl>
    <w:lvl w:ilvl="1">
      <w:lvlJc w:val="left"/>
      <w:lvlText w:val="%2"/>
      <w:numFmt w:val="lowerLetter"/>
      <w:start w:val="1"/>
    </w:lvl>
  </w:abstractNum>
  <w:abstractNum w:abstractNumId="220">
    <w:nsid w:val="38BF53E5"/>
    <w:multiLevelType w:val="hybridMultilevel"/>
    <w:lvl w:ilvl="0">
      <w:lvlJc w:val="left"/>
      <w:lvlText w:val="(%1)"/>
      <w:numFmt w:val="lowerLetter"/>
      <w:start w:val="1"/>
    </w:lvl>
  </w:abstractNum>
  <w:abstractNum w:abstractNumId="221">
    <w:nsid w:val="226F5320"/>
    <w:multiLevelType w:val="hybridMultilevel"/>
    <w:lvl w:ilvl="0">
      <w:lvlJc w:val="left"/>
      <w:lvlText w:val="%1"/>
      <w:numFmt w:val="lowerLetter"/>
      <w:start w:val="1"/>
    </w:lvl>
    <w:lvl w:ilvl="1">
      <w:lvlJc w:val="left"/>
      <w:lvlText w:val="(%2)"/>
      <w:numFmt w:val="lowerLetter"/>
      <w:start w:val="2"/>
    </w:lvl>
  </w:abstractNum>
  <w:abstractNum w:abstractNumId="222">
    <w:nsid w:val="5A0201C7"/>
    <w:multiLevelType w:val="hybridMultilevel"/>
    <w:lvl w:ilvl="0">
      <w:lvlJc w:val="left"/>
      <w:lvlText w:val="(%1)"/>
      <w:numFmt w:val="lowerLetter"/>
      <w:start w:val="25"/>
    </w:lvl>
    <w:lvl w:ilvl="1">
      <w:lvlJc w:val="left"/>
      <w:lvlText w:val="%2"/>
      <w:numFmt w:val="lowerLetter"/>
      <w:start w:val="1"/>
    </w:lvl>
  </w:abstractNum>
  <w:abstractNum w:abstractNumId="223">
    <w:nsid w:val="2A9C34E2"/>
    <w:multiLevelType w:val="hybridMultilevel"/>
    <w:lvl w:ilvl="0">
      <w:lvlJc w:val="left"/>
      <w:lvlText w:val="(%1)"/>
      <w:numFmt w:val="lowerLetter"/>
      <w:start w:val="22"/>
    </w:lvl>
    <w:lvl w:ilvl="1">
      <w:lvlJc w:val="left"/>
      <w:lvlText w:val="%2"/>
      <w:numFmt w:val="lowerLetter"/>
      <w:start w:val="1"/>
    </w:lvl>
  </w:abstractNum>
  <w:abstractNum w:abstractNumId="224">
    <w:nsid w:val="1B7585AB"/>
    <w:multiLevelType w:val="hybridMultilevel"/>
    <w:lvl w:ilvl="0">
      <w:lvlJc w:val="left"/>
      <w:lvlText w:val="(%1)"/>
      <w:numFmt w:val="lowerLetter"/>
      <w:start w:val="3"/>
    </w:lvl>
  </w:abstractNum>
  <w:abstractNum w:abstractNumId="225">
    <w:nsid w:val="612DBDDD"/>
    <w:multiLevelType w:val="hybridMultilevel"/>
    <w:lvl w:ilvl="0">
      <w:lvlJc w:val="left"/>
      <w:lvlText w:val="(%1)"/>
      <w:numFmt w:val="lowerLetter"/>
      <w:start w:val="1"/>
    </w:lvl>
    <w:lvl w:ilvl="1">
      <w:lvlJc w:val="left"/>
      <w:lvlText w:val="(%2)"/>
      <w:numFmt w:val="lowerRoman"/>
      <w:start w:val="1"/>
    </w:lvl>
  </w:abstractNum>
  <w:abstractNum w:abstractNumId="226">
    <w:nsid w:val="2109CDA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227">
    <w:nsid w:val="577F5A4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8">
    <w:nsid w:val="2121A81"/>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29">
    <w:nsid w:val="6C2CFC88"/>
    <w:multiLevelType w:val="hybridMultilevel"/>
    <w:lvl w:ilvl="0">
      <w:lvlJc w:val="left"/>
      <w:lvlText w:val="(%1)"/>
      <w:numFmt w:val="lowerRoman"/>
      <w:start w:val="1"/>
    </w:lvl>
  </w:abstractNum>
  <w:abstractNum w:abstractNumId="230">
    <w:nsid w:val="6D1BCF1C"/>
    <w:multiLevelType w:val="hybridMultilevel"/>
    <w:lvl w:ilvl="0">
      <w:lvlJc w:val="left"/>
      <w:lvlText w:val="(%1)"/>
      <w:numFmt w:val="lowerLetter"/>
      <w:start w:val="4"/>
    </w:lvl>
  </w:abstractNum>
  <w:abstractNum w:abstractNumId="231">
    <w:nsid w:val="4CE5CA53"/>
    <w:multiLevelType w:val="hybridMultilevel"/>
    <w:lvl w:ilvl="0">
      <w:lvlJc w:val="left"/>
      <w:lvlText w:val="(%1)"/>
      <w:numFmt w:val="lowerLetter"/>
      <w:start w:val="1"/>
    </w:lvl>
    <w:lvl w:ilvl="1">
      <w:lvlJc w:val="left"/>
      <w:lvlText w:val="(%2)"/>
      <w:numFmt w:val="lowerRoman"/>
      <w:start w:val="1"/>
    </w:lvl>
  </w:abstractNum>
  <w:abstractNum w:abstractNumId="232">
    <w:nsid w:val="29262D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3">
    <w:nsid w:val="557FB7E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34">
    <w:nsid w:val="436F2BE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5">
    <w:nsid w:val="6C8B4466"/>
    <w:multiLevelType w:val="hybridMultilevel"/>
    <w:lvl w:ilvl="0">
      <w:lvlJc w:val="left"/>
      <w:lvlText w:val="(%1)"/>
      <w:numFmt w:val="lowerLetter"/>
      <w:start w:val="3"/>
    </w:lvl>
  </w:abstractNum>
  <w:abstractNum w:abstractNumId="236">
    <w:nsid w:val="2006E424"/>
    <w:multiLevelType w:val="hybridMultilevel"/>
    <w:lvl w:ilvl="0">
      <w:lvlJc w:val="left"/>
      <w:lvlText w:val="(%1)"/>
      <w:numFmt w:val="lowerLetter"/>
      <w:start w:val="1"/>
    </w:lvl>
    <w:lvl w:ilvl="1">
      <w:lvlJc w:val="left"/>
      <w:lvlText w:val="(%2)"/>
      <w:numFmt w:val="lowerRoman"/>
      <w:start w:val="1"/>
    </w:lvl>
  </w:abstractNum>
  <w:abstractNum w:abstractNumId="237">
    <w:nsid w:val="20CC134C"/>
    <w:multiLevelType w:val="hybridMultilevel"/>
    <w:lvl w:ilvl="0">
      <w:lvlJc w:val="left"/>
      <w:lvlText w:val="%1"/>
      <w:numFmt w:val="lowerLetter"/>
      <w:start w:val="1"/>
    </w:lvl>
    <w:lvl w:ilvl="1">
      <w:lvlJc w:val="left"/>
      <w:lvlText w:val="(%2)"/>
      <w:numFmt w:val="lowerRoman"/>
      <w:start w:val="4"/>
    </w:lvl>
  </w:abstractNum>
  <w:abstractNum w:abstractNumId="238">
    <w:nsid w:val="95FC93B"/>
    <w:multiLevelType w:val="hybridMultilevel"/>
    <w:lvl w:ilvl="0">
      <w:lvlJc w:val="left"/>
      <w:lvlText w:val="(%1)"/>
      <w:numFmt w:val="lowerLetter"/>
      <w:start w:val="2"/>
    </w:lvl>
    <w:lvl w:ilvl="1">
      <w:lvlJc w:val="left"/>
      <w:lvlText w:val="%2"/>
      <w:numFmt w:val="lowerRoman"/>
      <w:start w:val="1"/>
    </w:lvl>
  </w:abstractNum>
  <w:abstractNum w:abstractNumId="239">
    <w:nsid w:val="41D74679"/>
    <w:multiLevelType w:val="hybridMultilevel"/>
    <w:lvl w:ilvl="0">
      <w:lvlJc w:val="left"/>
      <w:lvlText w:val="(%1)"/>
      <w:numFmt w:val="lowerLetter"/>
      <w:start w:val="4"/>
    </w:lvl>
  </w:abstractNum>
  <w:abstractNum w:abstractNumId="240">
    <w:nsid w:val="71E5621E"/>
    <w:multiLevelType w:val="hybridMultilevel"/>
    <w:lvl w:ilvl="0">
      <w:lvlJc w:val="left"/>
      <w:lvlText w:val="(%1)"/>
      <w:numFmt w:val="lowerLetter"/>
      <w:start w:val="1"/>
    </w:lvl>
  </w:abstractNum>
  <w:abstractNum w:abstractNumId="241">
    <w:nsid w:val="4E42B6A8"/>
    <w:multiLevelType w:val="hybridMultilevel"/>
    <w:lvl w:ilvl="0">
      <w:lvlJc w:val="left"/>
      <w:lvlText w:val="(%1)"/>
      <w:numFmt w:val="lowerLetter"/>
      <w:start w:val="1"/>
    </w:lvl>
  </w:abstractNum>
  <w:abstractNum w:abstractNumId="242">
    <w:nsid w:val="43F8E1AC"/>
    <w:multiLevelType w:val="hybridMultilevel"/>
    <w:lvl w:ilvl="0">
      <w:lvlJc w:val="left"/>
      <w:lvlText w:val="(%1)"/>
      <w:numFmt w:val="lowerLetter"/>
      <w:start w:val="1"/>
    </w:lvl>
  </w:abstractNum>
  <w:abstractNum w:abstractNumId="243">
    <w:nsid w:val="69215DFB"/>
    <w:multiLevelType w:val="hybridMultilevel"/>
    <w:lvl w:ilvl="0">
      <w:lvlJc w:val="left"/>
      <w:lvlText w:val="(%1)"/>
      <w:numFmt w:val="lowerLetter"/>
      <w:start w:val="1"/>
    </w:lvl>
  </w:abstractNum>
  <w:abstractNum w:abstractNumId="244">
    <w:nsid w:val="7ABF196A"/>
    <w:multiLevelType w:val="hybridMultilevel"/>
    <w:lvl w:ilvl="0">
      <w:lvlJc w:val="left"/>
      <w:lvlText w:val="(%1)"/>
      <w:numFmt w:val="lowerLetter"/>
      <w:start w:val="1"/>
    </w:lvl>
  </w:abstractNum>
  <w:abstractNum w:abstractNumId="245">
    <w:nsid w:val="5E4DB968"/>
    <w:multiLevelType w:val="hybridMultilevel"/>
    <w:lvl w:ilvl="0">
      <w:lvlJc w:val="left"/>
      <w:lvlText w:val="(%1)"/>
      <w:numFmt w:val="lowerLetter"/>
      <w:start w:val="4"/>
    </w:lvl>
  </w:abstractNum>
  <w:abstractNum w:abstractNumId="246">
    <w:nsid w:val="2C06DCF3"/>
    <w:multiLevelType w:val="hybridMultilevel"/>
    <w:lvl w:ilvl="0">
      <w:lvlJc w:val="left"/>
      <w:lvlText w:val="(%1)"/>
      <w:numFmt w:val="lowerLetter"/>
      <w:start w:val="1"/>
    </w:lvl>
  </w:abstractNum>
  <w:abstractNum w:abstractNumId="247">
    <w:nsid w:val="2E129658"/>
    <w:multiLevelType w:val="hybridMultilevel"/>
    <w:lvl w:ilvl="0">
      <w:lvlJc w:val="left"/>
      <w:lvlText w:val="(%1)"/>
      <w:numFmt w:val="lowerLetter"/>
      <w:start w:val="2"/>
    </w:lvl>
  </w:abstractNum>
  <w:abstractNum w:abstractNumId="248">
    <w:nsid w:val="59F0446"/>
    <w:multiLevelType w:val="hybridMultilevel"/>
    <w:lvl w:ilvl="0">
      <w:lvlJc w:val="left"/>
      <w:lvlText w:val="(%1)"/>
      <w:numFmt w:val="lowerLetter"/>
      <w:start w:val="1"/>
    </w:lvl>
  </w:abstractNum>
  <w:abstractNum w:abstractNumId="249">
    <w:nsid w:val="30DF306"/>
    <w:multiLevelType w:val="hybridMultilevel"/>
    <w:lvl w:ilvl="0">
      <w:lvlJc w:val="left"/>
      <w:lvlText w:val="(%1)"/>
      <w:numFmt w:val="lowerLetter"/>
      <w:start w:val="1"/>
    </w:lvl>
  </w:abstractNum>
  <w:abstractNum w:abstractNumId="250">
    <w:nsid w:val="A65647"/>
    <w:multiLevelType w:val="hybridMultilevel"/>
    <w:lvl w:ilvl="0">
      <w:lvlJc w:val="left"/>
      <w:lvlText w:val="(%1)"/>
      <w:numFmt w:val="lowerLetter"/>
      <w:start w:val="7"/>
    </w:lvl>
    <w:lvl w:ilvl="1">
      <w:lvlJc w:val="left"/>
      <w:lvlText w:val="(%2)"/>
      <w:numFmt w:val="lowerRoman"/>
      <w:start w:val="1"/>
    </w:lvl>
  </w:abstractNum>
  <w:abstractNum w:abstractNumId="251">
    <w:nsid w:val="3E5E582B"/>
    <w:multiLevelType w:val="hybridMultilevel"/>
    <w:lvl w:ilvl="0">
      <w:lvlJc w:val="left"/>
      <w:lvlText w:val="(%1)"/>
      <w:numFmt w:val="lowerLetter"/>
      <w:start w:val="10"/>
    </w:lvl>
  </w:abstractNum>
  <w:abstractNum w:abstractNumId="252">
    <w:nsid w:val="257D4626"/>
    <w:multiLevelType w:val="hybridMultilevel"/>
    <w:lvl w:ilvl="0">
      <w:lvlJc w:val="left"/>
      <w:lvlText w:val="(%1)"/>
      <w:numFmt w:val="lowerLetter"/>
      <w:start w:val="1"/>
    </w:lvl>
  </w:abstractNum>
  <w:abstractNum w:abstractNumId="253">
    <w:nsid w:val="5AA8580E"/>
    <w:multiLevelType w:val="hybridMultilevel"/>
    <w:lvl w:ilvl="0">
      <w:lvlJc w:val="left"/>
      <w:lvlText w:val="(%1)"/>
      <w:numFmt w:val="lowerLetter"/>
      <w:start w:val="3"/>
    </w:lvl>
  </w:abstractNum>
  <w:abstractNum w:abstractNumId="254">
    <w:nsid w:val="68FA8D0D"/>
    <w:multiLevelType w:val="hybridMultilevel"/>
    <w:lvl w:ilvl="0">
      <w:lvlJc w:val="left"/>
      <w:lvlText w:val="(%1)"/>
      <w:numFmt w:val="lowerLetter"/>
      <w:start w:val="1"/>
    </w:lvl>
  </w:abstractNum>
  <w:abstractNum w:abstractNumId="255">
    <w:nsid w:val="40F2CBD2"/>
    <w:multiLevelType w:val="hybridMultilevel"/>
    <w:lvl w:ilvl="0">
      <w:lvlJc w:val="left"/>
      <w:lvlText w:val="(%1)"/>
      <w:numFmt w:val="lowerLetter"/>
      <w:start w:val="1"/>
    </w:lvl>
    <w:lvl w:ilvl="1">
      <w:lvlJc w:val="left"/>
      <w:lvlText w:val="(%2)"/>
      <w:numFmt w:val="lowerRoman"/>
      <w:start w:val="1"/>
    </w:lvl>
  </w:abstractNum>
  <w:abstractNum w:abstractNumId="256">
    <w:nsid w:val="3BD615EB"/>
    <w:multiLevelType w:val="hybridMultilevel"/>
    <w:lvl w:ilvl="0">
      <w:lvlJc w:val="left"/>
      <w:lvlText w:val="(%1)"/>
      <w:numFmt w:val="lowerLetter"/>
      <w:start w:val="1"/>
    </w:lvl>
  </w:abstractNum>
  <w:abstractNum w:abstractNumId="257">
    <w:nsid w:val="A045AB2"/>
    <w:multiLevelType w:val="hybridMultilevel"/>
    <w:lvl w:ilvl="0">
      <w:lvlJc w:val="left"/>
      <w:lvlText w:val="(%1)"/>
      <w:numFmt w:val="lowerLetter"/>
      <w:start w:val="4"/>
    </w:lvl>
  </w:abstractNum>
  <w:abstractNum w:abstractNumId="258">
    <w:nsid w:val="1872261F"/>
    <w:multiLevelType w:val="hybridMultilevel"/>
    <w:lvl w:ilvl="0">
      <w:lvlJc w:val="left"/>
      <w:lvlText w:val="(%1)"/>
      <w:numFmt w:val="lowerLetter"/>
      <w:start w:val="1"/>
    </w:lvl>
  </w:abstractNum>
  <w:abstractNum w:abstractNumId="259">
    <w:nsid w:val="3DE8306C"/>
    <w:multiLevelType w:val="hybridMultilevel"/>
    <w:lvl w:ilvl="0">
      <w:lvlJc w:val="left"/>
      <w:lvlText w:val="(%1)"/>
      <w:numFmt w:val="lowerLetter"/>
      <w:start w:val="1"/>
    </w:lvl>
  </w:abstractNum>
  <w:abstractNum w:abstractNumId="260">
    <w:nsid w:val="7631573A"/>
    <w:multiLevelType w:val="hybridMultilevel"/>
    <w:lvl w:ilvl="0">
      <w:lvlJc w:val="left"/>
      <w:lvlText w:val="(%1)"/>
      <w:numFmt w:val="lowerLetter"/>
      <w:start w:val="4"/>
    </w:lvl>
  </w:abstractNum>
  <w:abstractNum w:abstractNumId="261">
    <w:nsid w:val="58DF53B"/>
    <w:multiLevelType w:val="hybridMultilevel"/>
    <w:lvl w:ilvl="0">
      <w:lvlJc w:val="left"/>
      <w:lvlText w:val="(%1)"/>
      <w:numFmt w:val="lowerRoman"/>
      <w:start w:val="13"/>
    </w:lvl>
  </w:abstractNum>
  <w:abstractNum w:abstractNumId="262">
    <w:nsid w:val="ACDFAC0"/>
    <w:multiLevelType w:val="hybridMultilevel"/>
    <w:lvl w:ilvl="0">
      <w:lvlJc w:val="left"/>
      <w:lvlText w:val="(%1)"/>
      <w:numFmt w:val="lowerLetter"/>
      <w:start w:val="1"/>
    </w:lvl>
  </w:abstractNum>
  <w:abstractNum w:abstractNumId="263">
    <w:nsid w:val="1F578454"/>
    <w:multiLevelType w:val="hybridMultilevel"/>
    <w:lvl w:ilvl="0">
      <w:lvlJc w:val="left"/>
      <w:lvlText w:val="(%1)"/>
      <w:numFmt w:val="lowerLetter"/>
      <w:start w:val="13"/>
    </w:lvl>
  </w:abstractNum>
  <w:abstractNum w:abstractNumId="264">
    <w:nsid w:val="5B0DAD2A"/>
    <w:multiLevelType w:val="hybridMultilevel"/>
    <w:lvl w:ilvl="0">
      <w:lvlJc w:val="left"/>
      <w:lvlText w:val="(%1)"/>
      <w:numFmt w:val="lowerLetter"/>
      <w:start w:val="1"/>
    </w:lvl>
  </w:abstractNum>
  <w:abstractNum w:abstractNumId="265">
    <w:nsid w:val="4E3D26AB"/>
    <w:multiLevelType w:val="hybridMultilevel"/>
    <w:lvl w:ilvl="0">
      <w:lvlJc w:val="left"/>
      <w:lvlText w:val="(%1)"/>
      <w:numFmt w:val="lowerLetter"/>
      <w:start w:val="4"/>
    </w:lvl>
  </w:abstractNum>
  <w:abstractNum w:abstractNumId="266">
    <w:nsid w:val="BE2C8BA"/>
    <w:multiLevelType w:val="hybridMultilevel"/>
    <w:lvl w:ilvl="0">
      <w:lvlJc w:val="left"/>
      <w:lvlText w:val="(%1)"/>
      <w:numFmt w:val="lowerLetter"/>
      <w:start w:val="10"/>
    </w:lvl>
  </w:abstractNum>
  <w:abstractNum w:abstractNumId="267">
    <w:nsid w:val="7B14914E"/>
    <w:multiLevelType w:val="hybridMultilevel"/>
    <w:lvl w:ilvl="0">
      <w:lvlJc w:val="left"/>
      <w:lvlText w:val="(%1)"/>
      <w:numFmt w:val="lowerLetter"/>
      <w:start w:val="17"/>
    </w:lvl>
  </w:abstractNum>
  <w:abstractNum w:abstractNumId="268">
    <w:nsid w:val="6F0939F8"/>
    <w:multiLevelType w:val="hybridMultilevel"/>
    <w:lvl w:ilvl="0">
      <w:lvlJc w:val="left"/>
      <w:lvlText w:val="(%1)"/>
      <w:numFmt w:val="lowerLetter"/>
      <w:start w:val="25"/>
    </w:lvl>
  </w:abstractNum>
  <w:abstractNum w:abstractNumId="269">
    <w:nsid w:val="154291F6"/>
    <w:multiLevelType w:val="hybridMultilevel"/>
    <w:lvl w:ilvl="0">
      <w:lvlJc w:val="left"/>
      <w:lvlText w:val="(%1)"/>
      <w:numFmt w:val="lowerLetter"/>
      <w:start w:val="27"/>
    </w:lvl>
  </w:abstractNum>
  <w:abstractNum w:abstractNumId="270">
    <w:nsid w:val="3CEBD7C7"/>
    <w:multiLevelType w:val="hybridMultilevel"/>
    <w:lvl w:ilvl="0">
      <w:lvlJc w:val="left"/>
      <w:lvlText w:val="(%1)"/>
      <w:numFmt w:val="lowerLetter"/>
      <w:start w:val="1"/>
    </w:lvl>
  </w:abstractNum>
  <w:abstractNum w:abstractNumId="271">
    <w:nsid w:val="60EE9C16"/>
    <w:multiLevelType w:val="hybridMultilevel"/>
    <w:lvl w:ilvl="0">
      <w:lvlJc w:val="left"/>
      <w:lvlText w:val="(%1)"/>
      <w:numFmt w:val="lowerLetter"/>
      <w:start w:val="2"/>
    </w:lvl>
  </w:abstractNum>
  <w:abstractNum w:abstractNumId="272">
    <w:nsid w:val="6385489E"/>
    <w:multiLevelType w:val="hybridMultilevel"/>
    <w:lvl w:ilvl="0">
      <w:lvlJc w:val="left"/>
      <w:lvlText w:val="(%1)"/>
      <w:numFmt w:val="lowerLetter"/>
      <w:start w:val="8"/>
    </w:lvl>
  </w:abstractNum>
  <w:abstractNum w:abstractNumId="273">
    <w:nsid w:val="E4B973"/>
    <w:multiLevelType w:val="hybridMultilevel"/>
    <w:lvl w:ilvl="0">
      <w:lvlJc w:val="left"/>
      <w:lvlText w:val="(%1)"/>
      <w:numFmt w:val="lowerLetter"/>
      <w:start w:val="15"/>
    </w:lvl>
  </w:abstractNum>
  <w:abstractNum w:abstractNumId="274">
    <w:nsid w:val="4A0FFA11"/>
    <w:multiLevelType w:val="hybridMultilevel"/>
    <w:lvl w:ilvl="0">
      <w:lvlJc w:val="left"/>
      <w:lvlText w:val="(%1)"/>
      <w:numFmt w:val="lowerLetter"/>
      <w:start w:val="26"/>
    </w:lvl>
  </w:abstractNum>
  <w:abstractNum w:abstractNumId="275">
    <w:nsid w:val="5E446208"/>
    <w:multiLevelType w:val="hybridMultilevel"/>
    <w:lvl w:ilvl="0">
      <w:lvlJc w:val="left"/>
      <w:lvlText w:val="(%1)"/>
      <w:numFmt w:val="lowerLetter"/>
      <w:start w:val="27"/>
    </w:lvl>
  </w:abstractNum>
  <w:abstractNum w:abstractNumId="276">
    <w:nsid w:val="5F3272DB"/>
    <w:multiLevelType w:val="hybridMultilevel"/>
    <w:lvl w:ilvl="0">
      <w:lvlJc w:val="left"/>
      <w:lvlText w:val="(%1)"/>
      <w:numFmt w:val="lowerLetter"/>
      <w:start w:val="38"/>
    </w:lvl>
  </w:abstractNum>
  <w:abstractNum w:abstractNumId="277">
    <w:nsid w:val="7616D704"/>
    <w:multiLevelType w:val="hybridMultilevel"/>
    <w:lvl w:ilvl="0">
      <w:lvlJc w:val="left"/>
      <w:lvlText w:val="(%1)"/>
      <w:numFmt w:val="lowerLetter"/>
      <w:start w:val="1"/>
    </w:lvl>
  </w:abstractNum>
  <w:abstractNum w:abstractNumId="278">
    <w:nsid w:val="C56F860"/>
    <w:multiLevelType w:val="hybridMultilevel"/>
    <w:lvl w:ilvl="0">
      <w:lvlJc w:val="left"/>
      <w:lvlText w:val="(%1)"/>
      <w:numFmt w:val="lowerLetter"/>
      <w:start w:val="2"/>
    </w:lvl>
  </w:abstractNum>
  <w:abstractNum w:abstractNumId="279">
    <w:nsid w:val="64D17722"/>
    <w:multiLevelType w:val="hybridMultilevel"/>
    <w:lvl w:ilvl="0">
      <w:lvlJc w:val="left"/>
      <w:lvlText w:val="(%1)"/>
      <w:numFmt w:val="lowerLetter"/>
      <w:start w:val="11"/>
    </w:lvl>
  </w:abstractNum>
  <w:abstractNum w:abstractNumId="280">
    <w:nsid w:val="7924CA0A"/>
    <w:multiLevelType w:val="hybridMultilevel"/>
    <w:lvl w:ilvl="0">
      <w:lvlJc w:val="left"/>
      <w:lvlText w:val="(%1)"/>
      <w:numFmt w:val="lowerLetter"/>
      <w:start w:val="18"/>
    </w:lvl>
  </w:abstractNum>
  <w:abstractNum w:abstractNumId="281">
    <w:nsid w:val="CFD4EA7"/>
    <w:multiLevelType w:val="hybridMultilevel"/>
    <w:lvl w:ilvl="0">
      <w:lvlJc w:val="left"/>
      <w:lvlText w:val="%1"/>
      <w:numFmt w:val="upperLetter"/>
      <w:start w:val="1"/>
    </w:lvl>
    <w:lvl w:ilvl="1">
      <w:lvlJc w:val="left"/>
      <w:lvlText w:val="(%2)"/>
      <w:numFmt w:val="lowerLetter"/>
      <w:start w:val="27"/>
    </w:lvl>
  </w:abstractNum>
  <w:abstractNum w:abstractNumId="282">
    <w:nsid w:val="232FCF4D"/>
    <w:multiLevelType w:val="hybridMultilevel"/>
    <w:lvl w:ilvl="0">
      <w:lvlJc w:val="left"/>
      <w:lvlText w:val="(%1)"/>
      <w:numFmt w:val="upperLetter"/>
      <w:start w:val="25"/>
    </w:lvl>
    <w:lvl w:ilvl="1">
      <w:lvlJc w:val="left"/>
      <w:lvlText w:val="(%2)"/>
      <w:numFmt w:val="lowerLetter"/>
      <w:start w:val="28"/>
    </w:lvl>
  </w:abstractNum>
  <w:abstractNum w:abstractNumId="283">
    <w:nsid w:val="1EA21031"/>
    <w:multiLevelType w:val="hybridMultilevel"/>
    <w:lvl w:ilvl="0">
      <w:lvlJc w:val="left"/>
      <w:lvlText w:val="(%1)"/>
      <w:numFmt w:val="lowerLetter"/>
      <w:start w:val="1"/>
    </w:lvl>
  </w:abstractNum>
  <w:abstractNum w:abstractNumId="284">
    <w:nsid w:val="67A5A6B5"/>
    <w:multiLevelType w:val="hybridMultilevel"/>
    <w:lvl w:ilvl="0">
      <w:lvlJc w:val="left"/>
      <w:lvlText w:val="(%1)"/>
      <w:numFmt w:val="lowerLetter"/>
      <w:start w:val="7"/>
    </w:lvl>
  </w:abstractNum>
  <w:abstractNum w:abstractNumId="285">
    <w:nsid w:val="C2A5C5B"/>
    <w:multiLevelType w:val="hybridMultilevel"/>
    <w:lvl w:ilvl="0">
      <w:lvlJc w:val="left"/>
      <w:lvlText w:val="(%1)"/>
      <w:numFmt w:val="lowerLetter"/>
      <w:start w:val="15"/>
    </w:lvl>
  </w:abstractNum>
  <w:abstractNum w:abstractNumId="286">
    <w:nsid w:val="5F94DC03"/>
    <w:multiLevelType w:val="hybridMultilevel"/>
    <w:lvl w:ilvl="0">
      <w:lvlJc w:val="left"/>
      <w:lvlText w:val="%1"/>
      <w:numFmt w:val="lowerLetter"/>
      <w:start w:val="1"/>
    </w:lvl>
    <w:lvl w:ilvl="1">
      <w:lvlJc w:val="left"/>
      <w:lvlText w:val="(%2)"/>
      <w:numFmt w:val="lowerLetter"/>
      <w:start w:val="1"/>
    </w:lvl>
  </w:abstractNum>
  <w:abstractNum w:abstractNumId="287">
    <w:nsid w:val="237BBCA0"/>
    <w:multiLevelType w:val="hybridMultilevel"/>
    <w:lvl w:ilvl="0">
      <w:lvlJc w:val="left"/>
      <w:lvlText w:val="(%1)"/>
      <w:numFmt w:val="lowerLetter"/>
      <w:start w:val="2"/>
    </w:lvl>
    <w:lvl w:ilvl="1">
      <w:lvlJc w:val="left"/>
      <w:lvlText w:val="%2"/>
      <w:numFmt w:val="lowerLetter"/>
      <w:start w:val="1"/>
    </w:lvl>
  </w:abstractNum>
  <w:abstractNum w:abstractNumId="288">
    <w:nsid w:val="162EB70D"/>
    <w:multiLevelType w:val="hybridMultilevel"/>
    <w:lvl w:ilvl="0">
      <w:lvlJc w:val="left"/>
      <w:lvlText w:val="(%1)"/>
      <w:numFmt w:val="lowerLetter"/>
      <w:start w:val="1"/>
    </w:lvl>
  </w:abstractNum>
  <w:abstractNum w:abstractNumId="289">
    <w:nsid w:val="78070222"/>
    <w:multiLevelType w:val="hybridMultilevel"/>
    <w:lvl w:ilvl="0">
      <w:lvlJc w:val="left"/>
      <w:lvlText w:val="(%1)"/>
      <w:numFmt w:val="lowerLetter"/>
      <w:start w:val="3"/>
    </w:lvl>
  </w:abstractNum>
  <w:abstractNum w:abstractNumId="290">
    <w:nsid w:val="6163ED0D"/>
    <w:multiLevelType w:val="hybridMultilevel"/>
    <w:lvl w:ilvl="0">
      <w:lvlJc w:val="left"/>
      <w:lvlText w:val="(%1)"/>
      <w:numFmt w:val="lowerLetter"/>
      <w:start w:val="9"/>
    </w:lvl>
    <w:lvl w:ilvl="1">
      <w:lvlJc w:val="left"/>
      <w:lvlText w:val="(%2)"/>
      <w:numFmt w:val="lowerRoman"/>
      <w:start w:val="1"/>
    </w:lvl>
  </w:abstractNum>
  <w:abstractNum w:abstractNumId="291">
    <w:nsid w:val="C600E47"/>
    <w:multiLevelType w:val="hybridMultilevel"/>
    <w:lvl w:ilvl="0">
      <w:lvlJc w:val="left"/>
      <w:lvlText w:val="%1"/>
      <w:numFmt w:val="lowerLetter"/>
      <w:start w:val="1"/>
    </w:lvl>
    <w:lvl w:ilvl="1">
      <w:lvlJc w:val="left"/>
      <w:lvlText w:val="(%2)"/>
      <w:numFmt w:val="lowerRoman"/>
      <w:start w:val="4"/>
    </w:lvl>
  </w:abstractNum>
  <w:abstractNum w:abstractNumId="292">
    <w:nsid w:val="7D94F75D"/>
    <w:multiLevelType w:val="hybridMultilevel"/>
    <w:lvl w:ilvl="0">
      <w:lvlJc w:val="left"/>
      <w:lvlText w:val="(%1)"/>
      <w:numFmt w:val="lowerLetter"/>
      <w:start w:val="12"/>
    </w:lvl>
    <w:lvl w:ilvl="1">
      <w:lvlJc w:val="left"/>
      <w:lvlText w:val="%2"/>
      <w:numFmt w:val="lowerRoman"/>
      <w:start w:val="1"/>
    </w:lvl>
  </w:abstractNum>
  <w:abstractNum w:abstractNumId="293">
    <w:nsid w:val="6C31E7CD"/>
    <w:multiLevelType w:val="hybridMultilevel"/>
    <w:lvl w:ilvl="0">
      <w:lvlJc w:val="left"/>
      <w:lvlText w:val="(%1)"/>
      <w:numFmt w:val="lowerLetter"/>
      <w:start w:val="1"/>
    </w:lvl>
  </w:abstractNum>
  <w:abstractNum w:abstractNumId="294">
    <w:nsid w:val="2BB7929B"/>
    <w:multiLevelType w:val="hybridMultilevel"/>
    <w:lvl w:ilvl="0">
      <w:lvlJc w:val="left"/>
      <w:lvlText w:val="(%1)"/>
      <w:numFmt w:val="lowerLetter"/>
      <w:start w:val="3"/>
    </w:lvl>
  </w:abstractNum>
  <w:abstractNum w:abstractNumId="295">
    <w:nsid w:val="58A2A487"/>
    <w:multiLevelType w:val="hybridMultilevel"/>
    <w:lvl w:ilvl="0">
      <w:lvlJc w:val="left"/>
      <w:lvlText w:val="(%1)"/>
      <w:numFmt w:val="lowerLetter"/>
      <w:start w:val="1"/>
    </w:lvl>
  </w:abstractNum>
  <w:abstractNum w:abstractNumId="296">
    <w:nsid w:val="3A6F0E78"/>
    <w:multiLevelType w:val="hybridMultilevel"/>
    <w:lvl w:ilvl="0">
      <w:lvlJc w:val="left"/>
      <w:lvlText w:val="(%1)"/>
      <w:numFmt w:val="lowerLetter"/>
      <w:start w:val="7"/>
    </w:lvl>
  </w:abstractNum>
  <w:abstractNum w:abstractNumId="297">
    <w:nsid w:val="379A5B56"/>
    <w:multiLevelType w:val="hybridMultilevel"/>
    <w:lvl w:ilvl="0">
      <w:lvlJc w:val="left"/>
      <w:lvlText w:val="(%1)"/>
      <w:numFmt w:val="lowerLetter"/>
      <w:start w:val="1"/>
    </w:lvl>
  </w:abstractNum>
  <w:abstractNum w:abstractNumId="298">
    <w:nsid w:val="53B735D5"/>
    <w:multiLevelType w:val="hybridMultilevel"/>
    <w:lvl w:ilvl="0">
      <w:lvlJc w:val="left"/>
      <w:lvlText w:val="(%1)"/>
      <w:numFmt w:val="lowerLetter"/>
      <w:start w:val="1"/>
    </w:lvl>
  </w:abstractNum>
  <w:abstractNum w:abstractNumId="299">
    <w:nsid w:val="29784870"/>
    <w:multiLevelType w:val="hybridMultilevel"/>
    <w:lvl w:ilvl="0">
      <w:lvlJc w:val="left"/>
      <w:lvlText w:val="%1"/>
      <w:numFmt w:val="lowerLetter"/>
      <w:start w:val="1"/>
    </w:lvl>
    <w:lvl w:ilvl="1">
      <w:lvlJc w:val="left"/>
      <w:lvlText w:val="(%2)"/>
      <w:numFmt w:val="lowerLetter"/>
      <w:start w:val="2"/>
    </w:lvl>
  </w:abstractNum>
  <w:abstractNum w:abstractNumId="300">
    <w:nsid w:val="4CDCED4C"/>
    <w:multiLevelType w:val="hybridMultilevel"/>
    <w:lvl w:ilvl="0">
      <w:lvlJc w:val="left"/>
      <w:lvlText w:val="(%1)"/>
      <w:numFmt w:val="lowerLetter"/>
      <w:start w:val="61"/>
    </w:lvl>
    <w:lvl w:ilvl="1">
      <w:lvlJc w:val="left"/>
      <w:lvlText w:val="%2"/>
      <w:numFmt w:val="lowerLetter"/>
      <w:start w:val="1"/>
    </w:lvl>
  </w:abstractNum>
  <w:abstractNum w:abstractNumId="301">
    <w:nsid w:val="10A30D9C"/>
    <w:multiLevelType w:val="hybridMultilevel"/>
    <w:lvl w:ilvl="0">
      <w:lvlJc w:val="left"/>
      <w:lvlText w:val="(%1)"/>
      <w:numFmt w:val="lowerLetter"/>
      <w:start w:val="1"/>
    </w:lvl>
  </w:abstractNum>
  <w:abstractNum w:abstractNumId="302">
    <w:nsid w:val="A66E486"/>
    <w:multiLevelType w:val="hybridMultilevel"/>
    <w:lvl w:ilvl="0">
      <w:lvlJc w:val="left"/>
      <w:lvlText w:val="%1"/>
      <w:numFmt w:val="lowerLetter"/>
      <w:start w:val="1"/>
    </w:lvl>
    <w:lvl w:ilvl="1">
      <w:lvlJc w:val="left"/>
      <w:lvlText w:val="(%2)"/>
      <w:numFmt w:val="lowerLetter"/>
      <w:start w:val="4"/>
    </w:lvl>
  </w:abstractNum>
  <w:abstractNum w:abstractNumId="303">
    <w:nsid w:val="306235EA"/>
    <w:multiLevelType w:val="hybridMultilevel"/>
    <w:lvl w:ilvl="0">
      <w:lvlJc w:val="left"/>
      <w:lvlText w:val="(%1)"/>
      <w:numFmt w:val="lowerLetter"/>
      <w:start w:val="4"/>
    </w:lvl>
    <w:lvl w:ilvl="1">
      <w:lvlJc w:val="left"/>
      <w:lvlText w:val="(%2)"/>
      <w:numFmt w:val="lowerLetter"/>
      <w:start w:val="6"/>
    </w:lvl>
  </w:abstractNum>
  <w:abstractNum w:abstractNumId="304">
    <w:nsid w:val="1187C70F"/>
    <w:multiLevelType w:val="hybridMultilevel"/>
    <w:lvl w:ilvl="0">
      <w:lvlJc w:val="left"/>
      <w:lvlText w:val="%1"/>
      <w:numFmt w:val="lowerLetter"/>
      <w:start w:val="1"/>
    </w:lvl>
    <w:lvl w:ilvl="1">
      <w:lvlJc w:val="left"/>
      <w:lvlText w:val="(%2)"/>
      <w:numFmt w:val="lowerLetter"/>
      <w:start w:val="9"/>
    </w:lvl>
  </w:abstractNum>
  <w:abstractNum w:abstractNumId="305">
    <w:nsid w:val="5476DE98"/>
    <w:multiLevelType w:val="hybridMultilevel"/>
    <w:lvl w:ilvl="0">
      <w:lvlJc w:val="left"/>
      <w:lvlText w:val="(%1)"/>
      <w:numFmt w:val="lowerLetter"/>
      <w:start w:val="22"/>
    </w:lvl>
    <w:lvl w:ilvl="1">
      <w:lvlJc w:val="left"/>
      <w:lvlText w:val="(%2)"/>
      <w:numFmt w:val="lowerLetter"/>
      <w:start w:val="10"/>
    </w:lvl>
  </w:abstractNum>
  <w:abstractNum w:abstractNumId="306">
    <w:nsid w:val="EA697F2"/>
    <w:multiLevelType w:val="hybridMultilevel"/>
    <w:lvl w:ilvl="0">
      <w:lvlJc w:val="left"/>
      <w:lvlText w:val="%1"/>
      <w:numFmt w:val="lowerLetter"/>
      <w:start w:val="1"/>
    </w:lvl>
    <w:lvl w:ilvl="1">
      <w:lvlJc w:val="left"/>
      <w:lvlText w:val="(%2)"/>
      <w:numFmt w:val="lowerLetter"/>
      <w:start w:val="13"/>
    </w:lvl>
  </w:abstractNum>
  <w:abstractNum w:abstractNumId="307">
    <w:nsid w:val="70BA39EB"/>
    <w:multiLevelType w:val="hybridMultilevel"/>
    <w:lvl w:ilvl="0">
      <w:lvlJc w:val="left"/>
      <w:lvlText w:val="(%1)"/>
      <w:numFmt w:val="lowerLetter"/>
      <w:start w:val="35"/>
    </w:lvl>
    <w:lvl w:ilvl="1">
      <w:lvlJc w:val="left"/>
      <w:lvlText w:val="%2"/>
      <w:numFmt w:val="lowerLetter"/>
      <w:start w:val="1"/>
    </w:lvl>
  </w:abstractNum>
  <w:abstractNum w:abstractNumId="308">
    <w:nsid w:val="4A8DB59C"/>
    <w:multiLevelType w:val="hybridMultilevel"/>
    <w:lvl w:ilvl="0">
      <w:lvlJc w:val="left"/>
      <w:lvlText w:val="%1"/>
      <w:numFmt w:val="lowerLetter"/>
      <w:start w:val="1"/>
    </w:lvl>
    <w:lvl w:ilvl="1">
      <w:lvlJc w:val="left"/>
      <w:lvlText w:val="(%2)"/>
      <w:numFmt w:val="lowerLetter"/>
      <w:start w:val="1"/>
    </w:lvl>
  </w:abstractNum>
  <w:abstractNum w:abstractNumId="309">
    <w:nsid w:val="1AFD9053"/>
    <w:multiLevelType w:val="hybridMultilevel"/>
    <w:lvl w:ilvl="0">
      <w:lvlJc w:val="left"/>
      <w:lvlText w:val="(%1)"/>
      <w:numFmt w:val="lowerLetter"/>
      <w:start w:val="9"/>
    </w:lvl>
    <w:lvl w:ilvl="1">
      <w:lvlJc w:val="left"/>
      <w:lvlText w:val="%2"/>
      <w:numFmt w:val="lowerLetter"/>
      <w:start w:val="1"/>
    </w:lvl>
  </w:abstractNum>
  <w:abstractNum w:abstractNumId="310">
    <w:nsid w:val="558BB10D"/>
    <w:multiLevelType w:val="hybridMultilevel"/>
    <w:lvl w:ilvl="0">
      <w:lvlJc w:val="left"/>
      <w:lvlText w:val="(%1)"/>
      <w:numFmt w:val="lowerLetter"/>
      <w:start w:val="1"/>
    </w:lvl>
  </w:abstractNum>
  <w:abstractNum w:abstractNumId="311">
    <w:nsid w:val="43B27FA7"/>
    <w:multiLevelType w:val="hybridMultilevel"/>
    <w:lvl w:ilvl="0">
      <w:lvlJc w:val="left"/>
      <w:lvlText w:val="(%1)"/>
      <w:numFmt w:val="lowerLetter"/>
      <w:start w:val="2"/>
    </w:lvl>
    <w:lvl w:ilvl="1">
      <w:lvlJc w:val="left"/>
      <w:lvlText w:val="(%2)"/>
      <w:numFmt w:val="lowerLetter"/>
      <w:start w:val="9"/>
    </w:lvl>
  </w:abstractNum>
  <w:abstractNum w:abstractNumId="312">
    <w:nsid w:val="27FADEFA"/>
    <w:multiLevelType w:val="hybridMultilevel"/>
    <w:lvl w:ilvl="0">
      <w:lvlJc w:val="left"/>
      <w:lvlText w:val="%1"/>
      <w:numFmt w:val="lowerLetter"/>
      <w:start w:val="1"/>
    </w:lvl>
    <w:lvl w:ilvl="1">
      <w:lvlJc w:val="left"/>
      <w:lvlText w:val="(%2)"/>
      <w:numFmt w:val="lowerLetter"/>
      <w:start w:val="35"/>
    </w:lvl>
  </w:abstractNum>
  <w:abstractNum w:abstractNumId="313">
    <w:nsid w:val="78BB805A"/>
    <w:multiLevelType w:val="hybridMultilevel"/>
    <w:lvl w:ilvl="0">
      <w:lvlJc w:val="left"/>
      <w:lvlText w:val="(%1)"/>
      <w:numFmt w:val="lowerLetter"/>
      <w:start w:val="4"/>
    </w:lvl>
    <w:lvl w:ilvl="1">
      <w:lvlJc w:val="left"/>
      <w:lvlText w:val="(%2)"/>
      <w:numFmt w:val="lowerLetter"/>
      <w:start w:val="9"/>
    </w:lvl>
  </w:abstractNum>
  <w:abstractNum w:abstractNumId="314">
    <w:nsid w:val="62548FD8"/>
    <w:multiLevelType w:val="hybridMultilevel"/>
    <w:lvl w:ilvl="0">
      <w:lvlJc w:val="left"/>
      <w:lvlText w:val="(%1)"/>
      <w:numFmt w:val="lowerRoman"/>
      <w:start w:val="2"/>
    </w:lvl>
  </w:abstractNum>
  <w:abstractNum w:abstractNumId="315">
    <w:nsid w:val="FA085B0"/>
    <w:multiLevelType w:val="hybridMultilevel"/>
    <w:lvl w:ilvl="0">
      <w:lvlJc w:val="left"/>
      <w:lvlText w:val="(%1)"/>
      <w:numFmt w:val="lowerLetter"/>
      <w:start w:val="7"/>
    </w:lvl>
  </w:abstractNum>
  <w:abstractNum w:abstractNumId="316">
    <w:nsid w:val="4E5DCB5"/>
    <w:multiLevelType w:val="hybridMultilevel"/>
    <w:lvl w:ilvl="0">
      <w:lvlJc w:val="left"/>
      <w:lvlText w:val="%1"/>
      <w:numFmt w:val="lowerLetter"/>
      <w:start w:val="1"/>
    </w:lvl>
    <w:lvl w:ilvl="1">
      <w:lvlJc w:val="left"/>
      <w:lvlText w:val="(%2)"/>
      <w:numFmt w:val="lowerLetter"/>
      <w:start w:val="1"/>
    </w:lvl>
  </w:abstractNum>
  <w:abstractNum w:abstractNumId="317">
    <w:nsid w:val="41E96BDB"/>
    <w:multiLevelType w:val="hybridMultilevel"/>
    <w:lvl w:ilvl="0">
      <w:lvlJc w:val="left"/>
      <w:lvlText w:val="(%1)"/>
      <w:numFmt w:val="lowerLetter"/>
      <w:start w:val="9"/>
    </w:lvl>
    <w:lvl w:ilvl="1">
      <w:lvlJc w:val="left"/>
      <w:lvlText w:val="(%2)"/>
      <w:numFmt w:val="lowerLetter"/>
      <w:start w:val="2"/>
    </w:lvl>
  </w:abstractNum>
  <w:abstractNum w:abstractNumId="318">
    <w:nsid w:val="331C4250"/>
    <w:multiLevelType w:val="hybridMultilevel"/>
    <w:lvl w:ilvl="0">
      <w:lvlJc w:val="left"/>
      <w:lvlText w:val="(%1)"/>
      <w:numFmt w:val="lowerLetter"/>
      <w:start w:val="3"/>
    </w:lvl>
  </w:abstractNum>
  <w:abstractNum w:abstractNumId="319">
    <w:nsid w:val="1B1493C2"/>
    <w:multiLevelType w:val="hybridMultilevel"/>
    <w:lvl w:ilvl="0">
      <w:lvlJc w:val="left"/>
      <w:lvlText w:val="(%1)"/>
      <w:numFmt w:val="lowerLetter"/>
      <w:start w:val="1"/>
    </w:lvl>
  </w:abstractNum>
  <w:abstractNum w:abstractNumId="320">
    <w:nsid w:val="39F06DFD"/>
    <w:multiLevelType w:val="hybridMultilevel"/>
    <w:lvl w:ilvl="0">
      <w:lvlJc w:val="left"/>
      <w:lvlText w:val="(%1)"/>
      <w:numFmt w:val="lowerLetter"/>
      <w:start w:val="5"/>
    </w:lvl>
  </w:abstractNum>
  <w:abstractNum w:abstractNumId="321">
    <w:nsid w:val="14802F5D"/>
    <w:multiLevelType w:val="hybridMultilevel"/>
    <w:lvl w:ilvl="0">
      <w:lvlJc w:val="left"/>
      <w:lvlText w:val="%1"/>
      <w:numFmt w:val="decimal"/>
      <w:start w:val="1"/>
    </w:lvl>
    <w:lvl w:ilvl="1">
      <w:lvlJc w:val="left"/>
      <w:lvlText w:val="(%2)"/>
      <w:numFmt w:val="lowerLetter"/>
      <w:start w:val="1"/>
    </w:lvl>
  </w:abstractNum>
  <w:abstractNum w:abstractNumId="322">
    <w:nsid w:val="2774A209"/>
    <w:multiLevelType w:val="hybridMultilevel"/>
    <w:lvl w:ilvl="0">
      <w:lvlJc w:val="left"/>
      <w:lvlText w:val="(%1)"/>
      <w:numFmt w:val="decimal"/>
      <w:start w:val="30"/>
    </w:lvl>
    <w:lvl w:ilvl="1">
      <w:lvlJc w:val="left"/>
      <w:lvlText w:val="%2"/>
      <w:numFmt w:val="lowerLetter"/>
      <w:start w:val="1"/>
    </w:lvl>
  </w:abstractNum>
  <w:abstractNum w:abstractNumId="323">
    <w:nsid w:val="3785655A"/>
    <w:multiLevelType w:val="hybridMultilevel"/>
    <w:lvl w:ilvl="0">
      <w:lvlJc w:val="left"/>
      <w:lvlText w:val="(%1)"/>
      <w:numFmt w:val="lowerLetter"/>
      <w:start w:val="2"/>
    </w:lvl>
  </w:abstractNum>
  <w:abstractNum w:abstractNumId="324">
    <w:nsid w:val="B2172A"/>
    <w:multiLevelType w:val="hybridMultilevel"/>
    <w:lvl w:ilvl="0">
      <w:lvlJc w:val="left"/>
      <w:lvlText w:val="(%1)"/>
      <w:numFmt w:val="lowerLetter"/>
      <w:start w:val="1"/>
    </w:lvl>
  </w:abstractNum>
  <w:abstractNum w:abstractNumId="325">
    <w:nsid w:val="532C34A5"/>
    <w:multiLevelType w:val="hybridMultilevel"/>
    <w:lvl w:ilvl="0">
      <w:lvlJc w:val="left"/>
      <w:lvlText w:val="(%1)"/>
      <w:numFmt w:val="lowerLetter"/>
      <w:start w:val="2"/>
    </w:lvl>
  </w:abstractNum>
  <w:abstractNum w:abstractNumId="326">
    <w:nsid w:val="102809E2"/>
    <w:multiLevelType w:val="hybridMultilevel"/>
    <w:lvl w:ilvl="0">
      <w:lvlJc w:val="left"/>
      <w:lvlText w:val="(%1)"/>
      <w:numFmt w:val="lowerRoman"/>
      <w:start w:val="2"/>
    </w:lvl>
  </w:abstractNum>
  <w:abstractNum w:abstractNumId="327">
    <w:nsid w:val="3B2125A3"/>
    <w:multiLevelType w:val="hybridMultilevel"/>
    <w:lvl w:ilvl="0">
      <w:lvlJc w:val="left"/>
      <w:lvlText w:val="(%1)"/>
      <w:numFmt w:val="lowerLetter"/>
      <w:start w:val="26"/>
    </w:lvl>
  </w:abstractNum>
  <w:abstractNum w:abstractNumId="328">
    <w:nsid w:val="AC68F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9">
    <w:nsid w:val="63DF3FB7"/>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330">
    <w:nsid w:val="64996E13"/>
    <w:multiLevelType w:val="hybridMultilevel"/>
    <w:lvl w:ilvl="0">
      <w:lvlJc w:val="left"/>
      <w:lvlText w:val="%1"/>
      <w:numFmt w:val="lowerLetter"/>
      <w:start w:val="1"/>
    </w:lvl>
    <w:lvl w:ilvl="1">
      <w:lvlJc w:val="left"/>
      <w:lvlText w:val="(%2)"/>
      <w:numFmt w:val="lowerRoman"/>
      <w:start w:val="3"/>
    </w:lvl>
  </w:abstractNum>
  <w:abstractNum w:abstractNumId="331">
    <w:nsid w:val="57A37D47"/>
    <w:multiLevelType w:val="hybridMultilevel"/>
    <w:lvl w:ilvl="0">
      <w:lvlJc w:val="left"/>
      <w:lvlText w:val="(%1)"/>
      <w:numFmt w:val="lowerLetter"/>
      <w:start w:val="2"/>
    </w:lvl>
    <w:lvl w:ilvl="1">
      <w:lvlJc w:val="left"/>
      <w:lvlText w:val="%2"/>
      <w:numFmt w:val="lowerRoman"/>
      <w:start w:val="1"/>
    </w:lvl>
  </w:abstractNum>
  <w:abstractNum w:abstractNumId="332">
    <w:nsid w:val="74824D54"/>
    <w:multiLevelType w:val="hybridMultilevel"/>
    <w:lvl w:ilvl="0">
      <w:lvlJc w:val="left"/>
      <w:lvlText w:val="(%1)"/>
      <w:numFmt w:val="lowerLetter"/>
      <w:start w:val="1"/>
    </w:lvl>
  </w:abstractNum>
  <w:abstractNum w:abstractNumId="333">
    <w:nsid w:val="6F00529A"/>
    <w:multiLevelType w:val="hybridMultilevel"/>
    <w:lvl w:ilvl="0">
      <w:lvlJc w:val="left"/>
      <w:lvlText w:val="(%1)"/>
      <w:numFmt w:val="lowerLetter"/>
      <w:start w:val="2"/>
    </w:lvl>
  </w:abstractNum>
  <w:abstractNum w:abstractNumId="334">
    <w:nsid w:val="805B331"/>
    <w:multiLevelType w:val="hybridMultilevel"/>
    <w:lvl w:ilvl="0">
      <w:lvlJc w:val="left"/>
      <w:lvlText w:val="(%1)"/>
      <w:numFmt w:val="lowerLetter"/>
      <w:start w:val="1"/>
    </w:lvl>
    <w:lvl w:ilvl="1">
      <w:lvlJc w:val="left"/>
      <w:lvlText w:val="(%2)"/>
      <w:numFmt w:val="lowerRoman"/>
      <w:start w:val="1"/>
    </w:lvl>
  </w:abstractNum>
  <w:abstractNum w:abstractNumId="335">
    <w:nsid w:val="60A1463"/>
    <w:multiLevelType w:val="hybridMultilevel"/>
    <w:lvl w:ilvl="0">
      <w:lvlJc w:val="left"/>
      <w:lvlText w:val="(%1)"/>
      <w:numFmt w:val="lowerLetter"/>
      <w:start w:val="1"/>
    </w:lvl>
  </w:abstractNum>
  <w:abstractNum w:abstractNumId="336">
    <w:nsid w:val="437731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7">
    <w:nsid w:val="16AC4B23"/>
    <w:multiLevelType w:val="hybridMultilevel"/>
    <w:lvl w:ilvl="0">
      <w:lvlJc w:val="left"/>
      <w:lvlText w:val="(%1)"/>
      <w:numFmt w:val="upperLetter"/>
      <w:start w:val="2"/>
    </w:lvl>
  </w:abstractNum>
  <w:abstractNum w:abstractNumId="338">
    <w:nsid w:val="76C44E4E"/>
    <w:multiLevelType w:val="hybridMultilevel"/>
    <w:lvl w:ilvl="0">
      <w:lvlJc w:val="left"/>
      <w:lvlText w:val="(%1)"/>
      <w:numFmt w:val="lowerRoman"/>
      <w:start w:val="3"/>
    </w:lvl>
  </w:abstractNum>
  <w:abstractNum w:abstractNumId="339">
    <w:nsid w:val="E04E6CE"/>
    <w:multiLevelType w:val="hybridMultilevel"/>
    <w:lvl w:ilvl="0">
      <w:lvlJc w:val="left"/>
      <w:lvlText w:val="(%1)"/>
      <w:numFmt w:val="lowerLetter"/>
      <w:start w:val="3"/>
    </w:lvl>
    <w:lvl w:ilvl="1">
      <w:lvlJc w:val="left"/>
      <w:lvlText w:val="(%2)"/>
      <w:numFmt w:val="lowerLetter"/>
      <w:start w:val="35"/>
    </w:lvl>
  </w:abstractNum>
  <w:abstractNum w:abstractNumId="340">
    <w:nsid w:val="31A9DB76"/>
    <w:multiLevelType w:val="hybridMultilevel"/>
    <w:lvl w:ilvl="0">
      <w:lvlJc w:val="left"/>
      <w:lvlText w:val="%1"/>
      <w:numFmt w:val="lowerLetter"/>
      <w:start w:val="1"/>
    </w:lvl>
    <w:lvl w:ilvl="1">
      <w:lvlJc w:val="left"/>
      <w:lvlText w:val="(%2)"/>
      <w:numFmt w:val="lowerLetter"/>
      <w:start w:val="61"/>
    </w:lvl>
  </w:abstractNum>
  <w:abstractNum w:abstractNumId="341">
    <w:nsid w:val="4C4FFF5B"/>
    <w:multiLevelType w:val="hybridMultilevel"/>
    <w:lvl w:ilvl="0">
      <w:lvlJc w:val="left"/>
      <w:lvlText w:val="(%1)"/>
      <w:numFmt w:val="lowerLetter"/>
      <w:start w:val="4"/>
    </w:lvl>
    <w:lvl w:ilvl="1">
      <w:lvlJc w:val="left"/>
      <w:lvlText w:val="(%2)"/>
      <w:numFmt w:val="lowerLetter"/>
      <w:start w:val="9"/>
    </w:lvl>
  </w:abstractNum>
  <w:abstractNum w:abstractNumId="342">
    <w:nsid w:val="51B76675"/>
    <w:multiLevelType w:val="hybridMultilevel"/>
    <w:lvl w:ilvl="0">
      <w:lvlJc w:val="left"/>
      <w:lvlText w:val="(%1)"/>
      <w:numFmt w:val="lowerRoman"/>
      <w:start w:val="2"/>
    </w:lvl>
  </w:abstractNum>
  <w:abstractNum w:abstractNumId="343">
    <w:nsid w:val="59A4BA71"/>
    <w:multiLevelType w:val="hybridMultilevel"/>
    <w:lvl w:ilvl="0">
      <w:lvlJc w:val="left"/>
      <w:lvlText w:val="(%1)"/>
      <w:numFmt w:val="lowerLetter"/>
      <w:start w:val="25"/>
    </w:lvl>
    <w:lvl w:ilvl="1">
      <w:lvlJc w:val="left"/>
      <w:lvlText w:val="(%2)"/>
      <w:numFmt w:val="lowerRoman"/>
      <w:start w:val="3"/>
    </w:lvl>
  </w:abstractNum>
  <w:abstractNum w:abstractNumId="344">
    <w:nsid w:val="450B7FB6"/>
    <w:multiLevelType w:val="hybridMultilevel"/>
    <w:lvl w:ilvl="0">
      <w:lvlJc w:val="left"/>
      <w:lvlText w:val="(%1)"/>
      <w:numFmt w:val="lowerLetter"/>
      <w:start w:val="7"/>
    </w:lvl>
  </w:abstractNum>
  <w:abstractNum w:abstractNumId="345">
    <w:nsid w:val="340BF64D"/>
    <w:multiLevelType w:val="hybridMultilevel"/>
    <w:lvl w:ilvl="0">
      <w:lvlJc w:val="left"/>
      <w:lvlText w:val="(%1)"/>
      <w:numFmt w:val="lowerRoman"/>
      <w:start w:val="1"/>
    </w:lvl>
    <w:lvl w:ilvl="1">
      <w:lvlJc w:val="left"/>
      <w:lvlText w:val="(%2)"/>
      <w:numFmt w:val="lowerRoman"/>
      <w:start w:val="1"/>
    </w:lvl>
  </w:abstractNum>
  <w:abstractNum w:abstractNumId="346">
    <w:nsid w:val="69454021"/>
    <w:multiLevelType w:val="hybridMultilevel"/>
    <w:lvl w:ilvl="0">
      <w:lvlJc w:val="left"/>
      <w:lvlText w:val="(%1)"/>
      <w:numFmt w:val="lowerRoman"/>
      <w:start w:val="10"/>
    </w:lvl>
    <w:lvl w:ilvl="1">
      <w:lvlJc w:val="left"/>
      <w:lvlText w:val="(%2)"/>
      <w:numFmt w:val="lowerRoman"/>
      <w:start w:val="3"/>
    </w:lvl>
  </w:abstractNum>
  <w:abstractNum w:abstractNumId="347">
    <w:nsid w:val="49F15C6B"/>
    <w:multiLevelType w:val="hybridMultilevel"/>
    <w:lvl w:ilvl="0">
      <w:lvlJc w:val="left"/>
      <w:lvlText w:val="(%1)"/>
      <w:numFmt w:val="upperLetter"/>
      <w:start w:val="2"/>
    </w:lvl>
    <w:lvl w:ilvl="1">
      <w:lvlJc w:val="left"/>
      <w:lvlText w:val="(%2)"/>
      <w:numFmt w:val="lowerRoman"/>
      <w:start w:val="4"/>
    </w:lvl>
  </w:abstractNum>
  <w:abstractNum w:abstractNumId="348">
    <w:nsid w:val="75F56228"/>
    <w:multiLevelType w:val="hybridMultilevel"/>
    <w:lvl w:ilvl="0">
      <w:lvlJc w:val="left"/>
      <w:lvlText w:val="(%1)"/>
      <w:numFmt w:val="lowerLetter"/>
      <w:start w:val="1"/>
    </w:lvl>
  </w:abstractNum>
  <w:abstractNum w:abstractNumId="349">
    <w:nsid w:val="1C618271"/>
    <w:multiLevelType w:val="hybridMultilevel"/>
    <w:lvl w:ilvl="0">
      <w:lvlJc w:val="left"/>
      <w:lvlText w:val="(%1)"/>
      <w:numFmt w:val="lowerLetter"/>
      <w:start w:val="2"/>
    </w:lvl>
    <w:lvl w:ilvl="1">
      <w:lvlJc w:val="left"/>
      <w:lvlText w:val="(%2)"/>
      <w:numFmt w:val="lowerLetter"/>
      <w:start w:val="9"/>
    </w:lvl>
  </w:abstractNum>
  <w:abstractNum w:abstractNumId="350">
    <w:nsid w:val="6505F02E"/>
    <w:multiLevelType w:val="hybridMultilevel"/>
    <w:lvl w:ilvl="0">
      <w:lvlJc w:val="left"/>
      <w:lvlText w:val="(%1)"/>
      <w:numFmt w:val="lowerLetter"/>
      <w:start w:val="25"/>
    </w:lvl>
    <w:lvl w:ilvl="1">
      <w:lvlJc w:val="left"/>
      <w:lvlText w:val="%2"/>
      <w:numFmt w:val="lowerLetter"/>
      <w:start w:val="1"/>
    </w:lvl>
  </w:abstractNum>
  <w:abstractNum w:abstractNumId="351">
    <w:nsid w:val="2FE5D025"/>
    <w:multiLevelType w:val="hybridMultilevel"/>
    <w:lvl w:ilvl="0">
      <w:lvlJc w:val="left"/>
      <w:lvlText w:val="%1"/>
      <w:numFmt w:val="lowerLetter"/>
      <w:start w:val="1"/>
    </w:lvl>
    <w:lvl w:ilvl="1">
      <w:lvlJc w:val="left"/>
      <w:lvlText w:val="(%2)"/>
      <w:numFmt w:val="lowerLetter"/>
      <w:start w:val="35"/>
    </w:lvl>
  </w:abstractNum>
  <w:abstractNum w:abstractNumId="352">
    <w:nsid w:val="30E1B1CF"/>
    <w:multiLevelType w:val="hybridMultilevel"/>
    <w:lvl w:ilvl="0">
      <w:lvlJc w:val="left"/>
      <w:lvlText w:val="(%1)"/>
      <w:numFmt w:val="lowerLetter"/>
      <w:start w:val="3"/>
    </w:lvl>
    <w:lvl w:ilvl="1">
      <w:lvlJc w:val="left"/>
      <w:lvlText w:val="%2"/>
      <w:numFmt w:val="lowerLetter"/>
      <w:start w:val="1"/>
    </w:lvl>
  </w:abstractNum>
  <w:abstractNum w:abstractNumId="353">
    <w:nsid w:val="C7A9237"/>
    <w:multiLevelType w:val="hybridMultilevel"/>
    <w:lvl w:ilvl="0">
      <w:lvlJc w:val="left"/>
      <w:lvlText w:val="(%1)"/>
      <w:numFmt w:val="lowerLetter"/>
      <w:start w:val="1"/>
    </w:lvl>
    <w:lvl w:ilvl="1">
      <w:lvlJc w:val="left"/>
      <w:lvlText w:val="(%2)"/>
      <w:numFmt w:val="lowerLetter"/>
      <w:start w:val="9"/>
    </w:lvl>
  </w:abstractNum>
  <w:abstractNum w:abstractNumId="354">
    <w:nsid w:val="676B3580"/>
    <w:multiLevelType w:val="hybridMultilevel"/>
    <w:lvl w:ilvl="0">
      <w:lvlJc w:val="left"/>
      <w:lvlText w:val="(%1)"/>
      <w:numFmt w:val="lowerRoman"/>
      <w:start w:val="2"/>
    </w:lvl>
  </w:abstractNum>
  <w:abstractNum w:abstractNumId="355">
    <w:nsid w:val="3193C8F9"/>
    <w:multiLevelType w:val="hybridMultilevel"/>
    <w:lvl w:ilvl="0">
      <w:lvlJc w:val="left"/>
      <w:lvlText w:val="(%1)"/>
      <w:numFmt w:val="lowerRoman"/>
      <w:start w:val="8"/>
    </w:lvl>
  </w:abstractNum>
  <w:abstractNum w:abstractNumId="356">
    <w:nsid w:val="5FA6C6DC"/>
    <w:multiLevelType w:val="hybridMultilevel"/>
    <w:lvl w:ilvl="0">
      <w:lvlJc w:val="left"/>
      <w:lvlText w:val="(%1)"/>
      <w:numFmt w:val="lowerLetter"/>
      <w:start w:val="3"/>
    </w:lvl>
  </w:abstractNum>
  <w:abstractNum w:abstractNumId="357">
    <w:nsid w:val="77933F62"/>
    <w:multiLevelType w:val="hybridMultilevel"/>
    <w:lvl w:ilvl="0">
      <w:lvlJc w:val="left"/>
      <w:lvlText w:val="(%1)"/>
      <w:numFmt w:val="lowerLetter"/>
      <w:start w:val="6"/>
    </w:lvl>
  </w:abstractNum>
  <w:abstractNum w:abstractNumId="358">
    <w:nsid w:val="6CB4EE9C"/>
    <w:multiLevelType w:val="hybridMultilevel"/>
    <w:lvl w:ilvl="0">
      <w:lvlJc w:val="left"/>
      <w:lvlText w:val="(%1)"/>
      <w:numFmt w:val="upperLetter"/>
      <w:start w:val="2"/>
    </w:lvl>
  </w:abstractNum>
  <w:abstractNum w:abstractNumId="359">
    <w:nsid w:val="6A6D56D7"/>
    <w:multiLevelType w:val="hybridMultilevel"/>
    <w:lvl w:ilvl="0">
      <w:lvlJc w:val="left"/>
      <w:lvlText w:val="(%1)"/>
      <w:numFmt w:val="lowerLetter"/>
      <w:start w:val="1"/>
    </w:lvl>
  </w:abstractNum>
  <w:abstractNum w:abstractNumId="360">
    <w:nsid w:val="5B727F19"/>
    <w:multiLevelType w:val="hybridMultilevel"/>
    <w:lvl w:ilvl="0">
      <w:lvlJc w:val="left"/>
      <w:lvlText w:val="(%1)"/>
      <w:numFmt w:val="upperLetter"/>
      <w:start w:val="1"/>
    </w:lvl>
  </w:abstractNum>
  <w:abstractNum w:abstractNumId="361">
    <w:nsid w:val="514E5CB0"/>
    <w:multiLevelType w:val="hybridMultilevel"/>
    <w:lvl w:ilvl="0">
      <w:lvlJc w:val="left"/>
      <w:lvlText w:val="%1"/>
      <w:numFmt w:val="lowerLetter"/>
      <w:start w:val="1"/>
    </w:lvl>
    <w:lvl w:ilvl="1">
      <w:lvlJc w:val="left"/>
      <w:lvlText w:val="(%2)"/>
      <w:numFmt w:val="lowerLetter"/>
      <w:start w:val="1"/>
    </w:lvl>
  </w:abstractNum>
  <w:abstractNum w:abstractNumId="362">
    <w:nsid w:val="4210D41E"/>
    <w:multiLevelType w:val="hybridMultilevel"/>
    <w:lvl w:ilvl="0">
      <w:lvlJc w:val="left"/>
      <w:lvlText w:val="(%1)"/>
      <w:numFmt w:val="lowerLetter"/>
      <w:start w:val="35"/>
    </w:lvl>
    <w:lvl w:ilvl="1">
      <w:lvlJc w:val="left"/>
      <w:lvlText w:val="%2"/>
      <w:numFmt w:val="lowerLetter"/>
      <w:start w:val="1"/>
    </w:lvl>
  </w:abstractNum>
  <w:abstractNum w:abstractNumId="363">
    <w:nsid w:val="4FF4CC6D"/>
    <w:multiLevelType w:val="hybridMultilevel"/>
    <w:lvl w:ilvl="0">
      <w:lvlJc w:val="left"/>
      <w:lvlText w:val="(%1)"/>
      <w:numFmt w:val="lowerLetter"/>
      <w:start w:val="2"/>
    </w:lvl>
  </w:abstractNum>
  <w:abstractNum w:abstractNumId="364">
    <w:nsid w:val="404EAF4A"/>
    <w:multiLevelType w:val="hybridMultilevel"/>
    <w:lvl w:ilvl="0">
      <w:lvlJc w:val="left"/>
      <w:lvlText w:val="(%1)"/>
      <w:numFmt w:val="lowerLetter"/>
      <w:start w:val="9"/>
    </w:lvl>
    <w:lvl w:ilvl="1">
      <w:lvlJc w:val="left"/>
      <w:lvlText w:val="(%2)"/>
      <w:numFmt w:val="lowerLetter"/>
      <w:start w:val="5"/>
    </w:lvl>
  </w:abstractNum>
  <w:abstractNum w:abstractNumId="365">
    <w:nsid w:val="4A16874F"/>
    <w:multiLevelType w:val="hybridMultilevel"/>
    <w:lvl w:ilvl="0">
      <w:lvlJc w:val="left"/>
      <w:lvlText w:val="%1."/>
      <w:numFmt w:val="decimal"/>
      <w:start w:val="1"/>
    </w:lvl>
  </w:abstractNum>
  <w:abstractNum w:abstractNumId="366">
    <w:nsid w:val="55FEE0D1"/>
    <w:multiLevelType w:val="hybridMultilevel"/>
    <w:lvl w:ilvl="0">
      <w:lvlJc w:val="left"/>
      <w:lvlText w:val="(%1)"/>
      <w:numFmt w:val="lowerLetter"/>
      <w:start w:val="1"/>
    </w:lvl>
  </w:abstractNum>
  <w:abstractNum w:abstractNumId="367">
    <w:nsid w:val="3C5E07C"/>
    <w:multiLevelType w:val="hybridMultilevel"/>
    <w:lvl w:ilvl="0">
      <w:lvlJc w:val="left"/>
      <w:lvlText w:val="%1."/>
      <w:numFmt w:val="decimal"/>
      <w:start w:val="3"/>
    </w:lvl>
  </w:abstractNum>
  <w:abstractNum w:abstractNumId="368">
    <w:nsid w:val="60C2D273"/>
    <w:multiLevelType w:val="hybridMultilevel"/>
    <w:lvl w:ilvl="0">
      <w:lvlJc w:val="left"/>
      <w:lvlText w:val="(%1)"/>
      <w:numFmt w:val="lowerLetter"/>
      <w:start w:val="1"/>
    </w:lvl>
  </w:abstractNum>
  <w:abstractNum w:abstractNumId="369">
    <w:nsid w:val="4CC32F1F"/>
    <w:multiLevelType w:val="hybridMultilevel"/>
    <w:lvl w:ilvl="0">
      <w:lvlJc w:val="left"/>
      <w:lvlText w:val="%1."/>
      <w:numFmt w:val="decimal"/>
      <w:start w:val="4"/>
    </w:lvl>
  </w:abstractNum>
  <w:abstractNum w:abstractNumId="370">
    <w:nsid w:val="11CAC74A"/>
    <w:multiLevelType w:val="hybridMultilevel"/>
    <w:lvl w:ilvl="0">
      <w:lvlJc w:val="left"/>
      <w:lvlText w:val="(%1)"/>
      <w:numFmt w:val="lowerLetter"/>
      <w:start w:val="1"/>
    </w:lvl>
  </w:abstractNum>
  <w:abstractNum w:abstractNumId="371">
    <w:nsid w:val="126CADE9"/>
    <w:multiLevelType w:val="hybridMultilevel"/>
    <w:lvl w:ilvl="0">
      <w:lvlJc w:val="left"/>
      <w:lvlText w:val="(%1)"/>
      <w:numFmt w:val="lowerLetter"/>
      <w:start w:val="2"/>
    </w:lvl>
    <w:lvl w:ilvl="1">
      <w:lvlJc w:val="left"/>
      <w:lvlText w:val="(%2)"/>
      <w:numFmt w:val="lowerRoman"/>
      <w:start w:val="1"/>
    </w:lvl>
  </w:abstractNum>
  <w:abstractNum w:abstractNumId="372">
    <w:nsid w:val="19132E7B"/>
    <w:multiLevelType w:val="hybridMultilevel"/>
    <w:lvl w:ilvl="0">
      <w:lvlJc w:val="left"/>
      <w:lvlText w:val="(%1)"/>
      <w:numFmt w:val="lowerLetter"/>
      <w:start w:val="3"/>
    </w:lvl>
    <w:lvl w:ilvl="1">
      <w:lvlJc w:val="left"/>
      <w:lvlText w:val="(%2)"/>
      <w:numFmt w:val="lowerRoman"/>
      <w:start w:val="1"/>
    </w:lvl>
  </w:abstractNum>
  <w:abstractNum w:abstractNumId="373">
    <w:nsid w:val="63822DC0"/>
    <w:multiLevelType w:val="hybridMultilevel"/>
    <w:lvl w:ilvl="0">
      <w:lvlJc w:val="left"/>
      <w:lvlText w:val="(%1)"/>
      <w:numFmt w:val="lowerRoman"/>
      <w:start w:val="3"/>
    </w:lvl>
  </w:abstractNum>
  <w:abstractNum w:abstractNumId="374">
    <w:nsid w:val="6C11685A"/>
    <w:multiLevelType w:val="hybridMultilevel"/>
    <w:lvl w:ilvl="0">
      <w:lvlJc w:val="left"/>
      <w:lvlText w:val="(%1)"/>
      <w:numFmt w:val="lowerLetter"/>
      <w:start w:val="4"/>
    </w:lvl>
  </w:abstractNum>
  <w:abstractNum w:abstractNumId="375">
    <w:nsid w:val="5E1EAE31"/>
    <w:multiLevelType w:val="hybridMultilevel"/>
    <w:lvl w:ilvl="0">
      <w:lvlJc w:val="left"/>
      <w:lvlText w:val="%1"/>
      <w:numFmt w:val="lowerLetter"/>
      <w:start w:val="1"/>
    </w:lvl>
    <w:lvl w:ilvl="1">
      <w:lvlJc w:val="left"/>
      <w:lvlText w:val="(%2)"/>
      <w:numFmt w:val="lowerLetter"/>
      <w:start w:val="5"/>
    </w:lvl>
  </w:abstractNum>
  <w:abstractNum w:abstractNumId="376">
    <w:nsid w:val="178E240D"/>
    <w:multiLevelType w:val="hybridMultilevel"/>
    <w:lvl w:ilvl="0">
      <w:lvlJc w:val="left"/>
      <w:lvlText w:val="(%1)"/>
      <w:numFmt w:val="lowerLetter"/>
      <w:start w:val="61"/>
    </w:lvl>
    <w:lvl w:ilvl="1">
      <w:lvlJc w:val="left"/>
      <w:lvlText w:val="%2"/>
      <w:numFmt w:val="lowerLetter"/>
      <w:start w:val="1"/>
    </w:lvl>
  </w:abstractNum>
  <w:abstractNum w:abstractNumId="377">
    <w:nsid w:val="5556A87B"/>
    <w:multiLevelType w:val="hybridMultilevel"/>
    <w:lvl w:ilvl="0">
      <w:lvlJc w:val="left"/>
      <w:lvlText w:val="%1."/>
      <w:numFmt w:val="decimal"/>
      <w:start w:val="5"/>
    </w:lvl>
  </w:abstractNum>
  <w:abstractNum w:abstractNumId="378">
    <w:nsid w:val="28100A9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79">
    <w:nsid w:val="D83863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380">
    <w:nsid w:val="71B82AED"/>
    <w:multiLevelType w:val="hybridMultilevel"/>
    <w:lvl w:ilvl="0">
      <w:lvlJc w:val="left"/>
      <w:lvlText w:val="(%1)"/>
      <w:numFmt w:val="lowerRoman"/>
      <w:start w:val="6"/>
    </w:lvl>
  </w:abstractNum>
  <w:abstractNum w:abstractNumId="381">
    <w:nsid w:val="D15FACA"/>
    <w:multiLevelType w:val="hybridMultilevel"/>
    <w:lvl w:ilvl="0">
      <w:lvlJc w:val="left"/>
      <w:lvlText w:val="(%1)"/>
      <w:numFmt w:val="lowerLetter"/>
      <w:start w:val="2"/>
    </w:lvl>
  </w:abstractNum>
  <w:abstractNum w:abstractNumId="382">
    <w:nsid w:val="3D69565B"/>
    <w:multiLevelType w:val="hybridMultilevel"/>
    <w:lvl w:ilvl="0">
      <w:lvlJc w:val="left"/>
      <w:lvlText w:val="%1."/>
      <w:numFmt w:val="decimal"/>
      <w:start w:val="6"/>
    </w:lvl>
  </w:abstractNum>
  <w:abstractNum w:abstractNumId="383">
    <w:nsid w:val="2299DCBC"/>
    <w:multiLevelType w:val="hybridMultilevel"/>
    <w:lvl w:ilvl="0">
      <w:lvlJc w:val="left"/>
      <w:lvlText w:val="%1."/>
      <w:numFmt w:val="decimal"/>
      <w:start w:val="7"/>
    </w:lvl>
  </w:abstractNum>
  <w:abstractNum w:abstractNumId="384">
    <w:nsid w:val="19908D02"/>
    <w:multiLevelType w:val="hybridMultilevel"/>
    <w:lvl w:ilvl="0">
      <w:lvlJc w:val="left"/>
      <w:lvlText w:val="(%1)"/>
      <w:numFmt w:val="lowerLetter"/>
      <w:start w:val="1"/>
    </w:lvl>
  </w:abstractNum>
  <w:abstractNum w:abstractNumId="385">
    <w:nsid w:val="24D48BDB"/>
    <w:multiLevelType w:val="hybridMultilevel"/>
    <w:lvl w:ilvl="0">
      <w:lvlJc w:val="left"/>
      <w:lvlText w:val="(%1)"/>
      <w:numFmt w:val="lowerLetter"/>
      <w:start w:val="4"/>
    </w:lvl>
  </w:abstractNum>
  <w:abstractNum w:abstractNumId="386">
    <w:nsid w:val="542DA5B5"/>
    <w:multiLevelType w:val="hybridMultilevel"/>
    <w:lvl w:ilvl="0">
      <w:lvlJc w:val="left"/>
      <w:lvlText w:val="(%1)"/>
      <w:numFmt w:val="lowerLetter"/>
      <w:start w:val="7"/>
    </w:lvl>
    <w:lvl w:ilvl="1">
      <w:lvlJc w:val="left"/>
      <w:lvlText w:val="(%2)"/>
      <w:numFmt w:val="lowerRoman"/>
      <w:start w:val="1"/>
    </w:lvl>
  </w:abstractNum>
  <w:abstractNum w:abstractNumId="387">
    <w:nsid w:val="793753DE"/>
    <w:multiLevelType w:val="hybridMultilevel"/>
    <w:lvl w:ilvl="0">
      <w:lvlJc w:val="left"/>
      <w:lvlText w:val="%1."/>
      <w:numFmt w:val="decimal"/>
      <w:start w:val="8"/>
    </w:lvl>
  </w:abstractNum>
  <w:abstractNum w:abstractNumId="388">
    <w:nsid w:val="1C67CB3D"/>
    <w:multiLevelType w:val="hybridMultilevel"/>
    <w:lvl w:ilvl="0">
      <w:lvlJc w:val="left"/>
      <w:lvlText w:val="(%1)"/>
      <w:numFmt w:val="lowerLetter"/>
      <w:start w:val="1"/>
    </w:lvl>
  </w:abstractNum>
  <w:abstractNum w:abstractNumId="389">
    <w:nsid w:val="40E29452"/>
    <w:multiLevelType w:val="hybridMultilevel"/>
    <w:lvl w:ilvl="0">
      <w:lvlJc w:val="left"/>
      <w:lvlText w:val="(%1)"/>
      <w:numFmt w:val="lowerLetter"/>
      <w:start w:val="3"/>
    </w:lvl>
    <w:lvl w:ilvl="1">
      <w:lvlJc w:val="left"/>
      <w:lvlText w:val="(%2)"/>
      <w:numFmt w:val="lowerRoman"/>
      <w:start w:val="1"/>
    </w:lvl>
  </w:abstractNum>
  <w:abstractNum w:abstractNumId="390">
    <w:nsid w:val="63A4AAB6"/>
    <w:multiLevelType w:val="hybridMultilevel"/>
    <w:lvl w:ilvl="0">
      <w:lvlJc w:val="left"/>
      <w:lvlText w:val="%1"/>
      <w:numFmt w:val="decimal"/>
      <w:start w:val="1"/>
    </w:lvl>
    <w:lvl w:ilvl="1">
      <w:lvlJc w:val="left"/>
      <w:lvlText w:val="(%2)"/>
      <w:numFmt w:val="lowerRoman"/>
      <w:start w:val="3"/>
    </w:lvl>
  </w:abstractNum>
  <w:abstractNum w:abstractNumId="391">
    <w:nsid w:val="77DA4A57"/>
    <w:multiLevelType w:val="hybridMultilevel"/>
    <w:lvl w:ilvl="0">
      <w:lvlJc w:val="left"/>
      <w:lvlText w:val="%1."/>
      <w:numFmt w:val="decimal"/>
      <w:start w:val="9"/>
    </w:lvl>
    <w:lvl w:ilvl="1">
      <w:lvlJc w:val="left"/>
      <w:lvlText w:val="%2"/>
      <w:numFmt w:val="lowerRoman"/>
      <w:start w:val="1"/>
    </w:lvl>
  </w:abstractNum>
  <w:abstractNum w:abstractNumId="392">
    <w:nsid w:val="1230F102"/>
    <w:multiLevelType w:val="hybridMultilevel"/>
    <w:lvl w:ilvl="0">
      <w:lvlJc w:val="left"/>
      <w:lvlText w:val="(%1)"/>
      <w:numFmt w:val="lowerLetter"/>
      <w:start w:val="1"/>
    </w:lvl>
  </w:abstractNum>
  <w:abstractNum w:abstractNumId="393">
    <w:nsid w:val="25B57ED4"/>
    <w:multiLevelType w:val="hybridMultilevel"/>
    <w:lvl w:ilvl="0">
      <w:lvlJc w:val="left"/>
      <w:lvlText w:val="(%1)"/>
      <w:numFmt w:val="lowerLetter"/>
      <w:start w:val="2"/>
    </w:lvl>
  </w:abstractNum>
  <w:abstractNum w:abstractNumId="394">
    <w:nsid w:val="47CF16C4"/>
    <w:multiLevelType w:val="hybridMultilevel"/>
    <w:lvl w:ilvl="0">
      <w:lvlJc w:val="left"/>
      <w:lvlText w:val="(%1)"/>
      <w:numFmt w:val="lowerLetter"/>
      <w:start w:val="5"/>
    </w:lvl>
    <w:lvl w:ilvl="1">
      <w:lvlJc w:val="left"/>
      <w:lvlText w:val="(%2)"/>
      <w:numFmt w:val="lowerRoman"/>
      <w:start w:val="1"/>
    </w:lvl>
  </w:abstractNum>
  <w:abstractNum w:abstractNumId="395">
    <w:nsid w:val="527FA04C"/>
    <w:multiLevelType w:val="hybridMultilevel"/>
    <w:lvl w:ilvl="0">
      <w:lvlJc w:val="left"/>
      <w:lvlText w:val="%1"/>
      <w:numFmt w:val="lowerLetter"/>
      <w:start w:val="1"/>
    </w:lvl>
    <w:lvl w:ilvl="1">
      <w:lvlJc w:val="left"/>
      <w:lvlText w:val="(%2)"/>
      <w:numFmt w:val="lowerLetter"/>
      <w:start w:val="61"/>
    </w:lvl>
  </w:abstractNum>
  <w:abstractNum w:abstractNumId="396">
    <w:nsid w:val="6FCC0624"/>
    <w:multiLevelType w:val="hybridMultilevel"/>
    <w:lvl w:ilvl="0">
      <w:lvlJc w:val="left"/>
      <w:lvlText w:val="(%1)"/>
      <w:numFmt w:val="lowerLetter"/>
      <w:start w:val="10"/>
    </w:lvl>
    <w:lvl w:ilvl="1">
      <w:lvlJc w:val="left"/>
      <w:lvlText w:val="%2"/>
      <w:numFmt w:val="lowerLetter"/>
      <w:start w:val="1"/>
    </w:lvl>
  </w:abstractNum>
  <w:abstractNum w:abstractNumId="397">
    <w:nsid w:val="1DCDF795"/>
    <w:multiLevelType w:val="hybridMultilevel"/>
    <w:lvl w:ilvl="0">
      <w:lvlJc w:val="left"/>
      <w:lvlText w:val="%1."/>
      <w:numFmt w:val="decimal"/>
      <w:start w:val="1"/>
    </w:lvl>
    <w:lvl w:ilvl="1">
      <w:lvlJc w:val="left"/>
      <w:lvlText w:val="(%2)"/>
      <w:numFmt w:val="lowerLetter"/>
      <w:start w:val="1"/>
    </w:lvl>
  </w:abstractNum>
  <w:abstractNum w:abstractNumId="398">
    <w:nsid w:val="564580C8"/>
    <w:multiLevelType w:val="hybridMultilevel"/>
    <w:lvl w:ilvl="0">
      <w:lvlJc w:val="left"/>
      <w:lvlText w:val="%1"/>
      <w:numFmt w:val="decimal"/>
      <w:start w:val="1"/>
    </w:lvl>
    <w:lvl w:ilvl="1">
      <w:lvlJc w:val="left"/>
      <w:lvlText w:val="(%2)"/>
      <w:numFmt w:val="lowerLetter"/>
      <w:start w:val="3"/>
    </w:lvl>
  </w:abstractNum>
  <w:abstractNum w:abstractNumId="399">
    <w:nsid w:val="508ED897"/>
    <w:multiLevelType w:val="hybridMultilevel"/>
    <w:lvl w:ilvl="0">
      <w:lvlJc w:val="left"/>
      <w:lvlText w:val="%1."/>
      <w:numFmt w:val="decimal"/>
      <w:start w:val="2"/>
    </w:lvl>
    <w:lvl w:ilvl="1">
      <w:lvlJc w:val="left"/>
      <w:lvlText w:val="%2"/>
      <w:numFmt w:val="lowerLetter"/>
      <w:start w:val="1"/>
    </w:lvl>
  </w:abstractNum>
  <w:abstractNum w:abstractNumId="400">
    <w:nsid w:val="6A9126B5"/>
    <w:multiLevelType w:val="hybridMultilevel"/>
    <w:lvl w:ilvl="0">
      <w:lvlJc w:val="left"/>
      <w:lvlText w:val="%1."/>
      <w:numFmt w:val="decimal"/>
      <w:start w:val="4"/>
    </w:lvl>
  </w:abstractNum>
  <w:abstractNum w:abstractNumId="401">
    <w:nsid w:val="68104812"/>
    <w:multiLevelType w:val="hybridMultilevel"/>
    <w:lvl w:ilvl="0">
      <w:lvlJc w:val="left"/>
      <w:lvlText w:val="%1."/>
      <w:numFmt w:val="decimal"/>
      <w:start w:val="1"/>
    </w:lvl>
  </w:abstractNum>
  <w:abstractNum w:abstractNumId="402">
    <w:nsid w:val="62FB8680"/>
    <w:multiLevelType w:val="hybridMultilevel"/>
    <w:lvl w:ilvl="0">
      <w:lvlJc w:val="left"/>
      <w:lvlText w:val="(%1)"/>
      <w:numFmt w:val="lowerLetter"/>
      <w:start w:val="1"/>
    </w:lvl>
  </w:abstractNum>
  <w:abstractNum w:abstractNumId="403">
    <w:nsid w:val="3A45530"/>
    <w:multiLevelType w:val="hybridMultilevel"/>
    <w:lvl w:ilvl="0">
      <w:lvlJc w:val="left"/>
      <w:lvlText w:val="%1."/>
      <w:numFmt w:val="decimal"/>
      <w:start w:val="3"/>
    </w:lvl>
  </w:abstractNum>
  <w:abstractNum w:abstractNumId="404">
    <w:nsid w:val="4B9275D2"/>
    <w:multiLevelType w:val="hybridMultilevel"/>
    <w:lvl w:ilvl="0">
      <w:lvlJc w:val="left"/>
      <w:lvlText w:val="(%1)"/>
      <w:numFmt w:val="lowerLetter"/>
      <w:start w:val="1"/>
    </w:lvl>
  </w:abstractNum>
  <w:abstractNum w:abstractNumId="405">
    <w:nsid w:val="4F0CEEDB"/>
    <w:multiLevelType w:val="hybridMultilevel"/>
    <w:lvl w:ilvl="0">
      <w:lvlJc w:val="left"/>
      <w:lvlText w:val="%1."/>
      <w:numFmt w:val="decimal"/>
      <w:start w:val="4"/>
    </w:lvl>
  </w:abstractNum>
  <w:abstractNum w:abstractNumId="406">
    <w:nsid w:val="61C30361"/>
    <w:multiLevelType w:val="hybridMultilevel"/>
    <w:lvl w:ilvl="0">
      <w:lvlJc w:val="left"/>
      <w:lvlText w:val="(%1)"/>
      <w:numFmt w:val="lowerLetter"/>
      <w:start w:val="1"/>
    </w:lvl>
  </w:abstractNum>
  <w:abstractNum w:abstractNumId="407">
    <w:nsid w:val="632099E0"/>
    <w:multiLevelType w:val="hybridMultilevel"/>
    <w:lvl w:ilvl="0">
      <w:lvlJc w:val="left"/>
      <w:lvlText w:val="(%1)"/>
      <w:numFmt w:val="lowerLetter"/>
      <w:start w:val="2"/>
    </w:lvl>
    <w:lvl w:ilvl="1">
      <w:lvlJc w:val="left"/>
      <w:lvlText w:val="(%2)"/>
      <w:numFmt w:val="lowerRoman"/>
      <w:start w:val="1"/>
    </w:lvl>
  </w:abstractNum>
  <w:abstractNum w:abstractNumId="408">
    <w:nsid w:val="24639756"/>
    <w:multiLevelType w:val="hybridMultilevel"/>
    <w:lvl w:ilvl="0">
      <w:lvlJc w:val="left"/>
      <w:lvlText w:val="(%1)"/>
      <w:numFmt w:val="lowerLetter"/>
      <w:start w:val="3"/>
    </w:lvl>
    <w:lvl w:ilvl="1">
      <w:lvlJc w:val="left"/>
      <w:lvlText w:val="(%2)"/>
      <w:numFmt w:val="lowerRoman"/>
      <w:start w:val="1"/>
    </w:lvl>
  </w:abstractNum>
  <w:abstractNum w:abstractNumId="409">
    <w:nsid w:val="9D30DFD"/>
    <w:multiLevelType w:val="hybridMultilevel"/>
    <w:lvl w:ilvl="0">
      <w:lvlJc w:val="left"/>
      <w:lvlText w:val="(%1)"/>
      <w:numFmt w:val="lowerLetter"/>
      <w:start w:val="4"/>
    </w:lvl>
  </w:abstractNum>
  <w:abstractNum w:abstractNumId="410">
    <w:nsid w:val="70A42016"/>
    <w:multiLevelType w:val="hybridMultilevel"/>
    <w:lvl w:ilvl="0">
      <w:lvlJc w:val="left"/>
      <w:lvlText w:val="%1"/>
      <w:numFmt w:val="lowerLetter"/>
      <w:start w:val="1"/>
    </w:lvl>
    <w:lvl w:ilvl="1">
      <w:lvlJc w:val="left"/>
      <w:lvlText w:val="(%2)"/>
      <w:numFmt w:val="lowerLetter"/>
      <w:start w:val="5"/>
    </w:lvl>
  </w:abstractNum>
  <w:abstractNum w:abstractNumId="411">
    <w:nsid w:val="161BC243"/>
    <w:multiLevelType w:val="hybridMultilevel"/>
    <w:lvl w:ilvl="0">
      <w:lvlJc w:val="left"/>
      <w:lvlText w:val="(%1)"/>
      <w:numFmt w:val="lowerLetter"/>
      <w:start w:val="61"/>
    </w:lvl>
    <w:lvl w:ilvl="1">
      <w:lvlJc w:val="left"/>
      <w:lvlText w:val="%2"/>
      <w:numFmt w:val="lowerLetter"/>
      <w:start w:val="1"/>
    </w:lvl>
  </w:abstractNum>
  <w:abstractNum w:abstractNumId="412">
    <w:nsid w:val="16E908C8"/>
    <w:multiLevelType w:val="hybridMultilevel"/>
    <w:lvl w:ilvl="0">
      <w:lvlJc w:val="left"/>
      <w:lvlText w:val="%1."/>
      <w:numFmt w:val="decimal"/>
      <w:start w:val="5"/>
    </w:lvl>
  </w:abstractNum>
  <w:abstractNum w:abstractNumId="413">
    <w:nsid w:val="2E0D7671"/>
    <w:multiLevelType w:val="hybridMultilevel"/>
    <w:lvl w:ilvl="0">
      <w:lvlJc w:val="left"/>
      <w:lvlText w:val="(%1)"/>
      <w:numFmt w:val="lowerLetter"/>
      <w:start w:val="1"/>
    </w:lvl>
  </w:abstractNum>
  <w:abstractNum w:abstractNumId="414">
    <w:nsid w:val="38B59EFF"/>
    <w:multiLevelType w:val="hybridMultilevel"/>
    <w:lvl w:ilvl="0">
      <w:lvlJc w:val="left"/>
      <w:lvlText w:val="%1"/>
      <w:numFmt w:val="upperLetter"/>
      <w:start w:val="1"/>
    </w:lvl>
    <w:lvl w:ilvl="1">
      <w:lvlJc w:val="left"/>
      <w:lvlText w:val="(%2)"/>
      <w:numFmt w:val="lowerRoman"/>
      <w:start w:val="1"/>
    </w:lvl>
  </w:abstractNum>
  <w:abstractNum w:abstractNumId="415">
    <w:nsid w:val="307995CA"/>
    <w:multiLevelType w:val="hybridMultilevel"/>
    <w:lvl w:ilvl="0">
      <w:lvlJc w:val="left"/>
      <w:lvlText w:val="(%1)"/>
      <w:numFmt w:val="upperLetter"/>
      <w:start w:val="2"/>
    </w:lvl>
    <w:lvl w:ilvl="1">
      <w:lvlJc w:val="left"/>
      <w:lvlText w:val="(%2)"/>
      <w:numFmt w:val="lowerRoman"/>
      <w:start w:val="2"/>
    </w:lvl>
  </w:abstractNum>
  <w:abstractNum w:abstractNumId="416">
    <w:nsid w:val="52E2024D"/>
    <w:multiLevelType w:val="hybridMultilevel"/>
    <w:lvl w:ilvl="0">
      <w:lvlJc w:val="left"/>
      <w:lvlText w:val="(%1)"/>
      <w:numFmt w:val="lowerLetter"/>
      <w:start w:val="2"/>
    </w:lvl>
  </w:abstractNum>
  <w:abstractNum w:abstractNumId="417">
    <w:nsid w:val="CE344B5"/>
    <w:multiLevelType w:val="hybridMultilevel"/>
    <w:lvl w:ilvl="0">
      <w:lvlJc w:val="left"/>
      <w:lvlText w:val="%1."/>
      <w:numFmt w:val="decimal"/>
      <w:start w:val="6"/>
    </w:lvl>
  </w:abstractNum>
  <w:abstractNum w:abstractNumId="418">
    <w:nsid w:val="29B0E9A8"/>
    <w:multiLevelType w:val="hybridMultilevel"/>
    <w:lvl w:ilvl="0">
      <w:lvlJc w:val="left"/>
      <w:lvlText w:val="(%1)"/>
      <w:numFmt w:val="lowerLetter"/>
      <w:start w:val="1"/>
    </w:lvl>
  </w:abstractNum>
  <w:abstractNum w:abstractNumId="419">
    <w:nsid w:val="6F49CD8A"/>
    <w:multiLevelType w:val="hybridMultilevel"/>
    <w:lvl w:ilvl="0">
      <w:lvlJc w:val="left"/>
      <w:lvlText w:val="(%1)"/>
      <w:numFmt w:val="lowerLetter"/>
      <w:start w:val="2"/>
    </w:lvl>
  </w:abstractNum>
  <w:abstractNum w:abstractNumId="420">
    <w:nsid w:val="4DC5D907"/>
    <w:multiLevelType w:val="hybridMultilevel"/>
    <w:lvl w:ilvl="0">
      <w:lvlJc w:val="left"/>
      <w:lvlText w:val="(%1)"/>
      <w:numFmt w:val="lowerLetter"/>
      <w:start w:val="5"/>
    </w:lvl>
  </w:abstractNum>
  <w:abstractNum w:abstractNumId="421">
    <w:nsid w:val="D55945E"/>
    <w:multiLevelType w:val="hybridMultilevel"/>
    <w:lvl w:ilvl="0">
      <w:lvlJc w:val="left"/>
      <w:lvlText w:val="(%1)"/>
      <w:numFmt w:val="lowerLetter"/>
      <w:start w:val="8"/>
    </w:lvl>
    <w:lvl w:ilvl="1">
      <w:lvlJc w:val="left"/>
      <w:lvlText w:val="(%2)"/>
      <w:numFmt w:val="lowerRoman"/>
      <w:start w:val="1"/>
    </w:lvl>
  </w:abstractNum>
  <w:abstractNum w:abstractNumId="422">
    <w:nsid w:val="672417E1"/>
    <w:multiLevelType w:val="hybridMultilevel"/>
    <w:lvl w:ilvl="0">
      <w:lvlJc w:val="left"/>
      <w:lvlText w:val="%1."/>
      <w:numFmt w:val="decimal"/>
      <w:start w:val="8"/>
    </w:lvl>
  </w:abstractNum>
  <w:abstractNum w:abstractNumId="423">
    <w:nsid w:val="5FF6CA09"/>
    <w:multiLevelType w:val="hybridMultilevel"/>
    <w:lvl w:ilvl="0">
      <w:lvlJc w:val="left"/>
      <w:lvlText w:val="(%1)"/>
      <w:numFmt w:val="lowerLetter"/>
      <w:start w:val="1"/>
    </w:lvl>
  </w:abstractNum>
  <w:abstractNum w:abstractNumId="424">
    <w:nsid w:val="330B1333"/>
    <w:multiLevelType w:val="hybridMultilevel"/>
    <w:lvl w:ilvl="0">
      <w:lvlJc w:val="left"/>
      <w:lvlText w:val="(%1)"/>
      <w:numFmt w:val="lowerLetter"/>
      <w:start w:val="4"/>
    </w:lvl>
    <w:lvl w:ilvl="1">
      <w:lvlJc w:val="left"/>
      <w:lvlText w:val="(%2)"/>
      <w:numFmt w:val="lowerRoman"/>
      <w:start w:val="1"/>
    </w:lvl>
  </w:abstractNum>
  <w:abstractNum w:abstractNumId="425">
    <w:nsid w:val="2EF32EA6"/>
    <w:multiLevelType w:val="hybridMultilevel"/>
    <w:lvl w:ilvl="0">
      <w:lvlJc w:val="left"/>
      <w:lvlText w:val="%1"/>
      <w:numFmt w:val="decimal"/>
      <w:start w:val="1"/>
    </w:lvl>
    <w:lvl w:ilvl="1">
      <w:lvlJc w:val="left"/>
      <w:lvlText w:val="(%2)"/>
      <w:numFmt w:val="lowerRoman"/>
      <w:start w:val="4"/>
    </w:lvl>
  </w:abstractNum>
  <w:abstractNum w:abstractNumId="426">
    <w:nsid w:val="32766A55"/>
    <w:multiLevelType w:val="hybridMultilevel"/>
    <w:lvl w:ilvl="0">
      <w:lvlJc w:val="left"/>
      <w:lvlText w:val="%1."/>
      <w:numFmt w:val="decimal"/>
      <w:start w:val="9"/>
    </w:lvl>
    <w:lvl w:ilvl="1">
      <w:lvlJc w:val="left"/>
      <w:lvlText w:val="%2"/>
      <w:numFmt w:val="lowerRoman"/>
      <w:start w:val="1"/>
    </w:lvl>
  </w:abstractNum>
  <w:abstractNum w:abstractNumId="427">
    <w:nsid w:val="22D71957"/>
    <w:multiLevelType w:val="hybridMultilevel"/>
    <w:lvl w:ilvl="0">
      <w:lvlJc w:val="left"/>
      <w:lvlText w:val="(%1)"/>
      <w:numFmt w:val="lowerLetter"/>
      <w:start w:val="1"/>
    </w:lvl>
  </w:abstractNum>
  <w:abstractNum w:abstractNumId="428">
    <w:nsid w:val="4CC1263B"/>
    <w:multiLevelType w:val="hybridMultilevel"/>
    <w:lvl w:ilvl="0">
      <w:lvlJc w:val="left"/>
      <w:lvlText w:val="(%1)"/>
      <w:numFmt w:val="lowerLetter"/>
      <w:start w:val="2"/>
    </w:lvl>
  </w:abstractNum>
  <w:abstractNum w:abstractNumId="429">
    <w:nsid w:val="8BBEB1D"/>
    <w:multiLevelType w:val="hybridMultilevel"/>
    <w:lvl w:ilvl="0">
      <w:lvlJc w:val="left"/>
      <w:lvlText w:val="(%1)"/>
      <w:numFmt w:val="lowerLetter"/>
      <w:start w:val="3"/>
    </w:lvl>
  </w:abstractNum>
  <w:abstractNum w:abstractNumId="430">
    <w:nsid w:val="7365F1EE"/>
    <w:multiLevelType w:val="hybridMultilevel"/>
    <w:lvl w:ilvl="0">
      <w:lvlJc w:val="left"/>
      <w:lvlText w:val="(%1)"/>
      <w:numFmt w:val="lowerLetter"/>
      <w:start w:val="6"/>
    </w:lvl>
    <w:lvl w:ilvl="1">
      <w:lvlJc w:val="left"/>
      <w:lvlText w:val="(%2)"/>
      <w:numFmt w:val="lowerRoman"/>
      <w:start w:val="1"/>
    </w:lvl>
  </w:abstractNum>
  <w:abstractNum w:abstractNumId="431">
    <w:nsid w:val="37524CF0"/>
    <w:multiLevelType w:val="hybridMultilevel"/>
    <w:lvl w:ilvl="0">
      <w:lvlJc w:val="left"/>
      <w:lvlText w:val="(%1)"/>
      <w:numFmt w:val="lowerLetter"/>
      <w:start w:val="10"/>
    </w:lvl>
  </w:abstractNum>
  <w:abstractNum w:abstractNumId="432">
    <w:nsid w:val="70CC332F"/>
    <w:multiLevelType w:val="hybridMultilevel"/>
    <w:lvl w:ilvl="0">
      <w:lvlJc w:val="left"/>
      <w:lvlText w:val="%1."/>
      <w:numFmt w:val="decimal"/>
      <w:start w:val="1"/>
    </w:lvl>
    <w:lvl w:ilvl="1">
      <w:lvlJc w:val="left"/>
      <w:lvlText w:val="(%2)"/>
      <w:numFmt w:val="lowerLetter"/>
      <w:start w:val="1"/>
    </w:lvl>
  </w:abstractNum>
  <w:abstractNum w:abstractNumId="433">
    <w:nsid w:val="5661786E"/>
    <w:multiLevelType w:val="hybridMultilevel"/>
    <w:lvl w:ilvl="0">
      <w:lvlJc w:val="left"/>
      <w:lvlText w:val="%1"/>
      <w:numFmt w:val="decimal"/>
      <w:start w:val="1"/>
    </w:lvl>
    <w:lvl w:ilvl="1">
      <w:lvlJc w:val="left"/>
      <w:lvlText w:val="(%2)"/>
      <w:numFmt w:val="lowerLetter"/>
      <w:start w:val="3"/>
    </w:lvl>
  </w:abstractNum>
  <w:abstractNum w:abstractNumId="434">
    <w:nsid w:val="3AF6A220"/>
    <w:multiLevelType w:val="hybridMultilevel"/>
    <w:lvl w:ilvl="0">
      <w:lvlJc w:val="left"/>
      <w:lvlText w:val="%1."/>
      <w:numFmt w:val="decimal"/>
      <w:start w:val="2"/>
    </w:lvl>
    <w:lvl w:ilvl="1">
      <w:lvlJc w:val="left"/>
      <w:lvlText w:val="%2"/>
      <w:numFmt w:val="lowerLetter"/>
      <w:start w:val="1"/>
    </w:lvl>
  </w:abstractNum>
  <w:abstractNum w:abstractNumId="435">
    <w:nsid w:val="3C5EA902"/>
    <w:multiLevelType w:val="hybridMultilevel"/>
    <w:lvl w:ilvl="0">
      <w:lvlJc w:val="left"/>
      <w:lvlText w:val="%1."/>
      <w:numFmt w:val="decimal"/>
      <w:start w:val="4"/>
    </w:lvl>
  </w:abstractNum>
  <w:abstractNum w:abstractNumId="436">
    <w:nsid w:val="256E6749"/>
    <w:multiLevelType w:val="hybridMultilevel"/>
    <w:lvl w:ilvl="0">
      <w:lvlJc w:val="left"/>
      <w:lvlText w:val="%1."/>
      <w:numFmt w:val="decimal"/>
      <w:start w:val="1"/>
    </w:lvl>
  </w:abstractNum>
  <w:abstractNum w:abstractNumId="437">
    <w:nsid w:val="1CB9A581"/>
    <w:multiLevelType w:val="hybridMultilevel"/>
    <w:lvl w:ilvl="0">
      <w:lvlJc w:val="left"/>
      <w:lvlText w:val="(%1)"/>
      <w:numFmt w:val="lowerLetter"/>
      <w:start w:val="1"/>
    </w:lvl>
  </w:abstractNum>
  <w:abstractNum w:abstractNumId="438">
    <w:nsid w:val="1F7F42E2"/>
    <w:multiLevelType w:val="hybridMultilevel"/>
    <w:lvl w:ilvl="0">
      <w:lvlJc w:val="left"/>
      <w:lvlText w:val="%1."/>
      <w:numFmt w:val="decimal"/>
      <w:start w:val="3"/>
    </w:lvl>
  </w:abstractNum>
  <w:abstractNum w:abstractNumId="439">
    <w:nsid w:val="49D1FEA0"/>
    <w:multiLevelType w:val="hybridMultilevel"/>
    <w:lvl w:ilvl="0">
      <w:lvlJc w:val="left"/>
      <w:lvlText w:val="(%1)"/>
      <w:numFmt w:val="lowerLetter"/>
      <w:start w:val="1"/>
    </w:lvl>
  </w:abstractNum>
  <w:abstractNum w:abstractNumId="440">
    <w:nsid w:val="268CB37F"/>
    <w:multiLevelType w:val="hybridMultilevel"/>
    <w:lvl w:ilvl="0">
      <w:lvlJc w:val="left"/>
      <w:lvlText w:val="%1."/>
      <w:numFmt w:val="decimal"/>
      <w:start w:val="4"/>
    </w:lvl>
  </w:abstractNum>
  <w:abstractNum w:abstractNumId="441">
    <w:nsid w:val="102362F8"/>
    <w:multiLevelType w:val="hybridMultilevel"/>
    <w:lvl w:ilvl="0">
      <w:lvlJc w:val="left"/>
      <w:lvlText w:val="(%1)"/>
      <w:numFmt w:val="lowerLetter"/>
      <w:start w:val="1"/>
    </w:lvl>
  </w:abstractNum>
  <w:abstractNum w:abstractNumId="442">
    <w:nsid w:val="5FEDC0E3"/>
    <w:multiLevelType w:val="hybridMultilevel"/>
    <w:lvl w:ilvl="0">
      <w:lvlJc w:val="left"/>
      <w:lvlText w:val="(%1)"/>
      <w:numFmt w:val="lowerLetter"/>
      <w:start w:val="2"/>
    </w:lvl>
    <w:lvl w:ilvl="1">
      <w:lvlJc w:val="left"/>
      <w:lvlText w:val="(%2)"/>
      <w:numFmt w:val="lowerRoman"/>
      <w:start w:val="1"/>
    </w:lvl>
  </w:abstractNum>
  <w:abstractNum w:abstractNumId="443">
    <w:nsid w:val="3D75BC47"/>
    <w:multiLevelType w:val="hybridMultilevel"/>
    <w:lvl w:ilvl="0">
      <w:lvlJc w:val="left"/>
      <w:lvlText w:val="(%1)"/>
      <w:numFmt w:val="lowerLetter"/>
      <w:start w:val="3"/>
    </w:lvl>
    <w:lvl w:ilvl="1">
      <w:lvlJc w:val="left"/>
      <w:lvlText w:val="(%2)"/>
      <w:numFmt w:val="lowerRoman"/>
      <w:start w:val="1"/>
    </w:lvl>
  </w:abstractNum>
  <w:abstractNum w:abstractNumId="444">
    <w:nsid w:val="3E30D969"/>
    <w:multiLevelType w:val="hybridMultilevel"/>
    <w:lvl w:ilvl="0">
      <w:lvlJc w:val="left"/>
      <w:lvlText w:val="(%1)"/>
      <w:numFmt w:val="lowerLetter"/>
      <w:start w:val="4"/>
    </w:lvl>
  </w:abstractNum>
  <w:abstractNum w:abstractNumId="445">
    <w:nsid w:val="18A35FE3"/>
    <w:multiLevelType w:val="hybridMultilevel"/>
    <w:lvl w:ilvl="0">
      <w:lvlJc w:val="left"/>
      <w:lvlText w:val="%1"/>
      <w:numFmt w:val="lowerLetter"/>
      <w:start w:val="1"/>
    </w:lvl>
    <w:lvl w:ilvl="1">
      <w:lvlJc w:val="left"/>
      <w:lvlText w:val="(%2)"/>
      <w:numFmt w:val="lowerLetter"/>
      <w:start w:val="5"/>
    </w:lvl>
  </w:abstractNum>
  <w:abstractNum w:abstractNumId="446">
    <w:nsid w:val="6DEF5211"/>
    <w:multiLevelType w:val="hybridMultilevel"/>
    <w:lvl w:ilvl="0">
      <w:lvlJc w:val="left"/>
      <w:lvlText w:val="(%1)"/>
      <w:numFmt w:val="lowerLetter"/>
      <w:start w:val="61"/>
    </w:lvl>
    <w:lvl w:ilvl="1">
      <w:lvlJc w:val="left"/>
      <w:lvlText w:val="%2"/>
      <w:numFmt w:val="lowerLetter"/>
      <w:start w:val="1"/>
    </w:lvl>
  </w:abstractNum>
  <w:abstractNum w:abstractNumId="447">
    <w:nsid w:val="1112DBB6"/>
    <w:multiLevelType w:val="hybridMultilevel"/>
    <w:lvl w:ilvl="0">
      <w:lvlJc w:val="left"/>
      <w:lvlText w:val="%1."/>
      <w:numFmt w:val="decimal"/>
      <w:start w:val="5"/>
    </w:lvl>
  </w:abstractNum>
  <w:abstractNum w:abstractNumId="448">
    <w:nsid w:val="2586A498"/>
    <w:multiLevelType w:val="hybridMultilevel"/>
    <w:lvl w:ilvl="0">
      <w:lvlJc w:val="left"/>
      <w:lvlText w:val="(%1)"/>
      <w:numFmt w:val="lowerLetter"/>
      <w:start w:val="1"/>
    </w:lvl>
    <w:lvl w:ilvl="1">
      <w:lvlJc w:val="left"/>
      <w:lvlText w:val="(%2)"/>
      <w:numFmt w:val="lowerLetter"/>
      <w:start w:val="9"/>
    </w:lvl>
  </w:abstractNum>
  <w:abstractNum w:abstractNumId="449">
    <w:nsid w:val="17A03BB9"/>
    <w:multiLevelType w:val="hybridMultilevel"/>
    <w:lvl w:ilvl="0">
      <w:lvlJc w:val="left"/>
      <w:lvlText w:val="(%1)"/>
      <w:numFmt w:val="lowerRoman"/>
      <w:start w:val="2"/>
    </w:lvl>
  </w:abstractNum>
  <w:abstractNum w:abstractNumId="450">
    <w:nsid w:val="5CA941"/>
    <w:multiLevelType w:val="hybridMultilevel"/>
    <w:lvl w:ilvl="0">
      <w:lvlJc w:val="left"/>
      <w:lvlText w:val="(%1)"/>
      <w:numFmt w:val="lowerLetter"/>
      <w:start w:val="2"/>
    </w:lvl>
  </w:abstractNum>
  <w:abstractNum w:abstractNumId="451">
    <w:nsid w:val="734C7D9F"/>
    <w:multiLevelType w:val="hybridMultilevel"/>
    <w:lvl w:ilvl="0">
      <w:lvlJc w:val="left"/>
      <w:lvlText w:val="%1."/>
      <w:numFmt w:val="decimal"/>
      <w:start w:val="6"/>
    </w:lvl>
  </w:abstractNum>
  <w:abstractNum w:abstractNumId="452">
    <w:nsid w:val="24F5D018"/>
    <w:multiLevelType w:val="hybridMultilevel"/>
    <w:lvl w:ilvl="0">
      <w:lvlJc w:val="left"/>
      <w:lvlText w:val="(%1)"/>
      <w:numFmt w:val="lowerLetter"/>
      <w:start w:val="1"/>
    </w:lvl>
  </w:abstractNum>
  <w:abstractNum w:abstractNumId="453">
    <w:nsid w:val="6780C122"/>
    <w:multiLevelType w:val="hybridMultilevel"/>
    <w:lvl w:ilvl="0">
      <w:lvlJc w:val="left"/>
      <w:lvlText w:val="(%1)"/>
      <w:numFmt w:val="lowerLetter"/>
      <w:start w:val="2"/>
    </w:lvl>
  </w:abstractNum>
  <w:abstractNum w:abstractNumId="454">
    <w:nsid w:val="534347A8"/>
    <w:multiLevelType w:val="hybridMultilevel"/>
    <w:lvl w:ilvl="0">
      <w:lvlJc w:val="left"/>
      <w:lvlText w:val="(%1)"/>
      <w:numFmt w:val="lowerLetter"/>
      <w:start w:val="5"/>
    </w:lvl>
  </w:abstractNum>
  <w:abstractNum w:abstractNumId="455">
    <w:nsid w:val="5800E34B"/>
    <w:multiLevelType w:val="hybridMultilevel"/>
    <w:lvl w:ilvl="0">
      <w:lvlJc w:val="left"/>
      <w:lvlText w:val="(%1)"/>
      <w:numFmt w:val="lowerLetter"/>
      <w:start w:val="8"/>
    </w:lvl>
    <w:lvl w:ilvl="1">
      <w:lvlJc w:val="left"/>
      <w:lvlText w:val="(%2)"/>
      <w:numFmt w:val="lowerRoman"/>
      <w:start w:val="1"/>
    </w:lvl>
  </w:abstractNum>
  <w:abstractNum w:abstractNumId="456">
    <w:nsid w:val="1673EFC8"/>
    <w:multiLevelType w:val="hybridMultilevel"/>
    <w:lvl w:ilvl="0">
      <w:lvlJc w:val="left"/>
      <w:lvlText w:val="%1."/>
      <w:numFmt w:val="decimal"/>
      <w:start w:val="8"/>
    </w:lvl>
  </w:abstractNum>
  <w:abstractNum w:abstractNumId="457">
    <w:nsid w:val="5B9B1FD"/>
    <w:multiLevelType w:val="hybridMultilevel"/>
    <w:lvl w:ilvl="0">
      <w:lvlJc w:val="left"/>
      <w:lvlText w:val="(%1)"/>
      <w:numFmt w:val="lowerLetter"/>
      <w:start w:val="1"/>
    </w:lvl>
  </w:abstractNum>
  <w:abstractNum w:abstractNumId="458">
    <w:nsid w:val="7AD7FCA2"/>
    <w:multiLevelType w:val="hybridMultilevel"/>
    <w:lvl w:ilvl="0">
      <w:lvlJc w:val="left"/>
      <w:lvlText w:val="(%1)"/>
      <w:numFmt w:val="lowerLetter"/>
      <w:start w:val="4"/>
    </w:lvl>
    <w:lvl w:ilvl="1">
      <w:lvlJc w:val="left"/>
      <w:lvlText w:val="(%2)"/>
      <w:numFmt w:val="lowerRoman"/>
      <w:start w:val="1"/>
    </w:lvl>
  </w:abstractNum>
  <w:abstractNum w:abstractNumId="459">
    <w:nsid w:val="63351604"/>
    <w:multiLevelType w:val="hybridMultilevel"/>
    <w:lvl w:ilvl="0">
      <w:lvlJc w:val="left"/>
      <w:lvlText w:val="%1"/>
      <w:numFmt w:val="decimal"/>
      <w:start w:val="1"/>
    </w:lvl>
    <w:lvl w:ilvl="1">
      <w:lvlJc w:val="left"/>
      <w:lvlText w:val="(%2)"/>
      <w:numFmt w:val="lowerRoman"/>
      <w:start w:val="4"/>
    </w:lvl>
  </w:abstractNum>
  <w:abstractNum w:abstractNumId="460">
    <w:nsid w:val="E759D1A"/>
    <w:multiLevelType w:val="hybridMultilevel"/>
    <w:lvl w:ilvl="0">
      <w:lvlJc w:val="left"/>
      <w:lvlText w:val="%1."/>
      <w:numFmt w:val="decimal"/>
      <w:start w:val="9"/>
    </w:lvl>
    <w:lvl w:ilvl="1">
      <w:lvlJc w:val="left"/>
      <w:lvlText w:val="%2"/>
      <w:numFmt w:val="lowerRoman"/>
      <w:start w:val="1"/>
    </w:lvl>
  </w:abstractNum>
  <w:abstractNum w:abstractNumId="461">
    <w:nsid w:val="6E3DEE90"/>
    <w:multiLevelType w:val="hybridMultilevel"/>
    <w:lvl w:ilvl="0">
      <w:lvlJc w:val="left"/>
      <w:lvlText w:val="(%1)"/>
      <w:numFmt w:val="lowerLetter"/>
      <w:start w:val="1"/>
    </w:lvl>
  </w:abstractNum>
  <w:abstractNum w:abstractNumId="462">
    <w:nsid w:val="1A8762F4"/>
    <w:multiLevelType w:val="hybridMultilevel"/>
    <w:lvl w:ilvl="0">
      <w:lvlJc w:val="left"/>
      <w:lvlText w:val="(%1)"/>
      <w:numFmt w:val="lowerLetter"/>
      <w:start w:val="2"/>
    </w:lvl>
  </w:abstractNum>
  <w:abstractNum w:abstractNumId="463">
    <w:nsid w:val="7F41D049"/>
    <w:multiLevelType w:val="hybridMultilevel"/>
    <w:lvl w:ilvl="0">
      <w:lvlJc w:val="left"/>
      <w:lvlText w:val="(%1)"/>
      <w:numFmt w:val="lowerLetter"/>
      <w:start w:val="3"/>
    </w:lvl>
  </w:abstractNum>
  <w:abstractNum w:abstractNumId="464">
    <w:nsid w:val="449F66FE"/>
    <w:multiLevelType w:val="hybridMultilevel"/>
    <w:lvl w:ilvl="0">
      <w:lvlJc w:val="left"/>
      <w:lvlText w:val="(%1)"/>
      <w:numFmt w:val="lowerLetter"/>
      <w:start w:val="7"/>
    </w:lvl>
    <w:lvl w:ilvl="1">
      <w:lvlJc w:val="left"/>
      <w:lvlText w:val="(%2)"/>
      <w:numFmt w:val="lowerRoman"/>
      <w:start w:val="1"/>
    </w:lvl>
  </w:abstractNum>
  <w:abstractNum w:abstractNumId="465">
    <w:nsid w:val="557E0515"/>
    <w:multiLevelType w:val="hybridMultilevel"/>
    <w:lvl w:ilvl="0">
      <w:lvlJc w:val="left"/>
      <w:lvlText w:val="(%1)"/>
      <w:numFmt w:val="lowerLetter"/>
      <w:start w:val="10"/>
    </w:lvl>
  </w:abstractNum>
  <w:abstractNum w:abstractNumId="466">
    <w:nsid w:val="3BA0794B"/>
    <w:multiLevelType w:val="hybridMultilevel"/>
    <w:lvl w:ilvl="0">
      <w:lvlJc w:val="left"/>
      <w:lvlText w:val="%1."/>
      <w:numFmt w:val="decimal"/>
      <w:start w:val="1"/>
    </w:lvl>
    <w:lvl w:ilvl="1">
      <w:lvlJc w:val="left"/>
      <w:lvlText w:val="(%2)"/>
      <w:numFmt w:val="lowerLetter"/>
      <w:start w:val="1"/>
    </w:lvl>
  </w:abstractNum>
  <w:abstractNum w:abstractNumId="467">
    <w:nsid w:val="6A0DCE48"/>
    <w:multiLevelType w:val="hybridMultilevel"/>
    <w:lvl w:ilvl="0">
      <w:lvlJc w:val="left"/>
      <w:lvlText w:val="%1"/>
      <w:numFmt w:val="decimal"/>
      <w:start w:val="1"/>
    </w:lvl>
    <w:lvl w:ilvl="1">
      <w:lvlJc w:val="left"/>
      <w:lvlText w:val="(%2)"/>
      <w:numFmt w:val="lowerLetter"/>
      <w:start w:val="3"/>
    </w:lvl>
  </w:abstractNum>
  <w:abstractNum w:abstractNumId="468">
    <w:nsid w:val="7237AA96"/>
    <w:multiLevelType w:val="hybridMultilevel"/>
    <w:lvl w:ilvl="0">
      <w:lvlJc w:val="left"/>
      <w:lvlText w:val="%1."/>
      <w:numFmt w:val="decimal"/>
      <w:start w:val="2"/>
    </w:lvl>
    <w:lvl w:ilvl="1">
      <w:lvlJc w:val="left"/>
      <w:lvlText w:val="%2"/>
      <w:numFmt w:val="lowerLetter"/>
      <w:start w:val="1"/>
    </w:lvl>
  </w:abstractNum>
  <w:abstractNum w:abstractNumId="469">
    <w:nsid w:val="5B1FBC2D"/>
    <w:multiLevelType w:val="hybridMultilevel"/>
    <w:lvl w:ilvl="0">
      <w:lvlJc w:val="left"/>
      <w:lvlText w:val="%1."/>
      <w:numFmt w:val="decimal"/>
      <w:start w:val="4"/>
    </w:lvl>
  </w:abstractNum>
  <w:abstractNum w:abstractNumId="470">
    <w:nsid w:val="33DFCCE8"/>
    <w:multiLevelType w:val="hybridMultilevel"/>
    <w:lvl w:ilvl="0">
      <w:lvlJc w:val="left"/>
      <w:lvlText w:val="(%1)"/>
      <w:numFmt w:val="lowerLetter"/>
      <w:start w:val="1"/>
    </w:lvl>
  </w:abstractNum>
  <w:abstractNum w:abstractNumId="471">
    <w:nsid w:val="18C45E15"/>
    <w:multiLevelType w:val="hybridMultilevel"/>
    <w:lvl w:ilvl="0">
      <w:lvlJc w:val="left"/>
      <w:lvlText w:val="(%1)"/>
      <w:numFmt w:val="lowerLetter"/>
      <w:start w:val="1"/>
    </w:lvl>
  </w:abstractNum>
  <w:abstractNum w:abstractNumId="472">
    <w:nsid w:val="6B431F25"/>
    <w:multiLevelType w:val="hybridMultilevel"/>
    <w:lvl w:ilvl="0">
      <w:lvlJc w:val="left"/>
      <w:lvlText w:val="(%1)"/>
      <w:numFmt w:val="lowerLetter"/>
      <w:start w:val="9"/>
    </w:lvl>
  </w:abstractNum>
  <w:abstractNum w:abstractNumId="473">
    <w:nsid w:val="13CD8DCB"/>
    <w:multiLevelType w:val="hybridMultilevel"/>
    <w:lvl w:ilvl="0">
      <w:lvlJc w:val="left"/>
      <w:lvlText w:val="(%1)"/>
      <w:numFmt w:val="lowerLetter"/>
      <w:start w:val="20"/>
    </w:lvl>
  </w:abstractNum>
  <w:abstractNum w:abstractNumId="474">
    <w:nsid w:val="563A1A5C"/>
    <w:multiLevelType w:val="hybridMultilevel"/>
    <w:lvl w:ilvl="0">
      <w:lvlJc w:val="left"/>
      <w:lvlText w:val="(%1)"/>
      <w:numFmt w:val="lowerLetter"/>
      <w:start w:val="27"/>
    </w:lvl>
  </w:abstractNum>
  <w:abstractNum w:abstractNumId="475">
    <w:nsid w:val="2973F88F"/>
    <w:multiLevelType w:val="hybridMultilevel"/>
    <w:lvl w:ilvl="0">
      <w:lvlJc w:val="left"/>
      <w:lvlText w:val="(%1)"/>
      <w:numFmt w:val="lowerLetter"/>
      <w:start w:val="32"/>
    </w:lvl>
  </w:abstractNum>
  <w:abstractNum w:abstractNumId="476">
    <w:nsid w:val="2C70EDAE"/>
    <w:multiLevelType w:val="hybridMultilevel"/>
    <w:lvl w:ilvl="0">
      <w:lvlJc w:val="left"/>
      <w:lvlText w:val="(%1)"/>
      <w:numFmt w:val="lowerLetter"/>
      <w:start w:val="46"/>
    </w:lvl>
  </w:abstractNum>
  <w:abstractNum w:abstractNumId="477">
    <w:nsid w:val="44296C6D"/>
    <w:multiLevelType w:val="hybridMultilevel"/>
    <w:lvl w:ilvl="0">
      <w:lvlJc w:val="left"/>
      <w:lvlText w:val="(%1)"/>
      <w:numFmt w:val="lowerLetter"/>
      <w:start w:val="1"/>
    </w:lvl>
  </w:abstractNum>
  <w:abstractNum w:abstractNumId="478">
    <w:nsid w:val="3A86D445"/>
    <w:multiLevelType w:val="hybridMultilevel"/>
    <w:lvl w:ilvl="0">
      <w:lvlJc w:val="left"/>
      <w:lvlText w:val="(%1)"/>
      <w:numFmt w:val="lowerRoman"/>
      <w:start w:val="1"/>
    </w:lvl>
  </w:abstractNum>
  <w:abstractNum w:abstractNumId="479">
    <w:nsid w:val="51F79246"/>
    <w:multiLevelType w:val="hybridMultilevel"/>
    <w:lvl w:ilvl="0">
      <w:lvlJc w:val="left"/>
      <w:lvlText w:val="%1"/>
      <w:numFmt w:val="lowerLetter"/>
      <w:start w:val="1"/>
    </w:lvl>
    <w:lvl w:ilvl="1">
      <w:lvlJc w:val="left"/>
      <w:lvlText w:val="(%2)"/>
      <w:numFmt w:val="lowerRoman"/>
      <w:start w:val="5"/>
    </w:lvl>
  </w:abstractNum>
  <w:abstractNum w:abstractNumId="480">
    <w:nsid w:val="5BC9A827"/>
    <w:multiLevelType w:val="hybridMultilevel"/>
    <w:lvl w:ilvl="0">
      <w:lvlJc w:val="left"/>
      <w:lvlText w:val="(%1)"/>
      <w:numFmt w:val="lowerLetter"/>
      <w:start w:val="2"/>
    </w:lvl>
    <w:lvl w:ilvl="1">
      <w:lvlJc w:val="left"/>
      <w:lvlText w:val="(%2)"/>
      <w:numFmt w:val="lowerRoman"/>
      <w:start w:val="1"/>
    </w:lvl>
  </w:abstractNum>
  <w:abstractNum w:abstractNumId="481">
    <w:nsid w:val="3AE37D86"/>
    <w:multiLevelType w:val="hybridMultilevel"/>
    <w:lvl w:ilvl="0">
      <w:lvlJc w:val="left"/>
      <w:lvlText w:val="(%1)"/>
      <w:numFmt w:val="lowerLetter"/>
      <w:start w:val="4"/>
    </w:lvl>
  </w:abstractNum>
  <w:abstractNum w:abstractNumId="482">
    <w:nsid w:val="45440FE5"/>
    <w:multiLevelType w:val="hybridMultilevel"/>
    <w:lvl w:ilvl="0">
      <w:lvlJc w:val="left"/>
      <w:lvlText w:val="(%1)"/>
      <w:numFmt w:val="lowerLetter"/>
      <w:start w:val="1"/>
    </w:lvl>
  </w:abstractNum>
  <w:abstractNum w:abstractNumId="483">
    <w:nsid w:val="BF783F"/>
    <w:multiLevelType w:val="hybridMultilevel"/>
    <w:lvl w:ilvl="0">
      <w:lvlJc w:val="left"/>
      <w:lvlText w:val="(%1)"/>
      <w:numFmt w:val="lowerLetter"/>
      <w:start w:val="2"/>
    </w:lvl>
    <w:lvl w:ilvl="1">
      <w:lvlJc w:val="left"/>
      <w:lvlText w:val="(%2)"/>
      <w:numFmt w:val="lowerLetter"/>
      <w:start w:val="9"/>
    </w:lvl>
  </w:abstractNum>
  <w:abstractNum w:abstractNumId="484">
    <w:nsid w:val="22643EA9"/>
    <w:multiLevelType w:val="hybridMultilevel"/>
    <w:lvl w:ilvl="0">
      <w:lvlJc w:val="left"/>
      <w:lvlText w:val="(%1)"/>
      <w:numFmt w:val="lowerRoman"/>
      <w:start w:val="2"/>
    </w:lvl>
  </w:abstractNum>
  <w:abstractNum w:abstractNumId="485">
    <w:nsid w:val="1887578D"/>
    <w:multiLevelType w:val="hybridMultilevel"/>
    <w:lvl w:ilvl="0">
      <w:lvlJc w:val="left"/>
      <w:lvlText w:val="%1"/>
      <w:numFmt w:val="lowerLetter"/>
      <w:start w:val="1"/>
    </w:lvl>
    <w:lvl w:ilvl="1">
      <w:lvlJc w:val="left"/>
      <w:lvlText w:val="(%2)"/>
      <w:numFmt w:val="lowerLetter"/>
      <w:start w:val="1"/>
    </w:lvl>
  </w:abstractNum>
  <w:abstractNum w:abstractNumId="486">
    <w:nsid w:val="58C05B8A"/>
    <w:multiLevelType w:val="hybridMultilevel"/>
    <w:lvl w:ilvl="0">
      <w:lvlJc w:val="left"/>
      <w:lvlText w:val="(%1)"/>
      <w:numFmt w:val="lowerLetter"/>
      <w:start w:val="35"/>
    </w:lvl>
    <w:lvl w:ilvl="1">
      <w:lvlJc w:val="left"/>
      <w:lvlText w:val="(%2)"/>
      <w:numFmt w:val="lowerLetter"/>
      <w:start w:val="3"/>
    </w:lvl>
  </w:abstractNum>
  <w:abstractNum w:abstractNumId="487">
    <w:nsid w:val="38D82E71"/>
    <w:multiLevelType w:val="hybridMultilevel"/>
    <w:lvl w:ilvl="0">
      <w:lvlJc w:val="left"/>
      <w:lvlText w:val="(%1)"/>
      <w:numFmt w:val="lowerLetter"/>
      <w:start w:val="4"/>
    </w:lvl>
  </w:abstractNum>
  <w:abstractNum w:abstractNumId="488">
    <w:nsid w:val="1E41098A"/>
    <w:multiLevelType w:val="hybridMultilevel"/>
    <w:lvl w:ilvl="0">
      <w:lvlJc w:val="left"/>
      <w:lvlText w:val="(%1)"/>
      <w:numFmt w:val="lowerLetter"/>
      <w:start w:val="10"/>
    </w:lvl>
  </w:abstractNum>
  <w:abstractNum w:abstractNumId="489">
    <w:nsid w:val="5398582C"/>
    <w:multiLevelType w:val="hybridMultilevel"/>
    <w:lvl w:ilvl="0">
      <w:lvlJc w:val="left"/>
      <w:lvlText w:val="(%1)"/>
      <w:numFmt w:val="lowerLetter"/>
      <w:start w:val="1"/>
    </w:lvl>
  </w:abstractNum>
  <w:abstractNum w:abstractNumId="490">
    <w:nsid w:val="1C0D4475"/>
    <w:multiLevelType w:val="hybridMultilevel"/>
    <w:lvl w:ilvl="0">
      <w:lvlJc w:val="left"/>
      <w:lvlText w:val="(%1)"/>
      <w:numFmt w:val="lowerLetter"/>
      <w:start w:val="3"/>
    </w:lvl>
    <w:lvl w:ilvl="1">
      <w:lvlJc w:val="left"/>
      <w:lvlText w:val="(%2)"/>
      <w:numFmt w:val="lowerRoman"/>
      <w:start w:val="1"/>
    </w:lvl>
  </w:abstractNum>
  <w:abstractNum w:abstractNumId="491">
    <w:nsid w:val="2CB6A6A4"/>
    <w:multiLevelType w:val="hybridMultilevel"/>
    <w:lvl w:ilvl="0">
      <w:lvlJc w:val="left"/>
      <w:lvlText w:val="(%1)"/>
      <w:numFmt w:val="lowerLetter"/>
      <w:start w:val="1"/>
    </w:lvl>
    <w:lvl w:ilvl="1">
      <w:lvlJc w:val="left"/>
      <w:lvlText w:val="(%2)"/>
      <w:numFmt w:val="lowerLetter"/>
      <w:start w:val="9"/>
    </w:lvl>
  </w:abstractNum>
  <w:abstractNum w:abstractNumId="492">
    <w:nsid w:val="41D646BC"/>
    <w:multiLevelType w:val="hybridMultilevel"/>
    <w:lvl w:ilvl="0">
      <w:lvlJc w:val="left"/>
      <w:lvlText w:val="%1"/>
      <w:numFmt w:val="lowerLetter"/>
      <w:start w:val="1"/>
    </w:lvl>
    <w:lvl w:ilvl="1">
      <w:lvlJc w:val="left"/>
      <w:lvlText w:val="(%2)"/>
      <w:numFmt w:val="lowerLetter"/>
      <w:start w:val="35"/>
    </w:lvl>
  </w:abstractNum>
  <w:abstractNum w:abstractNumId="493">
    <w:nsid w:val="3694A76A"/>
    <w:multiLevelType w:val="hybridMultilevel"/>
    <w:lvl w:ilvl="0">
      <w:lvlJc w:val="left"/>
      <w:lvlText w:val="(%1)"/>
      <w:numFmt w:val="lowerLetter"/>
      <w:start w:val="3"/>
    </w:lvl>
    <w:lvl w:ilvl="1">
      <w:lvlJc w:val="left"/>
      <w:lvlText w:val="%2"/>
      <w:numFmt w:val="lowerLetter"/>
      <w:start w:val="1"/>
    </w:lvl>
  </w:abstractNum>
  <w:abstractNum w:abstractNumId="494">
    <w:nsid w:val="2BF876EE"/>
    <w:multiLevelType w:val="hybridMultilevel"/>
    <w:lvl w:ilvl="0">
      <w:lvlJc w:val="left"/>
      <w:lvlText w:val="(%1)"/>
      <w:numFmt w:val="lowerLetter"/>
      <w:start w:val="1"/>
    </w:lvl>
  </w:abstractNum>
  <w:abstractNum w:abstractNumId="495">
    <w:nsid w:val="675ADBA"/>
    <w:multiLevelType w:val="hybridMultilevel"/>
    <w:lvl w:ilvl="0">
      <w:lvlJc w:val="left"/>
      <w:lvlText w:val="(%1)"/>
      <w:numFmt w:val="lowerLetter"/>
      <w:start w:val="4"/>
    </w:lvl>
    <w:lvl w:ilvl="1">
      <w:lvlJc w:val="left"/>
      <w:lvlText w:val="(%2)"/>
      <w:numFmt w:val="lowerRoman"/>
      <w:start w:val="1"/>
    </w:lvl>
  </w:abstractNum>
  <w:abstractNum w:abstractNumId="496">
    <w:nsid w:val="C12AC7F"/>
    <w:multiLevelType w:val="hybridMultilevel"/>
    <w:lvl w:ilvl="0">
      <w:lvlJc w:val="left"/>
      <w:lvlText w:val="(%1)"/>
      <w:numFmt w:val="lowerRoman"/>
      <w:start w:val="3"/>
    </w:lvl>
  </w:abstractNum>
  <w:abstractNum w:abstractNumId="497">
    <w:nsid w:val="6798F039"/>
    <w:multiLevelType w:val="hybridMultilevel"/>
    <w:lvl w:ilvl="0">
      <w:lvlJc w:val="left"/>
      <w:lvlText w:val="(%1)"/>
      <w:numFmt w:val="lowerLetter"/>
      <w:start w:val="1"/>
    </w:lvl>
  </w:abstractNum>
  <w:abstractNum w:abstractNumId="498">
    <w:nsid w:val="70837C02"/>
    <w:multiLevelType w:val="hybridMultilevel"/>
    <w:lvl w:ilvl="0">
      <w:lvlJc w:val="left"/>
      <w:lvlText w:val="%1"/>
      <w:numFmt w:val="lowerLetter"/>
      <w:start w:val="1"/>
    </w:lvl>
    <w:lvl w:ilvl="1">
      <w:lvlJc w:val="left"/>
      <w:lvlText w:val="(%2)"/>
      <w:numFmt w:val="lowerLetter"/>
      <w:start w:val="1"/>
    </w:lvl>
  </w:abstractNum>
  <w:abstractNum w:abstractNumId="499">
    <w:nsid w:val="7E4A5715"/>
    <w:multiLevelType w:val="hybridMultilevel"/>
    <w:lvl w:ilvl="0">
      <w:lvlJc w:val="left"/>
      <w:lvlText w:val="(%1)"/>
      <w:numFmt w:val="lowerLetter"/>
      <w:start w:val="9"/>
    </w:lvl>
    <w:lvl w:ilvl="1">
      <w:lvlJc w:val="left"/>
      <w:lvlText w:val="(%2)"/>
      <w:numFmt w:val="lowerLetter"/>
      <w:start w:val="2"/>
    </w:lvl>
  </w:abstractNum>
  <w:abstractNum w:abstractNumId="500">
    <w:nsid w:val="42B8AC67"/>
    <w:multiLevelType w:val="hybridMultilevel"/>
    <w:lvl w:ilvl="0">
      <w:lvlJc w:val="left"/>
      <w:lvlText w:val="(%1)"/>
      <w:numFmt w:val="lowerLetter"/>
      <w:start w:val="4"/>
    </w:lvl>
    <w:lvl w:ilvl="1">
      <w:lvlJc w:val="left"/>
      <w:lvlText w:val="(%2)"/>
      <w:numFmt w:val="lowerRoman"/>
      <w:start w:val="1"/>
    </w:lvl>
  </w:abstractNum>
  <w:abstractNum w:abstractNumId="501">
    <w:nsid w:val="246348EA"/>
    <w:multiLevelType w:val="hybridMultilevel"/>
    <w:lvl w:ilvl="0">
      <w:lvlJc w:val="left"/>
      <w:lvlText w:val="(%1)"/>
      <w:numFmt w:val="lowerLetter"/>
      <w:start w:val="5"/>
    </w:lvl>
    <w:lvl w:ilvl="1">
      <w:lvlJc w:val="left"/>
      <w:lvlText w:val="*"/>
      <w:numFmt w:val="bullet"/>
      <w:start w:val="1"/>
    </w:lvl>
  </w:abstractNum>
  <w:abstractNum w:abstractNumId="502">
    <w:nsid w:val="170EB52B"/>
    <w:multiLevelType w:val="hybridMultilevel"/>
    <w:lvl w:ilvl="0">
      <w:lvlJc w:val="left"/>
      <w:lvlText w:val="(%1)"/>
      <w:numFmt w:val="lowerLetter"/>
      <w:start w:val="1"/>
    </w:lvl>
  </w:abstractNum>
  <w:abstractNum w:abstractNumId="503">
    <w:nsid w:val="2DFBCB8C"/>
    <w:multiLevelType w:val="hybridMultilevel"/>
    <w:lvl w:ilvl="0">
      <w:lvlJc w:val="left"/>
      <w:lvlText w:val="(%1)"/>
      <w:numFmt w:val="lowerLetter"/>
      <w:start w:val="10"/>
    </w:lvl>
  </w:abstractNum>
  <w:abstractNum w:abstractNumId="504">
    <w:nsid w:val="3830D6B6"/>
    <w:multiLevelType w:val="hybridMultilevel"/>
    <w:lvl w:ilvl="0">
      <w:lvlJc w:val="left"/>
      <w:lvlText w:val="(%1)"/>
      <w:numFmt w:val="lowerLetter"/>
      <w:start w:val="1"/>
    </w:lvl>
  </w:abstractNum>
  <w:abstractNum w:abstractNumId="505">
    <w:nsid w:val="6D48CF87"/>
    <w:multiLevelType w:val="hybridMultilevel"/>
    <w:lvl w:ilvl="0">
      <w:lvlJc w:val="left"/>
      <w:lvlText w:val="%1"/>
      <w:numFmt w:val="lowerLetter"/>
      <w:start w:val="1"/>
    </w:lvl>
    <w:lvl w:ilvl="1">
      <w:lvlJc w:val="left"/>
      <w:lvlText w:val="(%2)"/>
      <w:numFmt w:val="lowerRoman"/>
      <w:start w:val="1"/>
    </w:lvl>
  </w:abstractNum>
  <w:abstractNum w:abstractNumId="506">
    <w:nsid w:val="576FC41B"/>
    <w:multiLevelType w:val="hybridMultilevel"/>
    <w:lvl w:ilvl="0">
      <w:lvlJc w:val="left"/>
      <w:lvlText w:val="(%1)"/>
      <w:numFmt w:val="lowerLetter"/>
      <w:start w:val="2"/>
    </w:lvl>
    <w:lvl w:ilvl="1">
      <w:lvlJc w:val="left"/>
      <w:lvlText w:val="(%2)"/>
      <w:numFmt w:val="lowerRoman"/>
      <w:start w:val="1"/>
    </w:lvl>
  </w:abstractNum>
  <w:abstractNum w:abstractNumId="507">
    <w:nsid w:val="64A1C464"/>
    <w:multiLevelType w:val="hybridMultilevel"/>
    <w:lvl w:ilvl="0">
      <w:lvlJc w:val="left"/>
      <w:lvlText w:val="%1"/>
      <w:numFmt w:val="lowerLetter"/>
      <w:start w:val="1"/>
    </w:lvl>
    <w:lvl w:ilvl="1">
      <w:lvlJc w:val="left"/>
      <w:lvlText w:val="(%2)"/>
      <w:numFmt w:val="lowerLetter"/>
      <w:start w:val="35"/>
    </w:lvl>
  </w:abstractNum>
  <w:abstractNum w:abstractNumId="508">
    <w:nsid w:val="31723BF5"/>
    <w:multiLevelType w:val="hybridMultilevel"/>
    <w:lvl w:ilvl="0">
      <w:lvlJc w:val="left"/>
      <w:lvlText w:val="(%1)"/>
      <w:numFmt w:val="lowerLetter"/>
      <w:start w:val="3"/>
    </w:lvl>
    <w:lvl w:ilvl="1">
      <w:lvlJc w:val="left"/>
      <w:lvlText w:val="%2"/>
      <w:numFmt w:val="lowerLetter"/>
      <w:start w:val="1"/>
    </w:lvl>
  </w:abstractNum>
  <w:abstractNum w:abstractNumId="509">
    <w:nsid w:val="11F69861"/>
    <w:multiLevelType w:val="hybridMultilevel"/>
    <w:lvl w:ilvl="0">
      <w:lvlJc w:val="left"/>
      <w:lvlText w:val="(%1)"/>
      <w:numFmt w:val="lowerLetter"/>
      <w:start w:val="1"/>
    </w:lvl>
  </w:abstractNum>
  <w:abstractNum w:abstractNumId="510">
    <w:nsid w:val="369956AB"/>
    <w:multiLevelType w:val="hybridMultilevel"/>
    <w:lvl w:ilvl="0">
      <w:lvlJc w:val="left"/>
      <w:lvlText w:val="(%1)"/>
      <w:numFmt w:val="lowerLetter"/>
      <w:start w:val="1"/>
    </w:lvl>
    <w:lvl w:ilvl="1">
      <w:lvlJc w:val="left"/>
      <w:lvlText w:val="(%2)"/>
      <w:numFmt w:val="lowerRoman"/>
      <w:start w:val="1"/>
    </w:lvl>
  </w:abstractNum>
  <w:abstractNum w:abstractNumId="511">
    <w:nsid w:val="D3BE41C"/>
    <w:multiLevelType w:val="hybridMultilevel"/>
    <w:lvl w:ilvl="0">
      <w:lvlJc w:val="left"/>
      <w:lvlText w:val="(%1)"/>
      <w:numFmt w:val="lowerLetter"/>
      <w:start w:val="5"/>
    </w:lvl>
    <w:lvl w:ilvl="1">
      <w:lvlJc w:val="left"/>
      <w:lvlText w:val="*"/>
      <w:numFmt w:val="bullet"/>
      <w:start w:val="1"/>
    </w:lvl>
  </w:abstractNum>
  <w:abstractNum w:abstractNumId="512">
    <w:nsid w:val="4CDA15E7"/>
    <w:multiLevelType w:val="hybridMultilevel"/>
    <w:lvl w:ilvl="0">
      <w:lvlJc w:val="left"/>
      <w:lvlText w:val="%1"/>
      <w:numFmt w:val="decimal"/>
      <w:start w:val="1"/>
    </w:lvl>
    <w:lvl w:ilvl="1">
      <w:lvlJc w:val="left"/>
      <w:lvlText w:val="(%2)"/>
      <w:numFmt w:val="lowerLetter"/>
      <w:start w:val="1"/>
    </w:lvl>
  </w:abstractNum>
  <w:abstractNum w:abstractNumId="513">
    <w:nsid w:val="7BDD6690"/>
    <w:multiLevelType w:val="hybridMultilevel"/>
    <w:lvl w:ilvl="0">
      <w:lvlJc w:val="left"/>
      <w:lvlText w:val="(%1)"/>
      <w:numFmt w:val="decimal"/>
      <w:start w:val="2"/>
    </w:lvl>
    <w:lvl w:ilvl="1">
      <w:lvlJc w:val="left"/>
      <w:lvlText w:val="(%2)"/>
      <w:numFmt w:val="lowerLetter"/>
      <w:start w:val="2"/>
    </w:lvl>
  </w:abstractNum>
  <w:abstractNum w:abstractNumId="514">
    <w:nsid w:val="DFB5C5B"/>
    <w:multiLevelType w:val="hybridMultilevel"/>
    <w:lvl w:ilvl="0">
      <w:lvlJc w:val="left"/>
      <w:lvlText w:val="(%1)"/>
      <w:numFmt w:val="lowerLetter"/>
      <w:start w:val="3"/>
    </w:lvl>
  </w:abstractNum>
  <w:abstractNum w:abstractNumId="515">
    <w:nsid w:val="6F3E5490"/>
    <w:multiLevelType w:val="hybridMultilevel"/>
    <w:lvl w:ilvl="0">
      <w:lvlJc w:val="left"/>
      <w:lvlText w:val="1"/>
      <w:numFmt w:val="bullet"/>
      <w:start w:val="1"/>
    </w:lvl>
  </w:abstractNum>
  <w:abstractNum w:abstractNumId="516">
    <w:nsid w:val="1464BE1E"/>
    <w:multiLevelType w:val="hybridMultilevel"/>
    <w:lvl w:ilvl="0">
      <w:lvlJc w:val="left"/>
      <w:lvlText w:val="(%1)"/>
      <w:numFmt w:val="lowerLetter"/>
      <w:start w:val="1"/>
    </w:lvl>
  </w:abstractNum>
  <w:abstractNum w:abstractNumId="517">
    <w:nsid w:val="66BBB7E5"/>
    <w:multiLevelType w:val="hybridMultilevel"/>
    <w:lvl w:ilvl="0">
      <w:lvlJc w:val="left"/>
      <w:lvlText w:val="(%1)"/>
      <w:numFmt w:val="lowerLetter"/>
      <w:start w:val="3"/>
    </w:lvl>
  </w:abstractNum>
  <w:abstractNum w:abstractNumId="518">
    <w:nsid w:val="28168302"/>
    <w:multiLevelType w:val="hybridMultilevel"/>
    <w:lvl w:ilvl="0">
      <w:lvlJc w:val="left"/>
      <w:lvlText w:val="%1."/>
      <w:numFmt w:val="decimal"/>
      <w:start w:val="1"/>
    </w:lvl>
    <w:lvl w:ilvl="1">
      <w:lvlJc w:val="left"/>
      <w:lvlText w:val="(%2)"/>
      <w:numFmt w:val="lowerLetter"/>
      <w:start w:val="1"/>
    </w:lvl>
  </w:abstractNum>
  <w:abstractNum w:abstractNumId="519">
    <w:nsid w:val="32A5C7A8"/>
    <w:multiLevelType w:val="hybridMultilevel"/>
    <w:lvl w:ilvl="0">
      <w:lvlJc w:val="left"/>
      <w:lvlText w:val="%1."/>
      <w:numFmt w:val="decimal"/>
      <w:start w:val="1"/>
    </w:lvl>
    <w:lvl w:ilvl="1">
      <w:lvlJc w:val="left"/>
      <w:lvlText w:val="(%2)"/>
      <w:numFmt w:val="lowerLetter"/>
      <w:start w:val="1"/>
    </w:lvl>
  </w:abstractNum>
  <w:abstractNum w:abstractNumId="520">
    <w:nsid w:val="3A541011"/>
    <w:multiLevelType w:val="hybridMultilevel"/>
    <w:lvl w:ilvl="0">
      <w:lvlJc w:val="left"/>
      <w:lvlText w:val="%1."/>
      <w:numFmt w:val="decimal"/>
      <w:start w:val="1"/>
    </w:lvl>
  </w:abstractNum>
  <w:abstractNum w:abstractNumId="521">
    <w:nsid w:val="4423C7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4" Type="http://schemas.openxmlformats.org/officeDocument/2006/relationships/hyperlink" Target="https://www.sec.gov/Archives/edgar/data/0001806347/000110465922085470/tm2212886-14_s4a.htm#tANNEA" TargetMode="External"/><Relationship Id="rId55" Type="http://schemas.openxmlformats.org/officeDocument/2006/relationships/hyperlink" Target="https://www.sec.gov/Archives/edgar/data/1806347/000110465922069935/tm2212886d6_ex4-5.htm" TargetMode="External"/><Relationship Id="rId56" Type="http://schemas.openxmlformats.org/officeDocument/2006/relationships/hyperlink" Target="https://www.sec.gov/Archives/edgar/data/1806347/000110465922080226/tm2212886d9_ex4-6.htm" TargetMode="External"/><Relationship Id="rId57" Type="http://schemas.openxmlformats.org/officeDocument/2006/relationships/hyperlink" Target="https://www.sec.gov/Archives/edgar/data/1806347/000110465922049310/tm2212886d2_ex4-8.htm" TargetMode="External"/><Relationship Id="rId58" Type="http://schemas.openxmlformats.org/officeDocument/2006/relationships/hyperlink" Target="https://www.sec.gov/Archives/edgar/data/0001806347/000110465922085470/tm2212886-14_s4a.htm#tANNE2C" TargetMode="External"/><Relationship Id="rId59" Type="http://schemas.openxmlformats.org/officeDocument/2006/relationships/hyperlink" Target="https://www.sec.gov/Archives/edgar/data/0001806347/000110465922085470/tm2212886-14_s4a.htm#tANNED"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2022-08-29T15:39:46Z</dcterms:created>
  <dcterms:modified xsi:type="dcterms:W3CDTF">2022-08-29T15:39:46Z</dcterms:modified>
</cp:coreProperties>
</file>