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2" w:space="1" w:color="000000"/>
        </w:pBdr>
        <w:bidi w:val="0"/>
        <w:spacing w:before="0" w:after="0"/>
        <w:ind w:left="0" w:right="0" w:hanging="0"/>
        <w:jc w:val="center"/>
        <w:rPr/>
      </w:pPr>
      <w:bookmarkStart w:id="0" w:name="west-20260806x8k.htm"/>
      <w:bookmarkStart w:id="1" w:name="kswest20260806x8k"/>
      <w:bookmarkEnd w:id="0"/>
      <w:bookmarkEnd w:id="1"/>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bookmarkStart w:id="2" w:name="_50226b5b_08b4_4c98_b559_737a041a4326"/>
      <w:bookmarkEnd w:id="2"/>
      <w:r>
        <w:rPr>
          <w:rFonts w:ascii="Times New Roman;Times;serif" w:hAnsi="Times New Roman;Times;serif"/>
          <w:b/>
          <w:sz w:val="32"/>
        </w:rPr>
        <w:t>UNITED STATES</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FORM 8-K</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CURRENT REPORT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Pursuant to Section 13 or 15(d)</w:t>
      </w:r>
    </w:p>
    <w:p>
      <w:pPr>
        <w:pStyle w:val="TextBody"/>
        <w:bidi w:val="0"/>
        <w:spacing w:before="0" w:after="240"/>
        <w:ind w:left="0" w:right="0" w:hanging="0"/>
        <w:jc w:val="center"/>
        <w:rPr>
          <w:rFonts w:ascii="Times New Roman;Times;serif" w:hAnsi="Times New Roman;Times;serif"/>
          <w:b/>
          <w:sz w:val="18"/>
        </w:rPr>
      </w:pPr>
      <w:r>
        <w:rPr>
          <w:rFonts w:ascii="Times New Roman;Times;serif" w:hAnsi="Times New Roman;Times;serif"/>
          <w:b/>
          <w:sz w:val="18"/>
        </w:rPr>
        <w:t>of the Securities Exchange Act of 1934</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Date of report (Date of earliest event reported): August 6, 2026</w:t>
      </w:r>
      <w:r>
        <w:rPr>
          <w:rFonts w:ascii="Times New Roman;Times;serif" w:hAnsi="Times New Roman;Times;serif"/>
          <w:sz w:val="20"/>
        </w:rPr>
        <w:t xml:space="preserve"> </w:t>
      </w:r>
    </w:p>
    <w:p>
      <w:pPr>
        <w:pStyle w:val="TextBody"/>
        <w:bidi w:val="0"/>
        <w:spacing w:before="0" w:after="0"/>
        <w:ind w:left="0" w:right="0" w:hanging="0"/>
        <w:jc w:val="center"/>
        <w:rPr>
          <w:rFonts w:ascii="Times New Roman;Times;serif" w:hAnsi="Times New Roman;Times;serif"/>
          <w:b/>
          <w:sz w:val="40"/>
        </w:rPr>
      </w:pPr>
      <w:r>
        <w:rPr>
          <w:rFonts w:ascii="Times New Roman;Times;serif" w:hAnsi="Times New Roman;Times;serif"/>
          <w:b/>
          <w:sz w:val="40"/>
        </w:rPr>
        <w:t>Westrock Coffee Company</w:t>
      </w:r>
    </w:p>
    <w:p>
      <w:pPr>
        <w:pStyle w:val="TextBody"/>
        <w:bidi w:val="0"/>
        <w:spacing w:before="0" w:after="240"/>
        <w:ind w:left="0" w:right="0" w:hanging="0"/>
        <w:jc w:val="center"/>
        <w:rPr>
          <w:rFonts w:ascii="Times New Roman;Times;serif" w:hAnsi="Times New Roman;Times;serif"/>
          <w:b/>
          <w:sz w:val="18"/>
        </w:rPr>
      </w:pPr>
      <w:r>
        <w:rPr>
          <w:rFonts w:ascii="Times New Roman;Times;serif" w:hAnsi="Times New Roman;Times;serif"/>
          <w:b/>
          <w:sz w:val="18"/>
        </w:rPr>
        <w:t>(Exact Name of Registrant as Specified in Charter)</w:t>
      </w:r>
    </w:p>
    <w:p>
      <w:pPr>
        <w:pStyle w:val="Normal"/>
        <w:bidi w:val="0"/>
        <w:spacing w:before="0" w:after="0"/>
        <w:jc w:val="left"/>
        <w:rPr>
          <w:sz w:val="4"/>
          <w:szCs w:val="4"/>
        </w:rPr>
      </w:pPr>
      <w:r>
        <w:rPr>
          <w:sz w:val="4"/>
          <w:szCs w:val="4"/>
        </w:rPr>
      </w:r>
      <w:bookmarkStart w:id="3" w:name="Tc_xEsHM69V306s0FQoxfX_gQ_1_4"/>
      <w:bookmarkStart w:id="4" w:name="Tc__lt0RAWghUaNrqOE6kfpow_1_2"/>
      <w:bookmarkStart w:id="5" w:name="Tc_XlB0OyVFSUeLVW9EhAGCmw_1_0"/>
      <w:bookmarkStart w:id="6" w:name="_c82c3c9c_2d01_4524_9129_1f04f12ce6d1"/>
      <w:bookmarkStart w:id="7" w:name="Tc_xEsHM69V306s0FQoxfX_gQ_1_4"/>
      <w:bookmarkStart w:id="8" w:name="Tc__lt0RAWghUaNrqOE6kfpow_1_2"/>
      <w:bookmarkStart w:id="9" w:name="Tc_XlB0OyVFSUeLVW9EhAGCmw_1_0"/>
      <w:bookmarkStart w:id="10" w:name="_c82c3c9c_2d01_4524_9129_1f04f12ce6d1"/>
      <w:bookmarkEnd w:id="7"/>
      <w:bookmarkEnd w:id="8"/>
      <w:bookmarkEnd w:id="9"/>
      <w:bookmarkEnd w:id="10"/>
    </w:p>
    <w:tbl>
      <w:tblPr>
        <w:tblW w:w="6080" w:type="dxa"/>
        <w:jc w:val="left"/>
        <w:tblInd w:w="0" w:type="dxa"/>
        <w:tblLayout w:type="fixed"/>
        <w:tblCellMar>
          <w:top w:w="0" w:type="dxa"/>
          <w:left w:w="0" w:type="dxa"/>
          <w:bottom w:w="0" w:type="dxa"/>
          <w:right w:w="0" w:type="dxa"/>
        </w:tblCellMar>
      </w:tblPr>
      <w:tblGrid>
        <w:gridCol w:w="2446"/>
        <w:gridCol w:w="346"/>
        <w:gridCol w:w="1261"/>
        <w:gridCol w:w="346"/>
        <w:gridCol w:w="1681"/>
      </w:tblGrid>
      <w:tr>
        <w:trPr/>
        <w:tc>
          <w:tcPr>
            <w:tcW w:w="244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46" w:type="dxa"/>
            <w:tcBorders/>
            <w:vAlign w:val="center"/>
          </w:tcPr>
          <w:p>
            <w:pPr>
              <w:pStyle w:val="TableContents"/>
              <w:bidi w:val="0"/>
              <w:spacing w:before="0" w:after="0"/>
              <w:ind w:left="0" w:right="0" w:hanging="0"/>
              <w:jc w:val="left"/>
              <w:rPr/>
            </w:pPr>
            <w:r>
              <w:rPr/>
              <w:t>  ​ ​ ​</w:t>
            </w:r>
          </w:p>
        </w:tc>
        <w:tc>
          <w:tcPr>
            <w:tcW w:w="126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001-41485</w:t>
            </w:r>
          </w:p>
        </w:tc>
        <w:tc>
          <w:tcPr>
            <w:tcW w:w="346" w:type="dxa"/>
            <w:tcBorders/>
            <w:vAlign w:val="center"/>
          </w:tcPr>
          <w:p>
            <w:pPr>
              <w:pStyle w:val="TableContents"/>
              <w:bidi w:val="0"/>
              <w:spacing w:before="0" w:after="0"/>
              <w:ind w:left="0" w:right="0" w:hanging="0"/>
              <w:jc w:val="left"/>
              <w:rPr/>
            </w:pPr>
            <w:r>
              <w:rPr/>
              <w:t>  ​ ​ ​</w:t>
            </w:r>
          </w:p>
        </w:tc>
        <w:tc>
          <w:tcPr>
            <w:tcW w:w="16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80-0977200</w:t>
            </w:r>
          </w:p>
        </w:tc>
      </w:tr>
      <w:tr>
        <w:trPr/>
        <w:tc>
          <w:tcPr>
            <w:tcW w:w="244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(State or Other Jurisdiction</w:t>
              <w:br/>
              <w:t>of Incorporation)</w:t>
            </w:r>
          </w:p>
        </w:tc>
        <w:tc>
          <w:tcPr>
            <w:tcW w:w="34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(Commission</w:t>
            </w:r>
            <w:r>
              <w:rPr>
                <w:rFonts w:ascii="Times New Roman;Times;serif" w:hAnsi="Times New Roman;Times;serif"/>
                <w:sz w:val="20"/>
              </w:rPr>
              <w:t xml:space="preserve"> </w:t>
              <w:br/>
            </w:r>
            <w:r>
              <w:rPr>
                <w:rFonts w:ascii="Times New Roman;Times;serif" w:hAnsi="Times New Roman;Times;serif"/>
                <w:b/>
                <w:sz w:val="20"/>
              </w:rPr>
              <w:t>File Number)</w:t>
            </w:r>
          </w:p>
        </w:tc>
        <w:tc>
          <w:tcPr>
            <w:tcW w:w="346" w:type="dxa"/>
            <w:tcBorders/>
            <w:vAlign w:val="center"/>
          </w:tcPr>
          <w:p>
            <w:pPr>
              <w:pStyle w:val="TableContents"/>
              <w:bidi w:val="0"/>
              <w:spacing w:before="0" w:after="0"/>
              <w:ind w:left="0" w:right="0" w:hanging="0"/>
              <w:jc w:val="left"/>
              <w:rPr/>
            </w:pPr>
            <w:r>
              <w:rPr/>
              <w:t>​</w:t>
            </w:r>
          </w:p>
        </w:tc>
        <w:tc>
          <w:tcPr>
            <w:tcW w:w="16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(I.R.S. Employer</w:t>
            </w:r>
            <w:r>
              <w:rPr>
                <w:rFonts w:ascii="Times New Roman;Times;serif" w:hAnsi="Times New Roman;Times;serif"/>
                <w:sz w:val="20"/>
              </w:rPr>
              <w:t xml:space="preserve"> </w:t>
              <w:br/>
            </w:r>
            <w:r>
              <w:rPr>
                <w:rFonts w:ascii="Times New Roman;Times;serif" w:hAnsi="Times New Roman;Times;serif"/>
                <w:b/>
                <w:sz w:val="20"/>
              </w:rPr>
              <w:t>Identification No.)</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4009 N. Rodney Parham Road</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4th Floor</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Little Rock, AR</w:t>
      </w:r>
      <w:r>
        <w:rPr>
          <w:rFonts w:ascii="Times New Roman;Times;serif" w:hAnsi="Times New Roman;Times;serif"/>
          <w:sz w:val="20"/>
        </w:rPr>
        <w:t> </w:t>
      </w:r>
      <w:r>
        <w:rPr>
          <w:rFonts w:ascii="Times New Roman;Times;serif" w:hAnsi="Times New Roman;Times;serif"/>
          <w:b/>
          <w:sz w:val="18"/>
        </w:rPr>
        <w:t>72212</w:t>
      </w:r>
    </w:p>
    <w:p>
      <w:pPr>
        <w:pStyle w:val="TextBody"/>
        <w:bidi w:val="0"/>
        <w:spacing w:before="0" w:after="160"/>
        <w:ind w:left="0" w:right="0" w:hanging="0"/>
        <w:jc w:val="center"/>
        <w:rPr>
          <w:rFonts w:ascii="Times New Roman;Times;serif" w:hAnsi="Times New Roman;Times;serif"/>
          <w:b/>
          <w:sz w:val="18"/>
        </w:rPr>
      </w:pPr>
      <w:r>
        <w:rPr>
          <w:rFonts w:ascii="Times New Roman;Times;serif" w:hAnsi="Times New Roman;Times;serif"/>
          <w:b/>
          <w:sz w:val="18"/>
        </w:rPr>
        <w:t>(Address of Principal Executive Offices, and Zip Code)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(501)</w:t>
      </w:r>
      <w:r>
        <w:rPr>
          <w:rFonts w:ascii="Times New Roman;Times;serif" w:hAnsi="Times New Roman;Times;serif"/>
          <w:sz w:val="20"/>
        </w:rPr>
        <w:t xml:space="preserve"> </w:t>
      </w:r>
      <w:r>
        <w:rPr>
          <w:rFonts w:ascii="Times New Roman;Times;serif" w:hAnsi="Times New Roman;Times;serif"/>
          <w:b/>
          <w:sz w:val="18"/>
        </w:rPr>
        <w:t>918-9358</w:t>
      </w:r>
    </w:p>
    <w:p>
      <w:pPr>
        <w:pStyle w:val="TextBody"/>
        <w:bidi w:val="0"/>
        <w:spacing w:before="0" w:after="160"/>
        <w:ind w:left="0" w:right="0" w:hanging="0"/>
        <w:jc w:val="center"/>
        <w:rPr>
          <w:rFonts w:ascii="Times New Roman;Times;serif" w:hAnsi="Times New Roman;Times;serif"/>
          <w:b/>
          <w:sz w:val="18"/>
        </w:rPr>
      </w:pPr>
      <w:r>
        <w:rPr>
          <w:rFonts w:ascii="Times New Roman;Times;serif" w:hAnsi="Times New Roman;Times;serif"/>
          <w:b/>
          <w:sz w:val="18"/>
        </w:rPr>
        <w:t>Registrant’s Telephone Number, Including Area Code</w:t>
      </w:r>
    </w:p>
    <w:p>
      <w:pPr>
        <w:pStyle w:val="TextBody"/>
        <w:bidi w:val="0"/>
        <w:spacing w:before="0" w:after="160"/>
        <w:ind w:left="0" w:right="0" w:hanging="0"/>
        <w:jc w:val="left"/>
        <w:rPr>
          <w:rFonts w:ascii="Times New Roman;Times;serif" w:hAnsi="Times New Roman;Times;serif"/>
          <w:sz w:val="18"/>
        </w:rPr>
      </w:pPr>
      <w:r>
        <w:rPr>
          <w:rFonts w:ascii="Times New Roman;Times;serif" w:hAnsi="Times New Roman;Times;serif"/>
          <w:sz w:val="18"/>
        </w:rPr>
        <w:t>Check the appropriate box below if the Form 8-K filing is intended to simultaneously satisfy the filing obligation of the registrant under any of the following provisions (</w:t>
      </w:r>
      <w:r>
        <w:rPr>
          <w:rFonts w:ascii="Times New Roman;Times;serif" w:hAnsi="Times New Roman;Times;serif"/>
          <w:i/>
          <w:sz w:val="18"/>
        </w:rPr>
        <w:t>see </w:t>
      </w:r>
      <w:r>
        <w:rPr>
          <w:rFonts w:ascii="Times New Roman;Times;serif" w:hAnsi="Times New Roman;Times;serif"/>
          <w:sz w:val="18"/>
        </w:rPr>
        <w:t>General Instruction A.2. below):</w:t>
      </w:r>
    </w:p>
    <w:tbl>
      <w:tblPr>
        <w:tblW w:w="6767" w:type="dxa"/>
        <w:jc w:val="left"/>
        <w:tblInd w:w="0" w:type="dxa"/>
        <w:tblLayout w:type="fixed"/>
        <w:tblCellMar>
          <w:top w:w="0" w:type="dxa"/>
          <w:left w:w="0" w:type="dxa"/>
          <w:bottom w:w="0" w:type="dxa"/>
          <w:right w:w="0" w:type="dxa"/>
        </w:tblCellMar>
      </w:tblPr>
      <w:tblGrid>
        <w:gridCol w:w="331"/>
        <w:gridCol w:w="6436"/>
      </w:tblGrid>
      <w:tr>
        <w:trPr/>
        <w:tc>
          <w:tcPr>
            <w:tcW w:w="331" w:type="dxa"/>
            <w:tcBorders/>
            <w:vAlign w:val="center"/>
          </w:tcPr>
          <w:p>
            <w:pPr>
              <w:pStyle w:val="TableContents"/>
              <w:bidi w:val="0"/>
              <w:spacing w:before="0" w:after="160"/>
              <w:jc w:val="left"/>
              <w:rPr/>
            </w:pPr>
            <w:r>
              <w:rPr/>
              <w:t>☐</w:t>
            </w:r>
          </w:p>
        </w:tc>
        <w:tc>
          <w:tcPr>
            <w:tcW w:w="6436" w:type="dxa"/>
            <w:tcBorders/>
            <w:vAlign w:val="center"/>
          </w:tcPr>
          <w:p>
            <w:pPr>
              <w:pStyle w:val="TableContents"/>
              <w:bidi w:val="0"/>
              <w:spacing w:before="0" w:after="160"/>
              <w:jc w:val="left"/>
              <w:rPr>
                <w:rFonts w:ascii="Times New Roman;Times;serif" w:hAnsi="Times New Roman;Times;serif"/>
                <w:sz w:val="18"/>
              </w:rPr>
            </w:pPr>
            <w:r>
              <w:rPr>
                <w:rFonts w:ascii="Times New Roman;Times;serif" w:hAnsi="Times New Roman;Times;serif"/>
                <w:sz w:val="18"/>
              </w:rPr>
              <w:t>Written communication pursuant to Rule 425 under the Securities Act (17 CFR 230.425)</w:t>
            </w:r>
          </w:p>
        </w:tc>
      </w:tr>
    </w:tbl>
    <w:tbl>
      <w:tblPr>
        <w:tblW w:w="6842" w:type="dxa"/>
        <w:jc w:val="left"/>
        <w:tblInd w:w="0" w:type="dxa"/>
        <w:tblLayout w:type="fixed"/>
        <w:tblCellMar>
          <w:top w:w="0" w:type="dxa"/>
          <w:left w:w="0" w:type="dxa"/>
          <w:bottom w:w="0" w:type="dxa"/>
          <w:right w:w="0" w:type="dxa"/>
        </w:tblCellMar>
      </w:tblPr>
      <w:tblGrid>
        <w:gridCol w:w="331"/>
        <w:gridCol w:w="6511"/>
      </w:tblGrid>
      <w:tr>
        <w:trPr/>
        <w:tc>
          <w:tcPr>
            <w:tcW w:w="331" w:type="dxa"/>
            <w:tcBorders/>
            <w:vAlign w:val="center"/>
          </w:tcPr>
          <w:p>
            <w:pPr>
              <w:pStyle w:val="TableContents"/>
              <w:bidi w:val="0"/>
              <w:spacing w:before="0" w:after="160"/>
              <w:jc w:val="left"/>
              <w:rPr/>
            </w:pPr>
            <w:r>
              <w:rPr/>
              <w:t>☐</w:t>
            </w:r>
          </w:p>
        </w:tc>
        <w:tc>
          <w:tcPr>
            <w:tcW w:w="6511" w:type="dxa"/>
            <w:tcBorders/>
            <w:vAlign w:val="center"/>
          </w:tcPr>
          <w:p>
            <w:pPr>
              <w:pStyle w:val="TableContents"/>
              <w:bidi w:val="0"/>
              <w:spacing w:before="0" w:after="160"/>
              <w:jc w:val="left"/>
              <w:rPr>
                <w:rFonts w:ascii="Times New Roman;Times;serif" w:hAnsi="Times New Roman;Times;serif"/>
                <w:sz w:val="18"/>
              </w:rPr>
            </w:pPr>
            <w:r>
              <w:rPr>
                <w:rFonts w:ascii="Times New Roman;Times;serif" w:hAnsi="Times New Roman;Times;serif"/>
                <w:sz w:val="18"/>
              </w:rPr>
              <w:t>Soliciting material pursuant to Rule 14a-12 under the Exchange Act (17 CFR 240.14a-12)</w:t>
            </w:r>
          </w:p>
        </w:tc>
      </w:tr>
    </w:tbl>
    <w:tbl>
      <w:tblPr>
        <w:tblW w:w="8432" w:type="dxa"/>
        <w:jc w:val="left"/>
        <w:tblInd w:w="0" w:type="dxa"/>
        <w:tblLayout w:type="fixed"/>
        <w:tblCellMar>
          <w:top w:w="0" w:type="dxa"/>
          <w:left w:w="0" w:type="dxa"/>
          <w:bottom w:w="0" w:type="dxa"/>
          <w:right w:w="0" w:type="dxa"/>
        </w:tblCellMar>
      </w:tblPr>
      <w:tblGrid>
        <w:gridCol w:w="331"/>
        <w:gridCol w:w="8101"/>
      </w:tblGrid>
      <w:tr>
        <w:trPr/>
        <w:tc>
          <w:tcPr>
            <w:tcW w:w="331" w:type="dxa"/>
            <w:tcBorders/>
            <w:vAlign w:val="center"/>
          </w:tcPr>
          <w:p>
            <w:pPr>
              <w:pStyle w:val="TableContents"/>
              <w:bidi w:val="0"/>
              <w:spacing w:before="0" w:after="160"/>
              <w:jc w:val="left"/>
              <w:rPr/>
            </w:pPr>
            <w:r>
              <w:rPr/>
              <w:t>☐</w:t>
            </w:r>
          </w:p>
        </w:tc>
        <w:tc>
          <w:tcPr>
            <w:tcW w:w="8101" w:type="dxa"/>
            <w:tcBorders/>
            <w:vAlign w:val="center"/>
          </w:tcPr>
          <w:p>
            <w:pPr>
              <w:pStyle w:val="TableContents"/>
              <w:bidi w:val="0"/>
              <w:spacing w:before="0" w:after="160"/>
              <w:jc w:val="left"/>
              <w:rPr>
                <w:rFonts w:ascii="Times New Roman;Times;serif" w:hAnsi="Times New Roman;Times;serif"/>
                <w:sz w:val="18"/>
              </w:rPr>
            </w:pPr>
            <w:r>
              <w:rPr>
                <w:rFonts w:ascii="Times New Roman;Times;serif" w:hAnsi="Times New Roman;Times;serif"/>
                <w:sz w:val="18"/>
              </w:rPr>
              <w:t>Pre-commencement communications pursuant to Rule 14d-2(b) under the Exchange Act (17 CFR 240.14d-2(b))</w:t>
            </w:r>
          </w:p>
        </w:tc>
      </w:tr>
    </w:tbl>
    <w:tbl>
      <w:tblPr>
        <w:tblW w:w="8372" w:type="dxa"/>
        <w:jc w:val="left"/>
        <w:tblInd w:w="0" w:type="dxa"/>
        <w:tblLayout w:type="fixed"/>
        <w:tblCellMar>
          <w:top w:w="0" w:type="dxa"/>
          <w:left w:w="0" w:type="dxa"/>
          <w:bottom w:w="0" w:type="dxa"/>
          <w:right w:w="0" w:type="dxa"/>
        </w:tblCellMar>
      </w:tblPr>
      <w:tblGrid>
        <w:gridCol w:w="331"/>
        <w:gridCol w:w="8041"/>
      </w:tblGrid>
      <w:tr>
        <w:trPr/>
        <w:tc>
          <w:tcPr>
            <w:tcW w:w="331" w:type="dxa"/>
            <w:tcBorders/>
            <w:vAlign w:val="center"/>
          </w:tcPr>
          <w:p>
            <w:pPr>
              <w:pStyle w:val="TableContents"/>
              <w:bidi w:val="0"/>
              <w:spacing w:before="0" w:after="160"/>
              <w:jc w:val="left"/>
              <w:rPr/>
            </w:pPr>
            <w:r>
              <w:rPr/>
              <w:t>☐</w:t>
            </w:r>
          </w:p>
        </w:tc>
        <w:tc>
          <w:tcPr>
            <w:tcW w:w="8041" w:type="dxa"/>
            <w:tcBorders/>
            <w:vAlign w:val="center"/>
          </w:tcPr>
          <w:p>
            <w:pPr>
              <w:pStyle w:val="TableContents"/>
              <w:bidi w:val="0"/>
              <w:spacing w:before="0" w:after="160"/>
              <w:jc w:val="left"/>
              <w:rPr>
                <w:rFonts w:ascii="Times New Roman;Times;serif" w:hAnsi="Times New Roman;Times;serif"/>
                <w:sz w:val="18"/>
              </w:rPr>
            </w:pPr>
            <w:r>
              <w:rPr>
                <w:rFonts w:ascii="Times New Roman;Times;serif" w:hAnsi="Times New Roman;Times;serif"/>
                <w:sz w:val="18"/>
              </w:rPr>
              <w:t>Pre-commencement communications pursuant to Rule 13e-4(c) under the Exchange Act (17 CFR 240.13e-4(c))</w:t>
            </w:r>
          </w:p>
        </w:tc>
      </w:tr>
    </w:tbl>
    <w:p>
      <w:pPr>
        <w:pStyle w:val="TextBody"/>
        <w:bidi w:val="0"/>
        <w:spacing w:before="0" w:after="160"/>
        <w:ind w:left="0" w:right="0" w:hanging="0"/>
        <w:jc w:val="center"/>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Normal"/>
        <w:bidi w:val="0"/>
        <w:spacing w:before="0" w:after="0"/>
        <w:jc w:val="left"/>
        <w:rPr>
          <w:sz w:val="4"/>
          <w:szCs w:val="4"/>
        </w:rPr>
      </w:pPr>
      <w:r>
        <w:rPr>
          <w:sz w:val="4"/>
          <w:szCs w:val="4"/>
        </w:rPr>
      </w:r>
      <w:bookmarkStart w:id="11" w:name="Tc_XwWBEq-3fkSUVL3genLKcA_2_2"/>
      <w:bookmarkStart w:id="12" w:name="Tc_FIe7SQpilEi0Ru4sU6Yopg_2_1"/>
      <w:bookmarkStart w:id="13" w:name="Tc_wQDDJ6sO5EqfGL8HENMx_g_2_0"/>
      <w:bookmarkStart w:id="14" w:name="_0d627d92_d016_48b9_9f9f_61719104b0a2"/>
      <w:bookmarkStart w:id="15" w:name="Tc_XwWBEq-3fkSUVL3genLKcA_2_2"/>
      <w:bookmarkStart w:id="16" w:name="Tc_FIe7SQpilEi0Ru4sU6Yopg_2_1"/>
      <w:bookmarkStart w:id="17" w:name="Tc_wQDDJ6sO5EqfGL8HENMx_g_2_0"/>
      <w:bookmarkStart w:id="18" w:name="_0d627d92_d016_48b9_9f9f_61719104b0a2"/>
      <w:bookmarkEnd w:id="15"/>
      <w:bookmarkEnd w:id="16"/>
      <w:bookmarkEnd w:id="17"/>
      <w:bookmarkEnd w:id="18"/>
    </w:p>
    <w:tbl>
      <w:tblPr>
        <w:tblW w:w="8343" w:type="dxa"/>
        <w:jc w:val="left"/>
        <w:tblInd w:w="0" w:type="dxa"/>
        <w:tblLayout w:type="fixed"/>
        <w:tblCellMar>
          <w:top w:w="0" w:type="dxa"/>
          <w:left w:w="0" w:type="dxa"/>
          <w:bottom w:w="0" w:type="dxa"/>
          <w:right w:w="0" w:type="dxa"/>
        </w:tblCellMar>
      </w:tblPr>
      <w:tblGrid>
        <w:gridCol w:w="3691"/>
        <w:gridCol w:w="1426"/>
        <w:gridCol w:w="3226"/>
      </w:tblGrid>
      <w:tr>
        <w:trPr/>
        <w:tc>
          <w:tcPr>
            <w:tcW w:w="3691" w:type="dxa"/>
            <w:tcBorders/>
            <w:vAlign w:val="center"/>
          </w:tcPr>
          <w:p>
            <w:pPr>
              <w:pStyle w:val="TableContents"/>
              <w:bidi w:val="0"/>
              <w:spacing w:before="0" w:after="283"/>
              <w:ind w:left="0" w:right="0" w:hanging="0"/>
              <w:jc w:val="left"/>
              <w:rPr>
                <w:sz w:val="4"/>
                <w:szCs w:val="4"/>
              </w:rPr>
            </w:pPr>
            <w:r>
              <w:rPr>
                <w:sz w:val="4"/>
                <w:szCs w:val="4"/>
              </w:rPr>
            </w:r>
          </w:p>
        </w:tc>
        <w:tc>
          <w:tcPr>
            <w:tcW w:w="1426" w:type="dxa"/>
            <w:tcBorders/>
            <w:vAlign w:val="center"/>
          </w:tcPr>
          <w:p>
            <w:pPr>
              <w:pStyle w:val="TableContents"/>
              <w:bidi w:val="0"/>
              <w:spacing w:before="0" w:after="283"/>
              <w:ind w:left="0" w:right="0" w:hanging="0"/>
              <w:jc w:val="left"/>
              <w:rPr>
                <w:sz w:val="4"/>
                <w:szCs w:val="4"/>
              </w:rPr>
            </w:pPr>
            <w:r>
              <w:rPr>
                <w:sz w:val="4"/>
                <w:szCs w:val="4"/>
              </w:rPr>
            </w:r>
          </w:p>
        </w:tc>
        <w:tc>
          <w:tcPr>
            <w:tcW w:w="3226" w:type="dxa"/>
            <w:tcBorders/>
            <w:vAlign w:val="center"/>
          </w:tcPr>
          <w:p>
            <w:pPr>
              <w:pStyle w:val="TableContents"/>
              <w:bidi w:val="0"/>
              <w:spacing w:before="0" w:after="283"/>
              <w:ind w:left="0" w:right="0" w:hanging="0"/>
              <w:jc w:val="left"/>
              <w:rPr>
                <w:sz w:val="4"/>
                <w:szCs w:val="4"/>
              </w:rPr>
            </w:pPr>
            <w:r>
              <w:rPr>
                <w:sz w:val="4"/>
                <w:szCs w:val="4"/>
              </w:rPr>
            </w:r>
          </w:p>
        </w:tc>
      </w:tr>
      <w:tr>
        <w:trPr/>
        <w:tc>
          <w:tcPr>
            <w:tcW w:w="3691" w:type="dxa"/>
            <w:tcBorders/>
            <w:vAlign w:val="center"/>
          </w:tcPr>
          <w:p>
            <w:pPr>
              <w:pStyle w:val="TableContents"/>
              <w:bidi w:val="0"/>
              <w:spacing w:before="0" w:after="283"/>
              <w:ind w:left="0" w:right="0" w:hanging="0"/>
              <w:jc w:val="left"/>
              <w:rPr>
                <w:sz w:val="4"/>
                <w:szCs w:val="4"/>
              </w:rPr>
            </w:pPr>
            <w:r>
              <w:rPr>
                <w:sz w:val="4"/>
                <w:szCs w:val="4"/>
              </w:rPr>
            </w:r>
          </w:p>
        </w:tc>
        <w:tc>
          <w:tcPr>
            <w:tcW w:w="1426" w:type="dxa"/>
            <w:tcBorders/>
            <w:vAlign w:val="center"/>
          </w:tcPr>
          <w:p>
            <w:pPr>
              <w:pStyle w:val="TableContents"/>
              <w:bidi w:val="0"/>
              <w:spacing w:before="0" w:after="283"/>
              <w:ind w:left="0" w:right="0" w:hanging="0"/>
              <w:jc w:val="left"/>
              <w:rPr>
                <w:sz w:val="4"/>
                <w:szCs w:val="4"/>
              </w:rPr>
            </w:pPr>
            <w:r>
              <w:rPr>
                <w:sz w:val="4"/>
                <w:szCs w:val="4"/>
              </w:rPr>
            </w:r>
          </w:p>
        </w:tc>
        <w:tc>
          <w:tcPr>
            <w:tcW w:w="3226" w:type="dxa"/>
            <w:tcBorders/>
            <w:vAlign w:val="center"/>
          </w:tcPr>
          <w:p>
            <w:pPr>
              <w:pStyle w:val="TableContents"/>
              <w:bidi w:val="0"/>
              <w:spacing w:before="0" w:after="283"/>
              <w:ind w:left="0" w:right="0" w:hanging="0"/>
              <w:jc w:val="left"/>
              <w:rPr>
                <w:sz w:val="4"/>
                <w:szCs w:val="4"/>
              </w:rPr>
            </w:pPr>
            <w:r>
              <w:rPr>
                <w:sz w:val="4"/>
                <w:szCs w:val="4"/>
              </w:rPr>
            </w:r>
          </w:p>
        </w:tc>
      </w:tr>
      <w:tr>
        <w:trPr/>
        <w:tc>
          <w:tcPr>
            <w:tcW w:w="369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44"/>
              <w:ind w:left="0" w:right="0" w:hanging="0"/>
              <w:jc w:val="center"/>
              <w:rPr>
                <w:rFonts w:ascii="Times New Roman;Times;serif" w:hAnsi="Times New Roman;Times;serif"/>
                <w:sz w:val="16"/>
              </w:rPr>
            </w:pPr>
            <w:r>
              <w:rPr>
                <w:rFonts w:ascii="Times New Roman;Times;serif" w:hAnsi="Times New Roman;Times;serif"/>
                <w:sz w:val="16"/>
              </w:rPr>
              <w:t>Title of each class</w:t>
            </w:r>
          </w:p>
        </w:tc>
        <w:tc>
          <w:tcPr>
            <w:tcW w:w="14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44"/>
              <w:ind w:left="0" w:right="0" w:hanging="0"/>
              <w:jc w:val="center"/>
              <w:rPr>
                <w:rFonts w:ascii="Times New Roman;Times;serif" w:hAnsi="Times New Roman;Times;serif"/>
                <w:sz w:val="16"/>
              </w:rPr>
            </w:pPr>
            <w:r>
              <w:rPr>
                <w:rFonts w:ascii="Times New Roman;Times;serif" w:hAnsi="Times New Roman;Times;serif"/>
                <w:sz w:val="16"/>
              </w:rPr>
              <w:t>Trading Symbol(s)</w:t>
            </w:r>
          </w:p>
        </w:tc>
        <w:tc>
          <w:tcPr>
            <w:tcW w:w="32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44"/>
              <w:ind w:left="0" w:right="0" w:hanging="0"/>
              <w:jc w:val="center"/>
              <w:rPr>
                <w:rFonts w:ascii="Times New Roman;Times;serif" w:hAnsi="Times New Roman;Times;serif"/>
                <w:sz w:val="16"/>
              </w:rPr>
            </w:pPr>
            <w:r>
              <w:rPr>
                <w:rFonts w:ascii="Times New Roman;Times;serif" w:hAnsi="Times New Roman;Times;serif"/>
                <w:sz w:val="16"/>
              </w:rPr>
              <w:t>Name of each exchange on which registered</w:t>
            </w:r>
          </w:p>
        </w:tc>
      </w:tr>
      <w:tr>
        <w:trPr/>
        <w:tc>
          <w:tcPr>
            <w:tcW w:w="369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44"/>
              <w:ind w:left="0" w:right="0" w:hanging="0"/>
              <w:jc w:val="center"/>
              <w:rPr>
                <w:rFonts w:ascii="Times New Roman;Times;serif" w:hAnsi="Times New Roman;Times;serif"/>
                <w:sz w:val="16"/>
              </w:rPr>
            </w:pPr>
            <w:r>
              <w:rPr>
                <w:rFonts w:ascii="Times New Roman;Times;serif" w:hAnsi="Times New Roman;Times;serif"/>
                <w:sz w:val="16"/>
              </w:rPr>
              <w:t>Shares of common stock, par value $0.01 per share</w:t>
            </w:r>
          </w:p>
        </w:tc>
        <w:tc>
          <w:tcPr>
            <w:tcW w:w="14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WEST</w:t>
            </w:r>
          </w:p>
        </w:tc>
        <w:tc>
          <w:tcPr>
            <w:tcW w:w="32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44"/>
              <w:ind w:left="0" w:right="0" w:hanging="0"/>
              <w:jc w:val="center"/>
              <w:rPr>
                <w:rFonts w:ascii="Times New Roman;Times;serif" w:hAnsi="Times New Roman;Times;serif"/>
                <w:sz w:val="16"/>
              </w:rPr>
            </w:pPr>
            <w:r>
              <w:rPr>
                <w:rFonts w:ascii="Times New Roman;Times;serif" w:hAnsi="Times New Roman;Times;serif"/>
                <w:sz w:val="16"/>
              </w:rPr>
              <w:t>The Nasdaq Stock Market LLC</w:t>
            </w:r>
          </w:p>
        </w:tc>
      </w:tr>
    </w:tbl>
    <w:p>
      <w:pPr>
        <w:pStyle w:val="TextBody"/>
        <w:bidi w:val="0"/>
        <w:spacing w:before="0" w:after="0"/>
        <w:ind w:left="0" w:right="0" w:hanging="0"/>
        <w:jc w:val="left"/>
        <w:rPr/>
      </w:pPr>
      <w:r>
        <w:rPr/>
        <w:t>​</w:t>
      </w:r>
    </w:p>
    <w:p>
      <w:pPr>
        <w:pStyle w:val="TextBody"/>
        <w:bidi w:val="0"/>
        <w:spacing w:before="0" w:after="160"/>
        <w:ind w:left="0" w:right="0" w:hanging="0"/>
        <w:jc w:val="left"/>
        <w:rPr>
          <w:rFonts w:ascii="Times New Roman;Times;serif" w:hAnsi="Times New Roman;Times;serif"/>
          <w:sz w:val="18"/>
        </w:rPr>
      </w:pPr>
      <w:r>
        <w:rPr>
          <w:rFonts w:ascii="Times New Roman;Times;serif" w:hAnsi="Times New Roman;Times;serif"/>
          <w:sz w:val="18"/>
        </w:rPr>
        <w:t>Indicate by check mark whether the registrant is an emerging growth company as defined in Rule 405 of the Securities Act of 1933 (17 CFR §230.405 of this chapter) or Rule 12b-2 of the Securities Exchange Act of 1934 (17 CFR §240.12b-2 of this chapter).</w:t>
      </w:r>
    </w:p>
    <w:p>
      <w:pPr>
        <w:pStyle w:val="TextBody"/>
        <w:bidi w:val="0"/>
        <w:spacing w:before="0" w:after="160"/>
        <w:ind w:left="0" w:right="0" w:hanging="0"/>
        <w:jc w:val="right"/>
        <w:rPr>
          <w:rFonts w:ascii="Times New Roman;Times;serif" w:hAnsi="Times New Roman;Times;serif"/>
          <w:sz w:val="20"/>
        </w:rPr>
      </w:pPr>
      <w:r>
        <w:rPr>
          <w:rFonts w:ascii="Times New Roman;Times;serif" w:hAnsi="Times New Roman;Times;serif"/>
          <w:sz w:val="18"/>
        </w:rPr>
        <w:t>Emerging growth company </w:t>
      </w:r>
      <w:r>
        <w:rPr>
          <w:rFonts w:ascii="Times New Roman;Times;serif" w:hAnsi="Times New Roman;Times;serif"/>
          <w:sz w:val="20"/>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pBdr>
          <w:top w:val="single" w:sz="2" w:space="1" w:color="000000"/>
          <w:bottom w:val="single" w:sz="24" w:space="1" w:color="000000"/>
        </w:pBdr>
        <w:bidi w:val="0"/>
        <w:spacing w:before="0" w:after="160"/>
        <w:ind w:left="0" w:right="0" w:hanging="0"/>
        <w:jc w:val="left"/>
        <w:rPr/>
      </w:pPr>
      <w:r>
        <w:rPr/>
        <w:t>​</w:t>
      </w:r>
    </w:p>
    <w:p>
      <w:pPr>
        <w:pStyle w:val="TextBody"/>
        <w:bidi w:val="0"/>
        <w:spacing w:before="0" w:after="160"/>
        <w:ind w:left="0" w:right="0" w:hanging="0"/>
        <w:jc w:val="left"/>
        <w:rPr/>
      </w:pPr>
      <w:r>
        <w:rPr/>
        <w:t>​</w:t>
      </w:r>
    </w:p>
    <w:p>
      <w:pPr>
        <w:pStyle w:val="TextBody"/>
        <w:bidi w:val="0"/>
        <w:spacing w:before="0" w:after="0"/>
        <w:ind w:left="58" w:right="216" w:hanging="0"/>
        <w:jc w:val="both"/>
        <w:rPr/>
      </w:pPr>
      <w:r>
        <w:rPr/>
        <w:t> </w:t>
      </w:r>
    </w:p>
    <w:p>
      <w:pPr>
        <w:pStyle w:val="TextBody"/>
        <w:bidi w:val="0"/>
        <w:spacing w:before="0" w:after="240"/>
        <w:ind w:left="0" w:right="0" w:hanging="0"/>
        <w:jc w:val="left"/>
        <w:rPr>
          <w:rFonts w:ascii="Times New Roman;Times;serif" w:hAnsi="Times New Roman;Times;serif"/>
          <w:sz w:val="20"/>
        </w:rPr>
      </w:pPr>
      <w:bookmarkStart w:id="19" w:name="_a959ade0_f876_4b31_a219_c837e162bd2c"/>
      <w:bookmarkEnd w:id="19"/>
      <w:r>
        <w:rPr>
          <w:rFonts w:ascii="Times New Roman;Times;serif" w:hAnsi="Times New Roman;Times;serif"/>
          <w:b/>
          <w:i w:val="false"/>
          <w:caps w:val="false"/>
          <w:smallCaps w:val="false"/>
          <w:sz w:val="20"/>
        </w:rPr>
        <w:t>Item 2.02.</w:t>
      </w:r>
      <w:r>
        <w:rPr>
          <w:rFonts w:ascii="Times New Roman;Times;serif" w:hAnsi="Times New Roman;Times;serif"/>
          <w:b/>
          <w:sz w:val="20"/>
        </w:rPr>
        <w:t>Results of Operations and Financial Condition.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August 6, 2026, Westrock Coffee Company (the “Company”) issued a press release announcing its financial results for the second quarter ended June 30, 2026. The second quarter 2026 earnings press release is furnished as Exhibit 99.1 to this Current Report on Form 8-K.</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information furnished pursuant to this Item 2.02, including Exhibit 99.1, shall not be deemed to be “filed” for purposes of Section 18 of the Securities Exchange Act of 1934, as amended, nor shall it be incorporated by reference in any filing made by the Company pursuant to the Securities Act of 1933, as amended, other than to the extent that such filing incorporates by reference any or all of such information by express reference thereto.</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pBdr/>
        <w:bidi w:val="0"/>
        <w:spacing w:before="0" w:after="0"/>
        <w:ind w:left="0" w:right="0" w:hanging="720"/>
        <w:jc w:val="left"/>
        <w:rPr/>
      </w:pPr>
      <w:r>
        <w:rPr/>
        <w:t>​</w:t>
      </w:r>
    </w:p>
    <w:p>
      <w:pPr>
        <w:pStyle w:val="TextBody"/>
        <w:pBdr/>
        <w:bidi w:val="0"/>
        <w:spacing w:before="0" w:after="240"/>
        <w:ind w:left="0" w:right="0" w:hanging="0"/>
        <w:jc w:val="left"/>
        <w:rPr>
          <w:rFonts w:ascii="Times New Roman;Times;serif" w:hAnsi="Times New Roman;Times;serif"/>
          <w:sz w:val="20"/>
        </w:rPr>
      </w:pPr>
      <w:bookmarkStart w:id="20" w:name="_06232048_73e3_4c59_99d5_4890535c8b4b"/>
      <w:bookmarkEnd w:id="20"/>
      <w:r>
        <w:rPr>
          <w:rFonts w:ascii="Times New Roman;Times;serif" w:hAnsi="Times New Roman;Times;serif"/>
          <w:b/>
          <w:i w:val="false"/>
          <w:caps w:val="false"/>
          <w:smallCaps w:val="false"/>
          <w:sz w:val="20"/>
        </w:rPr>
        <w:t>Item 9.01.</w:t>
      </w:r>
      <w:r>
        <w:rPr>
          <w:rFonts w:ascii="Times New Roman;Times;serif" w:hAnsi="Times New Roman;Times;serif"/>
          <w:b/>
          <w:sz w:val="20"/>
        </w:rPr>
        <w:t>Financial Statements and Exhibits.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 Exhibits.</w:t>
      </w:r>
    </w:p>
    <w:tbl>
      <w:tblPr>
        <w:tblW w:w="8028" w:type="dxa"/>
        <w:jc w:val="left"/>
        <w:tblInd w:w="0" w:type="dxa"/>
        <w:tblLayout w:type="fixed"/>
        <w:tblCellMar>
          <w:top w:w="0" w:type="dxa"/>
          <w:left w:w="0" w:type="dxa"/>
          <w:bottom w:w="0" w:type="dxa"/>
          <w:right w:w="0" w:type="dxa"/>
        </w:tblCellMar>
      </w:tblPr>
      <w:tblGrid>
        <w:gridCol w:w="1081"/>
        <w:gridCol w:w="346"/>
        <w:gridCol w:w="6601"/>
      </w:tblGrid>
      <w:tr>
        <w:trPr/>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86435" cy="175260"/>
                      <wp:effectExtent l="0" t="0" r="0" b="0"/>
                      <wp:wrapNone/>
                      <wp:docPr id="1" name="Frame1"/>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19710" cy="175260"/>
                      <wp:effectExtent l="0" t="0" r="0" b="0"/>
                      <wp:wrapNone/>
                      <wp:docPr id="2"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4191635" cy="175260"/>
                      <wp:effectExtent l="0" t="0" r="0" b="0"/>
                      <wp:wrapNone/>
                      <wp:docPr id="3" name="Frame3"/>
                      <a:graphic xmlns:a="http://schemas.openxmlformats.org/drawingml/2006/main">
                        <a:graphicData uri="http://schemas.microsoft.com/office/word/2010/wordprocessingShape">
                          <wps:wsp>
                            <wps:cNvSpPr txBox="1"/>
                            <wps:spPr>
                              <a:xfrm>
                                <a:off x="0" y="0"/>
                                <a:ext cx="419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No.</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66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 of Exhibit</w:t>
            </w:r>
          </w:p>
        </w:tc>
      </w:tr>
      <w:tr>
        <w:trPr/>
        <w:tc>
          <w:tcPr>
            <w:tcW w:w="108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60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0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99.1*</w:t>
            </w:r>
          </w:p>
        </w:tc>
        <w:tc>
          <w:tcPr>
            <w:tcW w:w="346" w:type="dxa"/>
            <w:tcBorders/>
            <w:vAlign w:val="center"/>
          </w:tcPr>
          <w:p>
            <w:pPr>
              <w:pStyle w:val="TableContents"/>
              <w:bidi w:val="0"/>
              <w:spacing w:before="0" w:after="0"/>
              <w:ind w:left="0" w:right="0" w:hanging="0"/>
              <w:jc w:val="left"/>
              <w:rPr/>
            </w:pPr>
            <w:r>
              <w:rPr/>
              <w:t>​</w:t>
            </w:r>
          </w:p>
        </w:tc>
        <w:tc>
          <w:tcPr>
            <w:tcW w:w="6601" w:type="dxa"/>
            <w:tcBorders/>
            <w:vAlign w:val="center"/>
          </w:tcPr>
          <w:p>
            <w:pPr>
              <w:pStyle w:val="TableContents"/>
              <w:bidi w:val="0"/>
              <w:spacing w:before="0" w:after="0"/>
              <w:ind w:left="0" w:right="0" w:hanging="0"/>
              <w:jc w:val="left"/>
              <w:rPr/>
            </w:pPr>
            <w:hyperlink w:anchor="west-20260806xex99d1.htm">
              <w:r>
                <w:rPr>
                  <w:rStyle w:val="InternetLink"/>
                  <w:rFonts w:ascii="Times New Roman;Times;serif" w:hAnsi="Times New Roman;Times;serif"/>
                  <w:b w:val="false"/>
                  <w:i w:val="false"/>
                  <w:caps w:val="false"/>
                  <w:smallCaps w:val="false"/>
                  <w:sz w:val="20"/>
                </w:rPr>
                <w:t>Westrock Coffee Company Press Release, dated August 6, 2026</w:t>
              </w:r>
            </w:hyperlink>
          </w:p>
        </w:tc>
      </w:tr>
      <w:tr>
        <w:trPr/>
        <w:tc>
          <w:tcPr>
            <w:tcW w:w="1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601" w:type="dxa"/>
            <w:tcBorders/>
            <w:vAlign w:val="center"/>
          </w:tcPr>
          <w:p>
            <w:pPr>
              <w:pStyle w:val="TableContents"/>
              <w:bidi w:val="0"/>
              <w:spacing w:before="0" w:after="0"/>
              <w:ind w:left="0" w:right="0" w:hanging="0"/>
              <w:jc w:val="left"/>
              <w:rPr/>
            </w:pPr>
            <w:r>
              <w:rPr/>
              <w:t>​</w:t>
            </w:r>
          </w:p>
        </w:tc>
      </w:tr>
      <w:tr>
        <w:trPr/>
        <w:tc>
          <w:tcPr>
            <w:tcW w:w="10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w:t>
            </w:r>
          </w:p>
        </w:tc>
        <w:tc>
          <w:tcPr>
            <w:tcW w:w="6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r>
        <w:trPr/>
        <w:tc>
          <w:tcPr>
            <w:tcW w:w="1081"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60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rFonts w:ascii="TimesNewRoman" w:hAnsi="TimesNewRoman"/>
          <w:sz w:val="20"/>
        </w:rPr>
      </w:pPr>
      <w:r>
        <w:rPr>
          <w:rFonts w:ascii="TimesNewRoman" w:hAnsi="TimesNewRoman"/>
          <w:sz w:val="20"/>
        </w:rPr>
        <w:t>* Furnished, not filed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21" w:name="_e2ac2def_e7af_4a88_9094_3a60654cab89"/>
      <w:bookmarkEnd w:id="21"/>
      <w:r>
        <w:rPr>
          <w:rFonts w:ascii="Times New Roman;Times;serif" w:hAnsi="Times New Roman;Times;serif"/>
          <w:b/>
          <w:sz w:val="20"/>
        </w:rPr>
        <w:t>SIGNATURES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as amended, the registrant has duly caused this report to be signed on its behalf by the undersigned hereunto duly authorized.</w:t>
      </w:r>
    </w:p>
    <w:tbl>
      <w:tblPr>
        <w:tblW w:w="6376" w:type="dxa"/>
        <w:jc w:val="left"/>
        <w:tblInd w:w="0" w:type="dxa"/>
        <w:tblLayout w:type="fixed"/>
        <w:tblCellMar>
          <w:top w:w="0" w:type="dxa"/>
          <w:left w:w="0" w:type="dxa"/>
          <w:bottom w:w="0" w:type="dxa"/>
          <w:right w:w="0" w:type="dxa"/>
        </w:tblCellMar>
      </w:tblPr>
      <w:tblGrid>
        <w:gridCol w:w="1035"/>
        <w:gridCol w:w="1636"/>
        <w:gridCol w:w="476"/>
        <w:gridCol w:w="3229"/>
      </w:tblGrid>
      <w:tr>
        <w:trPr/>
        <w:tc>
          <w:tcPr>
            <w:tcW w:w="1035" w:type="dxa"/>
            <w:tcBorders/>
            <w:vAlign w:val="center"/>
          </w:tcPr>
          <w:p>
            <w:pPr>
              <w:pStyle w:val="TableContents"/>
              <w:bidi w:val="0"/>
              <w:spacing w:before="0" w:after="283"/>
              <w:ind w:left="0" w:right="0" w:hanging="0"/>
              <w:jc w:val="left"/>
              <w:rPr>
                <w:sz w:val="4"/>
                <w:szCs w:val="4"/>
              </w:rPr>
            </w:pPr>
            <w:r>
              <w:rPr>
                <w:sz w:val="4"/>
                <w:szCs w:val="4"/>
              </w:rPr>
            </w:r>
          </w:p>
        </w:tc>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038860" cy="29210"/>
                      <wp:effectExtent l="0" t="0" r="0" b="0"/>
                      <wp:wrapNone/>
                      <wp:docPr id="4" name="Frame4"/>
                      <a:graphic xmlns:a="http://schemas.openxmlformats.org/drawingml/2006/main">
                        <a:graphicData uri="http://schemas.microsoft.com/office/word/2010/wordprocessingShape">
                          <wps:wsp>
                            <wps:cNvSpPr txBox="1"/>
                            <wps:spPr>
                              <a:xfrm>
                                <a:off x="0" y="0"/>
                                <a:ext cx="10388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705"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352675" cy="29210"/>
                      <wp:effectExtent l="0" t="0" r="0" b="0"/>
                      <wp:wrapNone/>
                      <wp:docPr id="5" name="Frame5"/>
                      <a:graphic xmlns:a="http://schemas.openxmlformats.org/drawingml/2006/main">
                        <a:graphicData uri="http://schemas.microsoft.com/office/word/2010/wordprocessingShape">
                          <wps:wsp>
                            <wps:cNvSpPr txBox="1"/>
                            <wps:spPr>
                              <a:xfrm>
                                <a:off x="0" y="0"/>
                                <a:ext cx="235267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6376" w:type="dxa"/>
            <w:gridSpan w:val="4"/>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WESTROCK COFFEE COMPANY</w:t>
            </w:r>
          </w:p>
        </w:tc>
      </w:tr>
      <w:tr>
        <w:trPr/>
        <w:tc>
          <w:tcPr>
            <w:tcW w:w="1035" w:type="dxa"/>
            <w:tcBorders/>
            <w:vAlign w:val="center"/>
          </w:tcPr>
          <w:p>
            <w:pPr>
              <w:pStyle w:val="TableContents"/>
              <w:pBdr/>
              <w:bidi w:val="0"/>
              <w:spacing w:before="0" w:after="0"/>
              <w:ind w:left="0" w:right="0" w:hanging="0"/>
              <w:jc w:val="left"/>
              <w:rPr/>
            </w:pPr>
            <w:r>
              <w:rPr/>
              <w:t> </w:t>
            </w:r>
          </w:p>
        </w:tc>
        <w:tc>
          <w:tcPr>
            <w:tcW w:w="5341" w:type="dxa"/>
            <w:gridSpan w:val="3"/>
            <w:tcBorders/>
            <w:vAlign w:val="center"/>
          </w:tcPr>
          <w:p>
            <w:pPr>
              <w:pStyle w:val="TableContents"/>
              <w:bidi w:val="0"/>
              <w:spacing w:before="0" w:after="0"/>
              <w:ind w:left="0" w:right="0" w:hanging="0"/>
              <w:jc w:val="left"/>
              <w:rPr/>
            </w:pPr>
            <w:r>
              <w:rPr/>
              <w:t> </w:t>
            </w:r>
          </w:p>
        </w:tc>
      </w:tr>
      <w:tr>
        <w:trPr/>
        <w:tc>
          <w:tcPr>
            <w:tcW w:w="103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112" w:type="dxa"/>
            <w:gridSpan w:val="2"/>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 Keith Harvey</w:t>
            </w:r>
          </w:p>
        </w:tc>
        <w:tc>
          <w:tcPr>
            <w:tcW w:w="3229" w:type="dxa"/>
            <w:tcBorders>
              <w:bottom w:val="single" w:sz="8" w:space="0" w:color="000000"/>
            </w:tcBorders>
            <w:tcMar>
              <w:bottom w:w="28" w:type="dxa"/>
            </w:tcMar>
            <w:vAlign w:val="center"/>
          </w:tcPr>
          <w:p>
            <w:pPr>
              <w:pStyle w:val="TableContents"/>
              <w:bidi w:val="0"/>
              <w:spacing w:before="0" w:after="0"/>
              <w:ind w:left="0" w:right="0" w:hanging="0"/>
              <w:jc w:val="left"/>
              <w:rPr/>
            </w:pPr>
            <w:r>
              <w:rPr/>
              <w:t>​</w:t>
            </w:r>
          </w:p>
        </w:tc>
      </w:tr>
      <w:tr>
        <w:trPr/>
        <w:tc>
          <w:tcPr>
            <w:tcW w:w="1035" w:type="dxa"/>
            <w:tcBorders/>
            <w:vAlign w:val="center"/>
          </w:tcPr>
          <w:p>
            <w:pPr>
              <w:pStyle w:val="TableContents"/>
              <w:pBdr/>
              <w:bidi w:val="0"/>
              <w:spacing w:before="0" w:after="0"/>
              <w:ind w:left="0" w:right="0" w:hanging="0"/>
              <w:jc w:val="left"/>
              <w:rPr/>
            </w:pPr>
            <w:r>
              <w:rPr/>
              <w:t> </w:t>
            </w:r>
          </w:p>
        </w:tc>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70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 Keith Harvey</w:t>
            </w:r>
          </w:p>
        </w:tc>
      </w:tr>
      <w:tr>
        <w:trPr/>
        <w:tc>
          <w:tcPr>
            <w:tcW w:w="1035" w:type="dxa"/>
            <w:tcBorders/>
            <w:vAlign w:val="center"/>
          </w:tcPr>
          <w:p>
            <w:pPr>
              <w:pStyle w:val="TableContents"/>
              <w:pBdr/>
              <w:bidi w:val="0"/>
              <w:spacing w:before="0" w:after="0"/>
              <w:ind w:left="0" w:right="0" w:hanging="0"/>
              <w:jc w:val="left"/>
              <w:rPr/>
            </w:pPr>
            <w:r>
              <w:rPr/>
              <w:t> </w:t>
            </w:r>
          </w:p>
        </w:tc>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70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Legal Officer and Corporate Secretary</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6, 2026</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right"/>
        <w:rPr>
          <w:rFonts w:ascii="Times New Roman;Times;serif" w:hAnsi="Times New Roman;Times;serif"/>
          <w:b/>
          <w:sz w:val="20"/>
        </w:rPr>
      </w:pPr>
      <w:bookmarkStart w:id="22" w:name="west-20260806xex99d1.htm"/>
      <w:bookmarkStart w:id="23" w:name="kswest20260806xex99d1"/>
      <w:bookmarkEnd w:id="22"/>
      <w:bookmarkEnd w:id="23"/>
      <w:r>
        <w:rPr>
          <w:rFonts w:ascii="Times New Roman;Times;serif" w:hAnsi="Times New Roman;Times;serif"/>
          <w:b/>
          <w:sz w:val="20"/>
        </w:rPr>
        <w:t>Exhibit 99.1</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 xml:space="preserve">Westrock Coffee Company Reports Second Quarter 2026 Results </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and Reaffirms 2026 Outlook</w:t>
      </w:r>
    </w:p>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LITTLE ROCK, Ark., August 6, 2026 (GLOBE NEWSWIRE) – Westrock Coffee Company (Nasdaq: WEST) (“Westrock Coffee” or the “Company”) today reported financial results for the second quarter ended June 30, 2026.</w:t>
      </w:r>
    </w:p>
    <w:p>
      <w:pPr>
        <w:pStyle w:val="TextBody"/>
        <w:bidi w:val="0"/>
        <w:spacing w:before="0" w:after="0"/>
        <w:ind w:left="0" w:right="0" w:hanging="0"/>
        <w:jc w:val="left"/>
        <w:rPr/>
      </w:pPr>
      <w:r>
        <w:rPr>
          <w:rFonts w:ascii="Times New Roman;Times;serif" w:hAnsi="Times New Roman;Times;serif"/>
          <w:b/>
          <w:sz w:val="20"/>
        </w:rPr>
        <w:t>Second Quarter Highlights</w:t>
      </w:r>
      <w:hyperlink w:anchor="footnote-2">
        <w:r>
          <w:rPr>
            <w:rStyle w:val="InternetLink"/>
            <w:rFonts w:ascii="Times New Roman;Times;serif" w:hAnsi="Times New Roman;Times;serif"/>
            <w:sz w:val="15"/>
          </w:rPr>
          <w:t>1</w:t>
        </w:r>
      </w:hyperlink>
    </w:p>
    <w:p>
      <w:pPr>
        <w:pStyle w:val="TextBody"/>
        <w:bidi w:val="0"/>
        <w:spacing w:before="0" w:after="0"/>
        <w:ind w:left="0" w:right="0" w:hanging="0"/>
        <w:jc w:val="left"/>
        <w:rPr/>
      </w:pPr>
      <w:r>
        <w:rPr/>
        <w:t>​</w:t>
      </w:r>
    </w:p>
    <w:tbl>
      <w:tblPr>
        <w:tblW w:w="1998" w:type="dxa"/>
        <w:jc w:val="left"/>
        <w:tblInd w:w="0" w:type="dxa"/>
        <w:tblLayout w:type="fixed"/>
        <w:tblCellMar>
          <w:top w:w="0" w:type="dxa"/>
          <w:left w:w="0" w:type="dxa"/>
          <w:bottom w:w="0" w:type="dxa"/>
          <w:right w:w="0" w:type="dxa"/>
        </w:tblCellMar>
      </w:tblPr>
      <w:tblGrid>
        <w:gridCol w:w="23"/>
        <w:gridCol w:w="170"/>
        <w:gridCol w:w="18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Consolidated Results </w:t>
            </w:r>
          </w:p>
        </w:tc>
      </w:tr>
    </w:tbl>
    <w:tbl>
      <w:tblPr>
        <w:tblW w:w="4248" w:type="dxa"/>
        <w:jc w:val="left"/>
        <w:tblInd w:w="0" w:type="dxa"/>
        <w:tblLayout w:type="fixed"/>
        <w:tblCellMar>
          <w:top w:w="0" w:type="dxa"/>
          <w:left w:w="0" w:type="dxa"/>
          <w:bottom w:w="0" w:type="dxa"/>
          <w:right w:w="0" w:type="dxa"/>
        </w:tblCellMar>
      </w:tblPr>
      <w:tblGrid>
        <w:gridCol w:w="23"/>
        <w:gridCol w:w="140"/>
        <w:gridCol w:w="4085"/>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40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were $305.7 million, an increase of 8.8%</w:t>
            </w:r>
          </w:p>
        </w:tc>
      </w:tr>
    </w:tbl>
    <w:tbl>
      <w:tblPr>
        <w:tblW w:w="4263" w:type="dxa"/>
        <w:jc w:val="left"/>
        <w:tblInd w:w="0" w:type="dxa"/>
        <w:tblLayout w:type="fixed"/>
        <w:tblCellMar>
          <w:top w:w="0" w:type="dxa"/>
          <w:left w:w="0" w:type="dxa"/>
          <w:bottom w:w="0" w:type="dxa"/>
          <w:right w:w="0" w:type="dxa"/>
        </w:tblCellMar>
      </w:tblPr>
      <w:tblGrid>
        <w:gridCol w:w="23"/>
        <w:gridCol w:w="140"/>
        <w:gridCol w:w="4100"/>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4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Gross profit was $37.7 million, a decrease of 8.8% </w:t>
            </w:r>
          </w:p>
        </w:tc>
      </w:tr>
    </w:tbl>
    <w:tbl>
      <w:tblPr>
        <w:tblW w:w="7533" w:type="dxa"/>
        <w:jc w:val="left"/>
        <w:tblInd w:w="0" w:type="dxa"/>
        <w:tblLayout w:type="fixed"/>
        <w:tblCellMar>
          <w:top w:w="0" w:type="dxa"/>
          <w:left w:w="0" w:type="dxa"/>
          <w:bottom w:w="0" w:type="dxa"/>
          <w:right w:w="0" w:type="dxa"/>
        </w:tblCellMar>
      </w:tblPr>
      <w:tblGrid>
        <w:gridCol w:w="23"/>
        <w:gridCol w:w="140"/>
        <w:gridCol w:w="7370"/>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7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Net loss was $13.7 million, compared to a net loss of $21.6 million in the prior year period </w:t>
            </w:r>
          </w:p>
        </w:tc>
      </w:tr>
    </w:tbl>
    <w:tbl>
      <w:tblPr>
        <w:tblW w:w="10205" w:type="dxa"/>
        <w:jc w:val="left"/>
        <w:tblInd w:w="0" w:type="dxa"/>
        <w:tblLayout w:type="fixed"/>
        <w:tblCellMar>
          <w:top w:w="0" w:type="dxa"/>
          <w:left w:w="0" w:type="dxa"/>
          <w:bottom w:w="0" w:type="dxa"/>
          <w:right w:w="0" w:type="dxa"/>
        </w:tblCellMar>
      </w:tblPr>
      <w:tblGrid>
        <w:gridCol w:w="23"/>
        <w:gridCol w:w="140"/>
        <w:gridCol w:w="10042"/>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1004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Consolidated Adjusted EBITDA</w:t>
            </w:r>
            <w:r>
              <w:rPr>
                <w:rFonts w:ascii="Times New Roman;Times;serif" w:hAnsi="Times New Roman;Times;serif"/>
                <w:b w:val="false"/>
                <w:i w:val="false"/>
                <w:caps w:val="false"/>
                <w:smallCaps w:val="false"/>
                <w:sz w:val="15"/>
              </w:rPr>
              <w:t>2</w:t>
            </w:r>
            <w:r>
              <w:rPr>
                <w:caps w:val="false"/>
                <w:smallCaps w:val="false"/>
              </w:rPr>
              <w:t xml:space="preserve"> </w:t>
            </w:r>
            <w:r>
              <w:rPr>
                <w:rFonts w:ascii="Times New Roman;Times;serif" w:hAnsi="Times New Roman;Times;serif"/>
                <w:b w:val="false"/>
                <w:i w:val="false"/>
                <w:caps w:val="false"/>
                <w:smallCaps w:val="false"/>
                <w:sz w:val="20"/>
              </w:rPr>
              <w:t>was $21.3 million, up 38.9% compared to Consolidated Adjusted EBITDA of $15.3 million in the prior year period</w:t>
            </w:r>
          </w:p>
        </w:tc>
      </w:tr>
    </w:tbl>
    <w:tbl>
      <w:tblPr>
        <w:tblW w:w="10205" w:type="dxa"/>
        <w:jc w:val="left"/>
        <w:tblInd w:w="0" w:type="dxa"/>
        <w:tblLayout w:type="fixed"/>
        <w:tblCellMar>
          <w:top w:w="0" w:type="dxa"/>
          <w:left w:w="0" w:type="dxa"/>
          <w:bottom w:w="0" w:type="dxa"/>
          <w:right w:w="0" w:type="dxa"/>
        </w:tblCellMar>
      </w:tblPr>
      <w:tblGrid>
        <w:gridCol w:w="23"/>
        <w:gridCol w:w="140"/>
        <w:gridCol w:w="10042"/>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100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expenditures of $6.5 million, down from $20.5 million in the second quarter of 2025, continuing the structural shift in the Company’s capital intensity</w:t>
            </w:r>
          </w:p>
        </w:tc>
      </w:tr>
    </w:tbl>
    <w:tbl>
      <w:tblPr>
        <w:tblW w:w="1563" w:type="dxa"/>
        <w:jc w:val="left"/>
        <w:tblInd w:w="0" w:type="dxa"/>
        <w:tblLayout w:type="fixed"/>
        <w:tblCellMar>
          <w:top w:w="0" w:type="dxa"/>
          <w:left w:w="0" w:type="dxa"/>
          <w:bottom w:w="0" w:type="dxa"/>
          <w:right w:w="0" w:type="dxa"/>
        </w:tblCellMar>
      </w:tblPr>
      <w:tblGrid>
        <w:gridCol w:w="23"/>
        <w:gridCol w:w="170"/>
        <w:gridCol w:w="13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Results</w:t>
            </w:r>
          </w:p>
        </w:tc>
      </w:tr>
    </w:tbl>
    <w:tbl>
      <w:tblPr>
        <w:tblW w:w="1773" w:type="dxa"/>
        <w:jc w:val="left"/>
        <w:tblInd w:w="0" w:type="dxa"/>
        <w:tblLayout w:type="fixed"/>
        <w:tblCellMar>
          <w:top w:w="0" w:type="dxa"/>
          <w:left w:w="0" w:type="dxa"/>
          <w:bottom w:w="0" w:type="dxa"/>
          <w:right w:w="0" w:type="dxa"/>
        </w:tblCellMar>
      </w:tblPr>
      <w:tblGrid>
        <w:gridCol w:w="23"/>
        <w:gridCol w:w="140"/>
        <w:gridCol w:w="1610"/>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1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Beverage Solutions</w:t>
            </w:r>
          </w:p>
        </w:tc>
      </w:tr>
    </w:tbl>
    <w:tbl>
      <w:tblPr>
        <w:tblW w:w="4413" w:type="dxa"/>
        <w:jc w:val="left"/>
        <w:tblInd w:w="0" w:type="dxa"/>
        <w:tblLayout w:type="fixed"/>
        <w:tblCellMar>
          <w:top w:w="0" w:type="dxa"/>
          <w:left w:w="0" w:type="dxa"/>
          <w:bottom w:w="0" w:type="dxa"/>
          <w:right w:w="0" w:type="dxa"/>
        </w:tblCellMar>
      </w:tblPr>
      <w:tblGrid>
        <w:gridCol w:w="23"/>
        <w:gridCol w:w="200"/>
        <w:gridCol w:w="419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were $243.9 million, an increase of 16.8%</w:t>
            </w:r>
          </w:p>
        </w:tc>
      </w:tr>
    </w:tbl>
    <w:tbl>
      <w:tblPr>
        <w:tblW w:w="5838" w:type="dxa"/>
        <w:jc w:val="left"/>
        <w:tblInd w:w="0" w:type="dxa"/>
        <w:tblLayout w:type="fixed"/>
        <w:tblCellMar>
          <w:top w:w="0" w:type="dxa"/>
          <w:left w:w="0" w:type="dxa"/>
          <w:bottom w:w="0" w:type="dxa"/>
          <w:right w:w="0" w:type="dxa"/>
        </w:tblCellMar>
      </w:tblPr>
      <w:tblGrid>
        <w:gridCol w:w="23"/>
        <w:gridCol w:w="200"/>
        <w:gridCol w:w="561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61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Segment Adjusted EBITDA</w:t>
            </w:r>
            <w:r>
              <w:rPr>
                <w:rFonts w:ascii="Times New Roman;Times;serif" w:hAnsi="Times New Roman;Times;serif"/>
                <w:b w:val="false"/>
                <w:i w:val="false"/>
                <w:caps w:val="false"/>
                <w:smallCaps w:val="false"/>
                <w:sz w:val="15"/>
              </w:rPr>
              <w:t>3</w:t>
            </w:r>
            <w:r>
              <w:rPr>
                <w:caps w:val="false"/>
                <w:smallCaps w:val="false"/>
              </w:rPr>
              <w:t xml:space="preserve"> </w:t>
            </w:r>
            <w:r>
              <w:rPr>
                <w:rFonts w:ascii="Times New Roman;Times;serif" w:hAnsi="Times New Roman;Times;serif"/>
                <w:b w:val="false"/>
                <w:i w:val="false"/>
                <w:caps w:val="false"/>
                <w:smallCaps w:val="false"/>
                <w:sz w:val="20"/>
              </w:rPr>
              <w:t>was $22.2 million, an increase of 12.7%</w:t>
            </w:r>
          </w:p>
        </w:tc>
      </w:tr>
    </w:tbl>
    <w:tbl>
      <w:tblPr>
        <w:tblW w:w="3138" w:type="dxa"/>
        <w:jc w:val="left"/>
        <w:tblInd w:w="0" w:type="dxa"/>
        <w:tblLayout w:type="fixed"/>
        <w:tblCellMar>
          <w:top w:w="0" w:type="dxa"/>
          <w:left w:w="0" w:type="dxa"/>
          <w:bottom w:w="0" w:type="dxa"/>
          <w:right w:w="0" w:type="dxa"/>
        </w:tblCellMar>
      </w:tblPr>
      <w:tblGrid>
        <w:gridCol w:w="23"/>
        <w:gridCol w:w="140"/>
        <w:gridCol w:w="2975"/>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29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Sustainable Sourcing &amp; Traceability</w:t>
            </w:r>
          </w:p>
        </w:tc>
      </w:tr>
    </w:tbl>
    <w:tbl>
      <w:tblPr>
        <w:tblW w:w="4233" w:type="dxa"/>
        <w:jc w:val="left"/>
        <w:tblInd w:w="0" w:type="dxa"/>
        <w:tblLayout w:type="fixed"/>
        <w:tblCellMar>
          <w:top w:w="0" w:type="dxa"/>
          <w:left w:w="0" w:type="dxa"/>
          <w:bottom w:w="0" w:type="dxa"/>
          <w:right w:w="0" w:type="dxa"/>
        </w:tblCellMar>
      </w:tblPr>
      <w:tblGrid>
        <w:gridCol w:w="23"/>
        <w:gridCol w:w="200"/>
        <w:gridCol w:w="401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0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were $61.8 million, a decrease of 14.2%</w:t>
            </w:r>
          </w:p>
        </w:tc>
      </w:tr>
    </w:tbl>
    <w:tbl>
      <w:tblPr>
        <w:tblW w:w="8028" w:type="dxa"/>
        <w:jc w:val="left"/>
        <w:tblInd w:w="0" w:type="dxa"/>
        <w:tblLayout w:type="fixed"/>
        <w:tblCellMar>
          <w:top w:w="0" w:type="dxa"/>
          <w:left w:w="0" w:type="dxa"/>
          <w:bottom w:w="0" w:type="dxa"/>
          <w:right w:w="0" w:type="dxa"/>
        </w:tblCellMar>
      </w:tblPr>
      <w:tblGrid>
        <w:gridCol w:w="23"/>
        <w:gridCol w:w="200"/>
        <w:gridCol w:w="780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80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Segment Adjusted EBITDA</w:t>
            </w:r>
            <w:r>
              <w:rPr>
                <w:rFonts w:ascii="Times New Roman;Times;serif" w:hAnsi="Times New Roman;Times;serif"/>
                <w:b w:val="false"/>
                <w:i w:val="false"/>
                <w:caps w:val="false"/>
                <w:smallCaps w:val="false"/>
                <w:sz w:val="15"/>
              </w:rPr>
              <w:t>3</w:t>
            </w:r>
            <w:r>
              <w:rPr>
                <w:caps w:val="false"/>
                <w:smallCaps w:val="false"/>
              </w:rPr>
              <w:t xml:space="preserve"> </w:t>
            </w:r>
            <w:r>
              <w:rPr>
                <w:rFonts w:ascii="Times New Roman;Times;serif" w:hAnsi="Times New Roman;Times;serif"/>
                <w:b w:val="false"/>
                <w:i w:val="false"/>
                <w:caps w:val="false"/>
                <w:smallCaps w:val="false"/>
                <w:sz w:val="20"/>
              </w:rPr>
              <w:t>was $2.0 million compared to $3.3 million for the prior year period</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Commenting on our results, Scott T. Ford, CEO and Co-founder stated, "The second quarter was another strong quarter for Westrock Coffee.  It was the fifth consecutive quarter of year-over-year Consolidated Adjusted EBITDA growth, and we turned free cash flow positive ahead of our anticipated schedule.  With a robust customer and sales pipeline, de-leveraged balance sheet, and a platform that no longer requires capital but is generating cash, our momentum continues to build.”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Financial Outlook</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is reaffirming its 2026 guidance for Consolidated Adjusted EBITDA of $90.0 million to $100.0 million, which was provided in its earnings release dated March 10, 2026.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bookmarkStart w:id="24" w:name="footnote-2"/>
      <w:bookmarkEnd w:id="24"/>
      <w:r>
        <w:rPr>
          <w:rFonts w:ascii="Times New Roman;Times;serif" w:hAnsi="Times New Roman;Times;serif"/>
          <w:sz w:val="14"/>
        </w:rPr>
        <w:t>1</w:t>
      </w:r>
      <w:r>
        <w:rPr>
          <w:rFonts w:ascii="Times New Roman;Times;serif" w:hAnsi="Times New Roman;Times;serif"/>
          <w:sz w:val="18"/>
        </w:rPr>
        <w:t xml:space="preserve"> Unless otherwise indicated, all comparisons are to the prior year period.</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4"/>
        </w:rPr>
        <w:t>2</w:t>
      </w:r>
      <w:r>
        <w:rPr>
          <w:rFonts w:ascii="Times New Roman;Times;serif" w:hAnsi="Times New Roman;Times;serif"/>
          <w:sz w:val="18"/>
        </w:rPr>
        <w:t xml:space="preserve"> Consolidated Adjusted EBITDA is a non-GAAP financial measure. The definition of Consolidated Adjusted EBITDA is included under the section titled “Non-GAAP Financial Measures” and a reconciliation of Consolidated Adjusted EBITDA to the most directly comparable GAAP measure is provided in the tables that accompany this release.</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 xml:space="preserve"> Segment Adjusted EBITDA is a segment performance measure, which is required by U.S. GAAP to be disclosed in accordance with FASB Accounting Standards Codification 280, </w:t>
      </w:r>
      <w:r>
        <w:rPr>
          <w:rFonts w:ascii="Times New Roman;Times;serif" w:hAnsi="Times New Roman;Times;serif"/>
          <w:i/>
          <w:sz w:val="18"/>
        </w:rPr>
        <w:t>Segment Reporting</w:t>
      </w:r>
      <w:r>
        <w:rPr>
          <w:rFonts w:ascii="Times New Roman;Times;serif" w:hAnsi="Times New Roman;Times;serif"/>
          <w:sz w:val="18"/>
        </w:rPr>
        <w:t>. Segment Adjusted EBITDA is defined consistently with Consolidated Adjusted EBITDA, except that it excludes scale-up costs related to our Conway Facility.</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Conference Call Details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Westrock Coffee will host a conference call and webcast at 4:30 p.m. ET today to discuss this release. To participate in the live earnings call and question and answer session, please register </w:t>
      </w:r>
      <w:r>
        <w:rPr>
          <w:rFonts w:ascii="Times New Roman;Times;serif" w:hAnsi="Times New Roman;Times;serif"/>
          <w:color w:val="0070C0"/>
          <w:sz w:val="20"/>
          <w:u w:val="single"/>
        </w:rPr>
        <w:t>HERE</w:t>
      </w:r>
      <w:r>
        <w:rPr>
          <w:rFonts w:ascii="Times New Roman;Times;serif" w:hAnsi="Times New Roman;Times;serif"/>
          <w:sz w:val="20"/>
        </w:rPr>
        <w:t xml:space="preserve"> and dial-in information will be provided directly to you. The live audio webcast will be accessible in the “Events and Presentations” section of the Company’s Investor Relations website at </w:t>
      </w:r>
      <w:r>
        <w:rPr>
          <w:rFonts w:ascii="Times New Roman;Times;serif" w:hAnsi="Times New Roman;Times;serif"/>
          <w:color w:val="0070C0"/>
          <w:sz w:val="20"/>
          <w:u w:val="single"/>
        </w:rPr>
        <w:t>https://investors.westrockcoffee.com</w:t>
      </w:r>
      <w:r>
        <w:rPr>
          <w:rFonts w:ascii="Times New Roman;Times;serif" w:hAnsi="Times New Roman;Times;serif"/>
          <w:sz w:val="20"/>
        </w:rPr>
        <w:t>. An archived replay of the webcast will be available shortly after the live event has concluded and will be available for a minimum of 14 days.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About Westrock Coffee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Westrock Coffee is an integrated beverage solutions platform serving the world's largest brands across packaged coffee, tea, ready-to-drink coffee, energy, and functional beverage categories. With our global manufacturing and sourcing footprint, the Company formulates, manufactures, and packages beverages in cans, glass, multi-serve bottles, single-serve capsules, bulk extract, and concentrates, backed by a digitally traceable supply chain. With operations spanning 10 countries, Westrock partners with brands across retail, foodservice, convenience, CPG, and hospitality to bring beverage programs to market at scale.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Forward-Looking Statements</w:t>
      </w:r>
      <w:bookmarkStart w:id="25" w:name="_Hlk191992022"/>
      <w:bookmarkEnd w:id="25"/>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Certain statements in this press release that are not historical facts are forward-looking statements within the meaning of the Private Securities Litigation Reform Act of 1995, as amended from time to time. Forward-looking statements generally are accompanied by words such as "believe," "may," "will," "estimate," "continue," "anticipate," "intend," "expect," "should," "would," "plan," "predict," "potential," "seem," "seek," "future," "outlook," and similar expressions that predict or indicate future events or trends or that are not statements of historical matters, but the absence of these words does not mean that a statement is not forward-looking. These forward-looking statements include, but are not limited to, our 2026 financial outlook, the plans, objectives, expectations, and intentions of Westrock Coffee, and other statements that are not historical facts. These statements are based on information available to Westrock Coffee as of the date hereof and Westrock Coffee is not under any duty to update any of the forward-looking statements after the date of this communication to conform these statements to actual results. These statements are based on various assumptions, whether or not identified in this communication, and on the current expectations of the management of Westrock Coffee as of the date hereof and are not predictions of actual performance. These forward-looking statements are provided for illustrative purposes only and are not intended to serve as and should not be relied on by an investor, or others, as a guarantee, an assurance, a prediction, or a definitive statement of fact or probability. Actual events and circumstances are difficult or impossible to predict and will differ from assumptions. Many actual events and circumstances are beyond the control of Westrock Coffee. These forward-looking statements are subject to a number of risks and uncertainties, including, but not limited to, changes in domestic and foreign business, market, financial, political, and legal conditions; our inability to secure an adequate supply of key raw materials, including green coffee and tea, or a disruption in our supply chain, including from tariffs or trade restrictions or </w:t>
      </w:r>
      <w:r>
        <w:rPr>
          <w:rFonts w:ascii="Times New Roman;Times;serif" w:hAnsi="Times New Roman;Times;serif"/>
          <w:color w:val="212529"/>
          <w:sz w:val="20"/>
          <w:shd w:fill="FFFFFF" w:val="clear"/>
        </w:rPr>
        <w:t>global conflicts (including the ongoing conflicts in Europe, the Middle East and Latin America)</w:t>
      </w:r>
      <w:r>
        <w:rPr>
          <w:rFonts w:ascii="Times New Roman;Times;serif" w:hAnsi="Times New Roman;Times;serif"/>
          <w:sz w:val="20"/>
        </w:rPr>
        <w:t>; risks relating to the uncertainty of the projected financial information with respect to Westrock Coffee; risks related to the rollout of Westrock Coffee's business and the timing of expected business milestones; our inability to successfully commercialize customers at our Conway, Arkansas facility, and generate positive operating cash flows within the anticipated time frame; the effects of competition and industry consolidation on Westrock Coffee's business; the ability of Westrock Coffee to issue equity or equity-linked securities or obtain debt financing in the future;</w:t>
      </w:r>
      <w:r>
        <w:rPr>
          <w:rFonts w:ascii="Times New Roman;Times;serif" w:hAnsi="Times New Roman;Times;serif"/>
          <w:color w:val="212529"/>
          <w:sz w:val="20"/>
          <w:shd w:fill="FFFFFF" w:val="clear"/>
        </w:rPr>
        <w:t xml:space="preserve"> Westrock Coffee’s future level of indebtedness, which may reduce funds available for other business purposes and reduce the Company’s operational flexibility;</w:t>
      </w:r>
      <w:r>
        <w:rPr>
          <w:rFonts w:ascii="Times New Roman;Times;serif" w:hAnsi="Times New Roman;Times;serif"/>
          <w:sz w:val="20"/>
        </w:rPr>
        <w:t xml:space="preserve"> Westrock Coffee’s inability to comply with the financial covenants in our credit agreement; the risk that Westrock Coffee fails to attract, motivate or retain qualified personnel; the risk that Westrock Coffee fails to fully realize the potential benefits of acquisitions or joint ventures or has difficulty successfully integrating acquired companies; the loss of significant customers or delays in bringing their products to market; </w:t>
      </w:r>
      <w:r>
        <w:rPr>
          <w:rFonts w:ascii="Times New Roman;Times;serif" w:hAnsi="Times New Roman;Times;serif"/>
          <w:color w:val="212529"/>
          <w:sz w:val="20"/>
          <w:shd w:fill="FFFFFF" w:val="clear"/>
        </w:rPr>
        <w:t xml:space="preserve">litigation or legal disputes, which could lead us to incur significant liabilities and costs or harm our reputation; the risk of incurring additional costs if Westrock Coffee no longer qualifies as an emerging growth company (as defined in the JOBS Act); </w:t>
      </w:r>
      <w:r>
        <w:rPr>
          <w:rFonts w:ascii="Times New Roman;Times;serif" w:hAnsi="Times New Roman;Times;serif"/>
          <w:sz w:val="20"/>
        </w:rPr>
        <w:t xml:space="preserve">and those factors discussed in Westrock Coffee’s Annual Report on Form 10-K, which was filed with the United States Securities and Exchange Commission (the “SEC”) on March 10, 2026, in Part I, Item 1A “Risk Factors” and other documents Westrock Coffee has filed, or will file, with the SEC. If any of these risks materialize or our assumptions prove incorrect, actual results could differ materially from the results implied by these forward-looking statements. There may be additional risks that Westrock Coffee does not presently know, or that Westrock Coffee currently believes are immaterial, that could also cause actual results to differ from those contained in the forward-looking statements. In addition, the forward-looking statements reflect Westrock Coffee's expectations,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plans, or forecasts of future events and views as of the date of this communication. Westrock Coffee anticipates that subsequent events and developments will cause Westrock Coffee's assessments to change. However, while Westrock Coffee may elect to update these forward-looking statements at some point in the future, Westrock Coffee specifically disclaims any obligation to do so. These forward-looking statements should not be relied upon as a representation of Westrock Coffee's assessments as of any date subsequent to the date of this communication. Accordingly, undue reliance should not be placed upon the forward-looking statements.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Contacts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Media: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PR@westrockcoffee.com</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Investor Contact: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IR@westrockcoffee.com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Westrock Coffee Company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tbl>
      <w:tblPr>
        <w:tblW w:w="10205" w:type="dxa"/>
        <w:jc w:val="left"/>
        <w:tblInd w:w="0" w:type="dxa"/>
        <w:tblLayout w:type="fixed"/>
        <w:tblCellMar>
          <w:top w:w="0" w:type="dxa"/>
          <w:left w:w="0" w:type="dxa"/>
          <w:bottom w:w="0" w:type="dxa"/>
          <w:right w:w="0" w:type="dxa"/>
        </w:tblCellMar>
      </w:tblPr>
      <w:tblGrid>
        <w:gridCol w:w="7156"/>
        <w:gridCol w:w="346"/>
        <w:gridCol w:w="201"/>
        <w:gridCol w:w="805"/>
        <w:gridCol w:w="346"/>
        <w:gridCol w:w="246"/>
        <w:gridCol w:w="1105"/>
      </w:tblGrid>
      <w:tr>
        <w:trPr/>
        <w:tc>
          <w:tcPr>
            <w:tcW w:w="7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4544060" cy="175260"/>
                      <wp:effectExtent l="0" t="0" r="0" b="0"/>
                      <wp:wrapNone/>
                      <wp:docPr id="6" name="Frame6"/>
                      <a:graphic xmlns:a="http://schemas.openxmlformats.org/drawingml/2006/main">
                        <a:graphicData uri="http://schemas.microsoft.com/office/word/2010/wordprocessingShape">
                          <wps:wsp>
                            <wps:cNvSpPr txBox="1"/>
                            <wps:spPr>
                              <a:xfrm>
                                <a:off x="0" y="0"/>
                                <a:ext cx="454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19710" cy="175260"/>
                      <wp:effectExtent l="0" t="0" r="0" b="0"/>
                      <wp:wrapNone/>
                      <wp:docPr id="7" name="Frame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27635" cy="175260"/>
                      <wp:effectExtent l="0" t="0" r="0" b="0"/>
                      <wp:wrapNone/>
                      <wp:docPr id="8" name="Frame8"/>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511175" cy="175260"/>
                      <wp:effectExtent l="0" t="0" r="0" b="0"/>
                      <wp:wrapNone/>
                      <wp:docPr id="9" name="Frame9"/>
                      <a:graphic xmlns:a="http://schemas.openxmlformats.org/drawingml/2006/main">
                        <a:graphicData uri="http://schemas.microsoft.com/office/word/2010/wordprocessingShape">
                          <wps:wsp>
                            <wps:cNvSpPr txBox="1"/>
                            <wps:spPr>
                              <a:xfrm>
                                <a:off x="0" y="0"/>
                                <a:ext cx="511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9710" cy="175260"/>
                      <wp:effectExtent l="0" t="0" r="0" b="0"/>
                      <wp:wrapNone/>
                      <wp:docPr id="10" name="Frame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56210" cy="175260"/>
                      <wp:effectExtent l="0" t="0" r="0" b="0"/>
                      <wp:wrapNone/>
                      <wp:docPr id="11" name="Frame11"/>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701675" cy="175260"/>
                      <wp:effectExtent l="0" t="0" r="0" b="0"/>
                      <wp:wrapNone/>
                      <wp:docPr id="12" name="Frame12"/>
                      <a:graphic xmlns:a="http://schemas.openxmlformats.org/drawingml/2006/main">
                        <a:graphicData uri="http://schemas.microsoft.com/office/word/2010/wordprocessingShape">
                          <wps:wsp>
                            <wps:cNvSpPr txBox="1"/>
                            <wps:spPr>
                              <a:xfrm>
                                <a:off x="0" y="0"/>
                                <a:ext cx="701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(Thousands, except par value)</w:t>
            </w:r>
          </w:p>
        </w:tc>
        <w:tc>
          <w:tcPr>
            <w:tcW w:w="346" w:type="dxa"/>
            <w:tcBorders/>
            <w:vAlign w:val="center"/>
          </w:tcPr>
          <w:p>
            <w:pPr>
              <w:pStyle w:val="TableContents"/>
              <w:bidi w:val="0"/>
              <w:spacing w:before="0" w:after="0"/>
              <w:ind w:left="0" w:right="0" w:hanging="0"/>
              <w:jc w:val="left"/>
              <w:rPr/>
            </w:pPr>
            <w:r>
              <w:rPr/>
              <w:t>  ​ ​ ​</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June 30, 2026</w:t>
            </w:r>
          </w:p>
        </w:tc>
        <w:tc>
          <w:tcPr>
            <w:tcW w:w="346" w:type="dxa"/>
            <w:tcBorders/>
            <w:vAlign w:val="center"/>
          </w:tcPr>
          <w:p>
            <w:pPr>
              <w:pStyle w:val="TableContents"/>
              <w:bidi w:val="0"/>
              <w:spacing w:before="0" w:after="0"/>
              <w:ind w:left="0" w:right="0" w:hanging="0"/>
              <w:jc w:val="left"/>
              <w:rPr/>
            </w:pPr>
            <w:r>
              <w:rPr/>
              <w:t>  ​ ​ ​</w:t>
            </w:r>
          </w:p>
        </w:tc>
        <w:tc>
          <w:tcPr>
            <w:tcW w:w="13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December 31, 2025</w:t>
            </w:r>
          </w:p>
        </w:tc>
      </w:tr>
      <w:tr>
        <w:trPr/>
        <w:tc>
          <w:tcPr>
            <w:tcW w:w="7156"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1105" w:type="dxa"/>
            <w:tcBorders/>
            <w:shd w:fill="CCEEFF" w:val="clear"/>
            <w:vAlign w:val="center"/>
          </w:tcPr>
          <w:p>
            <w:pPr>
              <w:pStyle w:val="TableContents"/>
              <w:bidi w:val="0"/>
              <w:spacing w:before="0" w:after="0"/>
              <w:ind w:left="0" w:right="0" w:hanging="0"/>
              <w:jc w:val="left"/>
              <w:rPr/>
            </w:pPr>
            <w:r>
              <w:rPr/>
              <w:t>​</w:t>
            </w:r>
          </w:p>
        </w:tc>
      </w:tr>
      <w:tr>
        <w:trPr/>
        <w:tc>
          <w:tcPr>
            <w:tcW w:w="715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 xml:space="preserve">Cash and cash equivalents </w:t>
            </w:r>
          </w:p>
        </w:tc>
        <w:tc>
          <w:tcPr>
            <w:tcW w:w="34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0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38,233</w:t>
            </w:r>
          </w:p>
        </w:tc>
        <w:tc>
          <w:tcPr>
            <w:tcW w:w="34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110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49,875</w:t>
            </w:r>
          </w:p>
        </w:tc>
      </w:tr>
      <w:tr>
        <w:trPr/>
        <w:tc>
          <w:tcPr>
            <w:tcW w:w="715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Restricted cash</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10,142</w:t>
            </w:r>
          </w:p>
        </w:tc>
        <w:tc>
          <w:tcPr>
            <w:tcW w:w="34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110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21,164</w:t>
            </w:r>
          </w:p>
        </w:tc>
      </w:tr>
      <w:tr>
        <w:trPr/>
        <w:tc>
          <w:tcPr>
            <w:tcW w:w="715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Accounts receivable, net of allowance for credit losses of $3,217 and $2,750, respectively</w:t>
            </w:r>
          </w:p>
        </w:tc>
        <w:tc>
          <w:tcPr>
            <w:tcW w:w="34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76,699</w:t>
            </w:r>
          </w:p>
        </w:tc>
        <w:tc>
          <w:tcPr>
            <w:tcW w:w="34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110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94,099</w:t>
            </w:r>
          </w:p>
        </w:tc>
      </w:tr>
      <w:tr>
        <w:trPr/>
        <w:tc>
          <w:tcPr>
            <w:tcW w:w="715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Inventories</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167,522</w:t>
            </w:r>
          </w:p>
        </w:tc>
        <w:tc>
          <w:tcPr>
            <w:tcW w:w="34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110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199,802</w:t>
            </w:r>
          </w:p>
        </w:tc>
      </w:tr>
      <w:tr>
        <w:trPr/>
        <w:tc>
          <w:tcPr>
            <w:tcW w:w="715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Derivative assets</w:t>
            </w:r>
          </w:p>
        </w:tc>
        <w:tc>
          <w:tcPr>
            <w:tcW w:w="34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24,446</w:t>
            </w:r>
          </w:p>
        </w:tc>
        <w:tc>
          <w:tcPr>
            <w:tcW w:w="34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110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15,049</w:t>
            </w:r>
          </w:p>
        </w:tc>
      </w:tr>
      <w:tr>
        <w:trPr/>
        <w:tc>
          <w:tcPr>
            <w:tcW w:w="715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Prepaid expenses and 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13,275</w:t>
            </w:r>
          </w:p>
        </w:tc>
        <w:tc>
          <w:tcPr>
            <w:tcW w:w="346" w:type="dxa"/>
            <w:tcBorders/>
            <w:shd w:fill="CCEEFF" w:val="clear"/>
            <w:vAlign w:val="center"/>
          </w:tcPr>
          <w:p>
            <w:pPr>
              <w:pStyle w:val="TableContents"/>
              <w:bidi w:val="0"/>
              <w:spacing w:before="0" w:after="0"/>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16,370</w:t>
            </w:r>
          </w:p>
        </w:tc>
      </w:tr>
      <w:tr>
        <w:trPr/>
        <w:tc>
          <w:tcPr>
            <w:tcW w:w="715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Total current assets</w:t>
            </w:r>
          </w:p>
        </w:tc>
        <w:tc>
          <w:tcPr>
            <w:tcW w:w="34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330,317</w:t>
            </w:r>
          </w:p>
        </w:tc>
        <w:tc>
          <w:tcPr>
            <w:tcW w:w="34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110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396,359</w:t>
            </w:r>
          </w:p>
        </w:tc>
      </w:tr>
      <w:tr>
        <w:trPr/>
        <w:tc>
          <w:tcPr>
            <w:tcW w:w="71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1105" w:type="dxa"/>
            <w:tcBorders/>
            <w:shd w:fill="CCEEFF" w:val="clear"/>
            <w:vAlign w:val="center"/>
          </w:tcPr>
          <w:p>
            <w:pPr>
              <w:pStyle w:val="TableContents"/>
              <w:bidi w:val="0"/>
              <w:spacing w:before="0" w:after="0"/>
              <w:ind w:left="0" w:right="0" w:hanging="0"/>
              <w:jc w:val="left"/>
              <w:rPr/>
            </w:pPr>
            <w:r>
              <w:rPr/>
              <w:t>​</w:t>
            </w:r>
          </w:p>
        </w:tc>
      </w:tr>
      <w:tr>
        <w:trPr/>
        <w:tc>
          <w:tcPr>
            <w:tcW w:w="715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Property, plant and equipment, net</w:t>
            </w:r>
          </w:p>
        </w:tc>
        <w:tc>
          <w:tcPr>
            <w:tcW w:w="34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459,232</w:t>
            </w:r>
          </w:p>
        </w:tc>
        <w:tc>
          <w:tcPr>
            <w:tcW w:w="34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110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483,606</w:t>
            </w:r>
          </w:p>
        </w:tc>
      </w:tr>
      <w:tr>
        <w:trPr/>
        <w:tc>
          <w:tcPr>
            <w:tcW w:w="715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Goodwill</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116,111</w:t>
            </w:r>
          </w:p>
        </w:tc>
        <w:tc>
          <w:tcPr>
            <w:tcW w:w="34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110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116,111</w:t>
            </w:r>
          </w:p>
        </w:tc>
      </w:tr>
      <w:tr>
        <w:trPr/>
        <w:tc>
          <w:tcPr>
            <w:tcW w:w="715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Intangible assets, net</w:t>
            </w:r>
          </w:p>
        </w:tc>
        <w:tc>
          <w:tcPr>
            <w:tcW w:w="34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103,268</w:t>
            </w:r>
          </w:p>
        </w:tc>
        <w:tc>
          <w:tcPr>
            <w:tcW w:w="34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110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107,141</w:t>
            </w:r>
          </w:p>
        </w:tc>
      </w:tr>
      <w:tr>
        <w:trPr/>
        <w:tc>
          <w:tcPr>
            <w:tcW w:w="715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Operating lease right-of-use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61,438</w:t>
            </w:r>
          </w:p>
        </w:tc>
        <w:tc>
          <w:tcPr>
            <w:tcW w:w="34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110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60,310</w:t>
            </w:r>
          </w:p>
        </w:tc>
      </w:tr>
      <w:tr>
        <w:trPr/>
        <w:tc>
          <w:tcPr>
            <w:tcW w:w="715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Other long-term assets</w:t>
            </w:r>
          </w:p>
        </w:tc>
        <w:tc>
          <w:tcPr>
            <w:tcW w:w="346" w:type="dxa"/>
            <w:tcBorders/>
            <w:vAlign w:val="center"/>
          </w:tcPr>
          <w:p>
            <w:pPr>
              <w:pStyle w:val="TableContents"/>
              <w:bidi w:val="0"/>
              <w:spacing w:before="0" w:after="0"/>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15,482</w:t>
            </w:r>
          </w:p>
        </w:tc>
        <w:tc>
          <w:tcPr>
            <w:tcW w:w="346" w:type="dxa"/>
            <w:tcBorders/>
            <w:vAlign w:val="center"/>
          </w:tcPr>
          <w:p>
            <w:pPr>
              <w:pStyle w:val="TableContents"/>
              <w:bidi w:val="0"/>
              <w:spacing w:before="0" w:after="0"/>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12,451</w:t>
            </w:r>
          </w:p>
        </w:tc>
      </w:tr>
      <w:tr>
        <w:trPr/>
        <w:tc>
          <w:tcPr>
            <w:tcW w:w="715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1,085,848</w:t>
            </w:r>
          </w:p>
        </w:tc>
        <w:tc>
          <w:tcPr>
            <w:tcW w:w="346" w:type="dxa"/>
            <w:tcBorders/>
            <w:shd w:fill="CCEEFF" w:val="clear"/>
            <w:vAlign w:val="center"/>
          </w:tcPr>
          <w:p>
            <w:pPr>
              <w:pStyle w:val="TableContents"/>
              <w:bidi w:val="0"/>
              <w:spacing w:before="0" w:after="0"/>
              <w:ind w:left="0" w:right="0" w:hanging="0"/>
              <w:jc w:val="left"/>
              <w:rPr/>
            </w:pPr>
            <w:r>
              <w:rPr/>
              <w:t>​</w:t>
            </w:r>
          </w:p>
        </w:tc>
        <w:tc>
          <w:tcPr>
            <w:tcW w:w="2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11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1,175,978</w:t>
            </w:r>
          </w:p>
        </w:tc>
      </w:tr>
      <w:tr>
        <w:trPr/>
        <w:tc>
          <w:tcPr>
            <w:tcW w:w="7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1105" w:type="dxa"/>
            <w:tcBorders/>
            <w:vAlign w:val="center"/>
          </w:tcPr>
          <w:p>
            <w:pPr>
              <w:pStyle w:val="TableContents"/>
              <w:bidi w:val="0"/>
              <w:spacing w:before="0" w:after="0"/>
              <w:ind w:left="0" w:right="0" w:hanging="0"/>
              <w:jc w:val="left"/>
              <w:rPr/>
            </w:pPr>
            <w:r>
              <w:rPr/>
              <w:t>​</w:t>
            </w:r>
          </w:p>
        </w:tc>
      </w:tr>
      <w:tr>
        <w:trPr/>
        <w:tc>
          <w:tcPr>
            <w:tcW w:w="7156"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LIABILITIES, CONVERTIBLE PREFERRED SHARES AND SHAREHOLDERS' EQUITY (DEFICIT)</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1105" w:type="dxa"/>
            <w:tcBorders/>
            <w:shd w:fill="CCEEFF" w:val="clear"/>
            <w:vAlign w:val="center"/>
          </w:tcPr>
          <w:p>
            <w:pPr>
              <w:pStyle w:val="TableContents"/>
              <w:bidi w:val="0"/>
              <w:spacing w:before="0" w:after="0"/>
              <w:ind w:left="0" w:right="0" w:hanging="0"/>
              <w:jc w:val="left"/>
              <w:rPr/>
            </w:pPr>
            <w:r>
              <w:rPr/>
              <w:t>​</w:t>
            </w:r>
          </w:p>
        </w:tc>
      </w:tr>
      <w:tr>
        <w:trPr/>
        <w:tc>
          <w:tcPr>
            <w:tcW w:w="715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Current maturities of long-term debt</w:t>
            </w:r>
          </w:p>
        </w:tc>
        <w:tc>
          <w:tcPr>
            <w:tcW w:w="34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0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22,594</w:t>
            </w:r>
          </w:p>
        </w:tc>
        <w:tc>
          <w:tcPr>
            <w:tcW w:w="34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110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19,281</w:t>
            </w:r>
          </w:p>
        </w:tc>
      </w:tr>
      <w:tr>
        <w:trPr/>
        <w:tc>
          <w:tcPr>
            <w:tcW w:w="715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Short-term debt</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55,810</w:t>
            </w:r>
          </w:p>
        </w:tc>
        <w:tc>
          <w:tcPr>
            <w:tcW w:w="34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110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82,640</w:t>
            </w:r>
          </w:p>
        </w:tc>
      </w:tr>
      <w:tr>
        <w:trPr/>
        <w:tc>
          <w:tcPr>
            <w:tcW w:w="715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Accounts payable</w:t>
            </w:r>
          </w:p>
        </w:tc>
        <w:tc>
          <w:tcPr>
            <w:tcW w:w="34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68,185</w:t>
            </w:r>
          </w:p>
        </w:tc>
        <w:tc>
          <w:tcPr>
            <w:tcW w:w="34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110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91,175</w:t>
            </w:r>
          </w:p>
        </w:tc>
      </w:tr>
      <w:tr>
        <w:trPr/>
        <w:tc>
          <w:tcPr>
            <w:tcW w:w="715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Supply chain finance program</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97,532</w:t>
            </w:r>
          </w:p>
        </w:tc>
        <w:tc>
          <w:tcPr>
            <w:tcW w:w="34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110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96,594</w:t>
            </w:r>
          </w:p>
        </w:tc>
      </w:tr>
      <w:tr>
        <w:trPr/>
        <w:tc>
          <w:tcPr>
            <w:tcW w:w="715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Derivative liabilities</w:t>
            </w:r>
          </w:p>
        </w:tc>
        <w:tc>
          <w:tcPr>
            <w:tcW w:w="34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7,440</w:t>
            </w:r>
          </w:p>
        </w:tc>
        <w:tc>
          <w:tcPr>
            <w:tcW w:w="34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110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28,600</w:t>
            </w:r>
          </w:p>
        </w:tc>
      </w:tr>
      <w:tr>
        <w:trPr/>
        <w:tc>
          <w:tcPr>
            <w:tcW w:w="715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Accrued expenses and other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90,192</w:t>
            </w:r>
          </w:p>
        </w:tc>
        <w:tc>
          <w:tcPr>
            <w:tcW w:w="346" w:type="dxa"/>
            <w:tcBorders/>
            <w:shd w:fill="CCEEFF" w:val="clear"/>
            <w:vAlign w:val="center"/>
          </w:tcPr>
          <w:p>
            <w:pPr>
              <w:pStyle w:val="TableContents"/>
              <w:bidi w:val="0"/>
              <w:spacing w:before="0" w:after="0"/>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95,340</w:t>
            </w:r>
          </w:p>
        </w:tc>
      </w:tr>
      <w:tr>
        <w:trPr/>
        <w:tc>
          <w:tcPr>
            <w:tcW w:w="715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Total current liabilities</w:t>
            </w:r>
          </w:p>
        </w:tc>
        <w:tc>
          <w:tcPr>
            <w:tcW w:w="34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341,753</w:t>
            </w:r>
          </w:p>
        </w:tc>
        <w:tc>
          <w:tcPr>
            <w:tcW w:w="34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110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413,630</w:t>
            </w:r>
          </w:p>
        </w:tc>
      </w:tr>
      <w:tr>
        <w:trPr/>
        <w:tc>
          <w:tcPr>
            <w:tcW w:w="71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1105" w:type="dxa"/>
            <w:tcBorders/>
            <w:shd w:fill="CCEEFF" w:val="clear"/>
            <w:vAlign w:val="center"/>
          </w:tcPr>
          <w:p>
            <w:pPr>
              <w:pStyle w:val="TableContents"/>
              <w:bidi w:val="0"/>
              <w:spacing w:before="0" w:after="0"/>
              <w:ind w:left="0" w:right="0" w:hanging="0"/>
              <w:jc w:val="left"/>
              <w:rPr/>
            </w:pPr>
            <w:r>
              <w:rPr/>
              <w:t>​</w:t>
            </w:r>
          </w:p>
        </w:tc>
      </w:tr>
      <w:tr>
        <w:trPr/>
        <w:tc>
          <w:tcPr>
            <w:tcW w:w="715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Long-term debt, net</w:t>
            </w:r>
          </w:p>
        </w:tc>
        <w:tc>
          <w:tcPr>
            <w:tcW w:w="34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365,466</w:t>
            </w:r>
          </w:p>
        </w:tc>
        <w:tc>
          <w:tcPr>
            <w:tcW w:w="34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110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356,788</w:t>
            </w:r>
          </w:p>
        </w:tc>
      </w:tr>
      <w:tr>
        <w:trPr/>
        <w:tc>
          <w:tcPr>
            <w:tcW w:w="715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Convertible notes payable - related party, net</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64,839</w:t>
            </w:r>
          </w:p>
        </w:tc>
        <w:tc>
          <w:tcPr>
            <w:tcW w:w="34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110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64,754</w:t>
            </w:r>
          </w:p>
        </w:tc>
      </w:tr>
      <w:tr>
        <w:trPr/>
        <w:tc>
          <w:tcPr>
            <w:tcW w:w="715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Deferred income taxes</w:t>
            </w:r>
          </w:p>
        </w:tc>
        <w:tc>
          <w:tcPr>
            <w:tcW w:w="34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11,492</w:t>
            </w:r>
          </w:p>
        </w:tc>
        <w:tc>
          <w:tcPr>
            <w:tcW w:w="34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110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10,160</w:t>
            </w:r>
          </w:p>
        </w:tc>
      </w:tr>
      <w:tr>
        <w:trPr/>
        <w:tc>
          <w:tcPr>
            <w:tcW w:w="715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59,375</w:t>
            </w:r>
          </w:p>
        </w:tc>
        <w:tc>
          <w:tcPr>
            <w:tcW w:w="34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110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58,146</w:t>
            </w:r>
          </w:p>
        </w:tc>
      </w:tr>
      <w:tr>
        <w:trPr/>
        <w:tc>
          <w:tcPr>
            <w:tcW w:w="715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Other long-term liabilities</w:t>
            </w:r>
          </w:p>
        </w:tc>
        <w:tc>
          <w:tcPr>
            <w:tcW w:w="346" w:type="dxa"/>
            <w:tcBorders/>
            <w:vAlign w:val="center"/>
          </w:tcPr>
          <w:p>
            <w:pPr>
              <w:pStyle w:val="TableContents"/>
              <w:bidi w:val="0"/>
              <w:spacing w:before="0" w:after="0"/>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866</w:t>
            </w:r>
          </w:p>
        </w:tc>
        <w:tc>
          <w:tcPr>
            <w:tcW w:w="346" w:type="dxa"/>
            <w:tcBorders/>
            <w:vAlign w:val="center"/>
          </w:tcPr>
          <w:p>
            <w:pPr>
              <w:pStyle w:val="TableContents"/>
              <w:bidi w:val="0"/>
              <w:spacing w:before="0" w:after="0"/>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865</w:t>
            </w:r>
          </w:p>
        </w:tc>
      </w:tr>
      <w:tr>
        <w:trPr/>
        <w:tc>
          <w:tcPr>
            <w:tcW w:w="715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Total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843,791</w:t>
            </w:r>
          </w:p>
        </w:tc>
        <w:tc>
          <w:tcPr>
            <w:tcW w:w="34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110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904,343</w:t>
            </w:r>
          </w:p>
        </w:tc>
      </w:tr>
      <w:tr>
        <w:trPr/>
        <w:tc>
          <w:tcPr>
            <w:tcW w:w="7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1105" w:type="dxa"/>
            <w:tcBorders/>
            <w:vAlign w:val="center"/>
          </w:tcPr>
          <w:p>
            <w:pPr>
              <w:pStyle w:val="TableContents"/>
              <w:bidi w:val="0"/>
              <w:spacing w:before="0" w:after="0"/>
              <w:ind w:left="0" w:right="0" w:hanging="0"/>
              <w:jc w:val="left"/>
              <w:rPr/>
            </w:pPr>
            <w:r>
              <w:rPr/>
              <w:t>​</w:t>
            </w:r>
          </w:p>
        </w:tc>
      </w:tr>
      <w:tr>
        <w:trPr/>
        <w:tc>
          <w:tcPr>
            <w:tcW w:w="715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Commitments and contingencies</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1105" w:type="dxa"/>
            <w:tcBorders/>
            <w:shd w:fill="CCEEFF" w:val="clear"/>
            <w:vAlign w:val="center"/>
          </w:tcPr>
          <w:p>
            <w:pPr>
              <w:pStyle w:val="TableContents"/>
              <w:bidi w:val="0"/>
              <w:spacing w:before="0" w:after="0"/>
              <w:ind w:left="0" w:right="0" w:hanging="0"/>
              <w:jc w:val="left"/>
              <w:rPr/>
            </w:pPr>
            <w:r>
              <w:rPr/>
              <w:t>​</w:t>
            </w:r>
          </w:p>
        </w:tc>
      </w:tr>
      <w:tr>
        <w:trPr/>
        <w:tc>
          <w:tcPr>
            <w:tcW w:w="7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1105" w:type="dxa"/>
            <w:tcBorders/>
            <w:vAlign w:val="center"/>
          </w:tcPr>
          <w:p>
            <w:pPr>
              <w:pStyle w:val="TableContents"/>
              <w:bidi w:val="0"/>
              <w:spacing w:before="0" w:after="0"/>
              <w:ind w:left="0" w:right="0" w:hanging="0"/>
              <w:jc w:val="left"/>
              <w:rPr/>
            </w:pPr>
            <w:r>
              <w:rPr/>
              <w:t>​</w:t>
            </w:r>
          </w:p>
        </w:tc>
      </w:tr>
      <w:tr>
        <w:trPr/>
        <w:tc>
          <w:tcPr>
            <w:tcW w:w="715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 xml:space="preserve">Series A Convertible Preferred Shares, $0.01 par value, 24,000 shares authorized, 23,511 shares and 23,511 shares issued and outstanding at June 30, 2026 and December 31, 2025, respectively, $11.50 liquidation value </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273,330</w:t>
            </w:r>
          </w:p>
        </w:tc>
        <w:tc>
          <w:tcPr>
            <w:tcW w:w="34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110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273,503</w:t>
            </w:r>
          </w:p>
        </w:tc>
      </w:tr>
      <w:tr>
        <w:trPr/>
        <w:tc>
          <w:tcPr>
            <w:tcW w:w="7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1105" w:type="dxa"/>
            <w:tcBorders/>
            <w:vAlign w:val="center"/>
          </w:tcPr>
          <w:p>
            <w:pPr>
              <w:pStyle w:val="TableContents"/>
              <w:bidi w:val="0"/>
              <w:spacing w:before="0" w:after="0"/>
              <w:ind w:left="0" w:right="0" w:hanging="0"/>
              <w:jc w:val="left"/>
              <w:rPr/>
            </w:pPr>
            <w:r>
              <w:rPr/>
              <w:t>​</w:t>
            </w:r>
          </w:p>
        </w:tc>
      </w:tr>
      <w:tr>
        <w:trPr/>
        <w:tc>
          <w:tcPr>
            <w:tcW w:w="7156" w:type="dxa"/>
            <w:tcBorders/>
            <w:shd w:fill="CCEEFF" w:val="clear"/>
            <w:vAlign w:val="center"/>
          </w:tcPr>
          <w:p>
            <w:pPr>
              <w:pStyle w:val="TableContents"/>
              <w:bidi w:val="0"/>
              <w:spacing w:before="0" w:after="0"/>
              <w:ind w:left="0" w:right="0" w:hanging="0"/>
              <w:jc w:val="left"/>
              <w:rPr>
                <w:rFonts w:ascii="Times New Roman;Times;serif" w:hAnsi="Times New Roman;Times;serif"/>
                <w:b/>
                <w:i/>
                <w:sz w:val="15"/>
              </w:rPr>
            </w:pPr>
            <w:r>
              <w:rPr>
                <w:rFonts w:ascii="Times New Roman;Times;serif" w:hAnsi="Times New Roman;Times;serif"/>
                <w:b/>
                <w:i/>
                <w:sz w:val="15"/>
              </w:rPr>
              <w:t>Shareholders' Equity (Deficit)</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1105" w:type="dxa"/>
            <w:tcBorders/>
            <w:shd w:fill="CCEEFF" w:val="clear"/>
            <w:vAlign w:val="center"/>
          </w:tcPr>
          <w:p>
            <w:pPr>
              <w:pStyle w:val="TableContents"/>
              <w:bidi w:val="0"/>
              <w:spacing w:before="0" w:after="0"/>
              <w:ind w:left="0" w:right="0" w:hanging="0"/>
              <w:jc w:val="left"/>
              <w:rPr/>
            </w:pPr>
            <w:r>
              <w:rPr/>
              <w:t>​</w:t>
            </w:r>
          </w:p>
        </w:tc>
      </w:tr>
      <w:tr>
        <w:trPr/>
        <w:tc>
          <w:tcPr>
            <w:tcW w:w="715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Preferred stock, $0.01 par value, 26,000 shares authorized, no shares issued and outstanding</w:t>
            </w:r>
          </w:p>
        </w:tc>
        <w:tc>
          <w:tcPr>
            <w:tcW w:w="34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1105" w:type="dxa"/>
            <w:tcBorders/>
            <w:vAlign w:val="center"/>
          </w:tcPr>
          <w:p>
            <w:pPr>
              <w:pStyle w:val="TableContents"/>
              <w:bidi w:val="0"/>
              <w:spacing w:before="0" w:after="0"/>
              <w:ind w:left="0" w:right="0" w:hanging="0"/>
              <w:jc w:val="right"/>
              <w:rPr/>
            </w:pPr>
            <w:r>
              <w:rPr/>
              <w:t>—</w:t>
            </w:r>
          </w:p>
        </w:tc>
      </w:tr>
      <w:tr>
        <w:trPr/>
        <w:tc>
          <w:tcPr>
            <w:tcW w:w="715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Common stock, $0.01 par value, 300,000 shares authorized, 97,627 shares and 96,866 shares issued and outstanding at June 30, 2026 and December 31, 2025,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976</w:t>
            </w:r>
          </w:p>
        </w:tc>
        <w:tc>
          <w:tcPr>
            <w:tcW w:w="34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110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969</w:t>
            </w:r>
          </w:p>
        </w:tc>
      </w:tr>
      <w:tr>
        <w:trPr/>
        <w:tc>
          <w:tcPr>
            <w:tcW w:w="715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Additional paid-in-capital</w:t>
            </w:r>
          </w:p>
        </w:tc>
        <w:tc>
          <w:tcPr>
            <w:tcW w:w="34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547,073</w:t>
            </w:r>
          </w:p>
        </w:tc>
        <w:tc>
          <w:tcPr>
            <w:tcW w:w="34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110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544,567</w:t>
            </w:r>
          </w:p>
        </w:tc>
      </w:tr>
      <w:tr>
        <w:trPr/>
        <w:tc>
          <w:tcPr>
            <w:tcW w:w="715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Accumulated deficit</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(556,560)</w:t>
            </w:r>
          </w:p>
        </w:tc>
        <w:tc>
          <w:tcPr>
            <w:tcW w:w="34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110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(534,370)</w:t>
            </w:r>
          </w:p>
        </w:tc>
      </w:tr>
      <w:tr>
        <w:trPr/>
        <w:tc>
          <w:tcPr>
            <w:tcW w:w="715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Accumulated other comprehensive income (loss)</w:t>
            </w:r>
          </w:p>
        </w:tc>
        <w:tc>
          <w:tcPr>
            <w:tcW w:w="346" w:type="dxa"/>
            <w:tcBorders/>
            <w:vAlign w:val="center"/>
          </w:tcPr>
          <w:p>
            <w:pPr>
              <w:pStyle w:val="TableContents"/>
              <w:bidi w:val="0"/>
              <w:spacing w:before="0" w:after="0"/>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(22,762)</w:t>
            </w:r>
          </w:p>
        </w:tc>
        <w:tc>
          <w:tcPr>
            <w:tcW w:w="346" w:type="dxa"/>
            <w:tcBorders/>
            <w:vAlign w:val="center"/>
          </w:tcPr>
          <w:p>
            <w:pPr>
              <w:pStyle w:val="TableContents"/>
              <w:bidi w:val="0"/>
              <w:spacing w:before="0" w:after="0"/>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(13,034)</w:t>
            </w:r>
          </w:p>
        </w:tc>
      </w:tr>
      <w:tr>
        <w:trPr/>
        <w:tc>
          <w:tcPr>
            <w:tcW w:w="7156"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Total shareholders' equity (deficit)</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(31,273)</w:t>
            </w:r>
          </w:p>
        </w:tc>
        <w:tc>
          <w:tcPr>
            <w:tcW w:w="346" w:type="dxa"/>
            <w:tcBorders/>
            <w:shd w:fill="CCEEFF" w:val="clear"/>
            <w:vAlign w:val="center"/>
          </w:tcPr>
          <w:p>
            <w:pPr>
              <w:pStyle w:val="TableContents"/>
              <w:bidi w:val="0"/>
              <w:spacing w:before="0" w:after="0"/>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(1,868)</w:t>
            </w:r>
          </w:p>
        </w:tc>
      </w:tr>
      <w:tr>
        <w:trPr/>
        <w:tc>
          <w:tcPr>
            <w:tcW w:w="7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1105" w:type="dxa"/>
            <w:tcBorders/>
            <w:vAlign w:val="center"/>
          </w:tcPr>
          <w:p>
            <w:pPr>
              <w:pStyle w:val="TableContents"/>
              <w:bidi w:val="0"/>
              <w:spacing w:before="0" w:after="0"/>
              <w:ind w:left="0" w:right="0" w:hanging="0"/>
              <w:jc w:val="left"/>
              <w:rPr/>
            </w:pPr>
            <w:r>
              <w:rPr/>
              <w:t>​</w:t>
            </w:r>
          </w:p>
        </w:tc>
      </w:tr>
      <w:tr>
        <w:trPr/>
        <w:tc>
          <w:tcPr>
            <w:tcW w:w="7156"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Total Liabilities, Convertible Preferred Shares and Shareholders' Equity (Deficit)</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1,085,848</w:t>
            </w:r>
          </w:p>
        </w:tc>
        <w:tc>
          <w:tcPr>
            <w:tcW w:w="346" w:type="dxa"/>
            <w:tcBorders/>
            <w:shd w:fill="CCEEFF" w:val="clear"/>
            <w:vAlign w:val="center"/>
          </w:tcPr>
          <w:p>
            <w:pPr>
              <w:pStyle w:val="TableContents"/>
              <w:bidi w:val="0"/>
              <w:spacing w:before="0" w:after="0"/>
              <w:ind w:left="0" w:right="0" w:hanging="0"/>
              <w:jc w:val="left"/>
              <w:rPr/>
            </w:pPr>
            <w:r>
              <w:rPr/>
              <w:t>​</w:t>
            </w:r>
          </w:p>
        </w:tc>
        <w:tc>
          <w:tcPr>
            <w:tcW w:w="2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1105" w:type="dxa"/>
            <w:tcBorders>
              <w:bottom w:val="double" w:sz="6" w:space="0" w:color="000000"/>
            </w:tcBorders>
            <w:shd w:fill="CCEEFF" w:val="clear"/>
            <w:tcMar>
              <w:bottom w:w="28" w:type="dxa"/>
            </w:tcMar>
            <w:vAlign w:val="center"/>
          </w:tcPr>
          <w:p>
            <w:pPr>
              <w:pStyle w:val="TableContents"/>
              <w:bidi w:val="0"/>
              <w:spacing w:before="0" w:after="0"/>
              <w:ind w:left="0" w:right="45" w:hanging="0"/>
              <w:jc w:val="right"/>
              <w:rPr>
                <w:rFonts w:ascii="Times New Roman;Times;serif" w:hAnsi="Times New Roman;Times;serif"/>
                <w:sz w:val="15"/>
              </w:rPr>
            </w:pPr>
            <w:r>
              <w:rPr>
                <w:rFonts w:ascii="Times New Roman;Times;serif" w:hAnsi="Times New Roman;Times;serif"/>
                <w:sz w:val="15"/>
              </w:rPr>
              <w:t>1,175,978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Westrock Coffee Company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tbl>
      <w:tblPr>
        <w:tblW w:w="9975" w:type="dxa"/>
        <w:jc w:val="left"/>
        <w:tblInd w:w="0" w:type="dxa"/>
        <w:tblLayout w:type="fixed"/>
        <w:tblCellMar>
          <w:top w:w="0" w:type="dxa"/>
          <w:left w:w="0" w:type="dxa"/>
          <w:bottom w:w="0" w:type="dxa"/>
          <w:right w:w="0" w:type="dxa"/>
        </w:tblCellMar>
      </w:tblPr>
      <w:tblGrid>
        <w:gridCol w:w="5116"/>
        <w:gridCol w:w="346"/>
        <w:gridCol w:w="200"/>
        <w:gridCol w:w="681"/>
        <w:gridCol w:w="382"/>
        <w:gridCol w:w="200"/>
        <w:gridCol w:w="681"/>
        <w:gridCol w:w="346"/>
        <w:gridCol w:w="184"/>
        <w:gridCol w:w="628"/>
        <w:gridCol w:w="353"/>
        <w:gridCol w:w="184"/>
        <w:gridCol w:w="674"/>
      </w:tblGrid>
      <w:tr>
        <w:trPr/>
        <w:tc>
          <w:tcPr>
            <w:tcW w:w="5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3248660" cy="175260"/>
                      <wp:effectExtent l="0" t="0" r="0" b="0"/>
                      <wp:wrapNone/>
                      <wp:docPr id="13" name="Frame13"/>
                      <a:graphic xmlns:a="http://schemas.openxmlformats.org/drawingml/2006/main">
                        <a:graphicData uri="http://schemas.microsoft.com/office/word/2010/wordprocessingShape">
                          <wps:wsp>
                            <wps:cNvSpPr txBox="1"/>
                            <wps:spPr>
                              <a:xfrm>
                                <a:off x="0" y="0"/>
                                <a:ext cx="3248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19710" cy="175260"/>
                      <wp:effectExtent l="0" t="0" r="0" b="0"/>
                      <wp:wrapNone/>
                      <wp:docPr id="14" name="Frame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27000" cy="175260"/>
                      <wp:effectExtent l="0" t="0" r="0" b="0"/>
                      <wp:wrapNone/>
                      <wp:docPr id="15" name="Frame15"/>
                      <a:graphic xmlns:a="http://schemas.openxmlformats.org/drawingml/2006/main">
                        <a:graphicData uri="http://schemas.microsoft.com/office/word/2010/wordprocessingShape">
                          <wps:wsp>
                            <wps:cNvSpPr txBox="1"/>
                            <wps:spPr>
                              <a:xfrm>
                                <a:off x="0" y="0"/>
                                <a:ext cx="127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432435" cy="175260"/>
                      <wp:effectExtent l="0" t="0" r="0" b="0"/>
                      <wp:wrapNone/>
                      <wp:docPr id="16" name="Frame16"/>
                      <a:graphic xmlns:a="http://schemas.openxmlformats.org/drawingml/2006/main">
                        <a:graphicData uri="http://schemas.microsoft.com/office/word/2010/wordprocessingShape">
                          <wps:wsp>
                            <wps:cNvSpPr txBox="1"/>
                            <wps:spPr>
                              <a:xfrm>
                                <a:off x="0" y="0"/>
                                <a:ext cx="432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42570" cy="175260"/>
                      <wp:effectExtent l="0" t="0" r="0" b="0"/>
                      <wp:wrapNone/>
                      <wp:docPr id="17" name="Frame17"/>
                      <a:graphic xmlns:a="http://schemas.openxmlformats.org/drawingml/2006/main">
                        <a:graphicData uri="http://schemas.microsoft.com/office/word/2010/wordprocessingShape">
                          <wps:wsp>
                            <wps:cNvSpPr txBox="1"/>
                            <wps:spPr>
                              <a:xfrm>
                                <a:off x="0" y="0"/>
                                <a:ext cx="242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27000" cy="175260"/>
                      <wp:effectExtent l="0" t="0" r="0" b="0"/>
                      <wp:wrapNone/>
                      <wp:docPr id="18" name="Frame18"/>
                      <a:graphic xmlns:a="http://schemas.openxmlformats.org/drawingml/2006/main">
                        <a:graphicData uri="http://schemas.microsoft.com/office/word/2010/wordprocessingShape">
                          <wps:wsp>
                            <wps:cNvSpPr txBox="1"/>
                            <wps:spPr>
                              <a:xfrm>
                                <a:off x="0" y="0"/>
                                <a:ext cx="127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432435" cy="175260"/>
                      <wp:effectExtent l="0" t="0" r="0" b="0"/>
                      <wp:wrapNone/>
                      <wp:docPr id="19" name="Frame19"/>
                      <a:graphic xmlns:a="http://schemas.openxmlformats.org/drawingml/2006/main">
                        <a:graphicData uri="http://schemas.microsoft.com/office/word/2010/wordprocessingShape">
                          <wps:wsp>
                            <wps:cNvSpPr txBox="1"/>
                            <wps:spPr>
                              <a:xfrm>
                                <a:off x="0" y="0"/>
                                <a:ext cx="432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19710" cy="175260"/>
                      <wp:effectExtent l="0" t="0" r="0" b="0"/>
                      <wp:wrapNone/>
                      <wp:docPr id="20" name="Frame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16840" cy="175260"/>
                      <wp:effectExtent l="0" t="0" r="0" b="0"/>
                      <wp:wrapNone/>
                      <wp:docPr id="21" name="Frame21"/>
                      <a:graphic xmlns:a="http://schemas.openxmlformats.org/drawingml/2006/main">
                        <a:graphicData uri="http://schemas.microsoft.com/office/word/2010/wordprocessingShape">
                          <wps:wsp>
                            <wps:cNvSpPr txBox="1"/>
                            <wps:spPr>
                              <a:xfrm>
                                <a:off x="0" y="0"/>
                                <a:ext cx="116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398780" cy="175260"/>
                      <wp:effectExtent l="0" t="0" r="0" b="0"/>
                      <wp:wrapNone/>
                      <wp:docPr id="22" name="Frame22"/>
                      <a:graphic xmlns:a="http://schemas.openxmlformats.org/drawingml/2006/main">
                        <a:graphicData uri="http://schemas.microsoft.com/office/word/2010/wordprocessingShape">
                          <wps:wsp>
                            <wps:cNvSpPr txBox="1"/>
                            <wps:spPr>
                              <a:xfrm>
                                <a:off x="0" y="0"/>
                                <a:ext cx="398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24155" cy="175260"/>
                      <wp:effectExtent l="0" t="0" r="0" b="0"/>
                      <wp:wrapNone/>
                      <wp:docPr id="23" name="Frame23"/>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16840" cy="175260"/>
                      <wp:effectExtent l="0" t="0" r="0" b="0"/>
                      <wp:wrapNone/>
                      <wp:docPr id="24" name="Frame24"/>
                      <a:graphic xmlns:a="http://schemas.openxmlformats.org/drawingml/2006/main">
                        <a:graphicData uri="http://schemas.microsoft.com/office/word/2010/wordprocessingShape">
                          <wps:wsp>
                            <wps:cNvSpPr txBox="1"/>
                            <wps:spPr>
                              <a:xfrm>
                                <a:off x="0" y="0"/>
                                <a:ext cx="116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427990" cy="175260"/>
                      <wp:effectExtent l="0" t="0" r="0" b="0"/>
                      <wp:wrapNone/>
                      <wp:docPr id="25" name="Frame25"/>
                      <a:graphic xmlns:a="http://schemas.openxmlformats.org/drawingml/2006/main">
                        <a:graphicData uri="http://schemas.microsoft.com/office/word/2010/wordprocessingShape">
                          <wps:wsp>
                            <wps:cNvSpPr txBox="1"/>
                            <wps:spPr>
                              <a:xfrm>
                                <a:off x="0" y="0"/>
                                <a:ext cx="427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4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Three Months Ended June 30, </w:t>
            </w:r>
          </w:p>
        </w:tc>
        <w:tc>
          <w:tcPr>
            <w:tcW w:w="346" w:type="dxa"/>
            <w:tcBorders/>
            <w:vAlign w:val="center"/>
          </w:tcPr>
          <w:p>
            <w:pPr>
              <w:pStyle w:val="TableContents"/>
              <w:bidi w:val="0"/>
              <w:spacing w:before="0" w:after="0"/>
              <w:ind w:left="0" w:right="0" w:hanging="0"/>
              <w:jc w:val="left"/>
              <w:rPr/>
            </w:pPr>
            <w:r>
              <w:rPr/>
              <w:t>​</w:t>
            </w:r>
          </w:p>
        </w:tc>
        <w:tc>
          <w:tcPr>
            <w:tcW w:w="202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Six Months Ended June 30, </w:t>
            </w:r>
          </w:p>
        </w:tc>
      </w:tr>
      <w:tr>
        <w:trPr/>
        <w:tc>
          <w:tcPr>
            <w:tcW w:w="51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(Thousands, except per share data)</w:t>
            </w:r>
          </w:p>
        </w:tc>
        <w:tc>
          <w:tcPr>
            <w:tcW w:w="346" w:type="dxa"/>
            <w:tcBorders/>
            <w:vAlign w:val="center"/>
          </w:tcPr>
          <w:p>
            <w:pPr>
              <w:pStyle w:val="TableContents"/>
              <w:bidi w:val="0"/>
              <w:spacing w:before="0" w:after="0"/>
              <w:ind w:left="0" w:right="0" w:hanging="0"/>
              <w:jc w:val="left"/>
              <w:rPr/>
            </w:pPr>
            <w:r>
              <w:rPr/>
              <w:t>  ​ ​ ​</w:t>
            </w:r>
          </w:p>
        </w:tc>
        <w:tc>
          <w:tcPr>
            <w:tcW w:w="8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2026</w:t>
            </w:r>
          </w:p>
        </w:tc>
        <w:tc>
          <w:tcPr>
            <w:tcW w:w="382" w:type="dxa"/>
            <w:tcBorders/>
            <w:vAlign w:val="center"/>
          </w:tcPr>
          <w:p>
            <w:pPr>
              <w:pStyle w:val="TableContents"/>
              <w:bidi w:val="0"/>
              <w:spacing w:before="0" w:after="0"/>
              <w:ind w:left="0" w:right="0" w:hanging="0"/>
              <w:jc w:val="left"/>
              <w:rPr/>
            </w:pPr>
            <w:r>
              <w:rPr/>
              <w:t>  ​ ​ ​</w:t>
            </w:r>
          </w:p>
        </w:tc>
        <w:tc>
          <w:tcPr>
            <w:tcW w:w="8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2025</w:t>
            </w:r>
          </w:p>
        </w:tc>
        <w:tc>
          <w:tcPr>
            <w:tcW w:w="346" w:type="dxa"/>
            <w:tcBorders/>
            <w:vAlign w:val="center"/>
          </w:tcPr>
          <w:p>
            <w:pPr>
              <w:pStyle w:val="TableContents"/>
              <w:bidi w:val="0"/>
              <w:spacing w:before="0" w:after="0"/>
              <w:ind w:left="0" w:right="0" w:hanging="0"/>
              <w:jc w:val="left"/>
              <w:rPr/>
            </w:pPr>
            <w:r>
              <w:rPr/>
              <w:t>  ​ ​ ​</w:t>
            </w:r>
          </w:p>
        </w:tc>
        <w:tc>
          <w:tcPr>
            <w:tcW w:w="8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2026</w:t>
            </w:r>
          </w:p>
        </w:tc>
        <w:tc>
          <w:tcPr>
            <w:tcW w:w="353" w:type="dxa"/>
            <w:tcBorders/>
            <w:vAlign w:val="center"/>
          </w:tcPr>
          <w:p>
            <w:pPr>
              <w:pStyle w:val="TableContents"/>
              <w:bidi w:val="0"/>
              <w:spacing w:before="0" w:after="0"/>
              <w:ind w:left="0" w:right="0" w:hanging="0"/>
              <w:jc w:val="left"/>
              <w:rPr/>
            </w:pPr>
            <w:r>
              <w:rPr/>
              <w:t>  ​ ​ ​</w:t>
            </w:r>
          </w:p>
        </w:tc>
        <w:tc>
          <w:tcPr>
            <w:tcW w:w="8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2025</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305,658</w:t>
            </w:r>
          </w:p>
        </w:tc>
        <w:tc>
          <w:tcPr>
            <w:tcW w:w="382"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280,859</w:t>
            </w:r>
          </w:p>
        </w:tc>
        <w:tc>
          <w:tcPr>
            <w:tcW w:w="346" w:type="dxa"/>
            <w:tcBorders/>
            <w:shd w:fill="CCEEFF" w:val="clear"/>
            <w:vAlign w:val="center"/>
          </w:tcPr>
          <w:p>
            <w:pPr>
              <w:pStyle w:val="TableContents"/>
              <w:bidi w:val="0"/>
              <w:spacing w:before="0" w:after="0"/>
              <w:ind w:left="0" w:right="0" w:hanging="0"/>
              <w:jc w:val="left"/>
              <w:rPr/>
            </w:pPr>
            <w:r>
              <w:rPr/>
              <w:t>​</w:t>
            </w:r>
          </w:p>
        </w:tc>
        <w:tc>
          <w:tcPr>
            <w:tcW w:w="184"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28"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614,483</w:t>
            </w:r>
          </w:p>
        </w:tc>
        <w:tc>
          <w:tcPr>
            <w:tcW w:w="353" w:type="dxa"/>
            <w:tcBorders/>
            <w:shd w:fill="CCEEFF" w:val="clear"/>
            <w:vAlign w:val="center"/>
          </w:tcPr>
          <w:p>
            <w:pPr>
              <w:pStyle w:val="TableContents"/>
              <w:bidi w:val="0"/>
              <w:spacing w:before="0" w:after="0"/>
              <w:ind w:left="0" w:right="0" w:hanging="0"/>
              <w:jc w:val="left"/>
              <w:rPr/>
            </w:pPr>
            <w:r>
              <w:rPr/>
              <w:t>​</w:t>
            </w:r>
          </w:p>
        </w:tc>
        <w:tc>
          <w:tcPr>
            <w:tcW w:w="184"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494,655</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Costs of sales</w:t>
            </w:r>
          </w:p>
        </w:tc>
        <w:tc>
          <w:tcPr>
            <w:tcW w:w="346" w:type="dxa"/>
            <w:tcBorders/>
            <w:vAlign w:val="center"/>
          </w:tcPr>
          <w:p>
            <w:pPr>
              <w:pStyle w:val="TableContents"/>
              <w:bidi w:val="0"/>
              <w:spacing w:before="0" w:after="0"/>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267,910</w:t>
            </w:r>
          </w:p>
        </w:tc>
        <w:tc>
          <w:tcPr>
            <w:tcW w:w="382" w:type="dxa"/>
            <w:tcBorders/>
            <w:vAlign w:val="center"/>
          </w:tcPr>
          <w:p>
            <w:pPr>
              <w:pStyle w:val="TableContents"/>
              <w:bidi w:val="0"/>
              <w:spacing w:before="0" w:after="0"/>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239,464</w:t>
            </w:r>
          </w:p>
        </w:tc>
        <w:tc>
          <w:tcPr>
            <w:tcW w:w="346" w:type="dxa"/>
            <w:tcBorders/>
            <w:vAlign w:val="center"/>
          </w:tcPr>
          <w:p>
            <w:pPr>
              <w:pStyle w:val="TableContents"/>
              <w:bidi w:val="0"/>
              <w:spacing w:before="0" w:after="0"/>
              <w:ind w:left="0" w:right="0" w:hanging="0"/>
              <w:jc w:val="left"/>
              <w:rPr/>
            </w:pPr>
            <w:r>
              <w:rPr/>
              <w:t>​</w:t>
            </w:r>
          </w:p>
        </w:tc>
        <w:tc>
          <w:tcPr>
            <w:tcW w:w="18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530,967</w:t>
            </w:r>
          </w:p>
        </w:tc>
        <w:tc>
          <w:tcPr>
            <w:tcW w:w="353" w:type="dxa"/>
            <w:tcBorders/>
            <w:vAlign w:val="center"/>
          </w:tcPr>
          <w:p>
            <w:pPr>
              <w:pStyle w:val="TableContents"/>
              <w:bidi w:val="0"/>
              <w:spacing w:before="0" w:after="0"/>
              <w:ind w:left="0" w:right="0" w:hanging="0"/>
              <w:jc w:val="left"/>
              <w:rPr/>
            </w:pPr>
            <w:r>
              <w:rPr/>
              <w:t>​</w:t>
            </w:r>
          </w:p>
        </w:tc>
        <w:tc>
          <w:tcPr>
            <w:tcW w:w="18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424,187</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37,748</w:t>
            </w:r>
          </w:p>
        </w:tc>
        <w:tc>
          <w:tcPr>
            <w:tcW w:w="382"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41,395</w:t>
            </w:r>
          </w:p>
        </w:tc>
        <w:tc>
          <w:tcPr>
            <w:tcW w:w="346" w:type="dxa"/>
            <w:tcBorders/>
            <w:shd w:fill="CCEEFF" w:val="clear"/>
            <w:vAlign w:val="center"/>
          </w:tcPr>
          <w:p>
            <w:pPr>
              <w:pStyle w:val="TableContents"/>
              <w:bidi w:val="0"/>
              <w:spacing w:before="0" w:after="0"/>
              <w:ind w:left="0" w:right="0" w:hanging="0"/>
              <w:jc w:val="left"/>
              <w:rPr/>
            </w:pPr>
            <w:r>
              <w:rPr/>
              <w:t>​</w:t>
            </w:r>
          </w:p>
        </w:tc>
        <w:tc>
          <w:tcPr>
            <w:tcW w:w="184" w:type="dxa"/>
            <w:tcBorders/>
            <w:shd w:fill="CCEEFF" w:val="clear"/>
            <w:vAlign w:val="center"/>
          </w:tcPr>
          <w:p>
            <w:pPr>
              <w:pStyle w:val="TableContents"/>
              <w:bidi w:val="0"/>
              <w:spacing w:before="0" w:after="0"/>
              <w:ind w:left="0" w:right="0" w:hanging="0"/>
              <w:jc w:val="left"/>
              <w:rPr/>
            </w:pPr>
            <w:r>
              <w:rPr/>
              <w:t>​</w:t>
            </w:r>
          </w:p>
        </w:tc>
        <w:tc>
          <w:tcPr>
            <w:tcW w:w="628"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83,516</w:t>
            </w:r>
          </w:p>
        </w:tc>
        <w:tc>
          <w:tcPr>
            <w:tcW w:w="353" w:type="dxa"/>
            <w:tcBorders/>
            <w:shd w:fill="CCEEFF" w:val="clear"/>
            <w:vAlign w:val="center"/>
          </w:tcPr>
          <w:p>
            <w:pPr>
              <w:pStyle w:val="TableContents"/>
              <w:bidi w:val="0"/>
              <w:spacing w:before="0" w:after="0"/>
              <w:ind w:left="0" w:right="0" w:hanging="0"/>
              <w:jc w:val="left"/>
              <w:rPr/>
            </w:pPr>
            <w:r>
              <w:rPr/>
              <w:t>​</w:t>
            </w:r>
          </w:p>
        </w:tc>
        <w:tc>
          <w:tcPr>
            <w:tcW w:w="184"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70,468</w:t>
            </w:r>
          </w:p>
        </w:tc>
      </w:tr>
      <w:tr>
        <w:trPr/>
        <w:tc>
          <w:tcPr>
            <w:tcW w:w="51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left"/>
              <w:rPr/>
            </w:pPr>
            <w:r>
              <w:rPr/>
              <w:t>​</w:t>
            </w:r>
          </w:p>
        </w:tc>
        <w:tc>
          <w:tcPr>
            <w:tcW w:w="382"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4" w:type="dxa"/>
            <w:tcBorders/>
            <w:vAlign w:val="center"/>
          </w:tcPr>
          <w:p>
            <w:pPr>
              <w:pStyle w:val="TableContents"/>
              <w:bidi w:val="0"/>
              <w:spacing w:before="0" w:after="0"/>
              <w:ind w:left="0" w:right="0" w:hanging="0"/>
              <w:jc w:val="left"/>
              <w:rPr/>
            </w:pPr>
            <w:r>
              <w:rPr/>
              <w:t>​</w:t>
            </w:r>
          </w:p>
        </w:tc>
        <w:tc>
          <w:tcPr>
            <w:tcW w:w="628"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w:t>
            </w:r>
          </w:p>
        </w:tc>
        <w:tc>
          <w:tcPr>
            <w:tcW w:w="184"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left"/>
              <w:rPr/>
            </w:pPr>
            <w:r>
              <w:rPr/>
              <w:t>​</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Selling, general and administrative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35,973</w:t>
            </w:r>
          </w:p>
        </w:tc>
        <w:tc>
          <w:tcPr>
            <w:tcW w:w="382"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53,931</w:t>
            </w:r>
          </w:p>
        </w:tc>
        <w:tc>
          <w:tcPr>
            <w:tcW w:w="346" w:type="dxa"/>
            <w:tcBorders/>
            <w:shd w:fill="CCEEFF" w:val="clear"/>
            <w:vAlign w:val="center"/>
          </w:tcPr>
          <w:p>
            <w:pPr>
              <w:pStyle w:val="TableContents"/>
              <w:bidi w:val="0"/>
              <w:spacing w:before="0" w:after="0"/>
              <w:ind w:left="0" w:right="0" w:hanging="0"/>
              <w:jc w:val="left"/>
              <w:rPr/>
            </w:pPr>
            <w:r>
              <w:rPr/>
              <w:t>​</w:t>
            </w:r>
          </w:p>
        </w:tc>
        <w:tc>
          <w:tcPr>
            <w:tcW w:w="184" w:type="dxa"/>
            <w:tcBorders/>
            <w:shd w:fill="CCEEFF" w:val="clear"/>
            <w:vAlign w:val="center"/>
          </w:tcPr>
          <w:p>
            <w:pPr>
              <w:pStyle w:val="TableContents"/>
              <w:bidi w:val="0"/>
              <w:spacing w:before="0" w:after="0"/>
              <w:ind w:left="0" w:right="0" w:hanging="0"/>
              <w:jc w:val="left"/>
              <w:rPr/>
            </w:pPr>
            <w:r>
              <w:rPr/>
              <w:t>​</w:t>
            </w:r>
          </w:p>
        </w:tc>
        <w:tc>
          <w:tcPr>
            <w:tcW w:w="628"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73,819</w:t>
            </w:r>
          </w:p>
        </w:tc>
        <w:tc>
          <w:tcPr>
            <w:tcW w:w="353" w:type="dxa"/>
            <w:tcBorders/>
            <w:shd w:fill="CCEEFF" w:val="clear"/>
            <w:vAlign w:val="center"/>
          </w:tcPr>
          <w:p>
            <w:pPr>
              <w:pStyle w:val="TableContents"/>
              <w:bidi w:val="0"/>
              <w:spacing w:before="0" w:after="0"/>
              <w:ind w:left="0" w:right="0" w:hanging="0"/>
              <w:jc w:val="left"/>
              <w:rPr/>
            </w:pPr>
            <w:r>
              <w:rPr/>
              <w:t>​</w:t>
            </w:r>
          </w:p>
        </w:tc>
        <w:tc>
          <w:tcPr>
            <w:tcW w:w="184"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94,275</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Transaction, restructuring and integration expense</w:t>
            </w:r>
          </w:p>
        </w:tc>
        <w:tc>
          <w:tcPr>
            <w:tcW w:w="34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3,168</w:t>
            </w:r>
          </w:p>
        </w:tc>
        <w:tc>
          <w:tcPr>
            <w:tcW w:w="382"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2,477</w:t>
            </w:r>
          </w:p>
        </w:tc>
        <w:tc>
          <w:tcPr>
            <w:tcW w:w="346" w:type="dxa"/>
            <w:tcBorders/>
            <w:vAlign w:val="center"/>
          </w:tcPr>
          <w:p>
            <w:pPr>
              <w:pStyle w:val="TableContents"/>
              <w:bidi w:val="0"/>
              <w:spacing w:before="0" w:after="0"/>
              <w:ind w:left="0" w:right="0" w:hanging="0"/>
              <w:jc w:val="left"/>
              <w:rPr/>
            </w:pPr>
            <w:r>
              <w:rPr/>
              <w:t>​</w:t>
            </w:r>
          </w:p>
        </w:tc>
        <w:tc>
          <w:tcPr>
            <w:tcW w:w="184" w:type="dxa"/>
            <w:tcBorders/>
            <w:vAlign w:val="center"/>
          </w:tcPr>
          <w:p>
            <w:pPr>
              <w:pStyle w:val="TableContents"/>
              <w:bidi w:val="0"/>
              <w:spacing w:before="0" w:after="0"/>
              <w:ind w:left="0" w:right="0" w:hanging="0"/>
              <w:jc w:val="left"/>
              <w:rPr/>
            </w:pPr>
            <w:r>
              <w:rPr/>
              <w:t>​</w:t>
            </w:r>
          </w:p>
        </w:tc>
        <w:tc>
          <w:tcPr>
            <w:tcW w:w="628"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6,836</w:t>
            </w:r>
          </w:p>
        </w:tc>
        <w:tc>
          <w:tcPr>
            <w:tcW w:w="353" w:type="dxa"/>
            <w:tcBorders/>
            <w:vAlign w:val="center"/>
          </w:tcPr>
          <w:p>
            <w:pPr>
              <w:pStyle w:val="TableContents"/>
              <w:bidi w:val="0"/>
              <w:spacing w:before="0" w:after="0"/>
              <w:ind w:left="0" w:right="0" w:hanging="0"/>
              <w:jc w:val="left"/>
              <w:rPr/>
            </w:pPr>
            <w:r>
              <w:rPr/>
              <w:t>​</w:t>
            </w:r>
          </w:p>
        </w:tc>
        <w:tc>
          <w:tcPr>
            <w:tcW w:w="184"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4,268</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Loss (gain) on disposal of property, plant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(43)</w:t>
            </w:r>
          </w:p>
        </w:tc>
        <w:tc>
          <w:tcPr>
            <w:tcW w:w="382" w:type="dxa"/>
            <w:tcBorders/>
            <w:shd w:fill="CCEEFF" w:val="clear"/>
            <w:vAlign w:val="center"/>
          </w:tcPr>
          <w:p>
            <w:pPr>
              <w:pStyle w:val="TableContents"/>
              <w:bidi w:val="0"/>
              <w:spacing w:before="0" w:after="0"/>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1,053</w:t>
            </w:r>
          </w:p>
        </w:tc>
        <w:tc>
          <w:tcPr>
            <w:tcW w:w="353" w:type="dxa"/>
            <w:tcBorders/>
            <w:shd w:fill="CCEEFF" w:val="clear"/>
            <w:vAlign w:val="center"/>
          </w:tcPr>
          <w:p>
            <w:pPr>
              <w:pStyle w:val="TableContents"/>
              <w:bidi w:val="0"/>
              <w:spacing w:before="0" w:after="0"/>
              <w:ind w:left="0" w:right="0" w:hanging="0"/>
              <w:jc w:val="left"/>
              <w:rPr/>
            </w:pPr>
            <w:r>
              <w:rPr/>
              <w:t>​</w:t>
            </w:r>
          </w:p>
        </w:tc>
        <w:tc>
          <w:tcPr>
            <w:tcW w:w="1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Total operating expenses</w:t>
            </w:r>
          </w:p>
        </w:tc>
        <w:tc>
          <w:tcPr>
            <w:tcW w:w="346" w:type="dxa"/>
            <w:tcBorders/>
            <w:vAlign w:val="center"/>
          </w:tcPr>
          <w:p>
            <w:pPr>
              <w:pStyle w:val="TableContents"/>
              <w:bidi w:val="0"/>
              <w:spacing w:before="0" w:after="0"/>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39,098</w:t>
            </w:r>
          </w:p>
        </w:tc>
        <w:tc>
          <w:tcPr>
            <w:tcW w:w="382" w:type="dxa"/>
            <w:tcBorders/>
            <w:vAlign w:val="center"/>
          </w:tcPr>
          <w:p>
            <w:pPr>
              <w:pStyle w:val="TableContents"/>
              <w:bidi w:val="0"/>
              <w:spacing w:before="0" w:after="0"/>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56,408</w:t>
            </w:r>
          </w:p>
        </w:tc>
        <w:tc>
          <w:tcPr>
            <w:tcW w:w="346" w:type="dxa"/>
            <w:tcBorders/>
            <w:vAlign w:val="center"/>
          </w:tcPr>
          <w:p>
            <w:pPr>
              <w:pStyle w:val="TableContents"/>
              <w:bidi w:val="0"/>
              <w:spacing w:before="0" w:after="0"/>
              <w:ind w:left="0" w:right="0" w:hanging="0"/>
              <w:jc w:val="left"/>
              <w:rPr/>
            </w:pPr>
            <w:r>
              <w:rPr/>
              <w:t>​</w:t>
            </w:r>
          </w:p>
        </w:tc>
        <w:tc>
          <w:tcPr>
            <w:tcW w:w="18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81,708</w:t>
            </w:r>
          </w:p>
        </w:tc>
        <w:tc>
          <w:tcPr>
            <w:tcW w:w="353" w:type="dxa"/>
            <w:tcBorders/>
            <w:vAlign w:val="center"/>
          </w:tcPr>
          <w:p>
            <w:pPr>
              <w:pStyle w:val="TableContents"/>
              <w:bidi w:val="0"/>
              <w:spacing w:before="0" w:after="0"/>
              <w:ind w:left="0" w:right="0" w:hanging="0"/>
              <w:jc w:val="left"/>
              <w:rPr/>
            </w:pPr>
            <w:r>
              <w:rPr/>
              <w:t>​</w:t>
            </w:r>
          </w:p>
        </w:tc>
        <w:tc>
          <w:tcPr>
            <w:tcW w:w="18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98,550</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Income (loss)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(1,350)</w:t>
            </w:r>
          </w:p>
        </w:tc>
        <w:tc>
          <w:tcPr>
            <w:tcW w:w="382"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(15,013)</w:t>
            </w:r>
          </w:p>
        </w:tc>
        <w:tc>
          <w:tcPr>
            <w:tcW w:w="346" w:type="dxa"/>
            <w:tcBorders/>
            <w:shd w:fill="CCEEFF" w:val="clear"/>
            <w:vAlign w:val="center"/>
          </w:tcPr>
          <w:p>
            <w:pPr>
              <w:pStyle w:val="TableContents"/>
              <w:bidi w:val="0"/>
              <w:spacing w:before="0" w:after="0"/>
              <w:ind w:left="0" w:right="0" w:hanging="0"/>
              <w:jc w:val="left"/>
              <w:rPr/>
            </w:pPr>
            <w:r>
              <w:rPr/>
              <w:t>​</w:t>
            </w:r>
          </w:p>
        </w:tc>
        <w:tc>
          <w:tcPr>
            <w:tcW w:w="184" w:type="dxa"/>
            <w:tcBorders/>
            <w:shd w:fill="CCEEFF" w:val="clear"/>
            <w:vAlign w:val="center"/>
          </w:tcPr>
          <w:p>
            <w:pPr>
              <w:pStyle w:val="TableContents"/>
              <w:bidi w:val="0"/>
              <w:spacing w:before="0" w:after="0"/>
              <w:ind w:left="0" w:right="0" w:hanging="0"/>
              <w:jc w:val="left"/>
              <w:rPr/>
            </w:pPr>
            <w:r>
              <w:rPr/>
              <w:t>​</w:t>
            </w:r>
          </w:p>
        </w:tc>
        <w:tc>
          <w:tcPr>
            <w:tcW w:w="628"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1,808</w:t>
            </w:r>
          </w:p>
        </w:tc>
        <w:tc>
          <w:tcPr>
            <w:tcW w:w="353" w:type="dxa"/>
            <w:tcBorders/>
            <w:shd w:fill="CCEEFF" w:val="clear"/>
            <w:vAlign w:val="center"/>
          </w:tcPr>
          <w:p>
            <w:pPr>
              <w:pStyle w:val="TableContents"/>
              <w:bidi w:val="0"/>
              <w:spacing w:before="0" w:after="0"/>
              <w:ind w:left="0" w:right="0" w:hanging="0"/>
              <w:jc w:val="left"/>
              <w:rPr/>
            </w:pPr>
            <w:r>
              <w:rPr/>
              <w:t>​</w:t>
            </w:r>
          </w:p>
        </w:tc>
        <w:tc>
          <w:tcPr>
            <w:tcW w:w="184"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(28,082)</w:t>
            </w:r>
          </w:p>
        </w:tc>
      </w:tr>
      <w:tr>
        <w:trPr/>
        <w:tc>
          <w:tcPr>
            <w:tcW w:w="51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left"/>
              <w:rPr/>
            </w:pPr>
            <w:r>
              <w:rPr/>
              <w:t>​</w:t>
            </w:r>
          </w:p>
        </w:tc>
        <w:tc>
          <w:tcPr>
            <w:tcW w:w="382"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4" w:type="dxa"/>
            <w:tcBorders/>
            <w:vAlign w:val="center"/>
          </w:tcPr>
          <w:p>
            <w:pPr>
              <w:pStyle w:val="TableContents"/>
              <w:bidi w:val="0"/>
              <w:spacing w:before="0" w:after="0"/>
              <w:ind w:left="0" w:right="0" w:hanging="0"/>
              <w:jc w:val="left"/>
              <w:rPr/>
            </w:pPr>
            <w:r>
              <w:rPr/>
              <w:t>​</w:t>
            </w:r>
          </w:p>
        </w:tc>
        <w:tc>
          <w:tcPr>
            <w:tcW w:w="628"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w:t>
            </w:r>
          </w:p>
        </w:tc>
        <w:tc>
          <w:tcPr>
            <w:tcW w:w="184"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left"/>
              <w:rPr/>
            </w:pPr>
            <w:r>
              <w:rPr/>
              <w:t>​</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Other (income)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left"/>
              <w:rPr/>
            </w:pPr>
            <w:r>
              <w:rPr/>
              <w:t>​</w:t>
            </w:r>
          </w:p>
        </w:tc>
        <w:tc>
          <w:tcPr>
            <w:tcW w:w="382"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4" w:type="dxa"/>
            <w:tcBorders/>
            <w:shd w:fill="CCEEFF" w:val="clear"/>
            <w:vAlign w:val="center"/>
          </w:tcPr>
          <w:p>
            <w:pPr>
              <w:pStyle w:val="TableContents"/>
              <w:bidi w:val="0"/>
              <w:spacing w:before="0" w:after="0"/>
              <w:ind w:left="0" w:right="0" w:hanging="0"/>
              <w:jc w:val="left"/>
              <w:rPr/>
            </w:pPr>
            <w:r>
              <w:rPr/>
              <w:t>​</w:t>
            </w:r>
          </w:p>
        </w:tc>
        <w:tc>
          <w:tcPr>
            <w:tcW w:w="628"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pPr>
            <w:r>
              <w:rPr/>
              <w:t>​</w:t>
            </w:r>
          </w:p>
        </w:tc>
        <w:tc>
          <w:tcPr>
            <w:tcW w:w="184"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left"/>
              <w:rPr/>
            </w:pPr>
            <w:r>
              <w:rPr/>
              <w:t>​</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Interest expense</w:t>
            </w:r>
          </w:p>
        </w:tc>
        <w:tc>
          <w:tcPr>
            <w:tcW w:w="34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12,990</w:t>
            </w:r>
          </w:p>
        </w:tc>
        <w:tc>
          <w:tcPr>
            <w:tcW w:w="382"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13,119</w:t>
            </w:r>
          </w:p>
        </w:tc>
        <w:tc>
          <w:tcPr>
            <w:tcW w:w="346" w:type="dxa"/>
            <w:tcBorders/>
            <w:vAlign w:val="center"/>
          </w:tcPr>
          <w:p>
            <w:pPr>
              <w:pStyle w:val="TableContents"/>
              <w:bidi w:val="0"/>
              <w:spacing w:before="0" w:after="0"/>
              <w:ind w:left="0" w:right="0" w:hanging="0"/>
              <w:jc w:val="left"/>
              <w:rPr/>
            </w:pPr>
            <w:r>
              <w:rPr/>
              <w:t>​</w:t>
            </w:r>
          </w:p>
        </w:tc>
        <w:tc>
          <w:tcPr>
            <w:tcW w:w="184" w:type="dxa"/>
            <w:tcBorders/>
            <w:vAlign w:val="center"/>
          </w:tcPr>
          <w:p>
            <w:pPr>
              <w:pStyle w:val="TableContents"/>
              <w:bidi w:val="0"/>
              <w:spacing w:before="0" w:after="0"/>
              <w:ind w:left="0" w:right="0" w:hanging="0"/>
              <w:jc w:val="left"/>
              <w:rPr/>
            </w:pPr>
            <w:r>
              <w:rPr/>
              <w:t>​</w:t>
            </w:r>
          </w:p>
        </w:tc>
        <w:tc>
          <w:tcPr>
            <w:tcW w:w="628"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26,517</w:t>
            </w:r>
          </w:p>
        </w:tc>
        <w:tc>
          <w:tcPr>
            <w:tcW w:w="353" w:type="dxa"/>
            <w:tcBorders/>
            <w:vAlign w:val="center"/>
          </w:tcPr>
          <w:p>
            <w:pPr>
              <w:pStyle w:val="TableContents"/>
              <w:bidi w:val="0"/>
              <w:spacing w:before="0" w:after="0"/>
              <w:ind w:left="0" w:right="0" w:hanging="0"/>
              <w:jc w:val="left"/>
              <w:rPr/>
            </w:pPr>
            <w:r>
              <w:rPr/>
              <w:t>​</w:t>
            </w:r>
          </w:p>
        </w:tc>
        <w:tc>
          <w:tcPr>
            <w:tcW w:w="184"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25,718</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Other, net</w:t>
            </w:r>
          </w:p>
        </w:tc>
        <w:tc>
          <w:tcPr>
            <w:tcW w:w="346" w:type="dxa"/>
            <w:tcBorders/>
            <w:shd w:fill="CCEEFF" w:val="clear"/>
            <w:vAlign w:val="center"/>
          </w:tcPr>
          <w:p>
            <w:pPr>
              <w:pStyle w:val="TableContents"/>
              <w:bidi w:val="0"/>
              <w:spacing w:before="0" w:after="0"/>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(117)</w:t>
            </w:r>
          </w:p>
        </w:tc>
        <w:tc>
          <w:tcPr>
            <w:tcW w:w="382" w:type="dxa"/>
            <w:tcBorders/>
            <w:shd w:fill="CCEEFF" w:val="clear"/>
            <w:vAlign w:val="center"/>
          </w:tcPr>
          <w:p>
            <w:pPr>
              <w:pStyle w:val="TableContents"/>
              <w:bidi w:val="0"/>
              <w:spacing w:before="0" w:after="0"/>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(2,692)</w:t>
            </w:r>
          </w:p>
        </w:tc>
        <w:tc>
          <w:tcPr>
            <w:tcW w:w="346" w:type="dxa"/>
            <w:tcBorders/>
            <w:shd w:fill="CCEEFF" w:val="clear"/>
            <w:vAlign w:val="center"/>
          </w:tcPr>
          <w:p>
            <w:pPr>
              <w:pStyle w:val="TableContents"/>
              <w:bidi w:val="0"/>
              <w:spacing w:before="0" w:after="0"/>
              <w:ind w:left="0" w:right="0" w:hanging="0"/>
              <w:jc w:val="left"/>
              <w:rPr/>
            </w:pPr>
            <w:r>
              <w:rPr/>
              <w:t>​</w:t>
            </w:r>
          </w:p>
        </w:tc>
        <w:tc>
          <w:tcPr>
            <w:tcW w:w="1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(606)</w:t>
            </w:r>
          </w:p>
        </w:tc>
        <w:tc>
          <w:tcPr>
            <w:tcW w:w="353" w:type="dxa"/>
            <w:tcBorders/>
            <w:shd w:fill="CCEEFF" w:val="clear"/>
            <w:vAlign w:val="center"/>
          </w:tcPr>
          <w:p>
            <w:pPr>
              <w:pStyle w:val="TableContents"/>
              <w:bidi w:val="0"/>
              <w:spacing w:before="0" w:after="0"/>
              <w:ind w:left="0" w:right="0" w:hanging="0"/>
              <w:jc w:val="left"/>
              <w:rPr/>
            </w:pPr>
            <w:r>
              <w:rPr/>
              <w:t>​</w:t>
            </w:r>
          </w:p>
        </w:tc>
        <w:tc>
          <w:tcPr>
            <w:tcW w:w="1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(2,970)</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Loss before income taxes and equity in earnings from unconsolidated entities</w:t>
            </w:r>
          </w:p>
        </w:tc>
        <w:tc>
          <w:tcPr>
            <w:tcW w:w="34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(14,223)</w:t>
            </w:r>
          </w:p>
        </w:tc>
        <w:tc>
          <w:tcPr>
            <w:tcW w:w="382"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(25,440)</w:t>
            </w:r>
          </w:p>
        </w:tc>
        <w:tc>
          <w:tcPr>
            <w:tcW w:w="346" w:type="dxa"/>
            <w:tcBorders/>
            <w:vAlign w:val="center"/>
          </w:tcPr>
          <w:p>
            <w:pPr>
              <w:pStyle w:val="TableContents"/>
              <w:bidi w:val="0"/>
              <w:spacing w:before="0" w:after="0"/>
              <w:ind w:left="0" w:right="0" w:hanging="0"/>
              <w:jc w:val="left"/>
              <w:rPr/>
            </w:pPr>
            <w:r>
              <w:rPr/>
              <w:t>​</w:t>
            </w:r>
          </w:p>
        </w:tc>
        <w:tc>
          <w:tcPr>
            <w:tcW w:w="184" w:type="dxa"/>
            <w:tcBorders/>
            <w:vAlign w:val="center"/>
          </w:tcPr>
          <w:p>
            <w:pPr>
              <w:pStyle w:val="TableContents"/>
              <w:bidi w:val="0"/>
              <w:spacing w:before="0" w:after="0"/>
              <w:ind w:left="0" w:right="0" w:hanging="0"/>
              <w:jc w:val="left"/>
              <w:rPr/>
            </w:pPr>
            <w:r>
              <w:rPr/>
              <w:t>​</w:t>
            </w:r>
          </w:p>
        </w:tc>
        <w:tc>
          <w:tcPr>
            <w:tcW w:w="628"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(24,103)</w:t>
            </w:r>
          </w:p>
        </w:tc>
        <w:tc>
          <w:tcPr>
            <w:tcW w:w="353" w:type="dxa"/>
            <w:tcBorders/>
            <w:vAlign w:val="center"/>
          </w:tcPr>
          <w:p>
            <w:pPr>
              <w:pStyle w:val="TableContents"/>
              <w:bidi w:val="0"/>
              <w:spacing w:before="0" w:after="0"/>
              <w:ind w:left="0" w:right="0" w:hanging="0"/>
              <w:jc w:val="left"/>
              <w:rPr/>
            </w:pPr>
            <w:r>
              <w:rPr/>
              <w:t>​</w:t>
            </w:r>
          </w:p>
        </w:tc>
        <w:tc>
          <w:tcPr>
            <w:tcW w:w="184"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(50,830)</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Income tax expense (benefit)</w:t>
            </w:r>
          </w:p>
        </w:tc>
        <w:tc>
          <w:tcPr>
            <w:tcW w:w="34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(400)</w:t>
            </w:r>
          </w:p>
        </w:tc>
        <w:tc>
          <w:tcPr>
            <w:tcW w:w="382"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(370)</w:t>
            </w:r>
          </w:p>
        </w:tc>
        <w:tc>
          <w:tcPr>
            <w:tcW w:w="346" w:type="dxa"/>
            <w:tcBorders/>
            <w:shd w:fill="CCEEFF" w:val="clear"/>
            <w:vAlign w:val="center"/>
          </w:tcPr>
          <w:p>
            <w:pPr>
              <w:pStyle w:val="TableContents"/>
              <w:bidi w:val="0"/>
              <w:spacing w:before="0" w:after="0"/>
              <w:ind w:left="0" w:right="0" w:hanging="0"/>
              <w:jc w:val="left"/>
              <w:rPr/>
            </w:pPr>
            <w:r>
              <w:rPr/>
              <w:t>​</w:t>
            </w:r>
          </w:p>
        </w:tc>
        <w:tc>
          <w:tcPr>
            <w:tcW w:w="184" w:type="dxa"/>
            <w:tcBorders/>
            <w:shd w:fill="CCEEFF" w:val="clear"/>
            <w:vAlign w:val="center"/>
          </w:tcPr>
          <w:p>
            <w:pPr>
              <w:pStyle w:val="TableContents"/>
              <w:bidi w:val="0"/>
              <w:spacing w:before="0" w:after="0"/>
              <w:ind w:left="0" w:right="0" w:hanging="0"/>
              <w:jc w:val="left"/>
              <w:rPr/>
            </w:pPr>
            <w:r>
              <w:rPr/>
              <w:t>​</w:t>
            </w:r>
          </w:p>
        </w:tc>
        <w:tc>
          <w:tcPr>
            <w:tcW w:w="628"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1,564</w:t>
            </w:r>
          </w:p>
        </w:tc>
        <w:tc>
          <w:tcPr>
            <w:tcW w:w="353" w:type="dxa"/>
            <w:tcBorders/>
            <w:shd w:fill="CCEEFF" w:val="clear"/>
            <w:vAlign w:val="center"/>
          </w:tcPr>
          <w:p>
            <w:pPr>
              <w:pStyle w:val="TableContents"/>
              <w:bidi w:val="0"/>
              <w:spacing w:before="0" w:after="0"/>
              <w:ind w:left="0" w:right="0" w:hanging="0"/>
              <w:jc w:val="left"/>
              <w:rPr/>
            </w:pPr>
            <w:r>
              <w:rPr/>
              <w:t>​</w:t>
            </w:r>
          </w:p>
        </w:tc>
        <w:tc>
          <w:tcPr>
            <w:tcW w:w="184"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1,458</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Equity in (earnings) loss from unconsolidated entities</w:t>
            </w:r>
          </w:p>
        </w:tc>
        <w:tc>
          <w:tcPr>
            <w:tcW w:w="346" w:type="dxa"/>
            <w:tcBorders/>
            <w:vAlign w:val="center"/>
          </w:tcPr>
          <w:p>
            <w:pPr>
              <w:pStyle w:val="TableContents"/>
              <w:bidi w:val="0"/>
              <w:spacing w:before="0" w:after="0"/>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(166)</w:t>
            </w:r>
          </w:p>
        </w:tc>
        <w:tc>
          <w:tcPr>
            <w:tcW w:w="382" w:type="dxa"/>
            <w:tcBorders/>
            <w:vAlign w:val="center"/>
          </w:tcPr>
          <w:p>
            <w:pPr>
              <w:pStyle w:val="TableContents"/>
              <w:bidi w:val="0"/>
              <w:spacing w:before="0" w:after="0"/>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(3,507)</w:t>
            </w:r>
          </w:p>
        </w:tc>
        <w:tc>
          <w:tcPr>
            <w:tcW w:w="346" w:type="dxa"/>
            <w:tcBorders/>
            <w:vAlign w:val="center"/>
          </w:tcPr>
          <w:p>
            <w:pPr>
              <w:pStyle w:val="TableContents"/>
              <w:bidi w:val="0"/>
              <w:spacing w:before="0" w:after="0"/>
              <w:ind w:left="0" w:right="0" w:hanging="0"/>
              <w:jc w:val="left"/>
              <w:rPr/>
            </w:pPr>
            <w:r>
              <w:rPr/>
              <w:t>​</w:t>
            </w:r>
          </w:p>
        </w:tc>
        <w:tc>
          <w:tcPr>
            <w:tcW w:w="18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(3,477)</w:t>
            </w:r>
          </w:p>
        </w:tc>
        <w:tc>
          <w:tcPr>
            <w:tcW w:w="353" w:type="dxa"/>
            <w:tcBorders/>
            <w:vAlign w:val="center"/>
          </w:tcPr>
          <w:p>
            <w:pPr>
              <w:pStyle w:val="TableContents"/>
              <w:bidi w:val="0"/>
              <w:spacing w:before="0" w:after="0"/>
              <w:ind w:left="0" w:right="0" w:hanging="0"/>
              <w:jc w:val="left"/>
              <w:rPr/>
            </w:pPr>
            <w:r>
              <w:rPr/>
              <w:t>​</w:t>
            </w:r>
          </w:p>
        </w:tc>
        <w:tc>
          <w:tcPr>
            <w:tcW w:w="18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(3,507)</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(13,657)</w:t>
            </w:r>
          </w:p>
        </w:tc>
        <w:tc>
          <w:tcPr>
            <w:tcW w:w="382"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(21,563)</w:t>
            </w:r>
          </w:p>
        </w:tc>
        <w:tc>
          <w:tcPr>
            <w:tcW w:w="346" w:type="dxa"/>
            <w:tcBorders/>
            <w:shd w:fill="CCEEFF" w:val="clear"/>
            <w:vAlign w:val="center"/>
          </w:tcPr>
          <w:p>
            <w:pPr>
              <w:pStyle w:val="TableContents"/>
              <w:bidi w:val="0"/>
              <w:spacing w:before="0" w:after="0"/>
              <w:ind w:left="0" w:right="0" w:hanging="0"/>
              <w:jc w:val="left"/>
              <w:rPr/>
            </w:pPr>
            <w:r>
              <w:rPr/>
              <w:t>​</w:t>
            </w:r>
          </w:p>
        </w:tc>
        <w:tc>
          <w:tcPr>
            <w:tcW w:w="184"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28"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(22,190)</w:t>
            </w:r>
          </w:p>
        </w:tc>
        <w:tc>
          <w:tcPr>
            <w:tcW w:w="353" w:type="dxa"/>
            <w:tcBorders/>
            <w:shd w:fill="CCEEFF" w:val="clear"/>
            <w:vAlign w:val="center"/>
          </w:tcPr>
          <w:p>
            <w:pPr>
              <w:pStyle w:val="TableContents"/>
              <w:bidi w:val="0"/>
              <w:spacing w:before="0" w:after="0"/>
              <w:ind w:left="0" w:right="0" w:hanging="0"/>
              <w:jc w:val="left"/>
              <w:rPr/>
            </w:pPr>
            <w:r>
              <w:rPr/>
              <w:t>​</w:t>
            </w:r>
          </w:p>
        </w:tc>
        <w:tc>
          <w:tcPr>
            <w:tcW w:w="184"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(48,781)</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Amortization (accretion) of Series A Convertible Preferred Shares</w:t>
            </w:r>
          </w:p>
        </w:tc>
        <w:tc>
          <w:tcPr>
            <w:tcW w:w="346" w:type="dxa"/>
            <w:tcBorders/>
            <w:vAlign w:val="center"/>
          </w:tcPr>
          <w:p>
            <w:pPr>
              <w:pStyle w:val="TableContents"/>
              <w:bidi w:val="0"/>
              <w:spacing w:before="0" w:after="0"/>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87</w:t>
            </w:r>
          </w:p>
        </w:tc>
        <w:tc>
          <w:tcPr>
            <w:tcW w:w="382" w:type="dxa"/>
            <w:tcBorders/>
            <w:vAlign w:val="center"/>
          </w:tcPr>
          <w:p>
            <w:pPr>
              <w:pStyle w:val="TableContents"/>
              <w:bidi w:val="0"/>
              <w:spacing w:before="0" w:after="0"/>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86</w:t>
            </w:r>
          </w:p>
        </w:tc>
        <w:tc>
          <w:tcPr>
            <w:tcW w:w="346" w:type="dxa"/>
            <w:tcBorders/>
            <w:vAlign w:val="center"/>
          </w:tcPr>
          <w:p>
            <w:pPr>
              <w:pStyle w:val="TableContents"/>
              <w:bidi w:val="0"/>
              <w:spacing w:before="0" w:after="0"/>
              <w:ind w:left="0" w:right="0" w:hanging="0"/>
              <w:jc w:val="left"/>
              <w:rPr/>
            </w:pPr>
            <w:r>
              <w:rPr/>
              <w:t>​</w:t>
            </w:r>
          </w:p>
        </w:tc>
        <w:tc>
          <w:tcPr>
            <w:tcW w:w="18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173</w:t>
            </w:r>
          </w:p>
        </w:tc>
        <w:tc>
          <w:tcPr>
            <w:tcW w:w="353" w:type="dxa"/>
            <w:tcBorders/>
            <w:vAlign w:val="center"/>
          </w:tcPr>
          <w:p>
            <w:pPr>
              <w:pStyle w:val="TableContents"/>
              <w:bidi w:val="0"/>
              <w:spacing w:before="0" w:after="0"/>
              <w:ind w:left="0" w:right="0" w:hanging="0"/>
              <w:jc w:val="left"/>
              <w:rPr/>
            </w:pPr>
            <w:r>
              <w:rPr/>
              <w:t>​</w:t>
            </w:r>
          </w:p>
        </w:tc>
        <w:tc>
          <w:tcPr>
            <w:tcW w:w="184" w:type="dxa"/>
            <w:tcBorders/>
            <w:vAlign w:val="center"/>
          </w:tcPr>
          <w:p>
            <w:pPr>
              <w:pStyle w:val="TableContents"/>
              <w:bidi w:val="0"/>
              <w:spacing w:before="0" w:after="0"/>
              <w:ind w:left="0" w:right="0" w:hanging="0"/>
              <w:jc w:val="left"/>
              <w:rPr/>
            </w:pPr>
            <w:r>
              <w:rPr/>
              <w:t>​</w:t>
            </w:r>
          </w:p>
        </w:tc>
        <w:tc>
          <w:tcPr>
            <w:tcW w:w="6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172</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Net loss attributable to common shareholders</w:t>
            </w:r>
          </w:p>
        </w:tc>
        <w:tc>
          <w:tcPr>
            <w:tcW w:w="346" w:type="dxa"/>
            <w:tcBorders/>
            <w:shd w:fill="CCEEFF" w:val="clear"/>
            <w:vAlign w:val="center"/>
          </w:tcPr>
          <w:p>
            <w:pPr>
              <w:pStyle w:val="TableContents"/>
              <w:bidi w:val="0"/>
              <w:spacing w:before="0" w:after="0"/>
              <w:ind w:left="0" w:right="0" w:hanging="0"/>
              <w:jc w:val="left"/>
              <w:rPr/>
            </w:pPr>
            <w:r>
              <w:rPr/>
              <w:t>​</w:t>
            </w:r>
          </w:p>
        </w:tc>
        <w:tc>
          <w:tcPr>
            <w:tcW w:w="2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(13,570)</w:t>
            </w:r>
          </w:p>
        </w:tc>
        <w:tc>
          <w:tcPr>
            <w:tcW w:w="382" w:type="dxa"/>
            <w:tcBorders/>
            <w:shd w:fill="CCEEFF" w:val="clear"/>
            <w:vAlign w:val="center"/>
          </w:tcPr>
          <w:p>
            <w:pPr>
              <w:pStyle w:val="TableContents"/>
              <w:bidi w:val="0"/>
              <w:spacing w:before="0" w:after="0"/>
              <w:ind w:left="0" w:right="0" w:hanging="0"/>
              <w:jc w:val="left"/>
              <w:rPr/>
            </w:pPr>
            <w:r>
              <w:rPr/>
              <w:t>​</w:t>
            </w:r>
          </w:p>
        </w:tc>
        <w:tc>
          <w:tcPr>
            <w:tcW w:w="2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(21,477)</w:t>
            </w:r>
          </w:p>
        </w:tc>
        <w:tc>
          <w:tcPr>
            <w:tcW w:w="346" w:type="dxa"/>
            <w:tcBorders/>
            <w:shd w:fill="CCEEFF" w:val="clear"/>
            <w:vAlign w:val="center"/>
          </w:tcPr>
          <w:p>
            <w:pPr>
              <w:pStyle w:val="TableContents"/>
              <w:bidi w:val="0"/>
              <w:spacing w:before="0" w:after="0"/>
              <w:ind w:left="0" w:right="0" w:hanging="0"/>
              <w:jc w:val="left"/>
              <w:rPr/>
            </w:pPr>
            <w:r>
              <w:rPr/>
              <w:t>​</w:t>
            </w:r>
          </w:p>
        </w:tc>
        <w:tc>
          <w:tcPr>
            <w:tcW w:w="18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2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(22,017)</w:t>
            </w:r>
          </w:p>
        </w:tc>
        <w:tc>
          <w:tcPr>
            <w:tcW w:w="353" w:type="dxa"/>
            <w:tcBorders/>
            <w:shd w:fill="CCEEFF" w:val="clear"/>
            <w:vAlign w:val="center"/>
          </w:tcPr>
          <w:p>
            <w:pPr>
              <w:pStyle w:val="TableContents"/>
              <w:bidi w:val="0"/>
              <w:spacing w:before="0" w:after="0"/>
              <w:ind w:left="0" w:right="0" w:hanging="0"/>
              <w:jc w:val="left"/>
              <w:rPr/>
            </w:pPr>
            <w:r>
              <w:rPr/>
              <w:t>​</w:t>
            </w:r>
          </w:p>
        </w:tc>
        <w:tc>
          <w:tcPr>
            <w:tcW w:w="18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(48,609)</w:t>
            </w:r>
          </w:p>
        </w:tc>
      </w:tr>
      <w:tr>
        <w:trPr/>
        <w:tc>
          <w:tcPr>
            <w:tcW w:w="51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left"/>
              <w:rPr/>
            </w:pPr>
            <w:r>
              <w:rPr/>
              <w:t>​</w:t>
            </w:r>
          </w:p>
        </w:tc>
        <w:tc>
          <w:tcPr>
            <w:tcW w:w="382"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4" w:type="dxa"/>
            <w:tcBorders/>
            <w:vAlign w:val="center"/>
          </w:tcPr>
          <w:p>
            <w:pPr>
              <w:pStyle w:val="TableContents"/>
              <w:bidi w:val="0"/>
              <w:spacing w:before="0" w:after="0"/>
              <w:ind w:left="0" w:right="0" w:hanging="0"/>
              <w:jc w:val="left"/>
              <w:rPr/>
            </w:pPr>
            <w:r>
              <w:rPr/>
              <w:t>​</w:t>
            </w:r>
          </w:p>
        </w:tc>
        <w:tc>
          <w:tcPr>
            <w:tcW w:w="628"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w:t>
            </w:r>
          </w:p>
        </w:tc>
        <w:tc>
          <w:tcPr>
            <w:tcW w:w="184"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left"/>
              <w:rPr/>
            </w:pPr>
            <w:r>
              <w:rPr/>
              <w:t>​</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(Loss) earnings per common share:</w:t>
            </w:r>
          </w:p>
        </w:tc>
        <w:tc>
          <w:tcPr>
            <w:tcW w:w="34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left"/>
              <w:rPr/>
            </w:pPr>
            <w:r>
              <w:rPr/>
              <w:t>​</w:t>
            </w:r>
          </w:p>
        </w:tc>
        <w:tc>
          <w:tcPr>
            <w:tcW w:w="382"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4" w:type="dxa"/>
            <w:tcBorders/>
            <w:shd w:fill="CCEEFF" w:val="clear"/>
            <w:vAlign w:val="center"/>
          </w:tcPr>
          <w:p>
            <w:pPr>
              <w:pStyle w:val="TableContents"/>
              <w:bidi w:val="0"/>
              <w:spacing w:before="0" w:after="0"/>
              <w:ind w:left="0" w:right="0" w:hanging="0"/>
              <w:jc w:val="left"/>
              <w:rPr/>
            </w:pPr>
            <w:r>
              <w:rPr/>
              <w:t>​</w:t>
            </w:r>
          </w:p>
        </w:tc>
        <w:tc>
          <w:tcPr>
            <w:tcW w:w="628"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pPr>
            <w:r>
              <w:rPr/>
              <w:t>​</w:t>
            </w:r>
          </w:p>
        </w:tc>
        <w:tc>
          <w:tcPr>
            <w:tcW w:w="184"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left"/>
              <w:rPr/>
            </w:pPr>
            <w:r>
              <w:rPr/>
              <w:t>​</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Basic</w:t>
            </w:r>
          </w:p>
        </w:tc>
        <w:tc>
          <w:tcPr>
            <w:tcW w:w="346" w:type="dxa"/>
            <w:tcBorders/>
            <w:vAlign w:val="center"/>
          </w:tcPr>
          <w:p>
            <w:pPr>
              <w:pStyle w:val="TableContents"/>
              <w:bidi w:val="0"/>
              <w:spacing w:before="0" w:after="0"/>
              <w:ind w:left="0" w:right="0" w:hanging="0"/>
              <w:jc w:val="left"/>
              <w:rPr/>
            </w:pPr>
            <w:r>
              <w:rPr/>
              <w:t>​</w:t>
            </w:r>
          </w:p>
        </w:tc>
        <w:tc>
          <w:tcPr>
            <w:tcW w:w="20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(0.14)</w:t>
            </w:r>
          </w:p>
        </w:tc>
        <w:tc>
          <w:tcPr>
            <w:tcW w:w="382" w:type="dxa"/>
            <w:tcBorders/>
            <w:vAlign w:val="center"/>
          </w:tcPr>
          <w:p>
            <w:pPr>
              <w:pStyle w:val="TableContents"/>
              <w:bidi w:val="0"/>
              <w:spacing w:before="0" w:after="0"/>
              <w:ind w:left="0" w:right="0" w:hanging="0"/>
              <w:jc w:val="left"/>
              <w:rPr/>
            </w:pPr>
            <w:r>
              <w:rPr/>
              <w:t>​</w:t>
            </w:r>
          </w:p>
        </w:tc>
        <w:tc>
          <w:tcPr>
            <w:tcW w:w="20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(0.23)</w:t>
            </w:r>
          </w:p>
        </w:tc>
        <w:tc>
          <w:tcPr>
            <w:tcW w:w="346" w:type="dxa"/>
            <w:tcBorders/>
            <w:vAlign w:val="center"/>
          </w:tcPr>
          <w:p>
            <w:pPr>
              <w:pStyle w:val="TableContents"/>
              <w:bidi w:val="0"/>
              <w:spacing w:before="0" w:after="0"/>
              <w:ind w:left="0" w:right="0" w:hanging="0"/>
              <w:jc w:val="left"/>
              <w:rPr/>
            </w:pPr>
            <w:r>
              <w:rPr/>
              <w:t>​</w:t>
            </w:r>
          </w:p>
        </w:tc>
        <w:tc>
          <w:tcPr>
            <w:tcW w:w="18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2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(0.23)</w:t>
            </w:r>
          </w:p>
        </w:tc>
        <w:tc>
          <w:tcPr>
            <w:tcW w:w="353" w:type="dxa"/>
            <w:tcBorders/>
            <w:vAlign w:val="center"/>
          </w:tcPr>
          <w:p>
            <w:pPr>
              <w:pStyle w:val="TableContents"/>
              <w:bidi w:val="0"/>
              <w:spacing w:before="0" w:after="0"/>
              <w:ind w:left="0" w:right="0" w:hanging="0"/>
              <w:jc w:val="left"/>
              <w:rPr/>
            </w:pPr>
            <w:r>
              <w:rPr/>
              <w:t>​</w:t>
            </w:r>
          </w:p>
        </w:tc>
        <w:tc>
          <w:tcPr>
            <w:tcW w:w="18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(0.51)</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Diluted</w:t>
            </w:r>
          </w:p>
        </w:tc>
        <w:tc>
          <w:tcPr>
            <w:tcW w:w="346" w:type="dxa"/>
            <w:tcBorders/>
            <w:shd w:fill="CCEEFF" w:val="clear"/>
            <w:vAlign w:val="center"/>
          </w:tcPr>
          <w:p>
            <w:pPr>
              <w:pStyle w:val="TableContents"/>
              <w:bidi w:val="0"/>
              <w:spacing w:before="0" w:after="0"/>
              <w:ind w:left="0" w:right="0" w:hanging="0"/>
              <w:jc w:val="left"/>
              <w:rPr/>
            </w:pPr>
            <w:r>
              <w:rPr/>
              <w:t>​</w:t>
            </w:r>
          </w:p>
        </w:tc>
        <w:tc>
          <w:tcPr>
            <w:tcW w:w="2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(0.14)</w:t>
            </w:r>
          </w:p>
        </w:tc>
        <w:tc>
          <w:tcPr>
            <w:tcW w:w="382" w:type="dxa"/>
            <w:tcBorders/>
            <w:shd w:fill="CCEEFF" w:val="clear"/>
            <w:vAlign w:val="center"/>
          </w:tcPr>
          <w:p>
            <w:pPr>
              <w:pStyle w:val="TableContents"/>
              <w:bidi w:val="0"/>
              <w:spacing w:before="0" w:after="0"/>
              <w:ind w:left="0" w:right="0" w:hanging="0"/>
              <w:jc w:val="left"/>
              <w:rPr/>
            </w:pPr>
            <w:r>
              <w:rPr/>
              <w:t>​</w:t>
            </w:r>
          </w:p>
        </w:tc>
        <w:tc>
          <w:tcPr>
            <w:tcW w:w="2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(0.23)</w:t>
            </w:r>
          </w:p>
        </w:tc>
        <w:tc>
          <w:tcPr>
            <w:tcW w:w="346" w:type="dxa"/>
            <w:tcBorders/>
            <w:shd w:fill="CCEEFF" w:val="clear"/>
            <w:vAlign w:val="center"/>
          </w:tcPr>
          <w:p>
            <w:pPr>
              <w:pStyle w:val="TableContents"/>
              <w:bidi w:val="0"/>
              <w:spacing w:before="0" w:after="0"/>
              <w:ind w:left="0" w:right="0" w:hanging="0"/>
              <w:jc w:val="left"/>
              <w:rPr/>
            </w:pPr>
            <w:r>
              <w:rPr/>
              <w:t>​</w:t>
            </w:r>
          </w:p>
        </w:tc>
        <w:tc>
          <w:tcPr>
            <w:tcW w:w="18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2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(0.23)</w:t>
            </w:r>
          </w:p>
        </w:tc>
        <w:tc>
          <w:tcPr>
            <w:tcW w:w="353" w:type="dxa"/>
            <w:tcBorders/>
            <w:shd w:fill="CCEEFF" w:val="clear"/>
            <w:vAlign w:val="center"/>
          </w:tcPr>
          <w:p>
            <w:pPr>
              <w:pStyle w:val="TableContents"/>
              <w:bidi w:val="0"/>
              <w:spacing w:before="0" w:after="0"/>
              <w:ind w:left="0" w:right="0" w:hanging="0"/>
              <w:jc w:val="left"/>
              <w:rPr/>
            </w:pPr>
            <w:r>
              <w:rPr/>
              <w:t>​</w:t>
            </w:r>
          </w:p>
        </w:tc>
        <w:tc>
          <w:tcPr>
            <w:tcW w:w="18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(0.51)</w:t>
            </w:r>
          </w:p>
        </w:tc>
      </w:tr>
      <w:tr>
        <w:trPr/>
        <w:tc>
          <w:tcPr>
            <w:tcW w:w="51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left"/>
              <w:rPr/>
            </w:pPr>
            <w:r>
              <w:rPr/>
              <w:t>​</w:t>
            </w:r>
          </w:p>
        </w:tc>
        <w:tc>
          <w:tcPr>
            <w:tcW w:w="382"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4" w:type="dxa"/>
            <w:tcBorders/>
            <w:vAlign w:val="center"/>
          </w:tcPr>
          <w:p>
            <w:pPr>
              <w:pStyle w:val="TableContents"/>
              <w:bidi w:val="0"/>
              <w:spacing w:before="0" w:after="0"/>
              <w:ind w:left="0" w:right="0" w:hanging="0"/>
              <w:jc w:val="left"/>
              <w:rPr/>
            </w:pPr>
            <w:r>
              <w:rPr/>
              <w:t>​</w:t>
            </w:r>
          </w:p>
        </w:tc>
        <w:tc>
          <w:tcPr>
            <w:tcW w:w="628"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w:t>
            </w:r>
          </w:p>
        </w:tc>
        <w:tc>
          <w:tcPr>
            <w:tcW w:w="184"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left"/>
              <w:rPr/>
            </w:pPr>
            <w:r>
              <w:rPr/>
              <w:t>​</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Weighted-average number of shares outstanding:</w:t>
            </w:r>
          </w:p>
        </w:tc>
        <w:tc>
          <w:tcPr>
            <w:tcW w:w="34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left"/>
              <w:rPr/>
            </w:pPr>
            <w:r>
              <w:rPr/>
              <w:t>​</w:t>
            </w:r>
          </w:p>
        </w:tc>
        <w:tc>
          <w:tcPr>
            <w:tcW w:w="382"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4" w:type="dxa"/>
            <w:tcBorders/>
            <w:shd w:fill="CCEEFF" w:val="clear"/>
            <w:vAlign w:val="center"/>
          </w:tcPr>
          <w:p>
            <w:pPr>
              <w:pStyle w:val="TableContents"/>
              <w:bidi w:val="0"/>
              <w:spacing w:before="0" w:after="0"/>
              <w:ind w:left="0" w:right="0" w:hanging="0"/>
              <w:jc w:val="left"/>
              <w:rPr/>
            </w:pPr>
            <w:r>
              <w:rPr/>
              <w:t>​</w:t>
            </w:r>
          </w:p>
        </w:tc>
        <w:tc>
          <w:tcPr>
            <w:tcW w:w="628"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pPr>
            <w:r>
              <w:rPr/>
              <w:t>​</w:t>
            </w:r>
          </w:p>
        </w:tc>
        <w:tc>
          <w:tcPr>
            <w:tcW w:w="184"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left"/>
              <w:rPr/>
            </w:pPr>
            <w:r>
              <w:rPr/>
              <w:t>​</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Basic</w:t>
            </w:r>
          </w:p>
        </w:tc>
        <w:tc>
          <w:tcPr>
            <w:tcW w:w="346" w:type="dxa"/>
            <w:tcBorders/>
            <w:vAlign w:val="center"/>
          </w:tcPr>
          <w:p>
            <w:pPr>
              <w:pStyle w:val="TableContents"/>
              <w:bidi w:val="0"/>
              <w:spacing w:before="0" w:after="0"/>
              <w:ind w:left="0" w:right="0" w:hanging="0"/>
              <w:jc w:val="left"/>
              <w:rPr/>
            </w:pPr>
            <w:r>
              <w:rPr/>
              <w:t>​</w:t>
            </w:r>
          </w:p>
        </w:tc>
        <w:tc>
          <w:tcPr>
            <w:tcW w:w="200"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6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97,579</w:t>
            </w:r>
          </w:p>
        </w:tc>
        <w:tc>
          <w:tcPr>
            <w:tcW w:w="382" w:type="dxa"/>
            <w:tcBorders/>
            <w:vAlign w:val="center"/>
          </w:tcPr>
          <w:p>
            <w:pPr>
              <w:pStyle w:val="TableContents"/>
              <w:bidi w:val="0"/>
              <w:spacing w:before="0" w:after="0"/>
              <w:ind w:left="0" w:right="0" w:hanging="0"/>
              <w:jc w:val="left"/>
              <w:rPr/>
            </w:pPr>
            <w:r>
              <w:rPr/>
              <w:t>​</w:t>
            </w:r>
          </w:p>
        </w:tc>
        <w:tc>
          <w:tcPr>
            <w:tcW w:w="200"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6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94,661</w:t>
            </w:r>
          </w:p>
        </w:tc>
        <w:tc>
          <w:tcPr>
            <w:tcW w:w="346" w:type="dxa"/>
            <w:tcBorders/>
            <w:vAlign w:val="center"/>
          </w:tcPr>
          <w:p>
            <w:pPr>
              <w:pStyle w:val="TableContents"/>
              <w:bidi w:val="0"/>
              <w:spacing w:before="0" w:after="0"/>
              <w:ind w:left="0" w:right="0" w:hanging="0"/>
              <w:jc w:val="left"/>
              <w:rPr/>
            </w:pPr>
            <w:r>
              <w:rPr/>
              <w:t>​</w:t>
            </w:r>
          </w:p>
        </w:tc>
        <w:tc>
          <w:tcPr>
            <w:tcW w:w="184"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62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97,298</w:t>
            </w:r>
          </w:p>
        </w:tc>
        <w:tc>
          <w:tcPr>
            <w:tcW w:w="353" w:type="dxa"/>
            <w:tcBorders/>
            <w:vAlign w:val="center"/>
          </w:tcPr>
          <w:p>
            <w:pPr>
              <w:pStyle w:val="TableContents"/>
              <w:bidi w:val="0"/>
              <w:spacing w:before="0" w:after="0"/>
              <w:ind w:left="0" w:right="0" w:hanging="0"/>
              <w:jc w:val="left"/>
              <w:rPr/>
            </w:pPr>
            <w:r>
              <w:rPr/>
              <w:t>​</w:t>
            </w:r>
          </w:p>
        </w:tc>
        <w:tc>
          <w:tcPr>
            <w:tcW w:w="184"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6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94,480</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Diluted</w:t>
            </w:r>
          </w:p>
        </w:tc>
        <w:tc>
          <w:tcPr>
            <w:tcW w:w="346" w:type="dxa"/>
            <w:tcBorders/>
            <w:shd w:fill="CCEEFF" w:val="clear"/>
            <w:vAlign w:val="center"/>
          </w:tcPr>
          <w:p>
            <w:pPr>
              <w:pStyle w:val="TableContents"/>
              <w:bidi w:val="0"/>
              <w:spacing w:before="0" w:after="0"/>
              <w:ind w:left="0" w:right="0" w:hanging="0"/>
              <w:jc w:val="left"/>
              <w:rPr/>
            </w:pPr>
            <w:r>
              <w:rPr/>
              <w:t>​</w:t>
            </w:r>
          </w:p>
        </w:tc>
        <w:tc>
          <w:tcPr>
            <w:tcW w:w="2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97,579</w:t>
            </w:r>
          </w:p>
        </w:tc>
        <w:tc>
          <w:tcPr>
            <w:tcW w:w="382" w:type="dxa"/>
            <w:tcBorders/>
            <w:shd w:fill="CCEEFF" w:val="clear"/>
            <w:vAlign w:val="center"/>
          </w:tcPr>
          <w:p>
            <w:pPr>
              <w:pStyle w:val="TableContents"/>
              <w:bidi w:val="0"/>
              <w:spacing w:before="0" w:after="0"/>
              <w:ind w:left="0" w:right="0" w:hanging="0"/>
              <w:jc w:val="left"/>
              <w:rPr/>
            </w:pPr>
            <w:r>
              <w:rPr/>
              <w:t>​</w:t>
            </w:r>
          </w:p>
        </w:tc>
        <w:tc>
          <w:tcPr>
            <w:tcW w:w="2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94,661</w:t>
            </w:r>
          </w:p>
        </w:tc>
        <w:tc>
          <w:tcPr>
            <w:tcW w:w="346" w:type="dxa"/>
            <w:tcBorders/>
            <w:shd w:fill="CCEEFF" w:val="clear"/>
            <w:vAlign w:val="center"/>
          </w:tcPr>
          <w:p>
            <w:pPr>
              <w:pStyle w:val="TableContents"/>
              <w:bidi w:val="0"/>
              <w:spacing w:before="0" w:after="0"/>
              <w:ind w:left="0" w:right="0" w:hanging="0"/>
              <w:jc w:val="left"/>
              <w:rPr/>
            </w:pPr>
            <w:r>
              <w:rPr/>
              <w:t>​</w:t>
            </w:r>
          </w:p>
        </w:tc>
        <w:tc>
          <w:tcPr>
            <w:tcW w:w="18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97,298</w:t>
            </w:r>
          </w:p>
        </w:tc>
        <w:tc>
          <w:tcPr>
            <w:tcW w:w="353" w:type="dxa"/>
            <w:tcBorders/>
            <w:shd w:fill="CCEEFF" w:val="clear"/>
            <w:vAlign w:val="center"/>
          </w:tcPr>
          <w:p>
            <w:pPr>
              <w:pStyle w:val="TableContents"/>
              <w:bidi w:val="0"/>
              <w:spacing w:before="0" w:after="0"/>
              <w:ind w:left="0" w:right="0" w:hanging="0"/>
              <w:jc w:val="left"/>
              <w:rPr/>
            </w:pPr>
            <w:r>
              <w:rPr/>
              <w:t>​</w:t>
            </w:r>
          </w:p>
        </w:tc>
        <w:tc>
          <w:tcPr>
            <w:tcW w:w="18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4" w:type="dxa"/>
            <w:tcBorders>
              <w:bottom w:val="double" w:sz="6" w:space="0" w:color="000000"/>
            </w:tcBorders>
            <w:shd w:fill="CCEEFF" w:val="clear"/>
            <w:tcMar>
              <w:bottom w:w="28" w:type="dxa"/>
            </w:tcMar>
            <w:vAlign w:val="center"/>
          </w:tcPr>
          <w:p>
            <w:pPr>
              <w:pStyle w:val="TableContents"/>
              <w:bidi w:val="0"/>
              <w:spacing w:before="0" w:after="0"/>
              <w:ind w:left="0" w:right="45" w:hanging="0"/>
              <w:jc w:val="right"/>
              <w:rPr>
                <w:rFonts w:ascii="Times New Roman;Times;serif" w:hAnsi="Times New Roman;Times;serif"/>
                <w:sz w:val="15"/>
              </w:rPr>
            </w:pPr>
            <w:r>
              <w:rPr>
                <w:rFonts w:ascii="Times New Roman;Times;serif" w:hAnsi="Times New Roman;Times;serif"/>
                <w:sz w:val="15"/>
              </w:rPr>
              <w:t>94,480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Westrock Coffee Company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tbl>
      <w:tblPr>
        <w:tblW w:w="8670" w:type="dxa"/>
        <w:jc w:val="left"/>
        <w:tblInd w:w="0" w:type="dxa"/>
        <w:tblLayout w:type="fixed"/>
        <w:tblCellMar>
          <w:top w:w="0" w:type="dxa"/>
          <w:left w:w="0" w:type="dxa"/>
          <w:bottom w:w="0" w:type="dxa"/>
          <w:right w:w="0" w:type="dxa"/>
        </w:tblCellMar>
      </w:tblPr>
      <w:tblGrid>
        <w:gridCol w:w="6301"/>
        <w:gridCol w:w="346"/>
        <w:gridCol w:w="184"/>
        <w:gridCol w:w="628"/>
        <w:gridCol w:w="353"/>
        <w:gridCol w:w="184"/>
        <w:gridCol w:w="674"/>
      </w:tblGrid>
      <w:tr>
        <w:trPr/>
        <w:tc>
          <w:tcPr>
            <w:tcW w:w="6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4001135" cy="175260"/>
                      <wp:effectExtent l="0" t="0" r="0" b="0"/>
                      <wp:wrapNone/>
                      <wp:docPr id="26" name="Frame26"/>
                      <a:graphic xmlns:a="http://schemas.openxmlformats.org/drawingml/2006/main">
                        <a:graphicData uri="http://schemas.microsoft.com/office/word/2010/wordprocessingShape">
                          <wps:wsp>
                            <wps:cNvSpPr txBox="1"/>
                            <wps:spPr>
                              <a:xfrm>
                                <a:off x="0" y="0"/>
                                <a:ext cx="400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19710" cy="175260"/>
                      <wp:effectExtent l="0" t="0" r="0" b="0"/>
                      <wp:wrapNone/>
                      <wp:docPr id="27" name="Frame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16840" cy="175260"/>
                      <wp:effectExtent l="0" t="0" r="0" b="0"/>
                      <wp:wrapNone/>
                      <wp:docPr id="28" name="Frame28"/>
                      <a:graphic xmlns:a="http://schemas.openxmlformats.org/drawingml/2006/main">
                        <a:graphicData uri="http://schemas.microsoft.com/office/word/2010/wordprocessingShape">
                          <wps:wsp>
                            <wps:cNvSpPr txBox="1"/>
                            <wps:spPr>
                              <a:xfrm>
                                <a:off x="0" y="0"/>
                                <a:ext cx="116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398780" cy="175260"/>
                      <wp:effectExtent l="0" t="0" r="0" b="0"/>
                      <wp:wrapNone/>
                      <wp:docPr id="29" name="Frame29"/>
                      <a:graphic xmlns:a="http://schemas.openxmlformats.org/drawingml/2006/main">
                        <a:graphicData uri="http://schemas.microsoft.com/office/word/2010/wordprocessingShape">
                          <wps:wsp>
                            <wps:cNvSpPr txBox="1"/>
                            <wps:spPr>
                              <a:xfrm>
                                <a:off x="0" y="0"/>
                                <a:ext cx="398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24155" cy="175260"/>
                      <wp:effectExtent l="0" t="0" r="0" b="0"/>
                      <wp:wrapNone/>
                      <wp:docPr id="30" name="Frame30"/>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16840" cy="175260"/>
                      <wp:effectExtent l="0" t="0" r="0" b="0"/>
                      <wp:wrapNone/>
                      <wp:docPr id="31" name="Frame31"/>
                      <a:graphic xmlns:a="http://schemas.openxmlformats.org/drawingml/2006/main">
                        <a:graphicData uri="http://schemas.microsoft.com/office/word/2010/wordprocessingShape">
                          <wps:wsp>
                            <wps:cNvSpPr txBox="1"/>
                            <wps:spPr>
                              <a:xfrm>
                                <a:off x="0" y="0"/>
                                <a:ext cx="116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427990" cy="175260"/>
                      <wp:effectExtent l="0" t="0" r="0" b="0"/>
                      <wp:wrapNone/>
                      <wp:docPr id="32" name="Frame32"/>
                      <a:graphic xmlns:a="http://schemas.openxmlformats.org/drawingml/2006/main">
                        <a:graphicData uri="http://schemas.microsoft.com/office/word/2010/wordprocessingShape">
                          <wps:wsp>
                            <wps:cNvSpPr txBox="1"/>
                            <wps:spPr>
                              <a:xfrm>
                                <a:off x="0" y="0"/>
                                <a:ext cx="427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2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Six Months Ended June 30, </w:t>
            </w:r>
          </w:p>
        </w:tc>
      </w:tr>
      <w:tr>
        <w:trPr/>
        <w:tc>
          <w:tcPr>
            <w:tcW w:w="63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(Thousands)</w:t>
            </w:r>
          </w:p>
        </w:tc>
        <w:tc>
          <w:tcPr>
            <w:tcW w:w="346" w:type="dxa"/>
            <w:tcBorders/>
            <w:vAlign w:val="center"/>
          </w:tcPr>
          <w:p>
            <w:pPr>
              <w:pStyle w:val="TableContents"/>
              <w:bidi w:val="0"/>
              <w:spacing w:before="0" w:after="0"/>
              <w:ind w:left="0" w:right="0" w:hanging="0"/>
              <w:jc w:val="left"/>
              <w:rPr/>
            </w:pPr>
            <w:r>
              <w:rPr/>
              <w:t>  ​ ​ ​</w:t>
            </w:r>
          </w:p>
        </w:tc>
        <w:tc>
          <w:tcPr>
            <w:tcW w:w="8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2026</w:t>
            </w:r>
          </w:p>
        </w:tc>
        <w:tc>
          <w:tcPr>
            <w:tcW w:w="353" w:type="dxa"/>
            <w:tcBorders/>
            <w:vAlign w:val="center"/>
          </w:tcPr>
          <w:p>
            <w:pPr>
              <w:pStyle w:val="TableContents"/>
              <w:bidi w:val="0"/>
              <w:spacing w:before="0" w:after="0"/>
              <w:ind w:left="0" w:right="0" w:hanging="0"/>
              <w:jc w:val="left"/>
              <w:rPr/>
            </w:pPr>
            <w:r>
              <w:rPr/>
              <w:t>  ​ ​ ​</w:t>
            </w:r>
          </w:p>
        </w:tc>
        <w:tc>
          <w:tcPr>
            <w:tcW w:w="8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2025</w:t>
            </w:r>
          </w:p>
        </w:tc>
      </w:tr>
      <w:tr>
        <w:trPr/>
        <w:tc>
          <w:tcPr>
            <w:tcW w:w="6301"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84" w:type="dxa"/>
            <w:tcBorders/>
            <w:shd w:fill="CCEEFF" w:val="clear"/>
            <w:vAlign w:val="center"/>
          </w:tcPr>
          <w:p>
            <w:pPr>
              <w:pStyle w:val="TableContents"/>
              <w:bidi w:val="0"/>
              <w:spacing w:before="0" w:after="0"/>
              <w:ind w:left="0" w:right="0" w:hanging="0"/>
              <w:jc w:val="left"/>
              <w:rPr/>
            </w:pPr>
            <w:r>
              <w:rPr/>
              <w:t>​</w:t>
            </w:r>
          </w:p>
        </w:tc>
        <w:tc>
          <w:tcPr>
            <w:tcW w:w="628"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pPr>
            <w:r>
              <w:rPr/>
              <w:t>​</w:t>
            </w:r>
          </w:p>
        </w:tc>
        <w:tc>
          <w:tcPr>
            <w:tcW w:w="184"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left"/>
              <w:rPr/>
            </w:pPr>
            <w:r>
              <w:rPr/>
              <w:t>​</w:t>
            </w:r>
          </w:p>
        </w:tc>
      </w:tr>
      <w:tr>
        <w:trPr/>
        <w:tc>
          <w:tcPr>
            <w:tcW w:w="630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loss</w:t>
            </w:r>
          </w:p>
        </w:tc>
        <w:tc>
          <w:tcPr>
            <w:tcW w:w="346" w:type="dxa"/>
            <w:tcBorders/>
            <w:vAlign w:val="center"/>
          </w:tcPr>
          <w:p>
            <w:pPr>
              <w:pStyle w:val="TableContents"/>
              <w:bidi w:val="0"/>
              <w:spacing w:before="0" w:after="0"/>
              <w:ind w:left="0" w:right="0" w:hanging="0"/>
              <w:jc w:val="left"/>
              <w:rPr/>
            </w:pPr>
            <w:r>
              <w:rPr/>
              <w:t>​</w:t>
            </w:r>
          </w:p>
        </w:tc>
        <w:tc>
          <w:tcPr>
            <w:tcW w:w="184"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28"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(22,190)</w:t>
            </w:r>
          </w:p>
        </w:tc>
        <w:tc>
          <w:tcPr>
            <w:tcW w:w="353" w:type="dxa"/>
            <w:tcBorders/>
            <w:vAlign w:val="center"/>
          </w:tcPr>
          <w:p>
            <w:pPr>
              <w:pStyle w:val="TableContents"/>
              <w:bidi w:val="0"/>
              <w:spacing w:before="0" w:after="0"/>
              <w:ind w:left="0" w:right="0" w:hanging="0"/>
              <w:jc w:val="left"/>
              <w:rPr/>
            </w:pPr>
            <w:r>
              <w:rPr/>
              <w:t>​</w:t>
            </w:r>
          </w:p>
        </w:tc>
        <w:tc>
          <w:tcPr>
            <w:tcW w:w="184"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(48,781)</w:t>
            </w:r>
          </w:p>
        </w:tc>
      </w:tr>
      <w:tr>
        <w:trPr/>
        <w:tc>
          <w:tcPr>
            <w:tcW w:w="6301" w:type="dxa"/>
            <w:tcBorders/>
            <w:shd w:fill="CCEEFF" w:val="clear"/>
            <w:vAlign w:val="center"/>
          </w:tcPr>
          <w:p>
            <w:pPr>
              <w:pStyle w:val="TableContents"/>
              <w:bidi w:val="0"/>
              <w:spacing w:before="0" w:after="0"/>
              <w:ind w:left="0" w:right="0" w:hanging="0"/>
              <w:jc w:val="left"/>
              <w:rPr>
                <w:rFonts w:ascii="Times New Roman;Times;serif" w:hAnsi="Times New Roman;Times;serif"/>
                <w:i/>
                <w:sz w:val="15"/>
              </w:rPr>
            </w:pPr>
            <w:r>
              <w:rPr>
                <w:rFonts w:ascii="Times New Roman;Times;serif" w:hAnsi="Times New Roman;Times;serif"/>
                <w:i/>
                <w:sz w:val="15"/>
              </w:rPr>
              <w:t xml:space="preserve">Adjustments to reconcile net loss to net cash provided by (used in) operating activities: </w:t>
            </w:r>
          </w:p>
        </w:tc>
        <w:tc>
          <w:tcPr>
            <w:tcW w:w="346" w:type="dxa"/>
            <w:tcBorders/>
            <w:shd w:fill="CCEEFF" w:val="clear"/>
            <w:vAlign w:val="center"/>
          </w:tcPr>
          <w:p>
            <w:pPr>
              <w:pStyle w:val="TableContents"/>
              <w:bidi w:val="0"/>
              <w:spacing w:before="0" w:after="0"/>
              <w:ind w:left="0" w:right="0" w:hanging="0"/>
              <w:jc w:val="left"/>
              <w:rPr/>
            </w:pPr>
            <w:r>
              <w:rPr/>
              <w:t>​</w:t>
            </w:r>
          </w:p>
        </w:tc>
        <w:tc>
          <w:tcPr>
            <w:tcW w:w="184" w:type="dxa"/>
            <w:tcBorders/>
            <w:shd w:fill="CCEEFF" w:val="clear"/>
            <w:vAlign w:val="center"/>
          </w:tcPr>
          <w:p>
            <w:pPr>
              <w:pStyle w:val="TableContents"/>
              <w:bidi w:val="0"/>
              <w:spacing w:before="0" w:after="0"/>
              <w:ind w:left="0" w:right="0" w:hanging="0"/>
              <w:jc w:val="left"/>
              <w:rPr/>
            </w:pPr>
            <w:r>
              <w:rPr/>
              <w:t>​</w:t>
            </w:r>
          </w:p>
        </w:tc>
        <w:tc>
          <w:tcPr>
            <w:tcW w:w="628"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pPr>
            <w:r>
              <w:rPr/>
              <w:t>​</w:t>
            </w:r>
          </w:p>
        </w:tc>
        <w:tc>
          <w:tcPr>
            <w:tcW w:w="184"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left"/>
              <w:rPr/>
            </w:pPr>
            <w:r>
              <w:rPr/>
              <w:t>​</w:t>
            </w:r>
          </w:p>
        </w:tc>
      </w:tr>
      <w:tr>
        <w:trPr/>
        <w:tc>
          <w:tcPr>
            <w:tcW w:w="630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184" w:type="dxa"/>
            <w:tcBorders/>
            <w:vAlign w:val="center"/>
          </w:tcPr>
          <w:p>
            <w:pPr>
              <w:pStyle w:val="TableContents"/>
              <w:bidi w:val="0"/>
              <w:spacing w:before="0" w:after="0"/>
              <w:ind w:left="0" w:right="0" w:hanging="0"/>
              <w:jc w:val="left"/>
              <w:rPr/>
            </w:pPr>
            <w:r>
              <w:rPr/>
              <w:t>​</w:t>
            </w:r>
          </w:p>
        </w:tc>
        <w:tc>
          <w:tcPr>
            <w:tcW w:w="628"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33,668</w:t>
            </w:r>
          </w:p>
        </w:tc>
        <w:tc>
          <w:tcPr>
            <w:tcW w:w="353" w:type="dxa"/>
            <w:tcBorders/>
            <w:vAlign w:val="center"/>
          </w:tcPr>
          <w:p>
            <w:pPr>
              <w:pStyle w:val="TableContents"/>
              <w:bidi w:val="0"/>
              <w:spacing w:before="0" w:after="0"/>
              <w:ind w:left="0" w:right="0" w:hanging="0"/>
              <w:jc w:val="left"/>
              <w:rPr/>
            </w:pPr>
            <w:r>
              <w:rPr/>
              <w:t>​</w:t>
            </w:r>
          </w:p>
        </w:tc>
        <w:tc>
          <w:tcPr>
            <w:tcW w:w="184"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26,771</w:t>
            </w:r>
          </w:p>
        </w:tc>
      </w:tr>
      <w:tr>
        <w:trPr/>
        <w:tc>
          <w:tcPr>
            <w:tcW w:w="630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Equity-based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184" w:type="dxa"/>
            <w:tcBorders/>
            <w:shd w:fill="CCEEFF" w:val="clear"/>
            <w:vAlign w:val="center"/>
          </w:tcPr>
          <w:p>
            <w:pPr>
              <w:pStyle w:val="TableContents"/>
              <w:bidi w:val="0"/>
              <w:spacing w:before="0" w:after="0"/>
              <w:ind w:left="0" w:right="0" w:hanging="0"/>
              <w:jc w:val="left"/>
              <w:rPr/>
            </w:pPr>
            <w:r>
              <w:rPr/>
              <w:t>​</w:t>
            </w:r>
          </w:p>
        </w:tc>
        <w:tc>
          <w:tcPr>
            <w:tcW w:w="628"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3,296</w:t>
            </w:r>
          </w:p>
        </w:tc>
        <w:tc>
          <w:tcPr>
            <w:tcW w:w="353" w:type="dxa"/>
            <w:tcBorders/>
            <w:shd w:fill="CCEEFF" w:val="clear"/>
            <w:vAlign w:val="center"/>
          </w:tcPr>
          <w:p>
            <w:pPr>
              <w:pStyle w:val="TableContents"/>
              <w:bidi w:val="0"/>
              <w:spacing w:before="0" w:after="0"/>
              <w:ind w:left="0" w:right="0" w:hanging="0"/>
              <w:jc w:val="left"/>
              <w:rPr/>
            </w:pPr>
            <w:r>
              <w:rPr/>
              <w:t>​</w:t>
            </w:r>
          </w:p>
        </w:tc>
        <w:tc>
          <w:tcPr>
            <w:tcW w:w="184"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8,080</w:t>
            </w:r>
          </w:p>
        </w:tc>
      </w:tr>
      <w:tr>
        <w:trPr/>
        <w:tc>
          <w:tcPr>
            <w:tcW w:w="630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Provision for credit losses</w:t>
            </w:r>
          </w:p>
        </w:tc>
        <w:tc>
          <w:tcPr>
            <w:tcW w:w="346" w:type="dxa"/>
            <w:tcBorders/>
            <w:vAlign w:val="center"/>
          </w:tcPr>
          <w:p>
            <w:pPr>
              <w:pStyle w:val="TableContents"/>
              <w:bidi w:val="0"/>
              <w:spacing w:before="0" w:after="0"/>
              <w:ind w:left="0" w:right="0" w:hanging="0"/>
              <w:jc w:val="left"/>
              <w:rPr/>
            </w:pPr>
            <w:r>
              <w:rPr/>
              <w:t>​</w:t>
            </w:r>
          </w:p>
        </w:tc>
        <w:tc>
          <w:tcPr>
            <w:tcW w:w="184" w:type="dxa"/>
            <w:tcBorders/>
            <w:vAlign w:val="center"/>
          </w:tcPr>
          <w:p>
            <w:pPr>
              <w:pStyle w:val="TableContents"/>
              <w:bidi w:val="0"/>
              <w:spacing w:before="0" w:after="0"/>
              <w:ind w:left="0" w:right="0" w:hanging="0"/>
              <w:jc w:val="left"/>
              <w:rPr/>
            </w:pPr>
            <w:r>
              <w:rPr/>
              <w:t>​</w:t>
            </w:r>
          </w:p>
        </w:tc>
        <w:tc>
          <w:tcPr>
            <w:tcW w:w="628"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716</w:t>
            </w:r>
          </w:p>
        </w:tc>
        <w:tc>
          <w:tcPr>
            <w:tcW w:w="353" w:type="dxa"/>
            <w:tcBorders/>
            <w:vAlign w:val="center"/>
          </w:tcPr>
          <w:p>
            <w:pPr>
              <w:pStyle w:val="TableContents"/>
              <w:bidi w:val="0"/>
              <w:spacing w:before="0" w:after="0"/>
              <w:ind w:left="0" w:right="0" w:hanging="0"/>
              <w:jc w:val="left"/>
              <w:rPr/>
            </w:pPr>
            <w:r>
              <w:rPr/>
              <w:t>​</w:t>
            </w:r>
          </w:p>
        </w:tc>
        <w:tc>
          <w:tcPr>
            <w:tcW w:w="184"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(22)</w:t>
            </w:r>
          </w:p>
        </w:tc>
      </w:tr>
      <w:tr>
        <w:trPr/>
        <w:tc>
          <w:tcPr>
            <w:tcW w:w="630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Amortization of deferred financing fees included in 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84" w:type="dxa"/>
            <w:tcBorders/>
            <w:shd w:fill="CCEEFF" w:val="clear"/>
            <w:vAlign w:val="center"/>
          </w:tcPr>
          <w:p>
            <w:pPr>
              <w:pStyle w:val="TableContents"/>
              <w:bidi w:val="0"/>
              <w:spacing w:before="0" w:after="0"/>
              <w:ind w:left="0" w:right="0" w:hanging="0"/>
              <w:jc w:val="left"/>
              <w:rPr/>
            </w:pPr>
            <w:r>
              <w:rPr/>
              <w:t>​</w:t>
            </w:r>
          </w:p>
        </w:tc>
        <w:tc>
          <w:tcPr>
            <w:tcW w:w="628"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2,488</w:t>
            </w:r>
          </w:p>
        </w:tc>
        <w:tc>
          <w:tcPr>
            <w:tcW w:w="353" w:type="dxa"/>
            <w:tcBorders/>
            <w:shd w:fill="CCEEFF" w:val="clear"/>
            <w:vAlign w:val="center"/>
          </w:tcPr>
          <w:p>
            <w:pPr>
              <w:pStyle w:val="TableContents"/>
              <w:bidi w:val="0"/>
              <w:spacing w:before="0" w:after="0"/>
              <w:ind w:left="0" w:right="0" w:hanging="0"/>
              <w:jc w:val="left"/>
              <w:rPr/>
            </w:pPr>
            <w:r>
              <w:rPr/>
              <w:t>​</w:t>
            </w:r>
          </w:p>
        </w:tc>
        <w:tc>
          <w:tcPr>
            <w:tcW w:w="184"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1,755</w:t>
            </w:r>
          </w:p>
        </w:tc>
      </w:tr>
      <w:tr>
        <w:trPr/>
        <w:tc>
          <w:tcPr>
            <w:tcW w:w="630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Write-off of unamortized deferred financing fees</w:t>
            </w:r>
          </w:p>
        </w:tc>
        <w:tc>
          <w:tcPr>
            <w:tcW w:w="346" w:type="dxa"/>
            <w:tcBorders/>
            <w:vAlign w:val="center"/>
          </w:tcPr>
          <w:p>
            <w:pPr>
              <w:pStyle w:val="TableContents"/>
              <w:bidi w:val="0"/>
              <w:spacing w:before="0" w:after="0"/>
              <w:ind w:left="0" w:right="0" w:hanging="0"/>
              <w:jc w:val="left"/>
              <w:rPr/>
            </w:pPr>
            <w:r>
              <w:rPr/>
              <w:t>​</w:t>
            </w:r>
          </w:p>
        </w:tc>
        <w:tc>
          <w:tcPr>
            <w:tcW w:w="184" w:type="dxa"/>
            <w:tcBorders/>
            <w:vAlign w:val="center"/>
          </w:tcPr>
          <w:p>
            <w:pPr>
              <w:pStyle w:val="TableContents"/>
              <w:bidi w:val="0"/>
              <w:spacing w:before="0" w:after="0"/>
              <w:ind w:left="0" w:right="0" w:hanging="0"/>
              <w:jc w:val="left"/>
              <w:rPr/>
            </w:pPr>
            <w:r>
              <w:rPr/>
              <w:t>​</w:t>
            </w:r>
          </w:p>
        </w:tc>
        <w:tc>
          <w:tcPr>
            <w:tcW w:w="628"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168</w:t>
            </w:r>
          </w:p>
        </w:tc>
        <w:tc>
          <w:tcPr>
            <w:tcW w:w="353" w:type="dxa"/>
            <w:tcBorders/>
            <w:vAlign w:val="center"/>
          </w:tcPr>
          <w:p>
            <w:pPr>
              <w:pStyle w:val="TableContents"/>
              <w:bidi w:val="0"/>
              <w:spacing w:before="0" w:after="0"/>
              <w:ind w:left="0" w:right="0" w:hanging="0"/>
              <w:jc w:val="left"/>
              <w:rPr/>
            </w:pPr>
            <w:r>
              <w:rPr/>
              <w:t>​</w:t>
            </w:r>
          </w:p>
        </w:tc>
        <w:tc>
          <w:tcPr>
            <w:tcW w:w="184"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137</w:t>
            </w:r>
          </w:p>
        </w:tc>
      </w:tr>
      <w:tr>
        <w:trPr/>
        <w:tc>
          <w:tcPr>
            <w:tcW w:w="630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Loss on disposal of property, plant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184" w:type="dxa"/>
            <w:tcBorders/>
            <w:shd w:fill="CCEEFF" w:val="clear"/>
            <w:vAlign w:val="center"/>
          </w:tcPr>
          <w:p>
            <w:pPr>
              <w:pStyle w:val="TableContents"/>
              <w:bidi w:val="0"/>
              <w:spacing w:before="0" w:after="0"/>
              <w:ind w:left="0" w:right="0" w:hanging="0"/>
              <w:jc w:val="left"/>
              <w:rPr/>
            </w:pPr>
            <w:r>
              <w:rPr/>
              <w:t>​</w:t>
            </w:r>
          </w:p>
        </w:tc>
        <w:tc>
          <w:tcPr>
            <w:tcW w:w="628"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1,053</w:t>
            </w:r>
          </w:p>
        </w:tc>
        <w:tc>
          <w:tcPr>
            <w:tcW w:w="353" w:type="dxa"/>
            <w:tcBorders/>
            <w:shd w:fill="CCEEFF" w:val="clear"/>
            <w:vAlign w:val="center"/>
          </w:tcPr>
          <w:p>
            <w:pPr>
              <w:pStyle w:val="TableContents"/>
              <w:bidi w:val="0"/>
              <w:spacing w:before="0" w:after="0"/>
              <w:ind w:left="0" w:right="0" w:hanging="0"/>
              <w:jc w:val="left"/>
              <w:rPr/>
            </w:pPr>
            <w:r>
              <w:rPr/>
              <w:t>​</w:t>
            </w:r>
          </w:p>
        </w:tc>
        <w:tc>
          <w:tcPr>
            <w:tcW w:w="184"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w:t>
            </w:r>
          </w:p>
        </w:tc>
      </w:tr>
      <w:tr>
        <w:trPr/>
        <w:tc>
          <w:tcPr>
            <w:tcW w:w="630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Gain on de-consolidation of Rwanda Trading Company</w:t>
            </w:r>
          </w:p>
        </w:tc>
        <w:tc>
          <w:tcPr>
            <w:tcW w:w="346" w:type="dxa"/>
            <w:tcBorders/>
            <w:vAlign w:val="center"/>
          </w:tcPr>
          <w:p>
            <w:pPr>
              <w:pStyle w:val="TableContents"/>
              <w:bidi w:val="0"/>
              <w:spacing w:before="0" w:after="0"/>
              <w:ind w:left="0" w:right="0" w:hanging="0"/>
              <w:jc w:val="left"/>
              <w:rPr/>
            </w:pPr>
            <w:r>
              <w:rPr/>
              <w:t>​</w:t>
            </w:r>
          </w:p>
        </w:tc>
        <w:tc>
          <w:tcPr>
            <w:tcW w:w="184" w:type="dxa"/>
            <w:tcBorders/>
            <w:vAlign w:val="center"/>
          </w:tcPr>
          <w:p>
            <w:pPr>
              <w:pStyle w:val="TableContents"/>
              <w:bidi w:val="0"/>
              <w:spacing w:before="0" w:after="0"/>
              <w:ind w:left="0" w:right="0" w:hanging="0"/>
              <w:jc w:val="left"/>
              <w:rPr/>
            </w:pPr>
            <w:r>
              <w:rPr/>
              <w:t>​</w:t>
            </w:r>
          </w:p>
        </w:tc>
        <w:tc>
          <w:tcPr>
            <w:tcW w:w="628" w:type="dxa"/>
            <w:tcBorders/>
            <w:vAlign w:val="center"/>
          </w:tcPr>
          <w:p>
            <w:pPr>
              <w:pStyle w:val="TableContents"/>
              <w:bidi w:val="0"/>
              <w:spacing w:before="0" w:after="0"/>
              <w:ind w:left="0" w:right="0" w:hanging="0"/>
              <w:jc w:val="right"/>
              <w:rPr/>
            </w:pPr>
            <w:r>
              <w:rPr/>
              <w:t>—</w:t>
            </w:r>
          </w:p>
        </w:tc>
        <w:tc>
          <w:tcPr>
            <w:tcW w:w="353" w:type="dxa"/>
            <w:tcBorders/>
            <w:vAlign w:val="center"/>
          </w:tcPr>
          <w:p>
            <w:pPr>
              <w:pStyle w:val="TableContents"/>
              <w:bidi w:val="0"/>
              <w:spacing w:before="0" w:after="0"/>
              <w:ind w:left="0" w:right="0" w:hanging="0"/>
              <w:jc w:val="left"/>
              <w:rPr/>
            </w:pPr>
            <w:r>
              <w:rPr/>
              <w:t>​</w:t>
            </w:r>
          </w:p>
        </w:tc>
        <w:tc>
          <w:tcPr>
            <w:tcW w:w="184"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(2,291)</w:t>
            </w:r>
          </w:p>
        </w:tc>
      </w:tr>
      <w:tr>
        <w:trPr/>
        <w:tc>
          <w:tcPr>
            <w:tcW w:w="630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Mark-to-market adjustments</w:t>
            </w:r>
          </w:p>
        </w:tc>
        <w:tc>
          <w:tcPr>
            <w:tcW w:w="346" w:type="dxa"/>
            <w:tcBorders/>
            <w:shd w:fill="CCEEFF" w:val="clear"/>
            <w:vAlign w:val="center"/>
          </w:tcPr>
          <w:p>
            <w:pPr>
              <w:pStyle w:val="TableContents"/>
              <w:bidi w:val="0"/>
              <w:spacing w:before="0" w:after="0"/>
              <w:ind w:left="0" w:right="0" w:hanging="0"/>
              <w:jc w:val="left"/>
              <w:rPr/>
            </w:pPr>
            <w:r>
              <w:rPr/>
              <w:t>​</w:t>
            </w:r>
          </w:p>
        </w:tc>
        <w:tc>
          <w:tcPr>
            <w:tcW w:w="184" w:type="dxa"/>
            <w:tcBorders/>
            <w:shd w:fill="CCEEFF" w:val="clear"/>
            <w:vAlign w:val="center"/>
          </w:tcPr>
          <w:p>
            <w:pPr>
              <w:pStyle w:val="TableContents"/>
              <w:bidi w:val="0"/>
              <w:spacing w:before="0" w:after="0"/>
              <w:ind w:left="0" w:right="0" w:hanging="0"/>
              <w:jc w:val="left"/>
              <w:rPr/>
            </w:pPr>
            <w:r>
              <w:rPr/>
              <w:t>​</w:t>
            </w:r>
          </w:p>
        </w:tc>
        <w:tc>
          <w:tcPr>
            <w:tcW w:w="628"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(4,517)</w:t>
            </w:r>
          </w:p>
        </w:tc>
        <w:tc>
          <w:tcPr>
            <w:tcW w:w="353" w:type="dxa"/>
            <w:tcBorders/>
            <w:shd w:fill="CCEEFF" w:val="clear"/>
            <w:vAlign w:val="center"/>
          </w:tcPr>
          <w:p>
            <w:pPr>
              <w:pStyle w:val="TableContents"/>
              <w:bidi w:val="0"/>
              <w:spacing w:before="0" w:after="0"/>
              <w:ind w:left="0" w:right="0" w:hanging="0"/>
              <w:jc w:val="left"/>
              <w:rPr/>
            </w:pPr>
            <w:r>
              <w:rPr/>
              <w:t>​</w:t>
            </w:r>
          </w:p>
        </w:tc>
        <w:tc>
          <w:tcPr>
            <w:tcW w:w="184"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(3,514)</w:t>
            </w:r>
          </w:p>
        </w:tc>
      </w:tr>
      <w:tr>
        <w:trPr/>
        <w:tc>
          <w:tcPr>
            <w:tcW w:w="630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Foreign currency transactions</w:t>
            </w:r>
          </w:p>
        </w:tc>
        <w:tc>
          <w:tcPr>
            <w:tcW w:w="346" w:type="dxa"/>
            <w:tcBorders/>
            <w:vAlign w:val="center"/>
          </w:tcPr>
          <w:p>
            <w:pPr>
              <w:pStyle w:val="TableContents"/>
              <w:bidi w:val="0"/>
              <w:spacing w:before="0" w:after="0"/>
              <w:ind w:left="0" w:right="0" w:hanging="0"/>
              <w:jc w:val="left"/>
              <w:rPr/>
            </w:pPr>
            <w:r>
              <w:rPr/>
              <w:t>​</w:t>
            </w:r>
          </w:p>
        </w:tc>
        <w:tc>
          <w:tcPr>
            <w:tcW w:w="184" w:type="dxa"/>
            <w:tcBorders/>
            <w:vAlign w:val="center"/>
          </w:tcPr>
          <w:p>
            <w:pPr>
              <w:pStyle w:val="TableContents"/>
              <w:bidi w:val="0"/>
              <w:spacing w:before="0" w:after="0"/>
              <w:ind w:left="0" w:right="0" w:hanging="0"/>
              <w:jc w:val="left"/>
              <w:rPr/>
            </w:pPr>
            <w:r>
              <w:rPr/>
              <w:t>​</w:t>
            </w:r>
          </w:p>
        </w:tc>
        <w:tc>
          <w:tcPr>
            <w:tcW w:w="628" w:type="dxa"/>
            <w:tcBorders/>
            <w:vAlign w:val="center"/>
          </w:tcPr>
          <w:p>
            <w:pPr>
              <w:pStyle w:val="TableContents"/>
              <w:bidi w:val="0"/>
              <w:spacing w:before="0" w:after="0"/>
              <w:ind w:left="0" w:right="0" w:hanging="0"/>
              <w:jc w:val="right"/>
              <w:rPr/>
            </w:pPr>
            <w:r>
              <w:rPr/>
              <w:t>—</w:t>
            </w:r>
          </w:p>
        </w:tc>
        <w:tc>
          <w:tcPr>
            <w:tcW w:w="353" w:type="dxa"/>
            <w:tcBorders/>
            <w:vAlign w:val="center"/>
          </w:tcPr>
          <w:p>
            <w:pPr>
              <w:pStyle w:val="TableContents"/>
              <w:bidi w:val="0"/>
              <w:spacing w:before="0" w:after="0"/>
              <w:ind w:left="0" w:right="0" w:hanging="0"/>
              <w:jc w:val="left"/>
              <w:rPr/>
            </w:pPr>
            <w:r>
              <w:rPr/>
              <w:t>​</w:t>
            </w:r>
          </w:p>
        </w:tc>
        <w:tc>
          <w:tcPr>
            <w:tcW w:w="184"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(141)</w:t>
            </w:r>
          </w:p>
        </w:tc>
      </w:tr>
      <w:tr>
        <w:trPr/>
        <w:tc>
          <w:tcPr>
            <w:tcW w:w="630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Deferred income tax expense (benefit)</w:t>
            </w:r>
          </w:p>
        </w:tc>
        <w:tc>
          <w:tcPr>
            <w:tcW w:w="346" w:type="dxa"/>
            <w:tcBorders/>
            <w:shd w:fill="CCEEFF" w:val="clear"/>
            <w:vAlign w:val="center"/>
          </w:tcPr>
          <w:p>
            <w:pPr>
              <w:pStyle w:val="TableContents"/>
              <w:bidi w:val="0"/>
              <w:spacing w:before="0" w:after="0"/>
              <w:ind w:left="0" w:right="0" w:hanging="0"/>
              <w:jc w:val="left"/>
              <w:rPr/>
            </w:pPr>
            <w:r>
              <w:rPr/>
              <w:t>​</w:t>
            </w:r>
          </w:p>
        </w:tc>
        <w:tc>
          <w:tcPr>
            <w:tcW w:w="184" w:type="dxa"/>
            <w:tcBorders/>
            <w:shd w:fill="CCEEFF" w:val="clear"/>
            <w:vAlign w:val="center"/>
          </w:tcPr>
          <w:p>
            <w:pPr>
              <w:pStyle w:val="TableContents"/>
              <w:bidi w:val="0"/>
              <w:spacing w:before="0" w:after="0"/>
              <w:ind w:left="0" w:right="0" w:hanging="0"/>
              <w:jc w:val="left"/>
              <w:rPr/>
            </w:pPr>
            <w:r>
              <w:rPr/>
              <w:t>​</w:t>
            </w:r>
          </w:p>
        </w:tc>
        <w:tc>
          <w:tcPr>
            <w:tcW w:w="628"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1,316</w:t>
            </w:r>
          </w:p>
        </w:tc>
        <w:tc>
          <w:tcPr>
            <w:tcW w:w="353" w:type="dxa"/>
            <w:tcBorders/>
            <w:shd w:fill="CCEEFF" w:val="clear"/>
            <w:vAlign w:val="center"/>
          </w:tcPr>
          <w:p>
            <w:pPr>
              <w:pStyle w:val="TableContents"/>
              <w:bidi w:val="0"/>
              <w:spacing w:before="0" w:after="0"/>
              <w:ind w:left="0" w:right="0" w:hanging="0"/>
              <w:jc w:val="left"/>
              <w:rPr/>
            </w:pPr>
            <w:r>
              <w:rPr/>
              <w:t>​</w:t>
            </w:r>
          </w:p>
        </w:tc>
        <w:tc>
          <w:tcPr>
            <w:tcW w:w="184"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1,458</w:t>
            </w:r>
          </w:p>
        </w:tc>
      </w:tr>
      <w:tr>
        <w:trPr/>
        <w:tc>
          <w:tcPr>
            <w:tcW w:w="630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Equity in (earnings) loss from unconsolidated entities</w:t>
            </w:r>
          </w:p>
        </w:tc>
        <w:tc>
          <w:tcPr>
            <w:tcW w:w="346" w:type="dxa"/>
            <w:tcBorders/>
            <w:vAlign w:val="center"/>
          </w:tcPr>
          <w:p>
            <w:pPr>
              <w:pStyle w:val="TableContents"/>
              <w:bidi w:val="0"/>
              <w:spacing w:before="0" w:after="0"/>
              <w:ind w:left="0" w:right="0" w:hanging="0"/>
              <w:jc w:val="left"/>
              <w:rPr/>
            </w:pPr>
            <w:r>
              <w:rPr/>
              <w:t>​</w:t>
            </w:r>
          </w:p>
        </w:tc>
        <w:tc>
          <w:tcPr>
            <w:tcW w:w="184" w:type="dxa"/>
            <w:tcBorders/>
            <w:vAlign w:val="center"/>
          </w:tcPr>
          <w:p>
            <w:pPr>
              <w:pStyle w:val="TableContents"/>
              <w:bidi w:val="0"/>
              <w:spacing w:before="0" w:after="0"/>
              <w:ind w:left="0" w:right="0" w:hanging="0"/>
              <w:jc w:val="left"/>
              <w:rPr/>
            </w:pPr>
            <w:r>
              <w:rPr/>
              <w:t>​</w:t>
            </w:r>
          </w:p>
        </w:tc>
        <w:tc>
          <w:tcPr>
            <w:tcW w:w="628"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(3,477)</w:t>
            </w:r>
          </w:p>
        </w:tc>
        <w:tc>
          <w:tcPr>
            <w:tcW w:w="353" w:type="dxa"/>
            <w:tcBorders/>
            <w:vAlign w:val="center"/>
          </w:tcPr>
          <w:p>
            <w:pPr>
              <w:pStyle w:val="TableContents"/>
              <w:bidi w:val="0"/>
              <w:spacing w:before="0" w:after="0"/>
              <w:ind w:left="0" w:right="0" w:hanging="0"/>
              <w:jc w:val="left"/>
              <w:rPr/>
            </w:pPr>
            <w:r>
              <w:rPr/>
              <w:t>​</w:t>
            </w:r>
          </w:p>
        </w:tc>
        <w:tc>
          <w:tcPr>
            <w:tcW w:w="184"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(3,507)</w:t>
            </w:r>
          </w:p>
        </w:tc>
      </w:tr>
      <w:tr>
        <w:trPr/>
        <w:tc>
          <w:tcPr>
            <w:tcW w:w="630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184" w:type="dxa"/>
            <w:tcBorders/>
            <w:shd w:fill="CCEEFF" w:val="clear"/>
            <w:vAlign w:val="center"/>
          </w:tcPr>
          <w:p>
            <w:pPr>
              <w:pStyle w:val="TableContents"/>
              <w:bidi w:val="0"/>
              <w:spacing w:before="0" w:after="0"/>
              <w:ind w:left="0" w:right="0" w:hanging="0"/>
              <w:jc w:val="left"/>
              <w:rPr/>
            </w:pPr>
            <w:r>
              <w:rPr/>
              <w:t>​</w:t>
            </w:r>
          </w:p>
        </w:tc>
        <w:tc>
          <w:tcPr>
            <w:tcW w:w="628"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522</w:t>
            </w:r>
          </w:p>
        </w:tc>
        <w:tc>
          <w:tcPr>
            <w:tcW w:w="353" w:type="dxa"/>
            <w:tcBorders/>
            <w:shd w:fill="CCEEFF" w:val="clear"/>
            <w:vAlign w:val="center"/>
          </w:tcPr>
          <w:p>
            <w:pPr>
              <w:pStyle w:val="TableContents"/>
              <w:bidi w:val="0"/>
              <w:spacing w:before="0" w:after="0"/>
              <w:ind w:left="0" w:right="0" w:hanging="0"/>
              <w:jc w:val="left"/>
              <w:rPr/>
            </w:pPr>
            <w:r>
              <w:rPr/>
              <w:t>​</w:t>
            </w:r>
          </w:p>
        </w:tc>
        <w:tc>
          <w:tcPr>
            <w:tcW w:w="184"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769</w:t>
            </w:r>
          </w:p>
        </w:tc>
      </w:tr>
      <w:tr>
        <w:trPr/>
        <w:tc>
          <w:tcPr>
            <w:tcW w:w="6301" w:type="dxa"/>
            <w:tcBorders/>
            <w:vAlign w:val="center"/>
          </w:tcPr>
          <w:p>
            <w:pPr>
              <w:pStyle w:val="TableContents"/>
              <w:bidi w:val="0"/>
              <w:spacing w:before="0" w:after="0"/>
              <w:ind w:left="0" w:right="0" w:hanging="0"/>
              <w:jc w:val="left"/>
              <w:rPr>
                <w:rFonts w:ascii="Times New Roman;Times;serif" w:hAnsi="Times New Roman;Times;serif"/>
                <w:i/>
                <w:sz w:val="15"/>
              </w:rPr>
            </w:pPr>
            <w:r>
              <w:rPr>
                <w:rFonts w:ascii="Times New Roman;Times;serif" w:hAnsi="Times New Roman;Times;serif"/>
                <w:i/>
                <w:sz w:val="15"/>
              </w:rPr>
              <w:t>Change in operating assets and liabilities:</w:t>
            </w:r>
          </w:p>
        </w:tc>
        <w:tc>
          <w:tcPr>
            <w:tcW w:w="346" w:type="dxa"/>
            <w:tcBorders/>
            <w:vAlign w:val="center"/>
          </w:tcPr>
          <w:p>
            <w:pPr>
              <w:pStyle w:val="TableContents"/>
              <w:bidi w:val="0"/>
              <w:spacing w:before="0" w:after="0"/>
              <w:ind w:left="0" w:right="0" w:hanging="0"/>
              <w:jc w:val="left"/>
              <w:rPr/>
            </w:pPr>
            <w:r>
              <w:rPr/>
              <w:t>​</w:t>
            </w:r>
          </w:p>
        </w:tc>
        <w:tc>
          <w:tcPr>
            <w:tcW w:w="184" w:type="dxa"/>
            <w:tcBorders/>
            <w:vAlign w:val="center"/>
          </w:tcPr>
          <w:p>
            <w:pPr>
              <w:pStyle w:val="TableContents"/>
              <w:bidi w:val="0"/>
              <w:spacing w:before="0" w:after="0"/>
              <w:ind w:left="0" w:right="0" w:hanging="0"/>
              <w:jc w:val="left"/>
              <w:rPr/>
            </w:pPr>
            <w:r>
              <w:rPr/>
              <w:t>​</w:t>
            </w:r>
          </w:p>
        </w:tc>
        <w:tc>
          <w:tcPr>
            <w:tcW w:w="628"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w:t>
            </w:r>
          </w:p>
        </w:tc>
        <w:tc>
          <w:tcPr>
            <w:tcW w:w="184"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left"/>
              <w:rPr/>
            </w:pPr>
            <w:r>
              <w:rPr/>
              <w:t>​</w:t>
            </w:r>
          </w:p>
        </w:tc>
      </w:tr>
      <w:tr>
        <w:trPr/>
        <w:tc>
          <w:tcPr>
            <w:tcW w:w="630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Accounts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184" w:type="dxa"/>
            <w:tcBorders/>
            <w:shd w:fill="CCEEFF" w:val="clear"/>
            <w:vAlign w:val="center"/>
          </w:tcPr>
          <w:p>
            <w:pPr>
              <w:pStyle w:val="TableContents"/>
              <w:bidi w:val="0"/>
              <w:spacing w:before="0" w:after="0"/>
              <w:ind w:left="0" w:right="0" w:hanging="0"/>
              <w:jc w:val="left"/>
              <w:rPr/>
            </w:pPr>
            <w:r>
              <w:rPr/>
              <w:t>​</w:t>
            </w:r>
          </w:p>
        </w:tc>
        <w:tc>
          <w:tcPr>
            <w:tcW w:w="628"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8,720</w:t>
            </w:r>
          </w:p>
        </w:tc>
        <w:tc>
          <w:tcPr>
            <w:tcW w:w="353" w:type="dxa"/>
            <w:tcBorders/>
            <w:shd w:fill="CCEEFF" w:val="clear"/>
            <w:vAlign w:val="center"/>
          </w:tcPr>
          <w:p>
            <w:pPr>
              <w:pStyle w:val="TableContents"/>
              <w:bidi w:val="0"/>
              <w:spacing w:before="0" w:after="0"/>
              <w:ind w:left="0" w:right="0" w:hanging="0"/>
              <w:jc w:val="left"/>
              <w:rPr/>
            </w:pPr>
            <w:r>
              <w:rPr/>
              <w:t>​</w:t>
            </w:r>
          </w:p>
        </w:tc>
        <w:tc>
          <w:tcPr>
            <w:tcW w:w="184"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12,154</w:t>
            </w:r>
          </w:p>
        </w:tc>
      </w:tr>
      <w:tr>
        <w:trPr/>
        <w:tc>
          <w:tcPr>
            <w:tcW w:w="630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Inventories</w:t>
            </w:r>
          </w:p>
        </w:tc>
        <w:tc>
          <w:tcPr>
            <w:tcW w:w="346" w:type="dxa"/>
            <w:tcBorders/>
            <w:vAlign w:val="center"/>
          </w:tcPr>
          <w:p>
            <w:pPr>
              <w:pStyle w:val="TableContents"/>
              <w:bidi w:val="0"/>
              <w:spacing w:before="0" w:after="0"/>
              <w:ind w:left="0" w:right="0" w:hanging="0"/>
              <w:jc w:val="left"/>
              <w:rPr/>
            </w:pPr>
            <w:r>
              <w:rPr/>
              <w:t>​</w:t>
            </w:r>
          </w:p>
        </w:tc>
        <w:tc>
          <w:tcPr>
            <w:tcW w:w="184" w:type="dxa"/>
            <w:tcBorders/>
            <w:vAlign w:val="center"/>
          </w:tcPr>
          <w:p>
            <w:pPr>
              <w:pStyle w:val="TableContents"/>
              <w:bidi w:val="0"/>
              <w:spacing w:before="0" w:after="0"/>
              <w:ind w:left="0" w:right="0" w:hanging="0"/>
              <w:jc w:val="left"/>
              <w:rPr/>
            </w:pPr>
            <w:r>
              <w:rPr/>
              <w:t>​</w:t>
            </w:r>
          </w:p>
        </w:tc>
        <w:tc>
          <w:tcPr>
            <w:tcW w:w="628"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34,544</w:t>
            </w:r>
          </w:p>
        </w:tc>
        <w:tc>
          <w:tcPr>
            <w:tcW w:w="353" w:type="dxa"/>
            <w:tcBorders/>
            <w:vAlign w:val="center"/>
          </w:tcPr>
          <w:p>
            <w:pPr>
              <w:pStyle w:val="TableContents"/>
              <w:bidi w:val="0"/>
              <w:spacing w:before="0" w:after="0"/>
              <w:ind w:left="0" w:right="0" w:hanging="0"/>
              <w:jc w:val="left"/>
              <w:rPr/>
            </w:pPr>
            <w:r>
              <w:rPr/>
              <w:t>​</w:t>
            </w:r>
          </w:p>
        </w:tc>
        <w:tc>
          <w:tcPr>
            <w:tcW w:w="184"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(43,345)</w:t>
            </w:r>
          </w:p>
        </w:tc>
      </w:tr>
      <w:tr>
        <w:trPr/>
        <w:tc>
          <w:tcPr>
            <w:tcW w:w="630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Derivative assets and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84" w:type="dxa"/>
            <w:tcBorders/>
            <w:shd w:fill="CCEEFF" w:val="clear"/>
            <w:vAlign w:val="center"/>
          </w:tcPr>
          <w:p>
            <w:pPr>
              <w:pStyle w:val="TableContents"/>
              <w:bidi w:val="0"/>
              <w:spacing w:before="0" w:after="0"/>
              <w:ind w:left="0" w:right="0" w:hanging="0"/>
              <w:jc w:val="left"/>
              <w:rPr/>
            </w:pPr>
            <w:r>
              <w:rPr/>
              <w:t>​</w:t>
            </w:r>
          </w:p>
        </w:tc>
        <w:tc>
          <w:tcPr>
            <w:tcW w:w="628"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(38,038)</w:t>
            </w:r>
          </w:p>
        </w:tc>
        <w:tc>
          <w:tcPr>
            <w:tcW w:w="353" w:type="dxa"/>
            <w:tcBorders/>
            <w:shd w:fill="CCEEFF" w:val="clear"/>
            <w:vAlign w:val="center"/>
          </w:tcPr>
          <w:p>
            <w:pPr>
              <w:pStyle w:val="TableContents"/>
              <w:bidi w:val="0"/>
              <w:spacing w:before="0" w:after="0"/>
              <w:ind w:left="0" w:right="0" w:hanging="0"/>
              <w:jc w:val="left"/>
              <w:rPr/>
            </w:pPr>
            <w:r>
              <w:rPr/>
              <w:t>​</w:t>
            </w:r>
          </w:p>
        </w:tc>
        <w:tc>
          <w:tcPr>
            <w:tcW w:w="184"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(8,388)</w:t>
            </w:r>
          </w:p>
        </w:tc>
      </w:tr>
      <w:tr>
        <w:trPr/>
        <w:tc>
          <w:tcPr>
            <w:tcW w:w="630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Prepaid expense and other assets</w:t>
            </w:r>
          </w:p>
        </w:tc>
        <w:tc>
          <w:tcPr>
            <w:tcW w:w="346" w:type="dxa"/>
            <w:tcBorders/>
            <w:vAlign w:val="center"/>
          </w:tcPr>
          <w:p>
            <w:pPr>
              <w:pStyle w:val="TableContents"/>
              <w:bidi w:val="0"/>
              <w:spacing w:before="0" w:after="0"/>
              <w:ind w:left="0" w:right="0" w:hanging="0"/>
              <w:jc w:val="left"/>
              <w:rPr/>
            </w:pPr>
            <w:r>
              <w:rPr/>
              <w:t>​</w:t>
            </w:r>
          </w:p>
        </w:tc>
        <w:tc>
          <w:tcPr>
            <w:tcW w:w="184" w:type="dxa"/>
            <w:tcBorders/>
            <w:vAlign w:val="center"/>
          </w:tcPr>
          <w:p>
            <w:pPr>
              <w:pStyle w:val="TableContents"/>
              <w:bidi w:val="0"/>
              <w:spacing w:before="0" w:after="0"/>
              <w:ind w:left="0" w:right="0" w:hanging="0"/>
              <w:jc w:val="left"/>
              <w:rPr/>
            </w:pPr>
            <w:r>
              <w:rPr/>
              <w:t>​</w:t>
            </w:r>
          </w:p>
        </w:tc>
        <w:tc>
          <w:tcPr>
            <w:tcW w:w="628"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5,828</w:t>
            </w:r>
          </w:p>
        </w:tc>
        <w:tc>
          <w:tcPr>
            <w:tcW w:w="353" w:type="dxa"/>
            <w:tcBorders/>
            <w:vAlign w:val="center"/>
          </w:tcPr>
          <w:p>
            <w:pPr>
              <w:pStyle w:val="TableContents"/>
              <w:bidi w:val="0"/>
              <w:spacing w:before="0" w:after="0"/>
              <w:ind w:left="0" w:right="0" w:hanging="0"/>
              <w:jc w:val="left"/>
              <w:rPr/>
            </w:pPr>
            <w:r>
              <w:rPr/>
              <w:t>​</w:t>
            </w:r>
          </w:p>
        </w:tc>
        <w:tc>
          <w:tcPr>
            <w:tcW w:w="184"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1,520</w:t>
            </w:r>
          </w:p>
        </w:tc>
      </w:tr>
      <w:tr>
        <w:trPr/>
        <w:tc>
          <w:tcPr>
            <w:tcW w:w="630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184" w:type="dxa"/>
            <w:tcBorders/>
            <w:shd w:fill="CCEEFF" w:val="clear"/>
            <w:vAlign w:val="center"/>
          </w:tcPr>
          <w:p>
            <w:pPr>
              <w:pStyle w:val="TableContents"/>
              <w:bidi w:val="0"/>
              <w:spacing w:before="0" w:after="0"/>
              <w:ind w:left="0" w:right="0" w:hanging="0"/>
              <w:jc w:val="left"/>
              <w:rPr/>
            </w:pPr>
            <w:r>
              <w:rPr/>
              <w:t>​</w:t>
            </w:r>
          </w:p>
        </w:tc>
        <w:tc>
          <w:tcPr>
            <w:tcW w:w="628"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(21,505)</w:t>
            </w:r>
          </w:p>
        </w:tc>
        <w:tc>
          <w:tcPr>
            <w:tcW w:w="353" w:type="dxa"/>
            <w:tcBorders/>
            <w:shd w:fill="CCEEFF" w:val="clear"/>
            <w:vAlign w:val="center"/>
          </w:tcPr>
          <w:p>
            <w:pPr>
              <w:pStyle w:val="TableContents"/>
              <w:bidi w:val="0"/>
              <w:spacing w:before="0" w:after="0"/>
              <w:ind w:left="0" w:right="0" w:hanging="0"/>
              <w:jc w:val="left"/>
              <w:rPr/>
            </w:pPr>
            <w:r>
              <w:rPr/>
              <w:t>​</w:t>
            </w:r>
          </w:p>
        </w:tc>
        <w:tc>
          <w:tcPr>
            <w:tcW w:w="184"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10,931</w:t>
            </w:r>
          </w:p>
        </w:tc>
      </w:tr>
      <w:tr>
        <w:trPr/>
        <w:tc>
          <w:tcPr>
            <w:tcW w:w="630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Accrued liabilities and other</w:t>
            </w:r>
          </w:p>
        </w:tc>
        <w:tc>
          <w:tcPr>
            <w:tcW w:w="346" w:type="dxa"/>
            <w:tcBorders/>
            <w:vAlign w:val="center"/>
          </w:tcPr>
          <w:p>
            <w:pPr>
              <w:pStyle w:val="TableContents"/>
              <w:bidi w:val="0"/>
              <w:spacing w:before="0" w:after="0"/>
              <w:ind w:left="0" w:right="0" w:hanging="0"/>
              <w:jc w:val="left"/>
              <w:rPr/>
            </w:pPr>
            <w:r>
              <w:rPr/>
              <w:t>​</w:t>
            </w:r>
          </w:p>
        </w:tc>
        <w:tc>
          <w:tcPr>
            <w:tcW w:w="18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12,306</w:t>
            </w:r>
          </w:p>
        </w:tc>
        <w:tc>
          <w:tcPr>
            <w:tcW w:w="353" w:type="dxa"/>
            <w:tcBorders/>
            <w:vAlign w:val="center"/>
          </w:tcPr>
          <w:p>
            <w:pPr>
              <w:pStyle w:val="TableContents"/>
              <w:bidi w:val="0"/>
              <w:spacing w:before="0" w:after="0"/>
              <w:ind w:left="0" w:right="0" w:hanging="0"/>
              <w:jc w:val="left"/>
              <w:rPr/>
            </w:pPr>
            <w:r>
              <w:rPr/>
              <w:t>​</w:t>
            </w:r>
          </w:p>
        </w:tc>
        <w:tc>
          <w:tcPr>
            <w:tcW w:w="18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17,334</w:t>
            </w:r>
          </w:p>
        </w:tc>
      </w:tr>
      <w:tr>
        <w:trPr/>
        <w:tc>
          <w:tcPr>
            <w:tcW w:w="630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cash provided by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84" w:type="dxa"/>
            <w:tcBorders/>
            <w:shd w:fill="CCEEFF" w:val="clear"/>
            <w:vAlign w:val="center"/>
          </w:tcPr>
          <w:p>
            <w:pPr>
              <w:pStyle w:val="TableContents"/>
              <w:bidi w:val="0"/>
              <w:spacing w:before="0" w:after="0"/>
              <w:ind w:left="0" w:right="0" w:hanging="0"/>
              <w:jc w:val="left"/>
              <w:rPr/>
            </w:pPr>
            <w:r>
              <w:rPr/>
              <w:t>​</w:t>
            </w:r>
          </w:p>
        </w:tc>
        <w:tc>
          <w:tcPr>
            <w:tcW w:w="628"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14,898</w:t>
            </w:r>
          </w:p>
        </w:tc>
        <w:tc>
          <w:tcPr>
            <w:tcW w:w="353" w:type="dxa"/>
            <w:tcBorders/>
            <w:shd w:fill="CCEEFF" w:val="clear"/>
            <w:vAlign w:val="center"/>
          </w:tcPr>
          <w:p>
            <w:pPr>
              <w:pStyle w:val="TableContents"/>
              <w:bidi w:val="0"/>
              <w:spacing w:before="0" w:after="0"/>
              <w:ind w:left="0" w:right="0" w:hanging="0"/>
              <w:jc w:val="left"/>
              <w:rPr/>
            </w:pPr>
            <w:r>
              <w:rPr/>
              <w:t>​</w:t>
            </w:r>
          </w:p>
        </w:tc>
        <w:tc>
          <w:tcPr>
            <w:tcW w:w="184"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(29,073)</w:t>
            </w:r>
          </w:p>
        </w:tc>
      </w:tr>
      <w:tr>
        <w:trPr/>
        <w:tc>
          <w:tcPr>
            <w:tcW w:w="6301" w:type="dxa"/>
            <w:tcBorders/>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Cash flows from investing activities:</w:t>
            </w:r>
          </w:p>
        </w:tc>
        <w:tc>
          <w:tcPr>
            <w:tcW w:w="346" w:type="dxa"/>
            <w:tcBorders/>
            <w:vAlign w:val="center"/>
          </w:tcPr>
          <w:p>
            <w:pPr>
              <w:pStyle w:val="TableContents"/>
              <w:bidi w:val="0"/>
              <w:spacing w:before="0" w:after="0"/>
              <w:ind w:left="0" w:right="0" w:hanging="0"/>
              <w:jc w:val="left"/>
              <w:rPr/>
            </w:pPr>
            <w:r>
              <w:rPr/>
              <w:t>​</w:t>
            </w:r>
          </w:p>
        </w:tc>
        <w:tc>
          <w:tcPr>
            <w:tcW w:w="184" w:type="dxa"/>
            <w:tcBorders/>
            <w:vAlign w:val="center"/>
          </w:tcPr>
          <w:p>
            <w:pPr>
              <w:pStyle w:val="TableContents"/>
              <w:bidi w:val="0"/>
              <w:spacing w:before="0" w:after="0"/>
              <w:ind w:left="0" w:right="0" w:hanging="0"/>
              <w:jc w:val="left"/>
              <w:rPr/>
            </w:pPr>
            <w:r>
              <w:rPr/>
              <w:t>​</w:t>
            </w:r>
          </w:p>
        </w:tc>
        <w:tc>
          <w:tcPr>
            <w:tcW w:w="628"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w:t>
            </w:r>
          </w:p>
        </w:tc>
        <w:tc>
          <w:tcPr>
            <w:tcW w:w="184"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left"/>
              <w:rPr/>
            </w:pPr>
            <w:r>
              <w:rPr/>
              <w:t>​</w:t>
            </w:r>
          </w:p>
        </w:tc>
      </w:tr>
      <w:tr>
        <w:trPr/>
        <w:tc>
          <w:tcPr>
            <w:tcW w:w="630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Additions to property, plant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184" w:type="dxa"/>
            <w:tcBorders/>
            <w:shd w:fill="CCEEFF" w:val="clear"/>
            <w:vAlign w:val="center"/>
          </w:tcPr>
          <w:p>
            <w:pPr>
              <w:pStyle w:val="TableContents"/>
              <w:bidi w:val="0"/>
              <w:spacing w:before="0" w:after="0"/>
              <w:ind w:left="0" w:right="0" w:hanging="0"/>
              <w:jc w:val="left"/>
              <w:rPr/>
            </w:pPr>
            <w:r>
              <w:rPr/>
              <w:t>​</w:t>
            </w:r>
          </w:p>
        </w:tc>
        <w:tc>
          <w:tcPr>
            <w:tcW w:w="628"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(13,605)</w:t>
            </w:r>
          </w:p>
        </w:tc>
        <w:tc>
          <w:tcPr>
            <w:tcW w:w="353" w:type="dxa"/>
            <w:tcBorders/>
            <w:shd w:fill="CCEEFF" w:val="clear"/>
            <w:vAlign w:val="center"/>
          </w:tcPr>
          <w:p>
            <w:pPr>
              <w:pStyle w:val="TableContents"/>
              <w:bidi w:val="0"/>
              <w:spacing w:before="0" w:after="0"/>
              <w:ind w:left="0" w:right="0" w:hanging="0"/>
              <w:jc w:val="left"/>
              <w:rPr/>
            </w:pPr>
            <w:r>
              <w:rPr/>
              <w:t>​</w:t>
            </w:r>
          </w:p>
        </w:tc>
        <w:tc>
          <w:tcPr>
            <w:tcW w:w="184"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(61,826)</w:t>
            </w:r>
          </w:p>
        </w:tc>
      </w:tr>
      <w:tr>
        <w:trPr/>
        <w:tc>
          <w:tcPr>
            <w:tcW w:w="630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Additions to intangible assets</w:t>
            </w:r>
          </w:p>
        </w:tc>
        <w:tc>
          <w:tcPr>
            <w:tcW w:w="346" w:type="dxa"/>
            <w:tcBorders/>
            <w:vAlign w:val="center"/>
          </w:tcPr>
          <w:p>
            <w:pPr>
              <w:pStyle w:val="TableContents"/>
              <w:bidi w:val="0"/>
              <w:spacing w:before="0" w:after="0"/>
              <w:ind w:left="0" w:right="0" w:hanging="0"/>
              <w:jc w:val="left"/>
              <w:rPr/>
            </w:pPr>
            <w:r>
              <w:rPr/>
              <w:t>​</w:t>
            </w:r>
          </w:p>
        </w:tc>
        <w:tc>
          <w:tcPr>
            <w:tcW w:w="184" w:type="dxa"/>
            <w:tcBorders/>
            <w:vAlign w:val="center"/>
          </w:tcPr>
          <w:p>
            <w:pPr>
              <w:pStyle w:val="TableContents"/>
              <w:bidi w:val="0"/>
              <w:spacing w:before="0" w:after="0"/>
              <w:ind w:left="0" w:right="0" w:hanging="0"/>
              <w:jc w:val="left"/>
              <w:rPr/>
            </w:pPr>
            <w:r>
              <w:rPr/>
              <w:t>​</w:t>
            </w:r>
          </w:p>
        </w:tc>
        <w:tc>
          <w:tcPr>
            <w:tcW w:w="628"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(49)</w:t>
            </w:r>
          </w:p>
        </w:tc>
        <w:tc>
          <w:tcPr>
            <w:tcW w:w="353" w:type="dxa"/>
            <w:tcBorders/>
            <w:vAlign w:val="center"/>
          </w:tcPr>
          <w:p>
            <w:pPr>
              <w:pStyle w:val="TableContents"/>
              <w:bidi w:val="0"/>
              <w:spacing w:before="0" w:after="0"/>
              <w:ind w:left="0" w:right="0" w:hanging="0"/>
              <w:jc w:val="left"/>
              <w:rPr/>
            </w:pPr>
            <w:r>
              <w:rPr/>
              <w:t>​</w:t>
            </w:r>
          </w:p>
        </w:tc>
        <w:tc>
          <w:tcPr>
            <w:tcW w:w="184"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(40)</w:t>
            </w:r>
          </w:p>
        </w:tc>
      </w:tr>
      <w:tr>
        <w:trPr/>
        <w:tc>
          <w:tcPr>
            <w:tcW w:w="630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Proceeds from sale of equity method investments and non-marketable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184" w:type="dxa"/>
            <w:tcBorders/>
            <w:shd w:fill="CCEEFF" w:val="clear"/>
            <w:vAlign w:val="center"/>
          </w:tcPr>
          <w:p>
            <w:pPr>
              <w:pStyle w:val="TableContents"/>
              <w:bidi w:val="0"/>
              <w:spacing w:before="0" w:after="0"/>
              <w:ind w:left="0" w:right="0" w:hanging="0"/>
              <w:jc w:val="left"/>
              <w:rPr/>
            </w:pPr>
            <w:r>
              <w:rPr/>
              <w:t>​</w:t>
            </w:r>
          </w:p>
        </w:tc>
        <w:tc>
          <w:tcPr>
            <w:tcW w:w="628" w:type="dxa"/>
            <w:tcBorders/>
            <w:shd w:fill="CCEEFF" w:val="clear"/>
            <w:vAlign w:val="center"/>
          </w:tcPr>
          <w:p>
            <w:pPr>
              <w:pStyle w:val="TableContents"/>
              <w:bidi w:val="0"/>
              <w:spacing w:before="0" w:after="0"/>
              <w:ind w:left="0" w:right="0" w:hanging="0"/>
              <w:jc w:val="right"/>
              <w:rPr/>
            </w:pPr>
            <w:r>
              <w:rPr/>
              <w:t>—</w:t>
            </w:r>
          </w:p>
        </w:tc>
        <w:tc>
          <w:tcPr>
            <w:tcW w:w="353" w:type="dxa"/>
            <w:tcBorders/>
            <w:shd w:fill="CCEEFF" w:val="clear"/>
            <w:vAlign w:val="center"/>
          </w:tcPr>
          <w:p>
            <w:pPr>
              <w:pStyle w:val="TableContents"/>
              <w:bidi w:val="0"/>
              <w:spacing w:before="0" w:after="0"/>
              <w:ind w:left="0" w:right="0" w:hanging="0"/>
              <w:jc w:val="left"/>
              <w:rPr/>
            </w:pPr>
            <w:r>
              <w:rPr/>
              <w:t>​</w:t>
            </w:r>
          </w:p>
        </w:tc>
        <w:tc>
          <w:tcPr>
            <w:tcW w:w="184"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500</w:t>
            </w:r>
          </w:p>
        </w:tc>
      </w:tr>
      <w:tr>
        <w:trPr/>
        <w:tc>
          <w:tcPr>
            <w:tcW w:w="630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Acquisition of equity method investments and non-marketable securities, inclusive of cash contributed</w:t>
            </w:r>
          </w:p>
        </w:tc>
        <w:tc>
          <w:tcPr>
            <w:tcW w:w="346" w:type="dxa"/>
            <w:tcBorders/>
            <w:vAlign w:val="center"/>
          </w:tcPr>
          <w:p>
            <w:pPr>
              <w:pStyle w:val="TableContents"/>
              <w:bidi w:val="0"/>
              <w:spacing w:before="0" w:after="0"/>
              <w:ind w:left="0" w:right="0" w:hanging="0"/>
              <w:jc w:val="left"/>
              <w:rPr/>
            </w:pPr>
            <w:r>
              <w:rPr/>
              <w:t>​</w:t>
            </w:r>
          </w:p>
        </w:tc>
        <w:tc>
          <w:tcPr>
            <w:tcW w:w="184" w:type="dxa"/>
            <w:tcBorders/>
            <w:vAlign w:val="center"/>
          </w:tcPr>
          <w:p>
            <w:pPr>
              <w:pStyle w:val="TableContents"/>
              <w:bidi w:val="0"/>
              <w:spacing w:before="0" w:after="0"/>
              <w:ind w:left="0" w:right="0" w:hanging="0"/>
              <w:jc w:val="left"/>
              <w:rPr/>
            </w:pPr>
            <w:r>
              <w:rPr/>
              <w:t>​</w:t>
            </w:r>
          </w:p>
        </w:tc>
        <w:tc>
          <w:tcPr>
            <w:tcW w:w="628" w:type="dxa"/>
            <w:tcBorders/>
            <w:vAlign w:val="center"/>
          </w:tcPr>
          <w:p>
            <w:pPr>
              <w:pStyle w:val="TableContents"/>
              <w:bidi w:val="0"/>
              <w:spacing w:before="0" w:after="0"/>
              <w:ind w:left="0" w:right="0" w:hanging="0"/>
              <w:jc w:val="right"/>
              <w:rPr/>
            </w:pPr>
            <w:r>
              <w:rPr/>
              <w:t>—</w:t>
            </w:r>
          </w:p>
        </w:tc>
        <w:tc>
          <w:tcPr>
            <w:tcW w:w="353" w:type="dxa"/>
            <w:tcBorders/>
            <w:vAlign w:val="center"/>
          </w:tcPr>
          <w:p>
            <w:pPr>
              <w:pStyle w:val="TableContents"/>
              <w:bidi w:val="0"/>
              <w:spacing w:before="0" w:after="0"/>
              <w:ind w:left="0" w:right="0" w:hanging="0"/>
              <w:jc w:val="left"/>
              <w:rPr/>
            </w:pPr>
            <w:r>
              <w:rPr/>
              <w:t>​</w:t>
            </w:r>
          </w:p>
        </w:tc>
        <w:tc>
          <w:tcPr>
            <w:tcW w:w="184"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(2,952)</w:t>
            </w:r>
          </w:p>
        </w:tc>
      </w:tr>
      <w:tr>
        <w:trPr/>
        <w:tc>
          <w:tcPr>
            <w:tcW w:w="630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Proceeds from sale of property, plant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184" w:type="dxa"/>
            <w:tcBorders/>
            <w:shd w:fill="CCEEFF" w:val="clear"/>
            <w:vAlign w:val="center"/>
          </w:tcPr>
          <w:p>
            <w:pPr>
              <w:pStyle w:val="TableContents"/>
              <w:bidi w:val="0"/>
              <w:spacing w:before="0" w:after="0"/>
              <w:ind w:left="0" w:right="0" w:hanging="0"/>
              <w:jc w:val="left"/>
              <w:rPr/>
            </w:pPr>
            <w:r>
              <w:rPr/>
              <w:t>​</w:t>
            </w:r>
          </w:p>
        </w:tc>
        <w:tc>
          <w:tcPr>
            <w:tcW w:w="628"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361</w:t>
            </w:r>
          </w:p>
        </w:tc>
        <w:tc>
          <w:tcPr>
            <w:tcW w:w="353" w:type="dxa"/>
            <w:tcBorders/>
            <w:shd w:fill="CCEEFF" w:val="clear"/>
            <w:vAlign w:val="center"/>
          </w:tcPr>
          <w:p>
            <w:pPr>
              <w:pStyle w:val="TableContents"/>
              <w:bidi w:val="0"/>
              <w:spacing w:before="0" w:after="0"/>
              <w:ind w:left="0" w:right="0" w:hanging="0"/>
              <w:jc w:val="left"/>
              <w:rPr/>
            </w:pPr>
            <w:r>
              <w:rPr/>
              <w:t>​</w:t>
            </w:r>
          </w:p>
        </w:tc>
        <w:tc>
          <w:tcPr>
            <w:tcW w:w="184"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316</w:t>
            </w:r>
          </w:p>
        </w:tc>
      </w:tr>
      <w:tr>
        <w:trPr/>
        <w:tc>
          <w:tcPr>
            <w:tcW w:w="630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Proceeds from deferred purchase price of sold trade receivables</w:t>
            </w:r>
          </w:p>
        </w:tc>
        <w:tc>
          <w:tcPr>
            <w:tcW w:w="346" w:type="dxa"/>
            <w:tcBorders/>
            <w:vAlign w:val="center"/>
          </w:tcPr>
          <w:p>
            <w:pPr>
              <w:pStyle w:val="TableContents"/>
              <w:bidi w:val="0"/>
              <w:spacing w:before="0" w:after="0"/>
              <w:ind w:left="0" w:right="0" w:hanging="0"/>
              <w:jc w:val="left"/>
              <w:rPr/>
            </w:pPr>
            <w:r>
              <w:rPr/>
              <w:t>​</w:t>
            </w:r>
          </w:p>
        </w:tc>
        <w:tc>
          <w:tcPr>
            <w:tcW w:w="18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7,964</w:t>
            </w:r>
          </w:p>
        </w:tc>
        <w:tc>
          <w:tcPr>
            <w:tcW w:w="353" w:type="dxa"/>
            <w:tcBorders/>
            <w:vAlign w:val="center"/>
          </w:tcPr>
          <w:p>
            <w:pPr>
              <w:pStyle w:val="TableContents"/>
              <w:bidi w:val="0"/>
              <w:spacing w:before="0" w:after="0"/>
              <w:ind w:left="0" w:right="0" w:hanging="0"/>
              <w:jc w:val="left"/>
              <w:rPr/>
            </w:pPr>
            <w:r>
              <w:rPr/>
              <w:t>​</w:t>
            </w:r>
          </w:p>
        </w:tc>
        <w:tc>
          <w:tcPr>
            <w:tcW w:w="18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30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cash used in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84" w:type="dxa"/>
            <w:tcBorders/>
            <w:shd w:fill="CCEEFF" w:val="clear"/>
            <w:vAlign w:val="center"/>
          </w:tcPr>
          <w:p>
            <w:pPr>
              <w:pStyle w:val="TableContents"/>
              <w:bidi w:val="0"/>
              <w:spacing w:before="0" w:after="0"/>
              <w:ind w:left="0" w:right="0" w:hanging="0"/>
              <w:jc w:val="left"/>
              <w:rPr/>
            </w:pPr>
            <w:r>
              <w:rPr/>
              <w:t>​</w:t>
            </w:r>
          </w:p>
        </w:tc>
        <w:tc>
          <w:tcPr>
            <w:tcW w:w="628"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(5,329)</w:t>
            </w:r>
          </w:p>
        </w:tc>
        <w:tc>
          <w:tcPr>
            <w:tcW w:w="353" w:type="dxa"/>
            <w:tcBorders/>
            <w:shd w:fill="CCEEFF" w:val="clear"/>
            <w:vAlign w:val="center"/>
          </w:tcPr>
          <w:p>
            <w:pPr>
              <w:pStyle w:val="TableContents"/>
              <w:bidi w:val="0"/>
              <w:spacing w:before="0" w:after="0"/>
              <w:ind w:left="0" w:right="0" w:hanging="0"/>
              <w:jc w:val="left"/>
              <w:rPr/>
            </w:pPr>
            <w:r>
              <w:rPr/>
              <w:t>​</w:t>
            </w:r>
          </w:p>
        </w:tc>
        <w:tc>
          <w:tcPr>
            <w:tcW w:w="184"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(64,002)</w:t>
            </w:r>
          </w:p>
        </w:tc>
      </w:tr>
      <w:tr>
        <w:trPr/>
        <w:tc>
          <w:tcPr>
            <w:tcW w:w="6301" w:type="dxa"/>
            <w:tcBorders/>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Cash flows from financing activities:</w:t>
            </w:r>
          </w:p>
        </w:tc>
        <w:tc>
          <w:tcPr>
            <w:tcW w:w="346" w:type="dxa"/>
            <w:tcBorders/>
            <w:vAlign w:val="center"/>
          </w:tcPr>
          <w:p>
            <w:pPr>
              <w:pStyle w:val="TableContents"/>
              <w:bidi w:val="0"/>
              <w:spacing w:before="0" w:after="0"/>
              <w:ind w:left="0" w:right="0" w:hanging="0"/>
              <w:jc w:val="left"/>
              <w:rPr/>
            </w:pPr>
            <w:r>
              <w:rPr/>
              <w:t>​</w:t>
            </w:r>
          </w:p>
        </w:tc>
        <w:tc>
          <w:tcPr>
            <w:tcW w:w="184" w:type="dxa"/>
            <w:tcBorders/>
            <w:vAlign w:val="center"/>
          </w:tcPr>
          <w:p>
            <w:pPr>
              <w:pStyle w:val="TableContents"/>
              <w:bidi w:val="0"/>
              <w:spacing w:before="0" w:after="0"/>
              <w:ind w:left="0" w:right="0" w:hanging="0"/>
              <w:jc w:val="left"/>
              <w:rPr/>
            </w:pPr>
            <w:r>
              <w:rPr/>
              <w:t>​</w:t>
            </w:r>
          </w:p>
        </w:tc>
        <w:tc>
          <w:tcPr>
            <w:tcW w:w="628"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w:t>
            </w:r>
          </w:p>
        </w:tc>
        <w:tc>
          <w:tcPr>
            <w:tcW w:w="184"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left"/>
              <w:rPr/>
            </w:pPr>
            <w:r>
              <w:rPr/>
              <w:t>​</w:t>
            </w:r>
          </w:p>
        </w:tc>
      </w:tr>
      <w:tr>
        <w:trPr/>
        <w:tc>
          <w:tcPr>
            <w:tcW w:w="630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Payments on debt</w:t>
            </w:r>
          </w:p>
        </w:tc>
        <w:tc>
          <w:tcPr>
            <w:tcW w:w="346" w:type="dxa"/>
            <w:tcBorders/>
            <w:shd w:fill="CCEEFF" w:val="clear"/>
            <w:vAlign w:val="center"/>
          </w:tcPr>
          <w:p>
            <w:pPr>
              <w:pStyle w:val="TableContents"/>
              <w:bidi w:val="0"/>
              <w:spacing w:before="0" w:after="0"/>
              <w:ind w:left="0" w:right="0" w:hanging="0"/>
              <w:jc w:val="left"/>
              <w:rPr/>
            </w:pPr>
            <w:r>
              <w:rPr/>
              <w:t>​</w:t>
            </w:r>
          </w:p>
        </w:tc>
        <w:tc>
          <w:tcPr>
            <w:tcW w:w="184" w:type="dxa"/>
            <w:tcBorders/>
            <w:shd w:fill="CCEEFF" w:val="clear"/>
            <w:vAlign w:val="center"/>
          </w:tcPr>
          <w:p>
            <w:pPr>
              <w:pStyle w:val="TableContents"/>
              <w:bidi w:val="0"/>
              <w:spacing w:before="0" w:after="0"/>
              <w:ind w:left="0" w:right="0" w:hanging="0"/>
              <w:jc w:val="left"/>
              <w:rPr/>
            </w:pPr>
            <w:r>
              <w:rPr/>
              <w:t>​</w:t>
            </w:r>
          </w:p>
        </w:tc>
        <w:tc>
          <w:tcPr>
            <w:tcW w:w="628"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(75,616)</w:t>
            </w:r>
          </w:p>
        </w:tc>
        <w:tc>
          <w:tcPr>
            <w:tcW w:w="353" w:type="dxa"/>
            <w:tcBorders/>
            <w:shd w:fill="CCEEFF" w:val="clear"/>
            <w:vAlign w:val="center"/>
          </w:tcPr>
          <w:p>
            <w:pPr>
              <w:pStyle w:val="TableContents"/>
              <w:bidi w:val="0"/>
              <w:spacing w:before="0" w:after="0"/>
              <w:ind w:left="0" w:right="0" w:hanging="0"/>
              <w:jc w:val="left"/>
              <w:rPr/>
            </w:pPr>
            <w:r>
              <w:rPr/>
              <w:t>​</w:t>
            </w:r>
          </w:p>
        </w:tc>
        <w:tc>
          <w:tcPr>
            <w:tcW w:w="184"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(46,799)</w:t>
            </w:r>
          </w:p>
        </w:tc>
      </w:tr>
      <w:tr>
        <w:trPr/>
        <w:tc>
          <w:tcPr>
            <w:tcW w:w="630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Proceeds from debt</w:t>
            </w:r>
          </w:p>
        </w:tc>
        <w:tc>
          <w:tcPr>
            <w:tcW w:w="346" w:type="dxa"/>
            <w:tcBorders/>
            <w:vAlign w:val="center"/>
          </w:tcPr>
          <w:p>
            <w:pPr>
              <w:pStyle w:val="TableContents"/>
              <w:bidi w:val="0"/>
              <w:spacing w:before="0" w:after="0"/>
              <w:ind w:left="0" w:right="0" w:hanging="0"/>
              <w:jc w:val="left"/>
              <w:rPr/>
            </w:pPr>
            <w:r>
              <w:rPr/>
              <w:t>​</w:t>
            </w:r>
          </w:p>
        </w:tc>
        <w:tc>
          <w:tcPr>
            <w:tcW w:w="184" w:type="dxa"/>
            <w:tcBorders/>
            <w:vAlign w:val="center"/>
          </w:tcPr>
          <w:p>
            <w:pPr>
              <w:pStyle w:val="TableContents"/>
              <w:bidi w:val="0"/>
              <w:spacing w:before="0" w:after="0"/>
              <w:ind w:left="0" w:right="0" w:hanging="0"/>
              <w:jc w:val="left"/>
              <w:rPr/>
            </w:pPr>
            <w:r>
              <w:rPr/>
              <w:t>​</w:t>
            </w:r>
          </w:p>
        </w:tc>
        <w:tc>
          <w:tcPr>
            <w:tcW w:w="628"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60,344</w:t>
            </w:r>
          </w:p>
        </w:tc>
        <w:tc>
          <w:tcPr>
            <w:tcW w:w="353" w:type="dxa"/>
            <w:tcBorders/>
            <w:vAlign w:val="center"/>
          </w:tcPr>
          <w:p>
            <w:pPr>
              <w:pStyle w:val="TableContents"/>
              <w:bidi w:val="0"/>
              <w:spacing w:before="0" w:after="0"/>
              <w:ind w:left="0" w:right="0" w:hanging="0"/>
              <w:jc w:val="left"/>
              <w:rPr/>
            </w:pPr>
            <w:r>
              <w:rPr/>
              <w:t>​</w:t>
            </w:r>
          </w:p>
        </w:tc>
        <w:tc>
          <w:tcPr>
            <w:tcW w:w="184"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131,373</w:t>
            </w:r>
          </w:p>
        </w:tc>
      </w:tr>
      <w:tr>
        <w:trPr/>
        <w:tc>
          <w:tcPr>
            <w:tcW w:w="630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Payments on supply chain financing program</w:t>
            </w:r>
          </w:p>
        </w:tc>
        <w:tc>
          <w:tcPr>
            <w:tcW w:w="346" w:type="dxa"/>
            <w:tcBorders/>
            <w:shd w:fill="CCEEFF" w:val="clear"/>
            <w:vAlign w:val="center"/>
          </w:tcPr>
          <w:p>
            <w:pPr>
              <w:pStyle w:val="TableContents"/>
              <w:bidi w:val="0"/>
              <w:spacing w:before="0" w:after="0"/>
              <w:ind w:left="0" w:right="0" w:hanging="0"/>
              <w:jc w:val="left"/>
              <w:rPr/>
            </w:pPr>
            <w:r>
              <w:rPr/>
              <w:t>​</w:t>
            </w:r>
          </w:p>
        </w:tc>
        <w:tc>
          <w:tcPr>
            <w:tcW w:w="184" w:type="dxa"/>
            <w:tcBorders/>
            <w:shd w:fill="CCEEFF" w:val="clear"/>
            <w:vAlign w:val="center"/>
          </w:tcPr>
          <w:p>
            <w:pPr>
              <w:pStyle w:val="TableContents"/>
              <w:bidi w:val="0"/>
              <w:spacing w:before="0" w:after="0"/>
              <w:ind w:left="0" w:right="0" w:hanging="0"/>
              <w:jc w:val="left"/>
              <w:rPr/>
            </w:pPr>
            <w:r>
              <w:rPr/>
              <w:t>​</w:t>
            </w:r>
          </w:p>
        </w:tc>
        <w:tc>
          <w:tcPr>
            <w:tcW w:w="628"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(96,804)</w:t>
            </w:r>
          </w:p>
        </w:tc>
        <w:tc>
          <w:tcPr>
            <w:tcW w:w="353" w:type="dxa"/>
            <w:tcBorders/>
            <w:shd w:fill="CCEEFF" w:val="clear"/>
            <w:vAlign w:val="center"/>
          </w:tcPr>
          <w:p>
            <w:pPr>
              <w:pStyle w:val="TableContents"/>
              <w:bidi w:val="0"/>
              <w:spacing w:before="0" w:after="0"/>
              <w:ind w:left="0" w:right="0" w:hanging="0"/>
              <w:jc w:val="left"/>
              <w:rPr/>
            </w:pPr>
            <w:r>
              <w:rPr/>
              <w:t>​</w:t>
            </w:r>
          </w:p>
        </w:tc>
        <w:tc>
          <w:tcPr>
            <w:tcW w:w="184"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(79,847)</w:t>
            </w:r>
          </w:p>
        </w:tc>
      </w:tr>
      <w:tr>
        <w:trPr/>
        <w:tc>
          <w:tcPr>
            <w:tcW w:w="630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Proceeds from supply chain financing program</w:t>
            </w:r>
          </w:p>
        </w:tc>
        <w:tc>
          <w:tcPr>
            <w:tcW w:w="346" w:type="dxa"/>
            <w:tcBorders/>
            <w:vAlign w:val="center"/>
          </w:tcPr>
          <w:p>
            <w:pPr>
              <w:pStyle w:val="TableContents"/>
              <w:bidi w:val="0"/>
              <w:spacing w:before="0" w:after="0"/>
              <w:ind w:left="0" w:right="0" w:hanging="0"/>
              <w:jc w:val="left"/>
              <w:rPr/>
            </w:pPr>
            <w:r>
              <w:rPr/>
              <w:t>​</w:t>
            </w:r>
          </w:p>
        </w:tc>
        <w:tc>
          <w:tcPr>
            <w:tcW w:w="184" w:type="dxa"/>
            <w:tcBorders/>
            <w:vAlign w:val="center"/>
          </w:tcPr>
          <w:p>
            <w:pPr>
              <w:pStyle w:val="TableContents"/>
              <w:bidi w:val="0"/>
              <w:spacing w:before="0" w:after="0"/>
              <w:ind w:left="0" w:right="0" w:hanging="0"/>
              <w:jc w:val="left"/>
              <w:rPr/>
            </w:pPr>
            <w:r>
              <w:rPr/>
              <w:t>​</w:t>
            </w:r>
          </w:p>
        </w:tc>
        <w:tc>
          <w:tcPr>
            <w:tcW w:w="628"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97,742</w:t>
            </w:r>
          </w:p>
        </w:tc>
        <w:tc>
          <w:tcPr>
            <w:tcW w:w="353" w:type="dxa"/>
            <w:tcBorders/>
            <w:vAlign w:val="center"/>
          </w:tcPr>
          <w:p>
            <w:pPr>
              <w:pStyle w:val="TableContents"/>
              <w:bidi w:val="0"/>
              <w:spacing w:before="0" w:after="0"/>
              <w:ind w:left="0" w:right="0" w:hanging="0"/>
              <w:jc w:val="left"/>
              <w:rPr/>
            </w:pPr>
            <w:r>
              <w:rPr/>
              <w:t>​</w:t>
            </w:r>
          </w:p>
        </w:tc>
        <w:tc>
          <w:tcPr>
            <w:tcW w:w="184"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99,309</w:t>
            </w:r>
          </w:p>
        </w:tc>
      </w:tr>
      <w:tr>
        <w:trPr/>
        <w:tc>
          <w:tcPr>
            <w:tcW w:w="630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Payment of debt issuance costs</w:t>
            </w:r>
          </w:p>
        </w:tc>
        <w:tc>
          <w:tcPr>
            <w:tcW w:w="346" w:type="dxa"/>
            <w:tcBorders/>
            <w:shd w:fill="CCEEFF" w:val="clear"/>
            <w:vAlign w:val="center"/>
          </w:tcPr>
          <w:p>
            <w:pPr>
              <w:pStyle w:val="TableContents"/>
              <w:bidi w:val="0"/>
              <w:spacing w:before="0" w:after="0"/>
              <w:ind w:left="0" w:right="0" w:hanging="0"/>
              <w:jc w:val="left"/>
              <w:rPr/>
            </w:pPr>
            <w:r>
              <w:rPr/>
              <w:t>​</w:t>
            </w:r>
          </w:p>
        </w:tc>
        <w:tc>
          <w:tcPr>
            <w:tcW w:w="184" w:type="dxa"/>
            <w:tcBorders/>
            <w:shd w:fill="CCEEFF" w:val="clear"/>
            <w:vAlign w:val="center"/>
          </w:tcPr>
          <w:p>
            <w:pPr>
              <w:pStyle w:val="TableContents"/>
              <w:bidi w:val="0"/>
              <w:spacing w:before="0" w:after="0"/>
              <w:ind w:left="0" w:right="0" w:hanging="0"/>
              <w:jc w:val="left"/>
              <w:rPr/>
            </w:pPr>
            <w:r>
              <w:rPr/>
              <w:t>​</w:t>
            </w:r>
          </w:p>
        </w:tc>
        <w:tc>
          <w:tcPr>
            <w:tcW w:w="628"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(1,736)</w:t>
            </w:r>
          </w:p>
        </w:tc>
        <w:tc>
          <w:tcPr>
            <w:tcW w:w="353" w:type="dxa"/>
            <w:tcBorders/>
            <w:shd w:fill="CCEEFF" w:val="clear"/>
            <w:vAlign w:val="center"/>
          </w:tcPr>
          <w:p>
            <w:pPr>
              <w:pStyle w:val="TableContents"/>
              <w:bidi w:val="0"/>
              <w:spacing w:before="0" w:after="0"/>
              <w:ind w:left="0" w:right="0" w:hanging="0"/>
              <w:jc w:val="left"/>
              <w:rPr/>
            </w:pPr>
            <w:r>
              <w:rPr/>
              <w:t>​</w:t>
            </w:r>
          </w:p>
        </w:tc>
        <w:tc>
          <w:tcPr>
            <w:tcW w:w="184"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(2,354)</w:t>
            </w:r>
          </w:p>
        </w:tc>
      </w:tr>
      <w:tr>
        <w:trPr/>
        <w:tc>
          <w:tcPr>
            <w:tcW w:w="630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proceeds from (repayments of) repurchase agreements</w:t>
            </w:r>
          </w:p>
        </w:tc>
        <w:tc>
          <w:tcPr>
            <w:tcW w:w="346" w:type="dxa"/>
            <w:tcBorders/>
            <w:vAlign w:val="center"/>
          </w:tcPr>
          <w:p>
            <w:pPr>
              <w:pStyle w:val="TableContents"/>
              <w:bidi w:val="0"/>
              <w:spacing w:before="0" w:after="0"/>
              <w:ind w:left="0" w:right="0" w:hanging="0"/>
              <w:jc w:val="left"/>
              <w:rPr/>
            </w:pPr>
            <w:r>
              <w:rPr/>
              <w:t>​</w:t>
            </w:r>
          </w:p>
        </w:tc>
        <w:tc>
          <w:tcPr>
            <w:tcW w:w="184" w:type="dxa"/>
            <w:tcBorders/>
            <w:vAlign w:val="center"/>
          </w:tcPr>
          <w:p>
            <w:pPr>
              <w:pStyle w:val="TableContents"/>
              <w:bidi w:val="0"/>
              <w:spacing w:before="0" w:after="0"/>
              <w:ind w:left="0" w:right="0" w:hanging="0"/>
              <w:jc w:val="left"/>
              <w:rPr/>
            </w:pPr>
            <w:r>
              <w:rPr/>
              <w:t>​</w:t>
            </w:r>
          </w:p>
        </w:tc>
        <w:tc>
          <w:tcPr>
            <w:tcW w:w="628"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(7,285)</w:t>
            </w:r>
          </w:p>
        </w:tc>
        <w:tc>
          <w:tcPr>
            <w:tcW w:w="353" w:type="dxa"/>
            <w:tcBorders/>
            <w:vAlign w:val="center"/>
          </w:tcPr>
          <w:p>
            <w:pPr>
              <w:pStyle w:val="TableContents"/>
              <w:bidi w:val="0"/>
              <w:spacing w:before="0" w:after="0"/>
              <w:ind w:left="0" w:right="0" w:hanging="0"/>
              <w:jc w:val="left"/>
              <w:rPr/>
            </w:pPr>
            <w:r>
              <w:rPr/>
              <w:t>​</w:t>
            </w:r>
          </w:p>
        </w:tc>
        <w:tc>
          <w:tcPr>
            <w:tcW w:w="184"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9,769</w:t>
            </w:r>
          </w:p>
        </w:tc>
      </w:tr>
      <w:tr>
        <w:trPr/>
        <w:tc>
          <w:tcPr>
            <w:tcW w:w="630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change in unremitted cash collections from servicing factored receivables</w:t>
            </w:r>
          </w:p>
        </w:tc>
        <w:tc>
          <w:tcPr>
            <w:tcW w:w="346" w:type="dxa"/>
            <w:tcBorders/>
            <w:shd w:fill="CCEEFF" w:val="clear"/>
            <w:vAlign w:val="center"/>
          </w:tcPr>
          <w:p>
            <w:pPr>
              <w:pStyle w:val="TableContents"/>
              <w:bidi w:val="0"/>
              <w:spacing w:before="0" w:after="0"/>
              <w:ind w:left="0" w:right="0" w:hanging="0"/>
              <w:jc w:val="left"/>
              <w:rPr/>
            </w:pPr>
            <w:r>
              <w:rPr/>
              <w:t>​</w:t>
            </w:r>
          </w:p>
        </w:tc>
        <w:tc>
          <w:tcPr>
            <w:tcW w:w="184" w:type="dxa"/>
            <w:tcBorders/>
            <w:shd w:fill="CCEEFF" w:val="clear"/>
            <w:vAlign w:val="center"/>
          </w:tcPr>
          <w:p>
            <w:pPr>
              <w:pStyle w:val="TableContents"/>
              <w:bidi w:val="0"/>
              <w:spacing w:before="0" w:after="0"/>
              <w:ind w:left="0" w:right="0" w:hanging="0"/>
              <w:jc w:val="left"/>
              <w:rPr/>
            </w:pPr>
            <w:r>
              <w:rPr/>
              <w:t>​</w:t>
            </w:r>
          </w:p>
        </w:tc>
        <w:tc>
          <w:tcPr>
            <w:tcW w:w="628"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(7,918)</w:t>
            </w:r>
          </w:p>
        </w:tc>
        <w:tc>
          <w:tcPr>
            <w:tcW w:w="353" w:type="dxa"/>
            <w:tcBorders/>
            <w:shd w:fill="CCEEFF" w:val="clear"/>
            <w:vAlign w:val="center"/>
          </w:tcPr>
          <w:p>
            <w:pPr>
              <w:pStyle w:val="TableContents"/>
              <w:bidi w:val="0"/>
              <w:spacing w:before="0" w:after="0"/>
              <w:ind w:left="0" w:right="0" w:hanging="0"/>
              <w:jc w:val="left"/>
              <w:rPr/>
            </w:pPr>
            <w:r>
              <w:rPr/>
              <w:t>​</w:t>
            </w:r>
          </w:p>
        </w:tc>
        <w:tc>
          <w:tcPr>
            <w:tcW w:w="184"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right"/>
              <w:rPr/>
            </w:pPr>
            <w:r>
              <w:rPr/>
              <w:t>—</w:t>
            </w:r>
          </w:p>
        </w:tc>
      </w:tr>
      <w:tr>
        <w:trPr/>
        <w:tc>
          <w:tcPr>
            <w:tcW w:w="630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Payment for taxes for net share settlement of equity awards</w:t>
            </w:r>
          </w:p>
        </w:tc>
        <w:tc>
          <w:tcPr>
            <w:tcW w:w="346" w:type="dxa"/>
            <w:tcBorders/>
            <w:vAlign w:val="center"/>
          </w:tcPr>
          <w:p>
            <w:pPr>
              <w:pStyle w:val="TableContents"/>
              <w:bidi w:val="0"/>
              <w:spacing w:before="0" w:after="0"/>
              <w:ind w:left="0" w:right="0" w:hanging="0"/>
              <w:jc w:val="left"/>
              <w:rPr/>
            </w:pPr>
            <w:r>
              <w:rPr/>
              <w:t>​</w:t>
            </w:r>
          </w:p>
        </w:tc>
        <w:tc>
          <w:tcPr>
            <w:tcW w:w="18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(956)</w:t>
            </w:r>
          </w:p>
        </w:tc>
        <w:tc>
          <w:tcPr>
            <w:tcW w:w="353" w:type="dxa"/>
            <w:tcBorders/>
            <w:vAlign w:val="center"/>
          </w:tcPr>
          <w:p>
            <w:pPr>
              <w:pStyle w:val="TableContents"/>
              <w:bidi w:val="0"/>
              <w:spacing w:before="0" w:after="0"/>
              <w:ind w:left="0" w:right="0" w:hanging="0"/>
              <w:jc w:val="left"/>
              <w:rPr/>
            </w:pPr>
            <w:r>
              <w:rPr/>
              <w:t>​</w:t>
            </w:r>
          </w:p>
        </w:tc>
        <w:tc>
          <w:tcPr>
            <w:tcW w:w="184" w:type="dxa"/>
            <w:tcBorders/>
            <w:vAlign w:val="center"/>
          </w:tcPr>
          <w:p>
            <w:pPr>
              <w:pStyle w:val="TableContents"/>
              <w:bidi w:val="0"/>
              <w:spacing w:before="0" w:after="0"/>
              <w:ind w:left="0" w:right="0" w:hanging="0"/>
              <w:jc w:val="left"/>
              <w:rPr/>
            </w:pPr>
            <w:r>
              <w:rPr/>
              <w:t>​</w:t>
            </w:r>
          </w:p>
        </w:tc>
        <w:tc>
          <w:tcPr>
            <w:tcW w:w="6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(1,564)</w:t>
            </w:r>
          </w:p>
        </w:tc>
      </w:tr>
      <w:tr>
        <w:trPr/>
        <w:tc>
          <w:tcPr>
            <w:tcW w:w="630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cash (used in) provided by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84" w:type="dxa"/>
            <w:tcBorders/>
            <w:shd w:fill="CCEEFF" w:val="clear"/>
            <w:vAlign w:val="center"/>
          </w:tcPr>
          <w:p>
            <w:pPr>
              <w:pStyle w:val="TableContents"/>
              <w:bidi w:val="0"/>
              <w:spacing w:before="0" w:after="0"/>
              <w:ind w:left="0" w:right="0" w:hanging="0"/>
              <w:jc w:val="left"/>
              <w:rPr/>
            </w:pPr>
            <w:r>
              <w:rPr/>
              <w:t>​</w:t>
            </w:r>
          </w:p>
        </w:tc>
        <w:tc>
          <w:tcPr>
            <w:tcW w:w="628"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(32,229)</w:t>
            </w:r>
          </w:p>
        </w:tc>
        <w:tc>
          <w:tcPr>
            <w:tcW w:w="353" w:type="dxa"/>
            <w:tcBorders/>
            <w:shd w:fill="CCEEFF" w:val="clear"/>
            <w:vAlign w:val="center"/>
          </w:tcPr>
          <w:p>
            <w:pPr>
              <w:pStyle w:val="TableContents"/>
              <w:bidi w:val="0"/>
              <w:spacing w:before="0" w:after="0"/>
              <w:ind w:left="0" w:right="0" w:hanging="0"/>
              <w:jc w:val="left"/>
              <w:rPr/>
            </w:pPr>
            <w:r>
              <w:rPr/>
              <w:t>​</w:t>
            </w:r>
          </w:p>
        </w:tc>
        <w:tc>
          <w:tcPr>
            <w:tcW w:w="184"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109,887</w:t>
            </w:r>
          </w:p>
        </w:tc>
      </w:tr>
      <w:tr>
        <w:trPr/>
        <w:tc>
          <w:tcPr>
            <w:tcW w:w="630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Effect of exchange rate changes on cash</w:t>
            </w:r>
          </w:p>
        </w:tc>
        <w:tc>
          <w:tcPr>
            <w:tcW w:w="346" w:type="dxa"/>
            <w:tcBorders/>
            <w:vAlign w:val="center"/>
          </w:tcPr>
          <w:p>
            <w:pPr>
              <w:pStyle w:val="TableContents"/>
              <w:bidi w:val="0"/>
              <w:spacing w:before="0" w:after="0"/>
              <w:ind w:left="0" w:right="0" w:hanging="0"/>
              <w:jc w:val="left"/>
              <w:rPr/>
            </w:pPr>
            <w:r>
              <w:rPr/>
              <w:t>​</w:t>
            </w:r>
          </w:p>
        </w:tc>
        <w:tc>
          <w:tcPr>
            <w:tcW w:w="18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w:t>
            </w:r>
          </w:p>
        </w:tc>
        <w:tc>
          <w:tcPr>
            <w:tcW w:w="353" w:type="dxa"/>
            <w:tcBorders/>
            <w:vAlign w:val="center"/>
          </w:tcPr>
          <w:p>
            <w:pPr>
              <w:pStyle w:val="TableContents"/>
              <w:bidi w:val="0"/>
              <w:spacing w:before="0" w:after="0"/>
              <w:ind w:left="0" w:right="0" w:hanging="0"/>
              <w:jc w:val="left"/>
              <w:rPr/>
            </w:pPr>
            <w:r>
              <w:rPr/>
              <w:t>​</w:t>
            </w:r>
          </w:p>
        </w:tc>
        <w:tc>
          <w:tcPr>
            <w:tcW w:w="18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(52)</w:t>
            </w:r>
          </w:p>
        </w:tc>
      </w:tr>
      <w:tr>
        <w:trPr/>
        <w:tc>
          <w:tcPr>
            <w:tcW w:w="630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increase (decrease) in cash and cash equivalents and restricted cash</w:t>
            </w:r>
          </w:p>
        </w:tc>
        <w:tc>
          <w:tcPr>
            <w:tcW w:w="346" w:type="dxa"/>
            <w:tcBorders/>
            <w:shd w:fill="CCEEFF" w:val="clear"/>
            <w:vAlign w:val="center"/>
          </w:tcPr>
          <w:p>
            <w:pPr>
              <w:pStyle w:val="TableContents"/>
              <w:bidi w:val="0"/>
              <w:spacing w:before="0" w:after="0"/>
              <w:ind w:left="0" w:right="0" w:hanging="0"/>
              <w:jc w:val="left"/>
              <w:rPr/>
            </w:pPr>
            <w:r>
              <w:rPr/>
              <w:t>​</w:t>
            </w:r>
          </w:p>
        </w:tc>
        <w:tc>
          <w:tcPr>
            <w:tcW w:w="184" w:type="dxa"/>
            <w:tcBorders/>
            <w:shd w:fill="CCEEFF" w:val="clear"/>
            <w:vAlign w:val="center"/>
          </w:tcPr>
          <w:p>
            <w:pPr>
              <w:pStyle w:val="TableContents"/>
              <w:bidi w:val="0"/>
              <w:spacing w:before="0" w:after="0"/>
              <w:ind w:left="0" w:right="0" w:hanging="0"/>
              <w:jc w:val="left"/>
              <w:rPr/>
            </w:pPr>
            <w:r>
              <w:rPr/>
              <w:t>​</w:t>
            </w:r>
          </w:p>
        </w:tc>
        <w:tc>
          <w:tcPr>
            <w:tcW w:w="628"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(22,664)</w:t>
            </w:r>
          </w:p>
        </w:tc>
        <w:tc>
          <w:tcPr>
            <w:tcW w:w="353" w:type="dxa"/>
            <w:tcBorders/>
            <w:shd w:fill="CCEEFF" w:val="clear"/>
            <w:vAlign w:val="center"/>
          </w:tcPr>
          <w:p>
            <w:pPr>
              <w:pStyle w:val="TableContents"/>
              <w:bidi w:val="0"/>
              <w:spacing w:before="0" w:after="0"/>
              <w:ind w:left="0" w:right="0" w:hanging="0"/>
              <w:jc w:val="left"/>
              <w:rPr/>
            </w:pPr>
            <w:r>
              <w:rPr/>
              <w:t>​</w:t>
            </w:r>
          </w:p>
        </w:tc>
        <w:tc>
          <w:tcPr>
            <w:tcW w:w="184"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16,760</w:t>
            </w:r>
          </w:p>
        </w:tc>
      </w:tr>
      <w:tr>
        <w:trPr/>
        <w:tc>
          <w:tcPr>
            <w:tcW w:w="630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Cash and cash equivalents and restricted cash at beginning of period</w:t>
            </w:r>
          </w:p>
        </w:tc>
        <w:tc>
          <w:tcPr>
            <w:tcW w:w="346" w:type="dxa"/>
            <w:tcBorders/>
            <w:vAlign w:val="center"/>
          </w:tcPr>
          <w:p>
            <w:pPr>
              <w:pStyle w:val="TableContents"/>
              <w:bidi w:val="0"/>
              <w:spacing w:before="0" w:after="0"/>
              <w:ind w:left="0" w:right="0" w:hanging="0"/>
              <w:jc w:val="left"/>
              <w:rPr/>
            </w:pPr>
            <w:r>
              <w:rPr/>
              <w:t>​</w:t>
            </w:r>
          </w:p>
        </w:tc>
        <w:tc>
          <w:tcPr>
            <w:tcW w:w="18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71,039</w:t>
            </w:r>
          </w:p>
        </w:tc>
        <w:tc>
          <w:tcPr>
            <w:tcW w:w="353" w:type="dxa"/>
            <w:tcBorders/>
            <w:vAlign w:val="center"/>
          </w:tcPr>
          <w:p>
            <w:pPr>
              <w:pStyle w:val="TableContents"/>
              <w:bidi w:val="0"/>
              <w:spacing w:before="0" w:after="0"/>
              <w:ind w:left="0" w:right="0" w:hanging="0"/>
              <w:jc w:val="left"/>
              <w:rPr/>
            </w:pPr>
            <w:r>
              <w:rPr/>
              <w:t>​</w:t>
            </w:r>
          </w:p>
        </w:tc>
        <w:tc>
          <w:tcPr>
            <w:tcW w:w="18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35,564</w:t>
            </w:r>
          </w:p>
        </w:tc>
      </w:tr>
      <w:tr>
        <w:trPr/>
        <w:tc>
          <w:tcPr>
            <w:tcW w:w="6301"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Cash and cash equivalents and restricted cash at end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18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2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48,375</w:t>
            </w:r>
          </w:p>
        </w:tc>
        <w:tc>
          <w:tcPr>
            <w:tcW w:w="353" w:type="dxa"/>
            <w:tcBorders/>
            <w:shd w:fill="CCEEFF" w:val="clear"/>
            <w:vAlign w:val="center"/>
          </w:tcPr>
          <w:p>
            <w:pPr>
              <w:pStyle w:val="TableContents"/>
              <w:bidi w:val="0"/>
              <w:spacing w:before="0" w:after="0"/>
              <w:ind w:left="0" w:right="0" w:hanging="0"/>
              <w:jc w:val="left"/>
              <w:rPr/>
            </w:pPr>
            <w:r>
              <w:rPr/>
              <w:t>​</w:t>
            </w:r>
          </w:p>
        </w:tc>
        <w:tc>
          <w:tcPr>
            <w:tcW w:w="18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74" w:type="dxa"/>
            <w:tcBorders>
              <w:bottom w:val="double" w:sz="6" w:space="0" w:color="000000"/>
            </w:tcBorders>
            <w:shd w:fill="CCEEFF" w:val="clear"/>
            <w:tcMar>
              <w:bottom w:w="28" w:type="dxa"/>
            </w:tcMar>
            <w:vAlign w:val="center"/>
          </w:tcPr>
          <w:p>
            <w:pPr>
              <w:pStyle w:val="TableContents"/>
              <w:bidi w:val="0"/>
              <w:spacing w:before="0" w:after="0"/>
              <w:ind w:left="0" w:right="45" w:hanging="0"/>
              <w:jc w:val="right"/>
              <w:rPr>
                <w:rFonts w:ascii="Times New Roman;Times;serif" w:hAnsi="Times New Roman;Times;serif"/>
                <w:sz w:val="15"/>
              </w:rPr>
            </w:pPr>
            <w:r>
              <w:rPr>
                <w:rFonts w:ascii="Times New Roman;Times;serif" w:hAnsi="Times New Roman;Times;serif"/>
                <w:sz w:val="15"/>
              </w:rPr>
              <w:t>52,324</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15"/>
        </w:rPr>
      </w:pPr>
      <w:r>
        <w:rPr>
          <w:rFonts w:ascii="Times New Roman;Times;serif" w:hAnsi="Times New Roman;Times;serif"/>
          <w:sz w:val="15"/>
        </w:rPr>
        <w:t>The total cash and cash equivalents and restricted cash at June 30, 2026 and 2025 is as follows:</w:t>
      </w:r>
    </w:p>
    <w:p>
      <w:pPr>
        <w:pStyle w:val="TextBody"/>
        <w:bidi w:val="0"/>
        <w:spacing w:before="0" w:after="0"/>
        <w:ind w:left="0" w:right="0" w:hanging="0"/>
        <w:jc w:val="left"/>
        <w:rPr/>
      </w:pPr>
      <w:r>
        <w:rPr/>
        <w:t>​</w:t>
      </w:r>
    </w:p>
    <w:tbl>
      <w:tblPr>
        <w:tblW w:w="4490" w:type="dxa"/>
        <w:jc w:val="left"/>
        <w:tblInd w:w="0" w:type="dxa"/>
        <w:tblLayout w:type="fixed"/>
        <w:tblCellMar>
          <w:top w:w="0" w:type="dxa"/>
          <w:left w:w="0" w:type="dxa"/>
          <w:bottom w:w="0" w:type="dxa"/>
          <w:right w:w="0" w:type="dxa"/>
        </w:tblCellMar>
      </w:tblPr>
      <w:tblGrid>
        <w:gridCol w:w="1741"/>
        <w:gridCol w:w="346"/>
        <w:gridCol w:w="257"/>
        <w:gridCol w:w="749"/>
        <w:gridCol w:w="346"/>
        <w:gridCol w:w="238"/>
        <w:gridCol w:w="813"/>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105535" cy="175260"/>
                      <wp:effectExtent l="0" t="0" r="0" b="0"/>
                      <wp:wrapNone/>
                      <wp:docPr id="33" name="Frame33"/>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175260"/>
                      <wp:effectExtent l="0" t="0" r="0" b="0"/>
                      <wp:wrapNone/>
                      <wp:docPr id="34"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63195" cy="175260"/>
                      <wp:effectExtent l="0" t="0" r="0" b="0"/>
                      <wp:wrapNone/>
                      <wp:docPr id="35" name="Frame35"/>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475615" cy="175260"/>
                      <wp:effectExtent l="0" t="0" r="0" b="0"/>
                      <wp:wrapNone/>
                      <wp:docPr id="36" name="Frame36"/>
                      <a:graphic xmlns:a="http://schemas.openxmlformats.org/drawingml/2006/main">
                        <a:graphicData uri="http://schemas.microsoft.com/office/word/2010/wordprocessingShape">
                          <wps:wsp>
                            <wps:cNvSpPr txBox="1"/>
                            <wps:spPr>
                              <a:xfrm>
                                <a:off x="0" y="0"/>
                                <a:ext cx="475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9710" cy="175260"/>
                      <wp:effectExtent l="0" t="0" r="0" b="0"/>
                      <wp:wrapNone/>
                      <wp:docPr id="37" name="Frame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51130" cy="175260"/>
                      <wp:effectExtent l="0" t="0" r="0" b="0"/>
                      <wp:wrapNone/>
                      <wp:docPr id="38" name="Frame38"/>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516255" cy="175260"/>
                      <wp:effectExtent l="0" t="0" r="0" b="0"/>
                      <wp:wrapNone/>
                      <wp:docPr id="39" name="Frame39"/>
                      <a:graphic xmlns:a="http://schemas.openxmlformats.org/drawingml/2006/main">
                        <a:graphicData uri="http://schemas.microsoft.com/office/word/2010/wordprocessingShape">
                          <wps:wsp>
                            <wps:cNvSpPr txBox="1"/>
                            <wps:spPr>
                              <a:xfrm>
                                <a:off x="0" y="0"/>
                                <a:ext cx="516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(Thousands)</w:t>
            </w:r>
          </w:p>
        </w:tc>
        <w:tc>
          <w:tcPr>
            <w:tcW w:w="346" w:type="dxa"/>
            <w:tcBorders/>
            <w:vAlign w:val="center"/>
          </w:tcPr>
          <w:p>
            <w:pPr>
              <w:pStyle w:val="TableContents"/>
              <w:bidi w:val="0"/>
              <w:spacing w:before="0" w:after="0"/>
              <w:ind w:left="0" w:right="0" w:hanging="0"/>
              <w:jc w:val="left"/>
              <w:rPr/>
            </w:pPr>
            <w:r>
              <w:rPr/>
              <w:t>  ​ ​ ​</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June 30, 2026</w:t>
            </w:r>
          </w:p>
        </w:tc>
        <w:tc>
          <w:tcPr>
            <w:tcW w:w="346" w:type="dxa"/>
            <w:tcBorders/>
            <w:vAlign w:val="center"/>
          </w:tcPr>
          <w:p>
            <w:pPr>
              <w:pStyle w:val="TableContents"/>
              <w:bidi w:val="0"/>
              <w:spacing w:before="0" w:after="0"/>
              <w:ind w:left="0" w:right="0" w:hanging="0"/>
              <w:jc w:val="left"/>
              <w:rPr/>
            </w:pPr>
            <w:r>
              <w:rPr/>
              <w:t>  ​ ​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June 30, 2025</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 xml:space="preserve">Cash and cash equivalents </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4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38,233</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1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43,956</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Restricted cash</w:t>
            </w:r>
          </w:p>
        </w:tc>
        <w:tc>
          <w:tcPr>
            <w:tcW w:w="346" w:type="dxa"/>
            <w:tcBorders/>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10,142</w:t>
            </w:r>
          </w:p>
        </w:tc>
        <w:tc>
          <w:tcPr>
            <w:tcW w:w="346" w:type="dxa"/>
            <w:tcBorders/>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8,368</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4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48,375</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13" w:type="dxa"/>
            <w:tcBorders>
              <w:bottom w:val="double" w:sz="6" w:space="0" w:color="000000"/>
            </w:tcBorders>
            <w:shd w:fill="CCEEFF" w:val="clear"/>
            <w:tcMar>
              <w:bottom w:w="28" w:type="dxa"/>
            </w:tcMar>
            <w:vAlign w:val="center"/>
          </w:tcPr>
          <w:p>
            <w:pPr>
              <w:pStyle w:val="TableContents"/>
              <w:bidi w:val="0"/>
              <w:spacing w:before="0" w:after="0"/>
              <w:ind w:left="0" w:right="45" w:hanging="0"/>
              <w:jc w:val="right"/>
              <w:rPr>
                <w:rFonts w:ascii="Times New Roman;Times;serif" w:hAnsi="Times New Roman;Times;serif"/>
                <w:sz w:val="15"/>
              </w:rPr>
            </w:pPr>
            <w:r>
              <w:rPr>
                <w:rFonts w:ascii="Times New Roman;Times;serif" w:hAnsi="Times New Roman;Times;serif"/>
                <w:sz w:val="15"/>
              </w:rPr>
              <w:t>52,324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color w:val="FF0000"/>
        </w:rPr>
      </w:pPr>
      <w:r>
        <w:rPr>
          <w:color w:val="FF0000"/>
        </w:rPr>
        <w:t>​</w:t>
      </w:r>
    </w:p>
    <w:p>
      <w:pPr>
        <w:pStyle w:val="TextBody"/>
        <w:bidi w:val="0"/>
        <w:spacing w:before="0" w:after="0"/>
        <w:ind w:left="0" w:right="0" w:hanging="0"/>
        <w:jc w:val="left"/>
        <w:rPr>
          <w:color w:val="FF0000"/>
        </w:rPr>
      </w:pPr>
      <w:r>
        <w:rPr>
          <w:color w:val="FF0000"/>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Westrock Coffee Company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Summary of Segment Results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tbl>
      <w:tblPr>
        <w:tblW w:w="9059" w:type="dxa"/>
        <w:jc w:val="left"/>
        <w:tblInd w:w="0" w:type="dxa"/>
        <w:tblLayout w:type="fixed"/>
        <w:tblCellMar>
          <w:top w:w="0" w:type="dxa"/>
          <w:left w:w="0" w:type="dxa"/>
          <w:bottom w:w="0" w:type="dxa"/>
          <w:right w:w="0" w:type="dxa"/>
        </w:tblCellMar>
      </w:tblPr>
      <w:tblGrid>
        <w:gridCol w:w="3226"/>
        <w:gridCol w:w="346"/>
        <w:gridCol w:w="241"/>
        <w:gridCol w:w="895"/>
        <w:gridCol w:w="396"/>
        <w:gridCol w:w="241"/>
        <w:gridCol w:w="895"/>
        <w:gridCol w:w="346"/>
        <w:gridCol w:w="219"/>
        <w:gridCol w:w="814"/>
        <w:gridCol w:w="360"/>
        <w:gridCol w:w="219"/>
        <w:gridCol w:w="861"/>
      </w:tblGrid>
      <w:tr>
        <w:trPr/>
        <w:tc>
          <w:tcPr>
            <w:tcW w:w="3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048510" cy="175260"/>
                      <wp:effectExtent l="0" t="0" r="0" b="0"/>
                      <wp:wrapNone/>
                      <wp:docPr id="40" name="Frame40"/>
                      <a:graphic xmlns:a="http://schemas.openxmlformats.org/drawingml/2006/main">
                        <a:graphicData uri="http://schemas.microsoft.com/office/word/2010/wordprocessingShape">
                          <wps:wsp>
                            <wps:cNvSpPr txBox="1"/>
                            <wps:spPr>
                              <a:xfrm>
                                <a:off x="0" y="0"/>
                                <a:ext cx="2048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9710" cy="175260"/>
                      <wp:effectExtent l="0" t="0" r="0" b="0"/>
                      <wp:wrapNone/>
                      <wp:docPr id="41" name="Frame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53035" cy="175260"/>
                      <wp:effectExtent l="0" t="0" r="0" b="0"/>
                      <wp:wrapNone/>
                      <wp:docPr id="42" name="Frame42"/>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568325" cy="175260"/>
                      <wp:effectExtent l="0" t="0" r="0" b="0"/>
                      <wp:wrapNone/>
                      <wp:docPr id="43" name="Frame43"/>
                      <a:graphic xmlns:a="http://schemas.openxmlformats.org/drawingml/2006/main">
                        <a:graphicData uri="http://schemas.microsoft.com/office/word/2010/wordprocessingShape">
                          <wps:wsp>
                            <wps:cNvSpPr txBox="1"/>
                            <wps:spPr>
                              <a:xfrm>
                                <a:off x="0" y="0"/>
                                <a:ext cx="568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51460" cy="175260"/>
                      <wp:effectExtent l="0" t="0" r="0" b="0"/>
                      <wp:wrapNone/>
                      <wp:docPr id="44" name="Frame44"/>
                      <a:graphic xmlns:a="http://schemas.openxmlformats.org/drawingml/2006/main">
                        <a:graphicData uri="http://schemas.microsoft.com/office/word/2010/wordprocessingShape">
                          <wps:wsp>
                            <wps:cNvSpPr txBox="1"/>
                            <wps:spPr>
                              <a:xfrm>
                                <a:off x="0" y="0"/>
                                <a:ext cx="251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53035" cy="175260"/>
                      <wp:effectExtent l="0" t="0" r="0" b="0"/>
                      <wp:wrapNone/>
                      <wp:docPr id="45" name="Frame45"/>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568325" cy="175260"/>
                      <wp:effectExtent l="0" t="0" r="0" b="0"/>
                      <wp:wrapNone/>
                      <wp:docPr id="46" name="Frame46"/>
                      <a:graphic xmlns:a="http://schemas.openxmlformats.org/drawingml/2006/main">
                        <a:graphicData uri="http://schemas.microsoft.com/office/word/2010/wordprocessingShape">
                          <wps:wsp>
                            <wps:cNvSpPr txBox="1"/>
                            <wps:spPr>
                              <a:xfrm>
                                <a:off x="0" y="0"/>
                                <a:ext cx="568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710" cy="175260"/>
                      <wp:effectExtent l="0" t="0" r="0" b="0"/>
                      <wp:wrapNone/>
                      <wp:docPr id="47" name="Frame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39065" cy="175260"/>
                      <wp:effectExtent l="0" t="0" r="0" b="0"/>
                      <wp:wrapNone/>
                      <wp:docPr id="48" name="Frame48"/>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516890" cy="175260"/>
                      <wp:effectExtent l="0" t="0" r="0" b="0"/>
                      <wp:wrapNone/>
                      <wp:docPr id="49" name="Frame49"/>
                      <a:graphic xmlns:a="http://schemas.openxmlformats.org/drawingml/2006/main">
                        <a:graphicData uri="http://schemas.microsoft.com/office/word/2010/wordprocessingShape">
                          <wps:wsp>
                            <wps:cNvSpPr txBox="1"/>
                            <wps:spPr>
                              <a:xfrm>
                                <a:off x="0" y="0"/>
                                <a:ext cx="516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28600" cy="175260"/>
                      <wp:effectExtent l="0" t="0" r="0" b="0"/>
                      <wp:wrapNone/>
                      <wp:docPr id="50" name="Frame5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39065" cy="175260"/>
                      <wp:effectExtent l="0" t="0" r="0" b="0"/>
                      <wp:wrapNone/>
                      <wp:docPr id="51" name="Frame51"/>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546735" cy="175260"/>
                      <wp:effectExtent l="0" t="0" r="0" b="0"/>
                      <wp:wrapNone/>
                      <wp:docPr id="52" name="Frame52"/>
                      <a:graphic xmlns:a="http://schemas.openxmlformats.org/drawingml/2006/main">
                        <a:graphicData uri="http://schemas.microsoft.com/office/word/2010/wordprocessingShape">
                          <wps:wsp>
                            <wps:cNvSpPr txBox="1"/>
                            <wps:spPr>
                              <a:xfrm>
                                <a:off x="0" y="0"/>
                                <a:ext cx="546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66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June 30, </w:t>
            </w:r>
          </w:p>
        </w:tc>
        <w:tc>
          <w:tcPr>
            <w:tcW w:w="346" w:type="dxa"/>
            <w:tcBorders/>
            <w:vAlign w:val="center"/>
          </w:tcPr>
          <w:p>
            <w:pPr>
              <w:pStyle w:val="TableContents"/>
              <w:bidi w:val="0"/>
              <w:spacing w:before="0" w:after="0"/>
              <w:ind w:left="0" w:right="0" w:hanging="0"/>
              <w:jc w:val="center"/>
              <w:rPr/>
            </w:pPr>
            <w:r>
              <w:rPr/>
              <w:t>​</w:t>
            </w:r>
          </w:p>
        </w:tc>
        <w:tc>
          <w:tcPr>
            <w:tcW w:w="247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 </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(Thousands)</w:t>
            </w:r>
          </w:p>
        </w:tc>
        <w:tc>
          <w:tcPr>
            <w:tcW w:w="346" w:type="dxa"/>
            <w:tcBorders/>
            <w:vAlign w:val="center"/>
          </w:tcPr>
          <w:p>
            <w:pPr>
              <w:pStyle w:val="TableContents"/>
              <w:bidi w:val="0"/>
              <w:spacing w:before="0" w:after="0"/>
              <w:ind w:left="0" w:right="0" w:hanging="0"/>
              <w:jc w:val="center"/>
              <w:rPr/>
            </w:pPr>
            <w:r>
              <w:rPr/>
              <w:t>  ​ ​ ​</w:t>
            </w:r>
          </w:p>
        </w:tc>
        <w:tc>
          <w:tcPr>
            <w:tcW w:w="11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96" w:type="dxa"/>
            <w:tcBorders/>
            <w:vAlign w:val="center"/>
          </w:tcPr>
          <w:p>
            <w:pPr>
              <w:pStyle w:val="TableContents"/>
              <w:bidi w:val="0"/>
              <w:spacing w:before="0" w:after="0"/>
              <w:ind w:left="0" w:right="0" w:hanging="0"/>
              <w:jc w:val="center"/>
              <w:rPr/>
            </w:pPr>
            <w:r>
              <w:rPr/>
              <w:t>  ​ ​ ​</w:t>
            </w:r>
          </w:p>
        </w:tc>
        <w:tc>
          <w:tcPr>
            <w:tcW w:w="11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center"/>
              <w:rPr/>
            </w:pPr>
            <w:r>
              <w:rPr/>
              <w:t>  ​ ​ ​</w:t>
            </w:r>
          </w:p>
        </w:tc>
        <w:tc>
          <w:tcPr>
            <w:tcW w:w="10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60" w:type="dxa"/>
            <w:tcBorders/>
            <w:vAlign w:val="center"/>
          </w:tcPr>
          <w:p>
            <w:pPr>
              <w:pStyle w:val="TableContents"/>
              <w:bidi w:val="0"/>
              <w:spacing w:before="0" w:after="0"/>
              <w:ind w:left="0" w:right="0" w:hanging="0"/>
              <w:jc w:val="center"/>
              <w:rPr/>
            </w:pPr>
            <w:r>
              <w:rPr/>
              <w:t>  ​ ​ ​</w:t>
            </w:r>
          </w:p>
        </w:tc>
        <w:tc>
          <w:tcPr>
            <w:tcW w:w="10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Beverage Solutions</w:t>
            </w:r>
          </w:p>
        </w:tc>
        <w:tc>
          <w:tcPr>
            <w:tcW w:w="346" w:type="dxa"/>
            <w:tcBorders/>
            <w:shd w:fill="CCEEFF" w:val="clear"/>
            <w:vAlign w:val="center"/>
          </w:tcPr>
          <w:p>
            <w:pPr>
              <w:pStyle w:val="TableContents"/>
              <w:bidi w:val="0"/>
              <w:spacing w:before="0" w:after="0"/>
              <w:ind w:left="0" w:right="0" w:hanging="0"/>
              <w:jc w:val="left"/>
              <w:rPr/>
            </w:pPr>
            <w:r>
              <w:rPr/>
              <w:t> </w:t>
            </w:r>
          </w:p>
        </w:tc>
        <w:tc>
          <w:tcPr>
            <w:tcW w:w="241" w:type="dxa"/>
            <w:tcBorders/>
            <w:shd w:fill="CCEEFF" w:val="clear"/>
            <w:vAlign w:val="center"/>
          </w:tcPr>
          <w:p>
            <w:pPr>
              <w:pStyle w:val="TableContents"/>
              <w:bidi w:val="0"/>
              <w:spacing w:before="0" w:after="0"/>
              <w:ind w:left="0" w:right="0" w:hanging="0"/>
              <w:jc w:val="left"/>
              <w:rPr/>
            </w:pPr>
            <w:r>
              <w:rPr/>
              <w:t>​</w:t>
            </w:r>
          </w:p>
        </w:tc>
        <w:tc>
          <w:tcPr>
            <w:tcW w:w="895" w:type="dxa"/>
            <w:tcBorders/>
            <w:shd w:fill="CCEEFF" w:val="clear"/>
            <w:vAlign w:val="center"/>
          </w:tcPr>
          <w:p>
            <w:pPr>
              <w:pStyle w:val="TableContents"/>
              <w:bidi w:val="0"/>
              <w:spacing w:before="0" w:after="0"/>
              <w:ind w:left="0" w:right="0" w:hanging="0"/>
              <w:jc w:val="right"/>
              <w:rPr/>
            </w:pPr>
            <w:r>
              <w:rPr/>
              <w:t>  ​</w:t>
            </w:r>
          </w:p>
        </w:tc>
        <w:tc>
          <w:tcPr>
            <w:tcW w:w="396" w:type="dxa"/>
            <w:tcBorders/>
            <w:shd w:fill="CCEEFF" w:val="clear"/>
            <w:vAlign w:val="center"/>
          </w:tcPr>
          <w:p>
            <w:pPr>
              <w:pStyle w:val="TableContents"/>
              <w:bidi w:val="0"/>
              <w:spacing w:before="0" w:after="0"/>
              <w:ind w:left="0" w:right="0" w:hanging="0"/>
              <w:jc w:val="left"/>
              <w:rPr/>
            </w:pPr>
            <w:r>
              <w:rPr/>
              <w:t> </w:t>
            </w:r>
          </w:p>
        </w:tc>
        <w:tc>
          <w:tcPr>
            <w:tcW w:w="241" w:type="dxa"/>
            <w:tcBorders/>
            <w:shd w:fill="CCEEFF" w:val="clear"/>
            <w:vAlign w:val="center"/>
          </w:tcPr>
          <w:p>
            <w:pPr>
              <w:pStyle w:val="TableContents"/>
              <w:bidi w:val="0"/>
              <w:spacing w:before="0" w:after="0"/>
              <w:ind w:left="0" w:right="0" w:hanging="0"/>
              <w:jc w:val="left"/>
              <w:rPr/>
            </w:pPr>
            <w:r>
              <w:rPr/>
              <w:t>​</w:t>
            </w:r>
          </w:p>
        </w:tc>
        <w:tc>
          <w:tcPr>
            <w:tcW w:w="895"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9" w:type="dxa"/>
            <w:tcBorders/>
            <w:shd w:fill="CCEEFF" w:val="clear"/>
            <w:vAlign w:val="center"/>
          </w:tcPr>
          <w:p>
            <w:pPr>
              <w:pStyle w:val="TableContents"/>
              <w:bidi w:val="0"/>
              <w:spacing w:before="0" w:after="0"/>
              <w:ind w:left="0" w:right="0" w:hanging="0"/>
              <w:jc w:val="left"/>
              <w:rPr/>
            </w:pPr>
            <w:r>
              <w:rPr/>
              <w:t>​</w:t>
            </w:r>
          </w:p>
        </w:tc>
        <w:tc>
          <w:tcPr>
            <w:tcW w:w="814" w:type="dxa"/>
            <w:tcBorders/>
            <w:shd w:fill="CCEEFF" w:val="clear"/>
            <w:vAlign w:val="center"/>
          </w:tcPr>
          <w:p>
            <w:pPr>
              <w:pStyle w:val="TableContents"/>
              <w:bidi w:val="0"/>
              <w:spacing w:before="0" w:after="0"/>
              <w:ind w:left="0" w:right="0" w:hanging="0"/>
              <w:jc w:val="right"/>
              <w:rPr/>
            </w:pPr>
            <w:r>
              <w:rPr/>
              <w:t>  ​</w:t>
            </w:r>
          </w:p>
        </w:tc>
        <w:tc>
          <w:tcPr>
            <w:tcW w:w="360" w:type="dxa"/>
            <w:tcBorders/>
            <w:shd w:fill="CCEEFF" w:val="clear"/>
            <w:vAlign w:val="center"/>
          </w:tcPr>
          <w:p>
            <w:pPr>
              <w:pStyle w:val="TableContents"/>
              <w:bidi w:val="0"/>
              <w:spacing w:before="0" w:after="0"/>
              <w:ind w:left="0" w:right="0" w:hanging="0"/>
              <w:jc w:val="left"/>
              <w:rPr/>
            </w:pPr>
            <w:r>
              <w:rPr/>
              <w:t> </w:t>
            </w:r>
          </w:p>
        </w:tc>
        <w:tc>
          <w:tcPr>
            <w:tcW w:w="219" w:type="dxa"/>
            <w:tcBorders/>
            <w:shd w:fill="CCEEFF" w:val="clear"/>
            <w:vAlign w:val="center"/>
          </w:tcPr>
          <w:p>
            <w:pPr>
              <w:pStyle w:val="TableContents"/>
              <w:bidi w:val="0"/>
              <w:spacing w:before="0" w:after="0"/>
              <w:ind w:left="0" w:right="0" w:hanging="0"/>
              <w:jc w:val="left"/>
              <w:rPr/>
            </w:pPr>
            <w:r>
              <w:rPr/>
              <w:t>​</w:t>
            </w:r>
          </w:p>
        </w:tc>
        <w:tc>
          <w:tcPr>
            <w:tcW w:w="861" w:type="dxa"/>
            <w:tcBorders/>
            <w:shd w:fill="CCEEFF" w:val="clear"/>
            <w:vAlign w:val="center"/>
          </w:tcPr>
          <w:p>
            <w:pPr>
              <w:pStyle w:val="TableContents"/>
              <w:bidi w:val="0"/>
              <w:spacing w:before="0" w:after="0"/>
              <w:ind w:left="0" w:right="0" w:hanging="0"/>
              <w:jc w:val="right"/>
              <w:rPr/>
            </w:pPr>
            <w:r>
              <w:rPr/>
              <w:t>  ​</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243,870</w:t>
            </w:r>
          </w:p>
        </w:tc>
        <w:tc>
          <w:tcPr>
            <w:tcW w:w="39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208,814</w:t>
            </w:r>
          </w:p>
        </w:tc>
        <w:tc>
          <w:tcPr>
            <w:tcW w:w="346" w:type="dxa"/>
            <w:tcBorders/>
            <w:vAlign w:val="center"/>
          </w:tcPr>
          <w:p>
            <w:pPr>
              <w:pStyle w:val="TableContents"/>
              <w:bidi w:val="0"/>
              <w:spacing w:before="0" w:after="0"/>
              <w:ind w:left="0" w:right="0" w:hanging="0"/>
              <w:jc w:val="left"/>
              <w:rPr>
                <w:color w:val="FF0000"/>
              </w:rPr>
            </w:pPr>
            <w:r>
              <w:rPr>
                <w:color w:val="FF0000"/>
              </w:rPr>
              <w:t>​</w:t>
            </w:r>
          </w:p>
        </w:tc>
        <w:tc>
          <w:tcPr>
            <w:tcW w:w="2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483,192</w:t>
            </w:r>
          </w:p>
        </w:tc>
        <w:tc>
          <w:tcPr>
            <w:tcW w:w="360" w:type="dxa"/>
            <w:tcBorders/>
            <w:vAlign w:val="center"/>
          </w:tcPr>
          <w:p>
            <w:pPr>
              <w:pStyle w:val="TableContents"/>
              <w:bidi w:val="0"/>
              <w:spacing w:before="0" w:after="0"/>
              <w:ind w:left="0" w:right="0" w:hanging="0"/>
              <w:jc w:val="left"/>
              <w:rPr>
                <w:color w:val="FF0000"/>
              </w:rPr>
            </w:pPr>
            <w:r>
              <w:rPr>
                <w:color w:val="FF0000"/>
              </w:rPr>
              <w:t>​</w:t>
            </w:r>
          </w:p>
        </w:tc>
        <w:tc>
          <w:tcPr>
            <w:tcW w:w="2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372,893</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EBITDA</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 </w:t>
            </w:r>
          </w:p>
        </w:tc>
        <w:tc>
          <w:tcPr>
            <w:tcW w:w="8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22,167</w:t>
            </w:r>
          </w:p>
        </w:tc>
        <w:tc>
          <w:tcPr>
            <w:tcW w:w="39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 </w:t>
            </w:r>
          </w:p>
        </w:tc>
        <w:tc>
          <w:tcPr>
            <w:tcW w:w="8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19,670</w:t>
            </w:r>
          </w:p>
        </w:tc>
        <w:tc>
          <w:tcPr>
            <w:tcW w:w="346"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219" w:type="dxa"/>
            <w:tcBorders/>
            <w:shd w:fill="CCEEFF" w:val="clear"/>
            <w:vAlign w:val="center"/>
          </w:tcPr>
          <w:p>
            <w:pPr>
              <w:pStyle w:val="TableContents"/>
              <w:bidi w:val="0"/>
              <w:spacing w:before="0" w:after="0"/>
              <w:ind w:left="0" w:right="0" w:hanging="0"/>
              <w:jc w:val="left"/>
              <w:rPr>
                <w:color w:val="FF0000"/>
              </w:rPr>
            </w:pPr>
            <w:r>
              <w:rPr>
                <w:color w:val="FF0000"/>
              </w:rPr>
              <w:t> </w:t>
            </w:r>
          </w:p>
        </w:tc>
        <w:tc>
          <w:tcPr>
            <w:tcW w:w="8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45,441</w:t>
            </w:r>
          </w:p>
        </w:tc>
        <w:tc>
          <w:tcPr>
            <w:tcW w:w="360"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219" w:type="dxa"/>
            <w:tcBorders/>
            <w:shd w:fill="CCEEFF" w:val="clear"/>
            <w:vAlign w:val="center"/>
          </w:tcPr>
          <w:p>
            <w:pPr>
              <w:pStyle w:val="TableContents"/>
              <w:bidi w:val="0"/>
              <w:spacing w:before="0" w:after="0"/>
              <w:ind w:left="0" w:right="0" w:hanging="0"/>
              <w:jc w:val="left"/>
              <w:rPr>
                <w:color w:val="FF0000"/>
              </w:rPr>
            </w:pPr>
            <w:r>
              <w:rPr>
                <w:color w:val="FF0000"/>
              </w:rPr>
              <w:t> </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29,253</w:t>
            </w:r>
          </w:p>
        </w:tc>
      </w:tr>
      <w:tr>
        <w:trPr/>
        <w:tc>
          <w:tcPr>
            <w:tcW w:w="3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895" w:type="dxa"/>
            <w:tcBorders/>
            <w:vAlign w:val="center"/>
          </w:tcPr>
          <w:p>
            <w:pPr>
              <w:pStyle w:val="TableContents"/>
              <w:bidi w:val="0"/>
              <w:spacing w:before="0" w:after="0"/>
              <w:ind w:left="0" w:right="0" w:hanging="0"/>
              <w:jc w:val="right"/>
              <w:rPr/>
            </w:pPr>
            <w:r>
              <w:rPr/>
              <w:t>​</w:t>
            </w:r>
          </w:p>
        </w:tc>
        <w:tc>
          <w:tcPr>
            <w:tcW w:w="39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895" w:type="dxa"/>
            <w:tcBorders/>
            <w:vAlign w:val="center"/>
          </w:tcPr>
          <w:p>
            <w:pPr>
              <w:pStyle w:val="TableContents"/>
              <w:bidi w:val="0"/>
              <w:spacing w:before="0" w:after="0"/>
              <w:ind w:left="0" w:right="0" w:hanging="0"/>
              <w:jc w:val="right"/>
              <w:rPr>
                <w:color w:val="FF0000"/>
              </w:rPr>
            </w:pPr>
            <w:r>
              <w:rPr>
                <w:color w:val="FF0000"/>
              </w:rPr>
              <w:t>​</w:t>
            </w:r>
          </w:p>
        </w:tc>
        <w:tc>
          <w:tcPr>
            <w:tcW w:w="346" w:type="dxa"/>
            <w:tcBorders/>
            <w:vAlign w:val="center"/>
          </w:tcPr>
          <w:p>
            <w:pPr>
              <w:pStyle w:val="TableContents"/>
              <w:bidi w:val="0"/>
              <w:spacing w:before="0" w:after="0"/>
              <w:ind w:left="0" w:right="0" w:hanging="0"/>
              <w:jc w:val="left"/>
              <w:rPr>
                <w:color w:val="FF0000"/>
              </w:rPr>
            </w:pPr>
            <w:r>
              <w:rPr>
                <w:color w:val="FF0000"/>
              </w:rPr>
              <w:t>​</w:t>
            </w:r>
          </w:p>
        </w:tc>
        <w:tc>
          <w:tcPr>
            <w:tcW w:w="219" w:type="dxa"/>
            <w:tcBorders/>
            <w:vAlign w:val="center"/>
          </w:tcPr>
          <w:p>
            <w:pPr>
              <w:pStyle w:val="TableContents"/>
              <w:bidi w:val="0"/>
              <w:spacing w:before="0" w:after="0"/>
              <w:ind w:left="0" w:right="0" w:hanging="0"/>
              <w:jc w:val="left"/>
              <w:rPr>
                <w:color w:val="FF0000"/>
              </w:rPr>
            </w:pPr>
            <w:r>
              <w:rPr>
                <w:color w:val="FF0000"/>
              </w:rPr>
              <w:t>​</w:t>
            </w:r>
          </w:p>
        </w:tc>
        <w:tc>
          <w:tcPr>
            <w:tcW w:w="814" w:type="dxa"/>
            <w:tcBorders/>
            <w:vAlign w:val="center"/>
          </w:tcPr>
          <w:p>
            <w:pPr>
              <w:pStyle w:val="TableContents"/>
              <w:bidi w:val="0"/>
              <w:spacing w:before="0" w:after="0"/>
              <w:ind w:left="0" w:right="0" w:hanging="0"/>
              <w:jc w:val="right"/>
              <w:rPr>
                <w:color w:val="FF0000"/>
              </w:rPr>
            </w:pPr>
            <w:r>
              <w:rPr>
                <w:color w:val="FF0000"/>
              </w:rPr>
              <w:t>​</w:t>
            </w:r>
          </w:p>
        </w:tc>
        <w:tc>
          <w:tcPr>
            <w:tcW w:w="360" w:type="dxa"/>
            <w:tcBorders/>
            <w:vAlign w:val="center"/>
          </w:tcPr>
          <w:p>
            <w:pPr>
              <w:pStyle w:val="TableContents"/>
              <w:bidi w:val="0"/>
              <w:spacing w:before="0" w:after="0"/>
              <w:ind w:left="0" w:right="0" w:hanging="0"/>
              <w:jc w:val="left"/>
              <w:rPr>
                <w:color w:val="FF0000"/>
              </w:rPr>
            </w:pPr>
            <w:r>
              <w:rPr>
                <w:color w:val="FF0000"/>
              </w:rPr>
              <w:t>​</w:t>
            </w:r>
          </w:p>
        </w:tc>
        <w:tc>
          <w:tcPr>
            <w:tcW w:w="219" w:type="dxa"/>
            <w:tcBorders/>
            <w:vAlign w:val="center"/>
          </w:tcPr>
          <w:p>
            <w:pPr>
              <w:pStyle w:val="TableContents"/>
              <w:bidi w:val="0"/>
              <w:spacing w:before="0" w:after="0"/>
              <w:ind w:left="0" w:right="0" w:hanging="0"/>
              <w:jc w:val="left"/>
              <w:rPr>
                <w:color w:val="FF0000"/>
              </w:rPr>
            </w:pPr>
            <w:r>
              <w:rPr>
                <w:color w:val="FF0000"/>
              </w:rPr>
              <w:t>​</w:t>
            </w:r>
          </w:p>
        </w:tc>
        <w:tc>
          <w:tcPr>
            <w:tcW w:w="861" w:type="dxa"/>
            <w:tcBorders/>
            <w:vAlign w:val="center"/>
          </w:tcPr>
          <w:p>
            <w:pPr>
              <w:pStyle w:val="TableContents"/>
              <w:bidi w:val="0"/>
              <w:spacing w:before="0" w:after="0"/>
              <w:ind w:left="0" w:right="0" w:hanging="0"/>
              <w:jc w:val="right"/>
              <w:rPr>
                <w:color w:val="FF0000"/>
              </w:rPr>
            </w:pPr>
            <w:r>
              <w:rPr>
                <w:color w:val="FF0000"/>
              </w:rPr>
              <w:t>​</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Sustainable Sourcing &amp; Traceability</w:t>
            </w:r>
          </w:p>
        </w:tc>
        <w:tc>
          <w:tcPr>
            <w:tcW w:w="346" w:type="dxa"/>
            <w:tcBorders/>
            <w:shd w:fill="CCEEFF" w:val="clear"/>
            <w:vAlign w:val="center"/>
          </w:tcPr>
          <w:p>
            <w:pPr>
              <w:pStyle w:val="TableContents"/>
              <w:bidi w:val="0"/>
              <w:spacing w:before="0" w:after="0"/>
              <w:ind w:left="0" w:right="0" w:hanging="0"/>
              <w:jc w:val="left"/>
              <w:rPr/>
            </w:pPr>
            <w:r>
              <w:rPr/>
              <w:t> </w:t>
            </w:r>
          </w:p>
        </w:tc>
        <w:tc>
          <w:tcPr>
            <w:tcW w:w="241" w:type="dxa"/>
            <w:tcBorders/>
            <w:shd w:fill="CCEEFF" w:val="clear"/>
            <w:vAlign w:val="center"/>
          </w:tcPr>
          <w:p>
            <w:pPr>
              <w:pStyle w:val="TableContents"/>
              <w:bidi w:val="0"/>
              <w:spacing w:before="0" w:after="0"/>
              <w:ind w:left="0" w:right="0" w:hanging="0"/>
              <w:jc w:val="left"/>
              <w:rPr/>
            </w:pPr>
            <w:r>
              <w:rPr/>
              <w:t>​</w:t>
            </w:r>
          </w:p>
        </w:tc>
        <w:tc>
          <w:tcPr>
            <w:tcW w:w="895" w:type="dxa"/>
            <w:tcBorders/>
            <w:shd w:fill="CCEEFF" w:val="clear"/>
            <w:vAlign w:val="center"/>
          </w:tcPr>
          <w:p>
            <w:pPr>
              <w:pStyle w:val="TableContents"/>
              <w:bidi w:val="0"/>
              <w:spacing w:before="0" w:after="0"/>
              <w:ind w:left="0" w:right="0" w:hanging="0"/>
              <w:jc w:val="right"/>
              <w:rPr/>
            </w:pPr>
            <w:r>
              <w:rPr/>
              <w:t>  ​</w:t>
            </w:r>
          </w:p>
        </w:tc>
        <w:tc>
          <w:tcPr>
            <w:tcW w:w="396" w:type="dxa"/>
            <w:tcBorders/>
            <w:shd w:fill="CCEEFF" w:val="clear"/>
            <w:vAlign w:val="center"/>
          </w:tcPr>
          <w:p>
            <w:pPr>
              <w:pStyle w:val="TableContents"/>
              <w:bidi w:val="0"/>
              <w:spacing w:before="0" w:after="0"/>
              <w:ind w:left="0" w:right="0" w:hanging="0"/>
              <w:jc w:val="left"/>
              <w:rPr/>
            </w:pPr>
            <w:r>
              <w:rPr/>
              <w:t> </w:t>
            </w:r>
          </w:p>
        </w:tc>
        <w:tc>
          <w:tcPr>
            <w:tcW w:w="241" w:type="dxa"/>
            <w:tcBorders/>
            <w:shd w:fill="CCEEFF" w:val="clear"/>
            <w:vAlign w:val="center"/>
          </w:tcPr>
          <w:p>
            <w:pPr>
              <w:pStyle w:val="TableContents"/>
              <w:bidi w:val="0"/>
              <w:spacing w:before="0" w:after="0"/>
              <w:ind w:left="0" w:right="0" w:hanging="0"/>
              <w:jc w:val="left"/>
              <w:rPr/>
            </w:pPr>
            <w:r>
              <w:rPr/>
              <w:t>​</w:t>
            </w:r>
          </w:p>
        </w:tc>
        <w:tc>
          <w:tcPr>
            <w:tcW w:w="895"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9" w:type="dxa"/>
            <w:tcBorders/>
            <w:shd w:fill="CCEEFF" w:val="clear"/>
            <w:vAlign w:val="center"/>
          </w:tcPr>
          <w:p>
            <w:pPr>
              <w:pStyle w:val="TableContents"/>
              <w:bidi w:val="0"/>
              <w:spacing w:before="0" w:after="0"/>
              <w:ind w:left="0" w:right="0" w:hanging="0"/>
              <w:jc w:val="left"/>
              <w:rPr/>
            </w:pPr>
            <w:r>
              <w:rPr/>
              <w:t>​</w:t>
            </w:r>
          </w:p>
        </w:tc>
        <w:tc>
          <w:tcPr>
            <w:tcW w:w="814" w:type="dxa"/>
            <w:tcBorders/>
            <w:shd w:fill="CCEEFF" w:val="clear"/>
            <w:vAlign w:val="center"/>
          </w:tcPr>
          <w:p>
            <w:pPr>
              <w:pStyle w:val="TableContents"/>
              <w:bidi w:val="0"/>
              <w:spacing w:before="0" w:after="0"/>
              <w:ind w:left="0" w:right="0" w:hanging="0"/>
              <w:jc w:val="right"/>
              <w:rPr/>
            </w:pPr>
            <w:r>
              <w:rPr/>
              <w:t>  ​</w:t>
            </w:r>
          </w:p>
        </w:tc>
        <w:tc>
          <w:tcPr>
            <w:tcW w:w="360" w:type="dxa"/>
            <w:tcBorders/>
            <w:shd w:fill="CCEEFF" w:val="clear"/>
            <w:vAlign w:val="center"/>
          </w:tcPr>
          <w:p>
            <w:pPr>
              <w:pStyle w:val="TableContents"/>
              <w:bidi w:val="0"/>
              <w:spacing w:before="0" w:after="0"/>
              <w:ind w:left="0" w:right="0" w:hanging="0"/>
              <w:jc w:val="left"/>
              <w:rPr/>
            </w:pPr>
            <w:r>
              <w:rPr/>
              <w:t> </w:t>
            </w:r>
          </w:p>
        </w:tc>
        <w:tc>
          <w:tcPr>
            <w:tcW w:w="219" w:type="dxa"/>
            <w:tcBorders/>
            <w:shd w:fill="CCEEFF" w:val="clear"/>
            <w:vAlign w:val="center"/>
          </w:tcPr>
          <w:p>
            <w:pPr>
              <w:pStyle w:val="TableContents"/>
              <w:bidi w:val="0"/>
              <w:spacing w:before="0" w:after="0"/>
              <w:ind w:left="0" w:right="0" w:hanging="0"/>
              <w:jc w:val="left"/>
              <w:rPr/>
            </w:pPr>
            <w:r>
              <w:rPr/>
              <w:t>​</w:t>
            </w:r>
          </w:p>
        </w:tc>
        <w:tc>
          <w:tcPr>
            <w:tcW w:w="861" w:type="dxa"/>
            <w:tcBorders/>
            <w:shd w:fill="CCEEFF" w:val="clear"/>
            <w:vAlign w:val="center"/>
          </w:tcPr>
          <w:p>
            <w:pPr>
              <w:pStyle w:val="TableContents"/>
              <w:bidi w:val="0"/>
              <w:spacing w:before="0" w:after="0"/>
              <w:ind w:left="0" w:right="0" w:hanging="0"/>
              <w:jc w:val="right"/>
              <w:rPr/>
            </w:pPr>
            <w:r>
              <w:rPr/>
              <w:t>  ​</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61,788</w:t>
            </w:r>
          </w:p>
        </w:tc>
        <w:tc>
          <w:tcPr>
            <w:tcW w:w="396" w:type="dxa"/>
            <w:tcBorders/>
            <w:vAlign w:val="center"/>
          </w:tcPr>
          <w:p>
            <w:pPr>
              <w:pStyle w:val="TableContents"/>
              <w:bidi w:val="0"/>
              <w:spacing w:before="0" w:after="0"/>
              <w:ind w:left="0" w:right="0" w:hanging="0"/>
              <w:jc w:val="left"/>
              <w:rPr>
                <w:color w:val="FF0000"/>
              </w:rPr>
            </w:pPr>
            <w:r>
              <w:rPr>
                <w:color w:val="FF0000"/>
              </w:rPr>
              <w:t>​</w:t>
            </w:r>
          </w:p>
        </w:tc>
        <w:tc>
          <w:tcPr>
            <w:tcW w:w="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72,045</w:t>
            </w:r>
          </w:p>
        </w:tc>
        <w:tc>
          <w:tcPr>
            <w:tcW w:w="346" w:type="dxa"/>
            <w:tcBorders/>
            <w:vAlign w:val="center"/>
          </w:tcPr>
          <w:p>
            <w:pPr>
              <w:pStyle w:val="TableContents"/>
              <w:bidi w:val="0"/>
              <w:spacing w:before="0" w:after="0"/>
              <w:ind w:left="0" w:right="0" w:hanging="0"/>
              <w:jc w:val="left"/>
              <w:rPr>
                <w:color w:val="FF0000"/>
              </w:rPr>
            </w:pPr>
            <w:r>
              <w:rPr>
                <w:color w:val="FF0000"/>
              </w:rPr>
              <w:t>​</w:t>
            </w:r>
          </w:p>
        </w:tc>
        <w:tc>
          <w:tcPr>
            <w:tcW w:w="2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131,291</w:t>
            </w:r>
          </w:p>
        </w:tc>
        <w:tc>
          <w:tcPr>
            <w:tcW w:w="360" w:type="dxa"/>
            <w:tcBorders/>
            <w:vAlign w:val="center"/>
          </w:tcPr>
          <w:p>
            <w:pPr>
              <w:pStyle w:val="TableContents"/>
              <w:bidi w:val="0"/>
              <w:spacing w:before="0" w:after="0"/>
              <w:ind w:left="0" w:right="0" w:hanging="0"/>
              <w:jc w:val="left"/>
              <w:rPr>
                <w:color w:val="FF0000"/>
              </w:rPr>
            </w:pPr>
            <w:r>
              <w:rPr>
                <w:color w:val="FF0000"/>
              </w:rPr>
              <w:t>​</w:t>
            </w:r>
          </w:p>
        </w:tc>
        <w:tc>
          <w:tcPr>
            <w:tcW w:w="2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121,762</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EBITDA</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 </w:t>
            </w:r>
          </w:p>
        </w:tc>
        <w:tc>
          <w:tcPr>
            <w:tcW w:w="8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1,959</w:t>
            </w:r>
          </w:p>
        </w:tc>
        <w:tc>
          <w:tcPr>
            <w:tcW w:w="396"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241" w:type="dxa"/>
            <w:tcBorders/>
            <w:shd w:fill="CCEEFF" w:val="clear"/>
            <w:vAlign w:val="center"/>
          </w:tcPr>
          <w:p>
            <w:pPr>
              <w:pStyle w:val="TableContents"/>
              <w:bidi w:val="0"/>
              <w:spacing w:before="0" w:after="0"/>
              <w:ind w:left="0" w:right="0" w:hanging="0"/>
              <w:jc w:val="left"/>
              <w:rPr>
                <w:color w:val="FF0000"/>
              </w:rPr>
            </w:pPr>
            <w:r>
              <w:rPr>
                <w:color w:val="FF0000"/>
              </w:rPr>
              <w:t> </w:t>
            </w:r>
          </w:p>
        </w:tc>
        <w:tc>
          <w:tcPr>
            <w:tcW w:w="8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3,315</w:t>
            </w:r>
          </w:p>
        </w:tc>
        <w:tc>
          <w:tcPr>
            <w:tcW w:w="346"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219" w:type="dxa"/>
            <w:tcBorders/>
            <w:shd w:fill="CCEEFF" w:val="clear"/>
            <w:vAlign w:val="center"/>
          </w:tcPr>
          <w:p>
            <w:pPr>
              <w:pStyle w:val="TableContents"/>
              <w:bidi w:val="0"/>
              <w:spacing w:before="0" w:after="0"/>
              <w:ind w:left="0" w:right="0" w:hanging="0"/>
              <w:jc w:val="left"/>
              <w:rPr>
                <w:color w:val="FF0000"/>
              </w:rPr>
            </w:pPr>
            <w:r>
              <w:rPr>
                <w:color w:val="FF0000"/>
              </w:rPr>
              <w:t> </w:t>
            </w:r>
          </w:p>
        </w:tc>
        <w:tc>
          <w:tcPr>
            <w:tcW w:w="8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8,419</w:t>
            </w:r>
          </w:p>
        </w:tc>
        <w:tc>
          <w:tcPr>
            <w:tcW w:w="360"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219" w:type="dxa"/>
            <w:tcBorders/>
            <w:shd w:fill="CCEEFF" w:val="clear"/>
            <w:vAlign w:val="center"/>
          </w:tcPr>
          <w:p>
            <w:pPr>
              <w:pStyle w:val="TableContents"/>
              <w:bidi w:val="0"/>
              <w:spacing w:before="0" w:after="0"/>
              <w:ind w:left="0" w:right="0" w:hanging="0"/>
              <w:jc w:val="left"/>
              <w:rPr>
                <w:color w:val="FF0000"/>
              </w:rPr>
            </w:pPr>
            <w:r>
              <w:rPr>
                <w:color w:val="FF0000"/>
              </w:rPr>
              <w:t> </w:t>
            </w:r>
          </w:p>
        </w:tc>
        <w:tc>
          <w:tcPr>
            <w:tcW w:w="86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5,243</w:t>
            </w:r>
          </w:p>
        </w:tc>
      </w:tr>
    </w:tbl>
    <w:p>
      <w:pPr>
        <w:pStyle w:val="TextBody"/>
        <w:bidi w:val="0"/>
        <w:spacing w:before="0" w:after="240"/>
        <w:ind w:left="0" w:right="0" w:hanging="0"/>
        <w:jc w:val="center"/>
        <w:rPr>
          <w:color w:val="FF0000"/>
        </w:rPr>
      </w:pPr>
      <w:r>
        <w:rPr>
          <w:color w:val="FF0000"/>
        </w:rPr>
        <w:t>​</w:t>
      </w:r>
    </w:p>
    <w:p>
      <w:pPr>
        <w:pStyle w:val="HorizontalLine"/>
        <w:pBdr>
          <w:bottom w:val="single" w:sz="6" w:space="0" w:color="000000"/>
        </w:pBdr>
        <w:bidi w:val="0"/>
        <w:spacing w:before="0" w:after="1"/>
        <w:ind w:left="0" w:right="7654" w:hanging="0"/>
        <w:jc w:val="left"/>
        <w:rPr/>
      </w:pPr>
      <w:r>
        <w:rPr/>
      </w:r>
    </w:p>
    <w:p>
      <w:pPr>
        <w:pStyle w:val="TextBody"/>
        <w:bidi w:val="0"/>
        <w:spacing w:before="0" w:after="0"/>
        <w:ind w:left="0" w:right="0" w:hanging="0"/>
        <w:jc w:val="left"/>
        <w:rPr>
          <w:rFonts w:ascii="Times New Roman;Times;serif" w:hAnsi="Times New Roman;Times;serif"/>
          <w:sz w:val="14"/>
        </w:rPr>
      </w:pPr>
      <w:r>
        <w:rPr>
          <w:rFonts w:ascii="Times New Roman;Times;serif" w:hAnsi="Times New Roman;Times;serif"/>
          <w:sz w:val="15"/>
        </w:rPr>
        <w:t xml:space="preserve">1 - Segment Adjusted EBITDA is a segment performance measure, which is required by U.S. GAAP to be disclosed in accordance with FASB Accounting Standards Codification 280, </w:t>
      </w:r>
      <w:r>
        <w:rPr>
          <w:rFonts w:ascii="Times New Roman;Times;serif" w:hAnsi="Times New Roman;Times;serif"/>
          <w:i/>
          <w:sz w:val="15"/>
        </w:rPr>
        <w:t>Segment Reporting</w:t>
      </w:r>
      <w:r>
        <w:rPr>
          <w:rFonts w:ascii="Times New Roman;Times;serif" w:hAnsi="Times New Roman;Times;serif"/>
          <w:sz w:val="15"/>
        </w:rPr>
        <w:t>. Segment Adjusted EBITDA is defined consistently with Consolidated Adjusted EBITDA, except that it excludes scale-up costs related to our Conway Facility. Refer to the Notes to Condensed Consolidated Financial Statements included in our Quarterly Report on Form 10-Q for additional information regarding our segments and a reconciliation of Segment Adjusted EBITDA to loss before income taxes and equity in earnings from unconsolidated entities.</w:t>
      </w:r>
    </w:p>
    <w:p>
      <w:pPr>
        <w:pStyle w:val="TextBody"/>
        <w:bidi w:val="0"/>
        <w:spacing w:before="0" w:after="0"/>
        <w:ind w:left="0" w:right="0" w:hanging="0"/>
        <w:jc w:val="left"/>
        <w:rPr>
          <w:rFonts w:ascii="Times New Roman;Times;serif" w:hAnsi="Times New Roman;Times;serif"/>
          <w:sz w:val="14"/>
        </w:rPr>
      </w:pPr>
      <w:r>
        <w:rPr>
          <w:rFonts w:ascii="Times New Roman;Times;serif" w:hAnsi="Times New Roman;Times;serif"/>
          <w:sz w:val="15"/>
        </w:rPr>
        <w:t>2 - Net</w:t>
      </w:r>
      <w:r>
        <w:rPr>
          <w:rFonts w:ascii="Times New Roman;Times;serif" w:hAnsi="Times New Roman;Times;serif"/>
          <w:sz w:val="14"/>
        </w:rPr>
        <w:t xml:space="preserve"> </w:t>
      </w:r>
      <w:r>
        <w:rPr>
          <w:rFonts w:ascii="Times New Roman;Times;serif" w:hAnsi="Times New Roman;Times;serif"/>
          <w:sz w:val="15"/>
        </w:rPr>
        <w:t>of intersegment revenues.</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Westrock Coffee Company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Calculation of Beverage Solutions Credit Agreement Secured Net Leverage Ratio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tbl>
      <w:tblPr>
        <w:tblW w:w="8463" w:type="dxa"/>
        <w:jc w:val="left"/>
        <w:tblInd w:w="0" w:type="dxa"/>
        <w:tblLayout w:type="fixed"/>
        <w:tblCellMar>
          <w:top w:w="0" w:type="dxa"/>
          <w:left w:w="0" w:type="dxa"/>
          <w:bottom w:w="0" w:type="dxa"/>
          <w:right w:w="0" w:type="dxa"/>
        </w:tblCellMar>
      </w:tblPr>
      <w:tblGrid>
        <w:gridCol w:w="5551"/>
        <w:gridCol w:w="346"/>
        <w:gridCol w:w="346"/>
        <w:gridCol w:w="451"/>
        <w:gridCol w:w="1769"/>
      </w:tblGrid>
      <w:tr>
        <w:trPr/>
        <w:tc>
          <w:tcPr>
            <w:tcW w:w="5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3524885" cy="175260"/>
                      <wp:effectExtent l="0" t="0" r="0" b="0"/>
                      <wp:wrapNone/>
                      <wp:docPr id="53" name="Frame53"/>
                      <a:graphic xmlns:a="http://schemas.openxmlformats.org/drawingml/2006/main">
                        <a:graphicData uri="http://schemas.microsoft.com/office/word/2010/wordprocessingShape">
                          <wps:wsp>
                            <wps:cNvSpPr txBox="1"/>
                            <wps:spPr>
                              <a:xfrm>
                                <a:off x="0" y="0"/>
                                <a:ext cx="3524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54"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19710" cy="175260"/>
                      <wp:effectExtent l="0" t="0" r="0" b="0"/>
                      <wp:wrapNone/>
                      <wp:docPr id="55" name="Frame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86385" cy="175260"/>
                      <wp:effectExtent l="0" t="0" r="0" b="0"/>
                      <wp:wrapNone/>
                      <wp:docPr id="56" name="Frame56"/>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123315" cy="175260"/>
                      <wp:effectExtent l="0" t="0" r="0" b="0"/>
                      <wp:wrapNone/>
                      <wp:docPr id="57" name="Frame57"/>
                      <a:graphic xmlns:a="http://schemas.openxmlformats.org/drawingml/2006/main">
                        <a:graphicData uri="http://schemas.microsoft.com/office/word/2010/wordprocessingShape">
                          <wps:wsp>
                            <wps:cNvSpPr txBox="1"/>
                            <wps:spPr>
                              <a:xfrm>
                                <a:off x="0" y="0"/>
                                <a:ext cx="1123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220" w:type="dxa"/>
            <w:gridSpan w:val="2"/>
            <w:tcBorders/>
            <w:vAlign w:val="center"/>
          </w:tcPr>
          <w:p>
            <w:pPr>
              <w:pStyle w:val="TableContents"/>
              <w:bidi w:val="0"/>
              <w:spacing w:before="0" w:after="0"/>
              <w:ind w:left="0" w:right="0" w:hanging="0"/>
              <w:jc w:val="center"/>
              <w:rPr/>
            </w:pPr>
            <w:r>
              <w:rPr/>
              <w:t>​</w:t>
            </w:r>
          </w:p>
        </w:tc>
      </w:tr>
      <w:tr>
        <w:trPr/>
        <w:tc>
          <w:tcPr>
            <w:tcW w:w="55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(Thousands, except leverage ratio)</w:t>
            </w:r>
          </w:p>
        </w:tc>
        <w:tc>
          <w:tcPr>
            <w:tcW w:w="346"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center"/>
              <w:rPr/>
            </w:pPr>
            <w:r>
              <w:rPr/>
              <w:t>  ​ ​ ​</w:t>
            </w:r>
          </w:p>
        </w:tc>
        <w:tc>
          <w:tcPr>
            <w:tcW w:w="22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Trailing Twelve-Months</w:t>
            </w:r>
          </w:p>
        </w:tc>
      </w:tr>
      <w:tr>
        <w:trPr/>
        <w:tc>
          <w:tcPr>
            <w:tcW w:w="5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Beverage Solutions Segment Adjusted EBITDA</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84,669</w:t>
            </w:r>
          </w:p>
        </w:tc>
      </w:tr>
      <w:tr>
        <w:trPr/>
        <w:tc>
          <w:tcPr>
            <w:tcW w:w="5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Permissible credit agreement adjustments</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7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8,505</w:t>
            </w:r>
          </w:p>
        </w:tc>
      </w:tr>
      <w:tr>
        <w:trPr/>
        <w:tc>
          <w:tcPr>
            <w:tcW w:w="5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Trailing Twelve-Months Credit Agreement Adjusted EBITDA</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93,174</w:t>
            </w:r>
          </w:p>
        </w:tc>
      </w:tr>
      <w:tr>
        <w:trPr/>
        <w:tc>
          <w:tcPr>
            <w:tcW w:w="55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1769" w:type="dxa"/>
            <w:tcBorders/>
            <w:vAlign w:val="center"/>
          </w:tcPr>
          <w:p>
            <w:pPr>
              <w:pStyle w:val="TableContents"/>
              <w:bidi w:val="0"/>
              <w:spacing w:before="0" w:after="0"/>
              <w:ind w:left="0" w:right="0" w:hanging="0"/>
              <w:jc w:val="left"/>
              <w:rPr/>
            </w:pPr>
            <w:r>
              <w:rPr/>
              <w:t>​</w:t>
            </w:r>
          </w:p>
        </w:tc>
      </w:tr>
      <w:tr>
        <w:trPr/>
        <w:tc>
          <w:tcPr>
            <w:tcW w:w="5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1769" w:type="dxa"/>
            <w:tcBorders/>
            <w:shd w:fill="CCEEFF" w:val="clear"/>
            <w:vAlign w:val="center"/>
          </w:tcPr>
          <w:p>
            <w:pPr>
              <w:pStyle w:val="TableContents"/>
              <w:bidi w:val="0"/>
              <w:spacing w:before="0" w:after="0"/>
              <w:ind w:left="0" w:right="0" w:hanging="0"/>
              <w:jc w:val="left"/>
              <w:rPr/>
            </w:pPr>
            <w:r>
              <w:rPr/>
              <w:t>​</w:t>
            </w:r>
          </w:p>
        </w:tc>
      </w:tr>
      <w:tr>
        <w:trPr/>
        <w:tc>
          <w:tcPr>
            <w:tcW w:w="5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 loan facility</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138,906</w:t>
            </w:r>
          </w:p>
        </w:tc>
      </w:tr>
      <w:tr>
        <w:trPr/>
        <w:tc>
          <w:tcPr>
            <w:tcW w:w="5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Delayed draw term loan facility</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17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43,438</w:t>
            </w:r>
          </w:p>
        </w:tc>
      </w:tr>
      <w:tr>
        <w:trPr/>
        <w:tc>
          <w:tcPr>
            <w:tcW w:w="5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Revolving credit facility</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17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165,000</w:t>
            </w:r>
          </w:p>
        </w:tc>
      </w:tr>
      <w:tr>
        <w:trPr/>
        <w:tc>
          <w:tcPr>
            <w:tcW w:w="5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Letters of credit outstanding</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7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1,980</w:t>
            </w:r>
          </w:p>
        </w:tc>
      </w:tr>
      <w:tr>
        <w:trPr/>
        <w:tc>
          <w:tcPr>
            <w:tcW w:w="5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Secured debt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17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349,324</w:t>
            </w:r>
          </w:p>
        </w:tc>
      </w:tr>
      <w:tr>
        <w:trPr/>
        <w:tc>
          <w:tcPr>
            <w:tcW w:w="5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Beverage Solutions unrestricted 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7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(36,177)</w:t>
            </w:r>
          </w:p>
        </w:tc>
      </w:tr>
      <w:tr>
        <w:trPr/>
        <w:tc>
          <w:tcPr>
            <w:tcW w:w="5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Secured net debt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313,147</w:t>
            </w:r>
          </w:p>
        </w:tc>
      </w:tr>
      <w:tr>
        <w:trPr/>
        <w:tc>
          <w:tcPr>
            <w:tcW w:w="55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1769" w:type="dxa"/>
            <w:tcBorders/>
            <w:shd w:fill="CCEEFF" w:val="clear"/>
            <w:vAlign w:val="center"/>
          </w:tcPr>
          <w:p>
            <w:pPr>
              <w:pStyle w:val="TableContents"/>
              <w:bidi w:val="0"/>
              <w:spacing w:before="0" w:after="0"/>
              <w:ind w:left="0" w:right="0" w:hanging="0"/>
              <w:jc w:val="right"/>
              <w:rPr/>
            </w:pPr>
            <w:r>
              <w:rPr/>
              <w:t>​</w:t>
            </w:r>
          </w:p>
        </w:tc>
      </w:tr>
      <w:tr>
        <w:trPr/>
        <w:tc>
          <w:tcPr>
            <w:tcW w:w="55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Beverage Solutions Credit Agreement secured net leverage ratio</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1769" w:type="dxa"/>
            <w:tcBorders/>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3.36x</w:t>
            </w:r>
          </w:p>
        </w:tc>
      </w:tr>
    </w:tbl>
    <w:p>
      <w:pPr>
        <w:pStyle w:val="TextBody"/>
        <w:bidi w:val="0"/>
        <w:spacing w:before="0" w:after="0"/>
        <w:ind w:left="0" w:right="0" w:hanging="0"/>
        <w:jc w:val="center"/>
        <w:rPr/>
      </w:pPr>
      <w:r>
        <w:rPr/>
        <w:t>​</w:t>
      </w:r>
    </w:p>
    <w:p>
      <w:pPr>
        <w:pStyle w:val="HorizontalLine"/>
        <w:pBdr>
          <w:bottom w:val="single" w:sz="6" w:space="0" w:color="000000"/>
        </w:pBdr>
        <w:bidi w:val="0"/>
        <w:spacing w:before="0" w:after="0"/>
        <w:ind w:left="0" w:right="7654" w:hanging="0"/>
        <w:jc w:val="left"/>
        <w:rPr/>
      </w:pPr>
      <w:r>
        <w:rPr/>
      </w:r>
    </w:p>
    <w:p>
      <w:pPr>
        <w:pStyle w:val="TextBody"/>
        <w:bidi w:val="0"/>
        <w:spacing w:before="0" w:after="0"/>
        <w:ind w:left="0" w:right="0" w:hanging="0"/>
        <w:jc w:val="left"/>
        <w:rPr>
          <w:rFonts w:ascii="Times New Roman;Times;serif" w:hAnsi="Times New Roman;Times;serif"/>
          <w:sz w:val="15"/>
        </w:rPr>
      </w:pPr>
      <w:r>
        <w:rPr>
          <w:rFonts w:ascii="Times New Roman;Times;serif" w:hAnsi="Times New Roman;Times;serif"/>
          <w:sz w:val="15"/>
        </w:rPr>
        <w:t>1 – Consists primarily of pro forma run-rate impact of cost savings initiatives, as permitted by the Credit Agreement.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is required to maintain compliance with, among other things, a secured net leverage ratio under the terms of its credit agreement (the “Credit Agreement”) among the Company, Westrock Beverage Solutions, LLC, as the borrower, Wells Fargo Bank, N.A., as administrative agent, collateral agent, and swingline lender, Wells Fargo Securities, LLC, as sustainability structuring agent, and each issuing bank and lender party thereto. The secured net leverage ratio is calculated as secured net debt divided by Adjusted EBITDA for the trailing twelve-month period, each as defined in the Credit Agreement, and is applicable only to our Beverage Solutions segment.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Management believes that our secured net leverage ratio provides useful information to investors and other users of our financial data regarding the Company’s compliance with its material financial covenants. Failure to comply with the covenants in the Credit Agreement or make payments when due could result in an event of default, which, if not cured or waived, could accelerate our repayment obligations under the Credit Agreement and could result in a default and acceleration under other agreements containing cross-default provisions. Under these circumstances, we might not have sufficient funds or other resources to satisfy all of our obligations. As of the date of this press release, the Company is in compliance with its financial covenants. </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Westrock Coffee Company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Reconciliation of Net (Loss) Income to Non-GAAP Consolidated Adjusted EBITDA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4779"/>
        <w:gridCol w:w="346"/>
        <w:gridCol w:w="211"/>
        <w:gridCol w:w="788"/>
        <w:gridCol w:w="346"/>
        <w:gridCol w:w="211"/>
        <w:gridCol w:w="788"/>
        <w:gridCol w:w="346"/>
        <w:gridCol w:w="211"/>
        <w:gridCol w:w="788"/>
        <w:gridCol w:w="346"/>
        <w:gridCol w:w="211"/>
        <w:gridCol w:w="834"/>
      </w:tblGrid>
      <w:tr>
        <w:trPr/>
        <w:tc>
          <w:tcPr>
            <w:tcW w:w="47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3034665" cy="175260"/>
                      <wp:effectExtent l="0" t="0" r="0" b="0"/>
                      <wp:wrapNone/>
                      <wp:docPr id="58" name="Frame58"/>
                      <a:graphic xmlns:a="http://schemas.openxmlformats.org/drawingml/2006/main">
                        <a:graphicData uri="http://schemas.microsoft.com/office/word/2010/wordprocessingShape">
                          <wps:wsp>
                            <wps:cNvSpPr txBox="1"/>
                            <wps:spPr>
                              <a:xfrm>
                                <a:off x="0" y="0"/>
                                <a:ext cx="3034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9" name="Frame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33985" cy="175260"/>
                      <wp:effectExtent l="0" t="0" r="0" b="0"/>
                      <wp:wrapNone/>
                      <wp:docPr id="60" name="Frame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500380" cy="175260"/>
                      <wp:effectExtent l="0" t="0" r="0" b="0"/>
                      <wp:wrapNone/>
                      <wp:docPr id="61" name="Frame61"/>
                      <a:graphic xmlns:a="http://schemas.openxmlformats.org/drawingml/2006/main">
                        <a:graphicData uri="http://schemas.microsoft.com/office/word/2010/wordprocessingShape">
                          <wps:wsp>
                            <wps:cNvSpPr txBox="1"/>
                            <wps:spPr>
                              <a:xfrm>
                                <a:off x="0" y="0"/>
                                <a:ext cx="500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175260"/>
                      <wp:effectExtent l="0" t="0" r="0" b="0"/>
                      <wp:wrapNone/>
                      <wp:docPr id="62" name="Frame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33985" cy="175260"/>
                      <wp:effectExtent l="0" t="0" r="0" b="0"/>
                      <wp:wrapNone/>
                      <wp:docPr id="63" name="Frame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500380" cy="175260"/>
                      <wp:effectExtent l="0" t="0" r="0" b="0"/>
                      <wp:wrapNone/>
                      <wp:docPr id="64" name="Frame64"/>
                      <a:graphic xmlns:a="http://schemas.openxmlformats.org/drawingml/2006/main">
                        <a:graphicData uri="http://schemas.microsoft.com/office/word/2010/wordprocessingShape">
                          <wps:wsp>
                            <wps:cNvSpPr txBox="1"/>
                            <wps:spPr>
                              <a:xfrm>
                                <a:off x="0" y="0"/>
                                <a:ext cx="500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19710" cy="175260"/>
                      <wp:effectExtent l="0" t="0" r="0" b="0"/>
                      <wp:wrapNone/>
                      <wp:docPr id="65" name="Frame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33985" cy="175260"/>
                      <wp:effectExtent l="0" t="0" r="0" b="0"/>
                      <wp:wrapNone/>
                      <wp:docPr id="66" name="Frame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500380" cy="175260"/>
                      <wp:effectExtent l="0" t="0" r="0" b="0"/>
                      <wp:wrapNone/>
                      <wp:docPr id="67" name="Frame67"/>
                      <a:graphic xmlns:a="http://schemas.openxmlformats.org/drawingml/2006/main">
                        <a:graphicData uri="http://schemas.microsoft.com/office/word/2010/wordprocessingShape">
                          <wps:wsp>
                            <wps:cNvSpPr txBox="1"/>
                            <wps:spPr>
                              <a:xfrm>
                                <a:off x="0" y="0"/>
                                <a:ext cx="500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9710" cy="175260"/>
                      <wp:effectExtent l="0" t="0" r="0" b="0"/>
                      <wp:wrapNone/>
                      <wp:docPr id="68" name="Frame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33985" cy="175260"/>
                      <wp:effectExtent l="0" t="0" r="0" b="0"/>
                      <wp:wrapNone/>
                      <wp:docPr id="69" name="Frame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529590" cy="175260"/>
                      <wp:effectExtent l="0" t="0" r="0" b="0"/>
                      <wp:wrapNone/>
                      <wp:docPr id="70" name="Frame70"/>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44"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46" w:type="dxa"/>
            <w:tcBorders/>
            <w:vAlign w:val="center"/>
          </w:tcPr>
          <w:p>
            <w:pPr>
              <w:pStyle w:val="TableContents"/>
              <w:bidi w:val="0"/>
              <w:spacing w:before="0" w:after="0"/>
              <w:ind w:left="0" w:right="0" w:hanging="0"/>
              <w:jc w:val="left"/>
              <w:rPr/>
            </w:pPr>
            <w:r>
              <w:rPr/>
              <w:t>  ​ ​ ​</w:t>
            </w:r>
          </w:p>
        </w:tc>
        <w:tc>
          <w:tcPr>
            <w:tcW w:w="2390"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Six Months Ended </w:t>
            </w:r>
          </w:p>
        </w:tc>
      </w:tr>
      <w:tr>
        <w:trPr/>
        <w:tc>
          <w:tcPr>
            <w:tcW w:w="47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4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46" w:type="dxa"/>
            <w:tcBorders/>
            <w:vAlign w:val="center"/>
          </w:tcPr>
          <w:p>
            <w:pPr>
              <w:pStyle w:val="TableContents"/>
              <w:bidi w:val="0"/>
              <w:spacing w:before="0" w:after="0"/>
              <w:ind w:left="0" w:right="0" w:hanging="0"/>
              <w:jc w:val="left"/>
              <w:rPr/>
            </w:pPr>
            <w:r>
              <w:rPr/>
              <w:t>​</w:t>
            </w:r>
          </w:p>
        </w:tc>
        <w:tc>
          <w:tcPr>
            <w:tcW w:w="23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477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(Thousands)</w:t>
            </w:r>
          </w:p>
        </w:tc>
        <w:tc>
          <w:tcPr>
            <w:tcW w:w="346" w:type="dxa"/>
            <w:tcBorders/>
            <w:vAlign w:val="center"/>
          </w:tcPr>
          <w:p>
            <w:pPr>
              <w:pStyle w:val="TableContents"/>
              <w:bidi w:val="0"/>
              <w:spacing w:before="0" w:after="0"/>
              <w:ind w:left="0" w:right="0" w:hanging="0"/>
              <w:jc w:val="left"/>
              <w:rPr/>
            </w:pPr>
            <w:r>
              <w:rPr/>
              <w:t>  ​ ​ ​</w:t>
            </w:r>
          </w:p>
        </w:tc>
        <w:tc>
          <w:tcPr>
            <w:tcW w:w="9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left"/>
              <w:rPr/>
            </w:pPr>
            <w:r>
              <w:rPr/>
              <w:t>  ​ ​ ​</w:t>
            </w:r>
          </w:p>
        </w:tc>
        <w:tc>
          <w:tcPr>
            <w:tcW w:w="9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9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left"/>
              <w:rPr/>
            </w:pPr>
            <w:r>
              <w:rPr/>
              <w:t>  ​ ​ ​</w:t>
            </w:r>
          </w:p>
        </w:tc>
        <w:tc>
          <w:tcPr>
            <w:tcW w:w="10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47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(48,781)</w:t>
            </w:r>
          </w:p>
        </w:tc>
      </w:tr>
      <w:tr>
        <w:trPr/>
        <w:tc>
          <w:tcPr>
            <w:tcW w:w="47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12,990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13,119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26,517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25,718</w:t>
            </w:r>
          </w:p>
        </w:tc>
      </w:tr>
      <w:tr>
        <w:trPr/>
        <w:tc>
          <w:tcPr>
            <w:tcW w:w="47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 (benefit)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1,458</w:t>
            </w:r>
          </w:p>
        </w:tc>
      </w:tr>
      <w:tr>
        <w:trPr/>
        <w:tc>
          <w:tcPr>
            <w:tcW w:w="47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17,104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15,016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33,668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26,771</w:t>
            </w:r>
          </w:p>
        </w:tc>
      </w:tr>
      <w:tr>
        <w:trPr/>
        <w:tc>
          <w:tcPr>
            <w:tcW w:w="477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EBITDA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5,166</w:t>
            </w:r>
          </w:p>
        </w:tc>
      </w:tr>
      <w:tr>
        <w:trPr/>
        <w:tc>
          <w:tcPr>
            <w:tcW w:w="47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 restructuring and integration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6,836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4,268</w:t>
            </w:r>
          </w:p>
        </w:tc>
      </w:tr>
      <w:tr>
        <w:trPr/>
        <w:tc>
          <w:tcPr>
            <w:tcW w:w="47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8,080</w:t>
            </w:r>
          </w:p>
        </w:tc>
      </w:tr>
      <w:tr>
        <w:trPr/>
        <w:tc>
          <w:tcPr>
            <w:tcW w:w="47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Conway extract and ready-to-drink facility pre-production costs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9,072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13,520</w:t>
            </w:r>
          </w:p>
        </w:tc>
      </w:tr>
      <w:tr>
        <w:trPr/>
        <w:tc>
          <w:tcPr>
            <w:tcW w:w="47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Mark-to-market adjustments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(3,514)</w:t>
            </w:r>
          </w:p>
        </w:tc>
      </w:tr>
      <w:tr>
        <w:trPr/>
        <w:tc>
          <w:tcPr>
            <w:tcW w:w="47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disposal of property, plant and equipment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47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(3,966)</w:t>
            </w:r>
          </w:p>
        </w:tc>
      </w:tr>
      <w:tr>
        <w:trPr/>
        <w:tc>
          <w:tcPr>
            <w:tcW w:w="477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Consolidated Adjusted EBITDA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21,297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15,338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47,265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23,561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color w:val="FF0000"/>
        </w:rPr>
      </w:pPr>
      <w:r>
        <w:rPr>
          <w:color w:val="FF0000"/>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Non-GAAP Financial Measures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refer to EBITDA and Consolidated Adjusted EBITDA in our analysis of our results of operations, which are not required by, or presented in accordance with, accounting principles generally accepted in the United States (“GAAP”). While we believe that net (loss) income, as defined by GAAP, is the most appropriate earnings measure, we also believe that EBITDA and Consolidated Adjusted EBITDA are important non-GAAP supplemental measures of operating performance as they contribute to a meaningful evaluation of the Company’s future operating performance and comparisons to the Company’s past operating performance. The Company believes that providing these non-GAAP financial measures helps investors evaluate the Company’s operating performance, profitability and business trends in a way that is consistent with how management evaluates such performance.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define “EBITDA” as net (loss) income, as defined by GAAP, before interest expense, provision for income taxes and depreciation and amortization. We define “Consolidated Adjusted EBITDA” as EBITDA before equity-based compensation expense and the impact, which may be recurring in nature, of transaction, restructuring and integration related costs, impairment charges, non-cash mark-to-market adjustments, certain non-capitalizable costs necessary to place the Conway facility into commercial production, the write off of unamortized deferred financing costs, costs incurred as a result of the early repayment of debt, gains or losses on dispositions, and other similar or infrequent items (although we may not have had such charges in the periods presented). We believe EBITDA and Consolidated Adjusted EBITDA are important supplemental measures to net (loss) income because they provide additional information to evaluate our operating performance on an unleveraged basis.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Since EBITDA and Consolidated Adjusted EBITDA are not measures calculated in accordance with GAAP, they should be viewed in addition to, and not be considered as alternatives for, net (loss) income determined in accordance with GAAP. Further, our computations of EBITDA and Consolidated Adjusted EBITDA may not be comparable to that reported by other companies that define EBITDA and Consolidated Adjusted EBITDA differently than we do.</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NewRoman">
    <w:charset w:val="01"/>
    <w:family w:val="auto"/>
    <w:pitch w:val="default"/>
  </w:font>
  <w:font w:name="Courier Ne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3731</Words>
  <Characters>21773</Characters>
  <CharactersWithSpaces>26061</CharactersWithSpaces>
  <Paragraphs>1710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