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Westrock Coffee Company</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96145W103</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12/31/2024</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21" w:type="dxa"/>
        <w:jc w:val="left"/>
        <w:tblInd w:w="0" w:type="dxa"/>
        <w:tblLayout w:type="fixed"/>
        <w:tblCellMar>
          <w:top w:w="28" w:type="dxa"/>
          <w:left w:w="28" w:type="dxa"/>
          <w:bottom w:w="28" w:type="dxa"/>
          <w:right w:w="28" w:type="dxa"/>
        </w:tblCellMar>
      </w:tblPr>
      <w:tblGrid>
        <w:gridCol w:w="1280"/>
        <w:gridCol w:w="3841"/>
      </w:tblGrid>
      <w:tr>
        <w:trPr/>
        <w:tc>
          <w:tcPr>
            <w:tcW w:w="1280" w:type="dxa"/>
            <w:tcBorders/>
            <w:vAlign w:val="center"/>
          </w:tcPr>
          <w:p>
            <w:pPr>
              <w:pStyle w:val="TableContents"/>
              <w:bidi w:val="0"/>
              <w:spacing w:before="0" w:after="283"/>
              <w:jc w:val="left"/>
              <w:rPr>
                <w:b/>
              </w:rPr>
            </w:pPr>
            <w:r>
              <w:rPr>
                <w:b/>
              </w:rPr>
              <w:t>CUSIP No.</w:t>
            </w:r>
          </w:p>
        </w:tc>
        <w:tc>
          <w:tcPr>
            <w:tcW w:w="3841" w:type="dxa"/>
            <w:tcBorders/>
            <w:vAlign w:val="center"/>
          </w:tcPr>
          <w:p>
            <w:pPr>
              <w:pStyle w:val="TableContents"/>
              <w:bidi w:val="0"/>
              <w:spacing w:before="0" w:after="0"/>
              <w:jc w:val="left"/>
              <w:rPr/>
            </w:pPr>
            <w:r>
              <w:rPr/>
              <w:t>96145W103</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Southeastern Asset Management,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TENNESSEE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5,942.00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4,873,985.00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5,942.00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4,873,985.00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4,879,927.00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21" w:type="dxa"/>
        <w:jc w:val="left"/>
        <w:tblInd w:w="0" w:type="dxa"/>
        <w:tblLayout w:type="fixed"/>
        <w:tblCellMar>
          <w:top w:w="28" w:type="dxa"/>
          <w:left w:w="28" w:type="dxa"/>
          <w:bottom w:w="28" w:type="dxa"/>
          <w:right w:w="28" w:type="dxa"/>
        </w:tblCellMar>
      </w:tblPr>
      <w:tblGrid>
        <w:gridCol w:w="1280"/>
        <w:gridCol w:w="3841"/>
      </w:tblGrid>
      <w:tr>
        <w:trPr/>
        <w:tc>
          <w:tcPr>
            <w:tcW w:w="1280" w:type="dxa"/>
            <w:tcBorders/>
            <w:vAlign w:val="center"/>
          </w:tcPr>
          <w:p>
            <w:pPr>
              <w:pStyle w:val="TableContents"/>
              <w:bidi w:val="0"/>
              <w:spacing w:before="0" w:after="283"/>
              <w:jc w:val="left"/>
              <w:rPr>
                <w:b/>
              </w:rPr>
            </w:pPr>
            <w:r>
              <w:rPr>
                <w:b/>
              </w:rPr>
              <w:t>CUSIP No.</w:t>
            </w:r>
          </w:p>
        </w:tc>
        <w:tc>
          <w:tcPr>
            <w:tcW w:w="3841" w:type="dxa"/>
            <w:tcBorders/>
            <w:vAlign w:val="center"/>
          </w:tcPr>
          <w:p>
            <w:pPr>
              <w:pStyle w:val="TableContents"/>
              <w:bidi w:val="0"/>
              <w:spacing w:before="0" w:after="0"/>
              <w:jc w:val="left"/>
              <w:rPr/>
            </w:pPr>
            <w:r>
              <w:rPr/>
              <w:t>96145W103</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Longleaf Partners Small-Cap Fund</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4,767,743.00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4,767,743.00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9</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4,767,743.00</w:t>
            </w:r>
          </w:p>
        </w:tc>
      </w:tr>
      <w:tr>
        <w:trPr/>
        <w:tc>
          <w:tcPr>
            <w:tcW w:w="2147" w:type="dxa"/>
            <w:tcBorders/>
            <w:vAlign w:val="center"/>
          </w:tcPr>
          <w:p>
            <w:pPr>
              <w:pStyle w:val="TableContents"/>
              <w:bidi w:val="0"/>
              <w:spacing w:before="0" w:after="283"/>
              <w:jc w:val="left"/>
              <w:rPr/>
            </w:pPr>
            <w:r>
              <w:rPr/>
              <w:t>10</w:t>
            </w:r>
          </w:p>
        </w:tc>
        <w:tc>
          <w:tcPr>
            <w:tcW w:w="805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5.1 % </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IV</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21" w:type="dxa"/>
        <w:jc w:val="left"/>
        <w:tblInd w:w="0" w:type="dxa"/>
        <w:tblLayout w:type="fixed"/>
        <w:tblCellMar>
          <w:top w:w="28" w:type="dxa"/>
          <w:left w:w="28" w:type="dxa"/>
          <w:bottom w:w="28" w:type="dxa"/>
          <w:right w:w="28" w:type="dxa"/>
        </w:tblCellMar>
      </w:tblPr>
      <w:tblGrid>
        <w:gridCol w:w="1280"/>
        <w:gridCol w:w="3841"/>
      </w:tblGrid>
      <w:tr>
        <w:trPr/>
        <w:tc>
          <w:tcPr>
            <w:tcW w:w="1280" w:type="dxa"/>
            <w:tcBorders/>
            <w:vAlign w:val="center"/>
          </w:tcPr>
          <w:p>
            <w:pPr>
              <w:pStyle w:val="TableContents"/>
              <w:bidi w:val="0"/>
              <w:spacing w:before="0" w:after="283"/>
              <w:jc w:val="left"/>
              <w:rPr>
                <w:b/>
              </w:rPr>
            </w:pPr>
            <w:r>
              <w:rPr>
                <w:b/>
              </w:rPr>
              <w:t>CUSIP No.</w:t>
            </w:r>
          </w:p>
        </w:tc>
        <w:tc>
          <w:tcPr>
            <w:tcW w:w="3841" w:type="dxa"/>
            <w:tcBorders/>
            <w:vAlign w:val="center"/>
          </w:tcPr>
          <w:p>
            <w:pPr>
              <w:pStyle w:val="TableContents"/>
              <w:bidi w:val="0"/>
              <w:spacing w:before="0" w:after="0"/>
              <w:jc w:val="left"/>
              <w:rPr/>
            </w:pPr>
            <w:r>
              <w:rPr/>
              <w:t>96145W103</w:t>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O. Mason Hawkins</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18"/>
        <w:gridCol w:w="8932"/>
        <w:gridCol w:w="155"/>
      </w:tblGrid>
      <w:tr>
        <w:trPr/>
        <w:tc>
          <w:tcPr>
            <w:tcW w:w="1118" w:type="dxa"/>
            <w:tcBorders/>
            <w:vAlign w:val="center"/>
          </w:tcPr>
          <w:p>
            <w:pPr>
              <w:pStyle w:val="TableContents"/>
              <w:bidi w:val="0"/>
              <w:spacing w:before="0" w:after="283"/>
              <w:jc w:val="left"/>
              <w:rPr/>
            </w:pPr>
            <w:r>
              <w:rPr/>
              <w:t>Item 1.</w:t>
            </w:r>
          </w:p>
        </w:tc>
        <w:tc>
          <w:tcPr>
            <w:tcW w:w="893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(a)</w:t>
            </w:r>
          </w:p>
        </w:tc>
        <w:tc>
          <w:tcPr>
            <w:tcW w:w="8932" w:type="dxa"/>
            <w:tcBorders/>
            <w:vAlign w:val="center"/>
          </w:tcPr>
          <w:p>
            <w:pPr>
              <w:pStyle w:val="TableContents"/>
              <w:bidi w:val="0"/>
              <w:jc w:val="left"/>
              <w:rPr/>
            </w:pPr>
            <w:r>
              <w:rPr/>
              <w:t xml:space="preserve">Name of issuer: </w:t>
            </w:r>
          </w:p>
          <w:p>
            <w:pPr>
              <w:pStyle w:val="TableContents"/>
              <w:bidi w:val="0"/>
              <w:spacing w:before="0" w:after="0"/>
              <w:jc w:val="left"/>
              <w:rPr/>
            </w:pPr>
            <w:r>
              <w:rPr/>
              <w:t>Westrock Coffee Company</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(b)</w:t>
            </w:r>
          </w:p>
        </w:tc>
        <w:tc>
          <w:tcPr>
            <w:tcW w:w="893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4009 N. Rodney Parham Road, 4th Floor, Little Rock, AR 72212</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Item 2.</w:t>
            </w:r>
          </w:p>
        </w:tc>
        <w:tc>
          <w:tcPr>
            <w:tcW w:w="893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(a)</w:t>
            </w:r>
          </w:p>
        </w:tc>
        <w:tc>
          <w:tcPr>
            <w:tcW w:w="8932" w:type="dxa"/>
            <w:tcBorders/>
            <w:vAlign w:val="center"/>
          </w:tcPr>
          <w:p>
            <w:pPr>
              <w:pStyle w:val="TableContents"/>
              <w:bidi w:val="0"/>
              <w:jc w:val="left"/>
              <w:rPr/>
            </w:pPr>
            <w:r>
              <w:rPr/>
              <w:t xml:space="preserve">Name of person filing: </w:t>
            </w:r>
          </w:p>
          <w:p>
            <w:pPr>
              <w:pStyle w:val="TableContents"/>
              <w:bidi w:val="0"/>
              <w:spacing w:before="0" w:after="0"/>
              <w:jc w:val="left"/>
              <w:rPr/>
            </w:pPr>
            <w:r>
              <w:rPr/>
              <w:t>(1) Southeastern Asset Management, Inc. (2) Longleaf Partners Small-Cap Fund c/o Southeastern Asset Management, Inc. (3) Mr. O. Mason Hawkins</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(b)</w:t>
            </w:r>
          </w:p>
        </w:tc>
        <w:tc>
          <w:tcPr>
            <w:tcW w:w="893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For all Reporting Persons: 5100 Poplar Avenue, Suite 2450, Memphis, TN 38137</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(c)</w:t>
            </w:r>
          </w:p>
        </w:tc>
        <w:tc>
          <w:tcPr>
            <w:tcW w:w="8932" w:type="dxa"/>
            <w:tcBorders/>
            <w:vAlign w:val="center"/>
          </w:tcPr>
          <w:p>
            <w:pPr>
              <w:pStyle w:val="TableContents"/>
              <w:bidi w:val="0"/>
              <w:jc w:val="left"/>
              <w:rPr/>
            </w:pPr>
            <w:r>
              <w:rPr/>
              <w:t xml:space="preserve">Citizenship: </w:t>
            </w:r>
          </w:p>
          <w:p>
            <w:pPr>
              <w:pStyle w:val="TableContents"/>
              <w:bidi w:val="0"/>
              <w:spacing w:before="0" w:after="0"/>
              <w:jc w:val="left"/>
              <w:rPr/>
            </w:pPr>
            <w:r>
              <w:rPr/>
              <w:t>(1) Southeastern Asset Management, Inc. - Tennessee (2) Longleaf Partners Small-Cap Fund - Massachusetts (3) Mr. O. Mason Hawkins -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(d)</w:t>
            </w:r>
          </w:p>
        </w:tc>
        <w:tc>
          <w:tcPr>
            <w:tcW w:w="893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(e)</w:t>
            </w:r>
          </w:p>
        </w:tc>
        <w:tc>
          <w:tcPr>
            <w:tcW w:w="8932" w:type="dxa"/>
            <w:tcBorders/>
            <w:vAlign w:val="center"/>
          </w:tcPr>
          <w:p>
            <w:pPr>
              <w:pStyle w:val="TableContents"/>
              <w:bidi w:val="0"/>
              <w:jc w:val="left"/>
              <w:rPr/>
            </w:pPr>
            <w:r>
              <w:rPr/>
              <w:t xml:space="preserve">CUSIP No.: </w:t>
            </w:r>
          </w:p>
          <w:p>
            <w:pPr>
              <w:pStyle w:val="TableContents"/>
              <w:bidi w:val="0"/>
              <w:spacing w:before="0" w:after="0"/>
              <w:jc w:val="left"/>
              <w:rPr/>
            </w:pPr>
            <w:r>
              <w:rPr/>
              <w:t>96145W103</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Item 3.</w:t>
            </w:r>
          </w:p>
        </w:tc>
        <w:tc>
          <w:tcPr>
            <w:tcW w:w="893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(a)</w:t>
            </w:r>
          </w:p>
        </w:tc>
        <w:tc>
          <w:tcPr>
            <w:tcW w:w="8932"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(b)</w:t>
            </w:r>
          </w:p>
        </w:tc>
        <w:tc>
          <w:tcPr>
            <w:tcW w:w="8932"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(c)</w:t>
            </w:r>
          </w:p>
        </w:tc>
        <w:tc>
          <w:tcPr>
            <w:tcW w:w="8932"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(d)</w:t>
            </w:r>
          </w:p>
        </w:tc>
        <w:tc>
          <w:tcPr>
            <w:tcW w:w="8932"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(e)</w:t>
            </w:r>
          </w:p>
        </w:tc>
        <w:tc>
          <w:tcPr>
            <w:tcW w:w="8932"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(f)</w:t>
            </w:r>
          </w:p>
        </w:tc>
        <w:tc>
          <w:tcPr>
            <w:tcW w:w="8932"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(g)</w:t>
            </w:r>
          </w:p>
        </w:tc>
        <w:tc>
          <w:tcPr>
            <w:tcW w:w="8932"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(h)</w:t>
            </w:r>
          </w:p>
        </w:tc>
        <w:tc>
          <w:tcPr>
            <w:tcW w:w="8932"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(i)</w:t>
            </w:r>
          </w:p>
        </w:tc>
        <w:tc>
          <w:tcPr>
            <w:tcW w:w="8932"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(j)</w:t>
            </w:r>
          </w:p>
        </w:tc>
        <w:tc>
          <w:tcPr>
            <w:tcW w:w="8932"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(k)</w:t>
            </w:r>
          </w:p>
        </w:tc>
        <w:tc>
          <w:tcPr>
            <w:tcW w:w="8932"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 </w:t>
            </w:r>
          </w:p>
        </w:tc>
        <w:tc>
          <w:tcPr>
            <w:tcW w:w="9087" w:type="dxa"/>
            <w:gridSpan w:val="2"/>
            <w:tcBorders/>
            <w:vAlign w:val="center"/>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Item 4.</w:t>
            </w:r>
          </w:p>
        </w:tc>
        <w:tc>
          <w:tcPr>
            <w:tcW w:w="893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(a)</w:t>
            </w:r>
          </w:p>
        </w:tc>
        <w:tc>
          <w:tcPr>
            <w:tcW w:w="893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4879927</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(b)</w:t>
            </w:r>
          </w:p>
        </w:tc>
        <w:tc>
          <w:tcPr>
            <w:tcW w:w="893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5.2  %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(c)</w:t>
            </w:r>
          </w:p>
        </w:tc>
        <w:tc>
          <w:tcPr>
            <w:tcW w:w="893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 </w:t>
            </w:r>
          </w:p>
        </w:tc>
        <w:tc>
          <w:tcPr>
            <w:tcW w:w="893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5942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 </w:t>
            </w:r>
          </w:p>
        </w:tc>
        <w:tc>
          <w:tcPr>
            <w:tcW w:w="893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Shared - 4,873,985 Securities owned by the following series of Longleaf Partners Funds Trust, an open-end management investment company registered under the Investment Company Act of 1940, as follows: Longleaf Partners Small-Cap Fund - 4,767,743 Other Shared - 106,242 No Power to Vote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 </w:t>
            </w:r>
          </w:p>
        </w:tc>
        <w:tc>
          <w:tcPr>
            <w:tcW w:w="893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5942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 </w:t>
            </w:r>
          </w:p>
        </w:tc>
        <w:tc>
          <w:tcPr>
            <w:tcW w:w="893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Shared - 4,873,985 Securities owned by the following series of Longleaf Partners Funds Trust, an open-end management investment company registered under the Investment Company Act of 1940, as follows: Longleaf Partners Small-Cap Fund - 4,767,743 Other Shared - 106,242 No Power to Vote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Item 5.</w:t>
            </w:r>
          </w:p>
        </w:tc>
        <w:tc>
          <w:tcPr>
            <w:tcW w:w="893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 </w:t>
            </w:r>
          </w:p>
        </w:tc>
        <w:tc>
          <w:tcPr>
            <w:tcW w:w="8932"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Item 6.</w:t>
            </w:r>
          </w:p>
        </w:tc>
        <w:tc>
          <w:tcPr>
            <w:tcW w:w="893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 </w:t>
            </w:r>
          </w:p>
        </w:tc>
        <w:tc>
          <w:tcPr>
            <w:tcW w:w="8932"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Item 7.</w:t>
            </w:r>
          </w:p>
        </w:tc>
        <w:tc>
          <w:tcPr>
            <w:tcW w:w="893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 </w:t>
            </w:r>
          </w:p>
        </w:tc>
        <w:tc>
          <w:tcPr>
            <w:tcW w:w="8932"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Item 8.</w:t>
            </w:r>
          </w:p>
        </w:tc>
        <w:tc>
          <w:tcPr>
            <w:tcW w:w="893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 </w:t>
            </w:r>
          </w:p>
        </w:tc>
        <w:tc>
          <w:tcPr>
            <w:tcW w:w="8932"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Item 9.</w:t>
            </w:r>
          </w:p>
        </w:tc>
        <w:tc>
          <w:tcPr>
            <w:tcW w:w="893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 </w:t>
            </w:r>
          </w:p>
        </w:tc>
        <w:tc>
          <w:tcPr>
            <w:tcW w:w="8932"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674" w:type="dxa"/>
        <w:jc w:val="left"/>
        <w:tblInd w:w="0" w:type="dxa"/>
        <w:tblLayout w:type="fixed"/>
        <w:tblCellMar>
          <w:top w:w="28" w:type="dxa"/>
          <w:left w:w="28" w:type="dxa"/>
          <w:bottom w:w="28" w:type="dxa"/>
          <w:right w:w="28" w:type="dxa"/>
        </w:tblCellMar>
      </w:tblPr>
      <w:tblGrid>
        <w:gridCol w:w="3837"/>
        <w:gridCol w:w="3837"/>
      </w:tblGrid>
      <w:tr>
        <w:trPr/>
        <w:tc>
          <w:tcPr>
            <w:tcW w:w="3837" w:type="dxa"/>
            <w:tcBorders/>
            <w:vAlign w:val="center"/>
          </w:tcPr>
          <w:p>
            <w:pPr>
              <w:pStyle w:val="TableContents"/>
              <w:bidi w:val="0"/>
              <w:spacing w:before="0" w:after="0"/>
              <w:jc w:val="left"/>
              <w:rPr/>
            </w:pPr>
            <w:r>
              <w:rPr/>
              <w:t> </w:t>
            </w:r>
          </w:p>
          <w:tbl>
            <w:tblPr>
              <w:tblW w:w="3736" w:type="dxa"/>
              <w:jc w:val="left"/>
              <w:tblInd w:w="0" w:type="dxa"/>
              <w:tblLayout w:type="fixed"/>
              <w:tblCellMar>
                <w:top w:w="28" w:type="dxa"/>
                <w:left w:w="28" w:type="dxa"/>
                <w:bottom w:w="28" w:type="dxa"/>
                <w:right w:w="28" w:type="dxa"/>
              </w:tblCellMar>
            </w:tblPr>
            <w:tblGrid>
              <w:gridCol w:w="3736"/>
            </w:tblGrid>
            <w:tr>
              <w:trPr/>
              <w:tc>
                <w:tcPr>
                  <w:tcW w:w="3736" w:type="dxa"/>
                  <w:tcBorders/>
                  <w:vAlign w:val="center"/>
                </w:tcPr>
                <w:p>
                  <w:pPr>
                    <w:pStyle w:val="TableContents"/>
                    <w:bidi w:val="0"/>
                    <w:spacing w:before="0" w:after="0"/>
                    <w:jc w:val="left"/>
                    <w:rPr/>
                  </w:pPr>
                  <w:r>
                    <w:rPr/>
                    <w:t>Southeastern Asset Management, Inc.</w:t>
                  </w:r>
                </w:p>
              </w:tc>
            </w:tr>
          </w:tbl>
          <w:p>
            <w:pPr>
              <w:pStyle w:val="TableContents"/>
              <w:bidi w:val="0"/>
              <w:spacing w:before="0" w:after="283"/>
              <w:jc w:val="left"/>
              <w:rPr/>
            </w:pPr>
            <w:r>
              <w:rPr/>
            </w:r>
          </w:p>
        </w:tc>
        <w:tc>
          <w:tcPr>
            <w:tcW w:w="38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7"/>
        <w:gridCol w:w="4308"/>
      </w:tblGrid>
      <w:tr>
        <w:trPr/>
        <w:tc>
          <w:tcPr>
            <w:tcW w:w="589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Andrew R. McCarroll</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Andrew R. McCarroll, General Counsel</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02/14/2025</w:t>
                  </w:r>
                </w:p>
              </w:tc>
            </w:tr>
          </w:tbl>
          <w:p>
            <w:pPr>
              <w:pStyle w:val="TableContents"/>
              <w:bidi w:val="0"/>
              <w:spacing w:before="0" w:after="283"/>
              <w:jc w:val="left"/>
              <w:rPr/>
            </w:pPr>
            <w:r>
              <w:rPr/>
            </w:r>
          </w:p>
        </w:tc>
        <w:tc>
          <w:tcPr>
            <w:tcW w:w="4308" w:type="dxa"/>
            <w:tcBorders/>
            <w:vAlign w:val="center"/>
          </w:tcPr>
          <w:p>
            <w:pPr>
              <w:pStyle w:val="TableContents"/>
              <w:bidi w:val="0"/>
              <w:spacing w:before="0" w:after="283"/>
              <w:jc w:val="left"/>
              <w:rPr>
                <w:sz w:val="4"/>
                <w:szCs w:val="4"/>
              </w:rPr>
            </w:pPr>
            <w:r>
              <w:rPr>
                <w:sz w:val="4"/>
                <w:szCs w:val="4"/>
              </w:rPr>
            </w:r>
          </w:p>
        </w:tc>
      </w:tr>
    </w:tbl>
    <w:tbl>
      <w:tblPr>
        <w:tblW w:w="7154" w:type="dxa"/>
        <w:jc w:val="left"/>
        <w:tblInd w:w="0" w:type="dxa"/>
        <w:tblLayout w:type="fixed"/>
        <w:tblCellMar>
          <w:top w:w="28" w:type="dxa"/>
          <w:left w:w="28" w:type="dxa"/>
          <w:bottom w:w="28" w:type="dxa"/>
          <w:right w:w="28" w:type="dxa"/>
        </w:tblCellMar>
      </w:tblPr>
      <w:tblGrid>
        <w:gridCol w:w="3577"/>
        <w:gridCol w:w="3577"/>
      </w:tblGrid>
      <w:tr>
        <w:trPr/>
        <w:tc>
          <w:tcPr>
            <w:tcW w:w="3577" w:type="dxa"/>
            <w:tcBorders/>
            <w:vAlign w:val="center"/>
          </w:tcPr>
          <w:p>
            <w:pPr>
              <w:pStyle w:val="TableContents"/>
              <w:bidi w:val="0"/>
              <w:spacing w:before="0" w:after="0"/>
              <w:jc w:val="left"/>
              <w:rPr/>
            </w:pPr>
            <w:r>
              <w:rPr/>
              <w:t> </w:t>
            </w:r>
          </w:p>
          <w:tbl>
            <w:tblPr>
              <w:tblW w:w="3466" w:type="dxa"/>
              <w:jc w:val="left"/>
              <w:tblInd w:w="0" w:type="dxa"/>
              <w:tblLayout w:type="fixed"/>
              <w:tblCellMar>
                <w:top w:w="28" w:type="dxa"/>
                <w:left w:w="28" w:type="dxa"/>
                <w:bottom w:w="28" w:type="dxa"/>
                <w:right w:w="28" w:type="dxa"/>
              </w:tblCellMar>
            </w:tblPr>
            <w:tblGrid>
              <w:gridCol w:w="3466"/>
            </w:tblGrid>
            <w:tr>
              <w:trPr/>
              <w:tc>
                <w:tcPr>
                  <w:tcW w:w="3466" w:type="dxa"/>
                  <w:tcBorders/>
                  <w:vAlign w:val="center"/>
                </w:tcPr>
                <w:p>
                  <w:pPr>
                    <w:pStyle w:val="TableContents"/>
                    <w:bidi w:val="0"/>
                    <w:spacing w:before="0" w:after="0"/>
                    <w:jc w:val="left"/>
                    <w:rPr/>
                  </w:pPr>
                  <w:r>
                    <w:rPr/>
                    <w:t>Longleaf Partners Small-Cap Fund</w:t>
                  </w:r>
                </w:p>
              </w:tc>
            </w:tr>
          </w:tbl>
          <w:p>
            <w:pPr>
              <w:pStyle w:val="TableContents"/>
              <w:bidi w:val="0"/>
              <w:spacing w:before="0" w:after="283"/>
              <w:jc w:val="left"/>
              <w:rPr/>
            </w:pPr>
            <w:r>
              <w:rPr/>
            </w:r>
          </w:p>
        </w:tc>
        <w:tc>
          <w:tcPr>
            <w:tcW w:w="357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7"/>
        <w:gridCol w:w="4308"/>
      </w:tblGrid>
      <w:tr>
        <w:trPr/>
        <w:tc>
          <w:tcPr>
            <w:tcW w:w="589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Andrew R. McCarroll</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Andrew R. McCarroll, General Counsel</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02/14/2025</w:t>
                  </w:r>
                </w:p>
              </w:tc>
            </w:tr>
          </w:tbl>
          <w:p>
            <w:pPr>
              <w:pStyle w:val="TableContents"/>
              <w:bidi w:val="0"/>
              <w:spacing w:before="0" w:after="283"/>
              <w:jc w:val="left"/>
              <w:rPr/>
            </w:pPr>
            <w:r>
              <w:rPr/>
            </w:r>
          </w:p>
        </w:tc>
        <w:tc>
          <w:tcPr>
            <w:tcW w:w="4308" w:type="dxa"/>
            <w:tcBorders/>
            <w:vAlign w:val="center"/>
          </w:tcPr>
          <w:p>
            <w:pPr>
              <w:pStyle w:val="TableContents"/>
              <w:bidi w:val="0"/>
              <w:spacing w:before="0" w:after="283"/>
              <w:jc w:val="left"/>
              <w:rPr>
                <w:sz w:val="4"/>
                <w:szCs w:val="4"/>
              </w:rPr>
            </w:pPr>
            <w:r>
              <w:rPr>
                <w:sz w:val="4"/>
                <w:szCs w:val="4"/>
              </w:rPr>
            </w:r>
          </w:p>
        </w:tc>
      </w:tr>
    </w:tbl>
    <w:tbl>
      <w:tblPr>
        <w:tblW w:w="4302" w:type="dxa"/>
        <w:jc w:val="left"/>
        <w:tblInd w:w="0" w:type="dxa"/>
        <w:tblLayout w:type="fixed"/>
        <w:tblCellMar>
          <w:top w:w="28" w:type="dxa"/>
          <w:left w:w="28" w:type="dxa"/>
          <w:bottom w:w="28" w:type="dxa"/>
          <w:right w:w="28" w:type="dxa"/>
        </w:tblCellMar>
      </w:tblPr>
      <w:tblGrid>
        <w:gridCol w:w="2151"/>
        <w:gridCol w:w="2151"/>
      </w:tblGrid>
      <w:tr>
        <w:trPr/>
        <w:tc>
          <w:tcPr>
            <w:tcW w:w="2151" w:type="dxa"/>
            <w:tcBorders/>
            <w:vAlign w:val="center"/>
          </w:tcPr>
          <w:p>
            <w:pPr>
              <w:pStyle w:val="TableContents"/>
              <w:bidi w:val="0"/>
              <w:spacing w:before="0" w:after="0"/>
              <w:jc w:val="left"/>
              <w:rPr/>
            </w:pPr>
            <w:r>
              <w:rPr/>
              <w:t> </w:t>
            </w:r>
          </w:p>
          <w:tbl>
            <w:tblPr>
              <w:tblW w:w="2026" w:type="dxa"/>
              <w:jc w:val="left"/>
              <w:tblInd w:w="0" w:type="dxa"/>
              <w:tblLayout w:type="fixed"/>
              <w:tblCellMar>
                <w:top w:w="28" w:type="dxa"/>
                <w:left w:w="28" w:type="dxa"/>
                <w:bottom w:w="28" w:type="dxa"/>
                <w:right w:w="28" w:type="dxa"/>
              </w:tblCellMar>
            </w:tblPr>
            <w:tblGrid>
              <w:gridCol w:w="2026"/>
            </w:tblGrid>
            <w:tr>
              <w:trPr/>
              <w:tc>
                <w:tcPr>
                  <w:tcW w:w="2026" w:type="dxa"/>
                  <w:tcBorders/>
                  <w:vAlign w:val="center"/>
                </w:tcPr>
                <w:p>
                  <w:pPr>
                    <w:pStyle w:val="TableContents"/>
                    <w:bidi w:val="0"/>
                    <w:spacing w:before="0" w:after="0"/>
                    <w:jc w:val="left"/>
                    <w:rPr/>
                  </w:pPr>
                  <w:r>
                    <w:rPr/>
                    <w:t>O. Mason Hawkins</w:t>
                  </w:r>
                </w:p>
              </w:tc>
            </w:tr>
          </w:tbl>
          <w:p>
            <w:pPr>
              <w:pStyle w:val="TableContents"/>
              <w:bidi w:val="0"/>
              <w:spacing w:before="0" w:after="283"/>
              <w:jc w:val="left"/>
              <w:rPr/>
            </w:pPr>
            <w:r>
              <w:rPr/>
            </w:r>
          </w:p>
        </w:tc>
        <w:tc>
          <w:tcPr>
            <w:tcW w:w="215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6"/>
        <w:gridCol w:w="4359"/>
      </w:tblGrid>
      <w:tr>
        <w:trPr/>
        <w:tc>
          <w:tcPr>
            <w:tcW w:w="584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O. Mason Hawkins</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O. Mason Hawkins, Individually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02/14/2025</w:t>
                  </w:r>
                </w:p>
              </w:tc>
            </w:tr>
          </w:tbl>
          <w:p>
            <w:pPr>
              <w:pStyle w:val="TableContents"/>
              <w:bidi w:val="0"/>
              <w:spacing w:before="0" w:after="283"/>
              <w:jc w:val="left"/>
              <w:rPr/>
            </w:pPr>
            <w:r>
              <w:rPr/>
            </w:r>
          </w:p>
        </w:tc>
        <w:tc>
          <w:tcPr>
            <w:tcW w:w="43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Joint Filing Agreement In accordance with Rule 13d-1 (k) under the Securities Exchange Act of 1934, the persons or entities named below agree to the joint filing on behalf of each of them of this Schedule 13G with respect to the Securities of the Issuer and further agree that this joint filing agreement be included as an exhibit to this Schedule 13G. In evidence thereof, the undersigned hereby execute this Agreement as of February 14, 2025. Southeastern Asset Management, Inc. By /s/ Andrew R. McCarroll Andrew R. McCarroll, General Counsel Longleaf Partners Small-Cap Fund By: Southeastern Asset Management, Inc. /s/ Andrew R. McCarroll Andrew R. McCarroll, General Counsel O. Mason Hawkins, Individually /s/ O. Mason Hawkins</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1500</Words>
  <Characters>7813</Characters>
  <CharactersWithSpaces>9254</CharactersWithSpaces>
  <Paragraphs>263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