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Tabor A Wellford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4009 N. RODNEY PARHAM RD., 4TH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Westrock Coffee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WEST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4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966"/>
        <w:gridCol w:w="966"/>
        <w:gridCol w:w="906"/>
        <w:gridCol w:w="801"/>
        <w:gridCol w:w="891"/>
        <w:gridCol w:w="1101"/>
        <w:gridCol w:w="966"/>
        <w:gridCol w:w="966"/>
        <w:gridCol w:w="831"/>
        <w:gridCol w:w="846"/>
      </w:tblGrid>
      <w:tr>
        <w:trPr>
          <w:tblHeader w:val="true"/>
        </w:trPr>
        <w:tc>
          <w:tcPr>
            <w:tcW w:w="134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5% Convertible Notes due 2029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12.84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2,000,000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2,000,000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6% Convertible Notes due 2032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2,000,000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01/31/2032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2,000,000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2,000,000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21, 2026, Westrock Coffee Company (the "Issuer") and the Reporting Person amended and restated the terms of the 5.00% convertible senior notes due 2029 held by the Reporting Person, to, among other things, reduce the conversion price from $12.84 per share to $9.50 per share, extend the maturity date from February 15, 2029 to January 31, 2032, increase the interest rate from 5% to 6% and provide for a cash redemption right of $14.25 per share on an as-converted basis if the closing price of the Issuer's common stock for more than 120 consecutive trading days is equal to or greater than $14.25.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32"/>
        <w:gridCol w:w="2537"/>
        <w:gridCol w:w="2036"/>
      </w:tblGrid>
      <w:tr>
        <w:trPr/>
        <w:tc>
          <w:tcPr>
            <w:tcW w:w="5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BY: BLAKE SCHUHMACHER AS ATTORNEY-IN-FACT FOR A. WELLFORD TABOR</w:t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5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4945" TargetMode="External"/><Relationship Id="rId5" Type="http://schemas.openxmlformats.org/officeDocument/2006/relationships/hyperlink" Target="http://www.sec.gov/cgi-bin/browse-edgar?action=getcompany&amp;CIK=0001806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701</Words>
  <Characters>3764</Characters>
  <CharactersWithSpaces>4383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