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347345</wp:posOffset>
            </wp:positionV>
            <wp:extent cx="649541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5415" cy="336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414655</wp:posOffset>
            </wp:positionV>
            <wp:extent cx="6495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5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20"/>
        <w:spacing w:after="0"/>
        <w:rPr>
          <w:sz w:val="20"/>
          <w:szCs w:val="20"/>
          <w:color w:val="auto"/>
        </w:rPr>
      </w:pPr>
      <w:r>
        <w:rPr>
          <w:rFonts w:ascii="Arial" w:cs="Arial" w:eastAsia="Arial" w:hAnsi="Arial"/>
          <w:sz w:val="26"/>
          <w:szCs w:val="26"/>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95250</wp:posOffset>
            </wp:positionV>
            <wp:extent cx="16319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26"/>
          <w:szCs w:val="26"/>
          <w:b w:val="1"/>
          <w:bCs w:val="1"/>
          <w:color w:val="auto"/>
        </w:rPr>
        <w:t>FORM 10-Q</w:t>
      </w:r>
    </w:p>
    <w:p>
      <w:pPr>
        <w:spacing w:after="0" w:line="108" w:lineRule="exact"/>
        <w:rPr>
          <w:sz w:val="24"/>
          <w:szCs w:val="24"/>
          <w:color w:val="auto"/>
        </w:rPr>
      </w:pPr>
    </w:p>
    <w:p>
      <w:pPr>
        <w:ind w:left="640" w:hanging="314"/>
        <w:spacing w:after="0"/>
        <w:tabs>
          <w:tab w:leader="none" w:pos="6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4"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For the quarterly period ended September 30, 2022</w:t>
      </w:r>
    </w:p>
    <w:p>
      <w:pPr>
        <w:spacing w:after="0" w:line="78" w:lineRule="exact"/>
        <w:rPr>
          <w:sz w:val="24"/>
          <w:szCs w:val="24"/>
          <w:color w:val="auto"/>
        </w:rPr>
      </w:pPr>
    </w:p>
    <w:p>
      <w:pPr>
        <w:ind w:left="5020"/>
        <w:spacing w:after="0"/>
        <w:rPr>
          <w:sz w:val="20"/>
          <w:szCs w:val="20"/>
          <w:color w:val="auto"/>
        </w:rPr>
      </w:pPr>
      <w:r>
        <w:rPr>
          <w:rFonts w:ascii="Arial" w:cs="Arial" w:eastAsia="Arial" w:hAnsi="Arial"/>
          <w:sz w:val="14"/>
          <w:szCs w:val="14"/>
          <w:b w:val="1"/>
          <w:bCs w:val="1"/>
          <w:color w:val="auto"/>
        </w:rPr>
        <w:t>OR</w:t>
      </w:r>
    </w:p>
    <w:p>
      <w:pPr>
        <w:spacing w:after="0" w:line="82" w:lineRule="exact"/>
        <w:rPr>
          <w:sz w:val="24"/>
          <w:szCs w:val="24"/>
          <w:color w:val="auto"/>
        </w:rPr>
      </w:pPr>
    </w:p>
    <w:p>
      <w:pPr>
        <w:ind w:left="640" w:hanging="314"/>
        <w:spacing w:after="0"/>
        <w:tabs>
          <w:tab w:leader="none" w:pos="6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80" w:type="dxa"/>
            <w:vAlign w:val="bottom"/>
            <w:gridSpan w:val="2"/>
          </w:tcPr>
          <w:p>
            <w:pPr>
              <w:ind w:left="200"/>
              <w:spacing w:after="0"/>
              <w:rPr>
                <w:sz w:val="20"/>
                <w:szCs w:val="20"/>
                <w:color w:val="auto"/>
              </w:rPr>
            </w:pPr>
            <w:r>
              <w:rPr>
                <w:rFonts w:ascii="Arial" w:cs="Arial" w:eastAsia="Arial" w:hAnsi="Arial"/>
                <w:sz w:val="14"/>
                <w:szCs w:val="14"/>
                <w:b w:val="1"/>
                <w:bCs w:val="1"/>
                <w:color w:val="auto"/>
                <w:w w:val="94"/>
              </w:rPr>
              <w:t>For the transition period from _____ to _____.</w:t>
            </w:r>
          </w:p>
        </w:tc>
        <w:tc>
          <w:tcPr>
            <w:tcW w:w="3280" w:type="dxa"/>
            <w:vAlign w:val="bottom"/>
          </w:tcPr>
          <w:p>
            <w:pPr>
              <w:spacing w:after="0"/>
              <w:rPr>
                <w:sz w:val="15"/>
                <w:szCs w:val="15"/>
                <w:color w:val="auto"/>
              </w:rPr>
            </w:pPr>
          </w:p>
        </w:tc>
      </w:tr>
      <w:tr>
        <w:trPr>
          <w:trHeight w:val="238"/>
        </w:trPr>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Commission File Number: 001-41485</w:t>
            </w:r>
          </w:p>
        </w:tc>
        <w:tc>
          <w:tcPr>
            <w:tcW w:w="3280" w:type="dxa"/>
            <w:vAlign w:val="bottom"/>
          </w:tcPr>
          <w:p>
            <w:pPr>
              <w:spacing w:after="0"/>
              <w:rPr>
                <w:sz w:val="20"/>
                <w:szCs w:val="20"/>
                <w:color w:val="auto"/>
              </w:rPr>
            </w:pPr>
          </w:p>
        </w:tc>
      </w:tr>
      <w:tr>
        <w:trPr>
          <w:trHeight w:val="170"/>
        </w:trPr>
        <w:tc>
          <w:tcPr>
            <w:tcW w:w="3840" w:type="dxa"/>
            <w:vAlign w:val="bottom"/>
            <w:gridSpan w:val="2"/>
          </w:tcPr>
          <w:p>
            <w:pPr>
              <w:spacing w:after="0"/>
              <w:rPr>
                <w:sz w:val="14"/>
                <w:szCs w:val="14"/>
                <w:color w:val="auto"/>
              </w:rPr>
            </w:pPr>
          </w:p>
        </w:tc>
        <w:tc>
          <w:tcPr>
            <w:tcW w:w="2560" w:type="dxa"/>
            <w:vAlign w:val="bottom"/>
            <w:tcBorders>
              <w:bottom w:val="single" w:sz="8" w:color="auto"/>
            </w:tcBorders>
            <w:gridSpan w:val="2"/>
          </w:tcPr>
          <w:p>
            <w:pPr>
              <w:spacing w:after="0"/>
              <w:rPr>
                <w:sz w:val="14"/>
                <w:szCs w:val="14"/>
                <w:color w:val="auto"/>
              </w:rPr>
            </w:pPr>
          </w:p>
        </w:tc>
        <w:tc>
          <w:tcPr>
            <w:tcW w:w="3860" w:type="dxa"/>
            <w:vAlign w:val="bottom"/>
            <w:gridSpan w:val="2"/>
          </w:tcPr>
          <w:p>
            <w:pPr>
              <w:spacing w:after="0"/>
              <w:rPr>
                <w:sz w:val="14"/>
                <w:szCs w:val="14"/>
                <w:color w:val="auto"/>
              </w:rPr>
            </w:pPr>
          </w:p>
        </w:tc>
      </w:tr>
      <w:tr>
        <w:trPr>
          <w:trHeight w:val="438"/>
        </w:trPr>
        <w:tc>
          <w:tcPr>
            <w:tcW w:w="10260" w:type="dxa"/>
            <w:vAlign w:val="bottom"/>
            <w:gridSpan w:val="6"/>
          </w:tcPr>
          <w:p>
            <w:pPr>
              <w:jc w:val="center"/>
              <w:spacing w:after="0"/>
              <w:rPr>
                <w:sz w:val="20"/>
                <w:szCs w:val="20"/>
                <w:color w:val="auto"/>
              </w:rPr>
            </w:pPr>
            <w:r>
              <w:rPr>
                <w:rFonts w:ascii="Arial" w:cs="Arial" w:eastAsia="Arial" w:hAnsi="Arial"/>
                <w:sz w:val="26"/>
                <w:szCs w:val="26"/>
                <w:b w:val="1"/>
                <w:bCs w:val="1"/>
                <w:color w:val="auto"/>
              </w:rPr>
              <w:t>WESTROCK COFFEE COMPANY</w:t>
            </w:r>
          </w:p>
        </w:tc>
      </w:tr>
      <w:tr>
        <w:trPr>
          <w:trHeight w:val="180"/>
        </w:trPr>
        <w:tc>
          <w:tcPr>
            <w:tcW w:w="3580" w:type="dxa"/>
            <w:vAlign w:val="bottom"/>
          </w:tcPr>
          <w:p>
            <w:pPr>
              <w:spacing w:after="0"/>
              <w:rPr>
                <w:sz w:val="15"/>
                <w:szCs w:val="15"/>
                <w:color w:val="auto"/>
              </w:rPr>
            </w:pPr>
          </w:p>
        </w:tc>
        <w:tc>
          <w:tcPr>
            <w:tcW w:w="3400" w:type="dxa"/>
            <w:vAlign w:val="bottom"/>
            <w:gridSpan w:val="4"/>
          </w:tcPr>
          <w:p>
            <w:pPr>
              <w:jc w:val="center"/>
              <w:ind w:right="300"/>
              <w:spacing w:after="0"/>
              <w:rPr>
                <w:sz w:val="20"/>
                <w:szCs w:val="20"/>
                <w:color w:val="auto"/>
              </w:rPr>
            </w:pPr>
            <w:r>
              <w:rPr>
                <w:rFonts w:ascii="Arial" w:cs="Arial" w:eastAsia="Arial" w:hAnsi="Arial"/>
                <w:sz w:val="14"/>
                <w:szCs w:val="14"/>
                <w:color w:val="auto"/>
                <w:w w:val="91"/>
              </w:rPr>
              <w:t>(Exact Name of Registrant as Specified in Its Charter)</w:t>
            </w:r>
          </w:p>
        </w:tc>
        <w:tc>
          <w:tcPr>
            <w:tcW w:w="3280" w:type="dxa"/>
            <w:vAlign w:val="bottom"/>
          </w:tcPr>
          <w:p>
            <w:pPr>
              <w:spacing w:after="0"/>
              <w:rPr>
                <w:sz w:val="15"/>
                <w:szCs w:val="15"/>
                <w:color w:val="auto"/>
              </w:rPr>
            </w:pPr>
          </w:p>
        </w:tc>
      </w:tr>
      <w:tr>
        <w:trPr>
          <w:trHeight w:val="252"/>
        </w:trPr>
        <w:tc>
          <w:tcPr>
            <w:tcW w:w="3580" w:type="dxa"/>
            <w:vAlign w:val="bottom"/>
          </w:tcPr>
          <w:p>
            <w:pPr>
              <w:jc w:val="center"/>
              <w:ind w:left="1587"/>
              <w:spacing w:after="0"/>
              <w:rPr>
                <w:sz w:val="20"/>
                <w:szCs w:val="20"/>
                <w:color w:val="auto"/>
              </w:rPr>
            </w:pPr>
            <w:r>
              <w:rPr>
                <w:rFonts w:ascii="Arial" w:cs="Arial" w:eastAsia="Arial" w:hAnsi="Arial"/>
                <w:sz w:val="14"/>
                <w:szCs w:val="14"/>
                <w:b w:val="1"/>
                <w:bCs w:val="1"/>
                <w:color w:val="auto"/>
                <w:w w:val="91"/>
              </w:rPr>
              <w:t>Delaware</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80" w:type="dxa"/>
            <w:vAlign w:val="bottom"/>
          </w:tcPr>
          <w:p>
            <w:pPr>
              <w:jc w:val="right"/>
              <w:ind w:right="2233"/>
              <w:spacing w:after="0"/>
              <w:rPr>
                <w:sz w:val="20"/>
                <w:szCs w:val="20"/>
                <w:color w:val="auto"/>
              </w:rPr>
            </w:pPr>
            <w:r>
              <w:rPr>
                <w:rFonts w:ascii="Arial" w:cs="Arial" w:eastAsia="Arial" w:hAnsi="Arial"/>
                <w:sz w:val="14"/>
                <w:szCs w:val="14"/>
                <w:b w:val="1"/>
                <w:bCs w:val="1"/>
                <w:color w:val="auto"/>
              </w:rPr>
              <w:t>80-0977200</w:t>
            </w:r>
          </w:p>
        </w:tc>
      </w:tr>
      <w:tr>
        <w:trPr>
          <w:trHeight w:val="180"/>
        </w:trPr>
        <w:tc>
          <w:tcPr>
            <w:tcW w:w="3580" w:type="dxa"/>
            <w:vAlign w:val="bottom"/>
          </w:tcPr>
          <w:p>
            <w:pPr>
              <w:jc w:val="center"/>
              <w:ind w:left="1587"/>
              <w:spacing w:after="0"/>
              <w:rPr>
                <w:sz w:val="20"/>
                <w:szCs w:val="20"/>
                <w:color w:val="auto"/>
              </w:rPr>
            </w:pPr>
            <w:r>
              <w:rPr>
                <w:rFonts w:ascii="Arial" w:cs="Arial" w:eastAsia="Arial" w:hAnsi="Arial"/>
                <w:sz w:val="12"/>
                <w:szCs w:val="12"/>
                <w:color w:val="auto"/>
                <w:w w:val="94"/>
              </w:rPr>
              <w:t>(State or Other Jurisdiction of</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80" w:type="dxa"/>
            <w:vAlign w:val="bottom"/>
          </w:tcPr>
          <w:p>
            <w:pPr>
              <w:jc w:val="center"/>
              <w:ind w:right="1913"/>
              <w:spacing w:after="0"/>
              <w:rPr>
                <w:sz w:val="20"/>
                <w:szCs w:val="20"/>
                <w:color w:val="auto"/>
              </w:rPr>
            </w:pPr>
            <w:r>
              <w:rPr>
                <w:rFonts w:ascii="Arial" w:cs="Arial" w:eastAsia="Arial" w:hAnsi="Arial"/>
                <w:sz w:val="12"/>
                <w:szCs w:val="12"/>
                <w:color w:val="auto"/>
                <w:w w:val="97"/>
              </w:rPr>
              <w:t>(I.R.S. Employer</w:t>
            </w:r>
          </w:p>
        </w:tc>
      </w:tr>
      <w:tr>
        <w:trPr>
          <w:trHeight w:val="172"/>
        </w:trPr>
        <w:tc>
          <w:tcPr>
            <w:tcW w:w="3580" w:type="dxa"/>
            <w:vAlign w:val="bottom"/>
          </w:tcPr>
          <w:p>
            <w:pPr>
              <w:jc w:val="center"/>
              <w:ind w:left="1587"/>
              <w:spacing w:after="0"/>
              <w:rPr>
                <w:sz w:val="20"/>
                <w:szCs w:val="20"/>
                <w:color w:val="auto"/>
              </w:rPr>
            </w:pPr>
            <w:r>
              <w:rPr>
                <w:rFonts w:ascii="Arial" w:cs="Arial" w:eastAsia="Arial" w:hAnsi="Arial"/>
                <w:sz w:val="12"/>
                <w:szCs w:val="12"/>
                <w:color w:val="auto"/>
                <w:w w:val="95"/>
              </w:rPr>
              <w:t>Incorporation or Organization)</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jc w:val="center"/>
              <w:ind w:right="1913"/>
              <w:spacing w:after="0"/>
              <w:rPr>
                <w:sz w:val="20"/>
                <w:szCs w:val="20"/>
                <w:color w:val="auto"/>
              </w:rPr>
            </w:pPr>
            <w:r>
              <w:rPr>
                <w:rFonts w:ascii="Arial" w:cs="Arial" w:eastAsia="Arial" w:hAnsi="Arial"/>
                <w:sz w:val="12"/>
                <w:szCs w:val="12"/>
                <w:color w:val="auto"/>
                <w:w w:val="97"/>
              </w:rPr>
              <w:t>Identification Number)</w:t>
            </w:r>
          </w:p>
        </w:tc>
      </w:tr>
      <w:tr>
        <w:trPr>
          <w:trHeight w:val="284"/>
        </w:trPr>
        <w:tc>
          <w:tcPr>
            <w:tcW w:w="3580" w:type="dxa"/>
            <w:vAlign w:val="bottom"/>
          </w:tcPr>
          <w:p>
            <w:pPr>
              <w:jc w:val="center"/>
              <w:ind w:left="1587"/>
              <w:spacing w:after="0"/>
              <w:rPr>
                <w:sz w:val="20"/>
                <w:szCs w:val="20"/>
                <w:color w:val="auto"/>
              </w:rPr>
            </w:pPr>
            <w:r>
              <w:rPr>
                <w:rFonts w:ascii="Arial" w:cs="Arial" w:eastAsia="Arial" w:hAnsi="Arial"/>
                <w:sz w:val="14"/>
                <w:szCs w:val="14"/>
                <w:b w:val="1"/>
                <w:bCs w:val="1"/>
                <w:color w:val="auto"/>
                <w:w w:val="93"/>
              </w:rPr>
              <w:t>100 River Bluff Drive, Suite 210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99"/>
        </w:trPr>
        <w:tc>
          <w:tcPr>
            <w:tcW w:w="3580" w:type="dxa"/>
            <w:vAlign w:val="bottom"/>
          </w:tcPr>
          <w:p>
            <w:pPr>
              <w:jc w:val="center"/>
              <w:ind w:left="1587"/>
              <w:spacing w:after="0"/>
              <w:rPr>
                <w:sz w:val="20"/>
                <w:szCs w:val="20"/>
                <w:color w:val="auto"/>
              </w:rPr>
            </w:pPr>
            <w:r>
              <w:rPr>
                <w:rFonts w:ascii="Arial" w:cs="Arial" w:eastAsia="Arial" w:hAnsi="Arial"/>
                <w:sz w:val="14"/>
                <w:szCs w:val="14"/>
                <w:b w:val="1"/>
                <w:bCs w:val="1"/>
                <w:color w:val="auto"/>
                <w:w w:val="92"/>
              </w:rPr>
              <w:t>Little Rock, Arkansas</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80" w:type="dxa"/>
            <w:vAlign w:val="bottom"/>
          </w:tcPr>
          <w:p>
            <w:pPr>
              <w:jc w:val="right"/>
              <w:ind w:right="2393"/>
              <w:spacing w:after="0"/>
              <w:rPr>
                <w:sz w:val="20"/>
                <w:szCs w:val="20"/>
                <w:color w:val="auto"/>
              </w:rPr>
            </w:pPr>
            <w:r>
              <w:rPr>
                <w:rFonts w:ascii="Arial" w:cs="Arial" w:eastAsia="Arial" w:hAnsi="Arial"/>
                <w:sz w:val="14"/>
                <w:szCs w:val="14"/>
                <w:b w:val="1"/>
                <w:bCs w:val="1"/>
                <w:color w:val="auto"/>
              </w:rPr>
              <w:t>72202</w:t>
            </w:r>
          </w:p>
        </w:tc>
      </w:tr>
      <w:tr>
        <w:trPr>
          <w:trHeight w:val="179"/>
        </w:trPr>
        <w:tc>
          <w:tcPr>
            <w:tcW w:w="6980" w:type="dxa"/>
            <w:vAlign w:val="bottom"/>
            <w:gridSpan w:val="5"/>
          </w:tcPr>
          <w:p>
            <w:pPr>
              <w:jc w:val="center"/>
              <w:ind w:right="1740"/>
              <w:spacing w:after="0"/>
              <w:rPr>
                <w:sz w:val="20"/>
                <w:szCs w:val="20"/>
                <w:color w:val="auto"/>
              </w:rPr>
            </w:pPr>
            <w:r>
              <w:rPr>
                <w:rFonts w:ascii="Arial" w:cs="Arial" w:eastAsia="Arial" w:hAnsi="Arial"/>
                <w:sz w:val="12"/>
                <w:szCs w:val="12"/>
                <w:color w:val="auto"/>
                <w:w w:val="94"/>
              </w:rPr>
              <w:t>(Address of Principal Executive Offices)</w:t>
            </w:r>
          </w:p>
        </w:tc>
        <w:tc>
          <w:tcPr>
            <w:tcW w:w="3280" w:type="dxa"/>
            <w:vAlign w:val="bottom"/>
          </w:tcPr>
          <w:p>
            <w:pPr>
              <w:jc w:val="center"/>
              <w:ind w:right="1913"/>
              <w:spacing w:after="0"/>
              <w:rPr>
                <w:sz w:val="20"/>
                <w:szCs w:val="20"/>
                <w:color w:val="auto"/>
              </w:rPr>
            </w:pPr>
            <w:r>
              <w:rPr>
                <w:rFonts w:ascii="Arial" w:cs="Arial" w:eastAsia="Arial" w:hAnsi="Arial"/>
                <w:sz w:val="12"/>
                <w:szCs w:val="12"/>
                <w:color w:val="auto"/>
                <w:w w:val="95"/>
              </w:rPr>
              <w:t>(Zip Code)</w:t>
            </w:r>
          </w:p>
        </w:tc>
      </w:tr>
      <w:tr>
        <w:trPr>
          <w:trHeight w:val="268"/>
        </w:trPr>
        <w:tc>
          <w:tcPr>
            <w:tcW w:w="3580" w:type="dxa"/>
            <w:vAlign w:val="bottom"/>
          </w:tcPr>
          <w:p>
            <w:pPr>
              <w:spacing w:after="0"/>
              <w:rPr>
                <w:sz w:val="23"/>
                <w:szCs w:val="23"/>
                <w:color w:val="auto"/>
              </w:rPr>
            </w:pPr>
          </w:p>
        </w:tc>
        <w:tc>
          <w:tcPr>
            <w:tcW w:w="2820" w:type="dxa"/>
            <w:vAlign w:val="bottom"/>
            <w:gridSpan w:val="3"/>
          </w:tcPr>
          <w:p>
            <w:pPr>
              <w:jc w:val="center"/>
              <w:ind w:left="192"/>
              <w:spacing w:after="0"/>
              <w:rPr>
                <w:sz w:val="20"/>
                <w:szCs w:val="20"/>
                <w:color w:val="auto"/>
              </w:rPr>
            </w:pPr>
            <w:r>
              <w:rPr>
                <w:rFonts w:ascii="Arial" w:cs="Arial" w:eastAsia="Arial" w:hAnsi="Arial"/>
                <w:sz w:val="14"/>
                <w:szCs w:val="14"/>
                <w:b w:val="1"/>
                <w:bCs w:val="1"/>
                <w:color w:val="auto"/>
                <w:w w:val="91"/>
              </w:rPr>
              <w:t>(501) 320-4880</w:t>
            </w:r>
          </w:p>
        </w:tc>
        <w:tc>
          <w:tcPr>
            <w:tcW w:w="580" w:type="dxa"/>
            <w:vAlign w:val="bottom"/>
          </w:tcPr>
          <w:p>
            <w:pPr>
              <w:spacing w:after="0"/>
              <w:rPr>
                <w:sz w:val="23"/>
                <w:szCs w:val="23"/>
                <w:color w:val="auto"/>
              </w:rPr>
            </w:pPr>
          </w:p>
        </w:tc>
        <w:tc>
          <w:tcPr>
            <w:tcW w:w="3280" w:type="dxa"/>
            <w:vAlign w:val="bottom"/>
          </w:tcPr>
          <w:p>
            <w:pPr>
              <w:spacing w:after="0"/>
              <w:rPr>
                <w:sz w:val="23"/>
                <w:szCs w:val="23"/>
                <w:color w:val="auto"/>
              </w:rPr>
            </w:pPr>
          </w:p>
        </w:tc>
      </w:tr>
      <w:tr>
        <w:trPr>
          <w:trHeight w:val="156"/>
        </w:trPr>
        <w:tc>
          <w:tcPr>
            <w:tcW w:w="3580" w:type="dxa"/>
            <w:vAlign w:val="bottom"/>
          </w:tcPr>
          <w:p>
            <w:pPr>
              <w:spacing w:after="0"/>
              <w:rPr>
                <w:sz w:val="13"/>
                <w:szCs w:val="13"/>
                <w:color w:val="auto"/>
              </w:rPr>
            </w:pPr>
          </w:p>
        </w:tc>
        <w:tc>
          <w:tcPr>
            <w:tcW w:w="3400" w:type="dxa"/>
            <w:vAlign w:val="bottom"/>
            <w:gridSpan w:val="4"/>
          </w:tcPr>
          <w:p>
            <w:pPr>
              <w:jc w:val="center"/>
              <w:ind w:right="300"/>
              <w:spacing w:after="0"/>
              <w:rPr>
                <w:sz w:val="20"/>
                <w:szCs w:val="20"/>
                <w:color w:val="auto"/>
              </w:rPr>
            </w:pPr>
            <w:r>
              <w:rPr>
                <w:rFonts w:ascii="Arial" w:cs="Arial" w:eastAsia="Arial" w:hAnsi="Arial"/>
                <w:sz w:val="12"/>
                <w:szCs w:val="12"/>
                <w:color w:val="auto"/>
                <w:w w:val="93"/>
              </w:rPr>
              <w:t>(Registrant’s Telephone Number, Including Area Code)</w:t>
            </w:r>
          </w:p>
        </w:tc>
        <w:tc>
          <w:tcPr>
            <w:tcW w:w="3280" w:type="dxa"/>
            <w:vAlign w:val="bottom"/>
          </w:tcPr>
          <w:p>
            <w:pPr>
              <w:spacing w:after="0"/>
              <w:rPr>
                <w:sz w:val="13"/>
                <w:szCs w:val="13"/>
                <w:color w:val="auto"/>
              </w:rPr>
            </w:pPr>
          </w:p>
        </w:tc>
      </w:tr>
      <w:tr>
        <w:trPr>
          <w:trHeight w:val="250"/>
        </w:trPr>
        <w:tc>
          <w:tcPr>
            <w:tcW w:w="3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Not applicable</w:t>
            </w:r>
          </w:p>
        </w:tc>
        <w:tc>
          <w:tcPr>
            <w:tcW w:w="3280" w:type="dxa"/>
            <w:vAlign w:val="bottom"/>
          </w:tcPr>
          <w:p>
            <w:pPr>
              <w:spacing w:after="0"/>
              <w:rPr>
                <w:sz w:val="21"/>
                <w:szCs w:val="21"/>
                <w:color w:val="auto"/>
              </w:rPr>
            </w:pPr>
          </w:p>
        </w:tc>
      </w:tr>
      <w:tr>
        <w:trPr>
          <w:trHeight w:val="180"/>
        </w:trPr>
        <w:tc>
          <w:tcPr>
            <w:tcW w:w="10260" w:type="dxa"/>
            <w:vAlign w:val="bottom"/>
            <w:gridSpan w:val="6"/>
          </w:tcPr>
          <w:p>
            <w:pPr>
              <w:jc w:val="center"/>
              <w:spacing w:after="0"/>
              <w:rPr>
                <w:sz w:val="20"/>
                <w:szCs w:val="20"/>
                <w:color w:val="auto"/>
              </w:rPr>
            </w:pPr>
            <w:r>
              <w:rPr>
                <w:rFonts w:ascii="Arial" w:cs="Arial" w:eastAsia="Arial" w:hAnsi="Arial"/>
                <w:sz w:val="14"/>
                <w:szCs w:val="14"/>
                <w:color w:val="auto"/>
                <w:w w:val="91"/>
              </w:rPr>
              <w:t>(Former name, former address and former fiscal year, if changed since last report)</w:t>
            </w:r>
          </w:p>
        </w:tc>
      </w:tr>
      <w:tr>
        <w:trPr>
          <w:trHeight w:val="252"/>
        </w:trPr>
        <w:tc>
          <w:tcPr>
            <w:tcW w:w="6980" w:type="dxa"/>
            <w:vAlign w:val="bottom"/>
            <w:gridSpan w:val="5"/>
          </w:tcPr>
          <w:p>
            <w:pPr>
              <w:jc w:val="center"/>
              <w:ind w:left="3207"/>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3280" w:type="dxa"/>
            <w:vAlign w:val="bottom"/>
          </w:tcPr>
          <w:p>
            <w:pPr>
              <w:spacing w:after="0"/>
              <w:rPr>
                <w:sz w:val="21"/>
                <w:szCs w:val="21"/>
                <w:color w:val="auto"/>
              </w:rPr>
            </w:pPr>
          </w:p>
        </w:tc>
      </w:tr>
      <w:tr>
        <w:trPr>
          <w:trHeight w:val="104"/>
        </w:trPr>
        <w:tc>
          <w:tcPr>
            <w:tcW w:w="35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r>
      <w:tr>
        <w:trPr>
          <w:trHeight w:val="176"/>
        </w:trPr>
        <w:tc>
          <w:tcPr>
            <w:tcW w:w="3580" w:type="dxa"/>
            <w:vAlign w:val="bottom"/>
            <w:tcBorders>
              <w:left w:val="single" w:sz="8" w:color="auto"/>
              <w:bottom w:val="single" w:sz="8" w:color="auto"/>
            </w:tcBorders>
          </w:tcPr>
          <w:p>
            <w:pPr>
              <w:jc w:val="center"/>
              <w:ind w:left="247"/>
              <w:spacing w:after="0"/>
              <w:rPr>
                <w:sz w:val="20"/>
                <w:szCs w:val="20"/>
                <w:color w:val="auto"/>
              </w:rPr>
            </w:pPr>
            <w:r>
              <w:rPr>
                <w:rFonts w:ascii="Arial" w:cs="Arial" w:eastAsia="Arial" w:hAnsi="Arial"/>
                <w:sz w:val="14"/>
                <w:szCs w:val="14"/>
                <w:color w:val="auto"/>
                <w:w w:val="90"/>
              </w:rPr>
              <w:t>Title of each class</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580" w:type="dxa"/>
            <w:vAlign w:val="bottom"/>
            <w:tcBorders>
              <w:bottom w:val="single" w:sz="8" w:color="auto"/>
            </w:tcBorders>
          </w:tcPr>
          <w:p>
            <w:pPr>
              <w:spacing w:after="0"/>
              <w:rPr>
                <w:sz w:val="15"/>
                <w:szCs w:val="15"/>
                <w:color w:val="auto"/>
              </w:rPr>
            </w:pPr>
          </w:p>
        </w:tc>
        <w:tc>
          <w:tcPr>
            <w:tcW w:w="3280" w:type="dxa"/>
            <w:vAlign w:val="bottom"/>
            <w:tcBorders>
              <w:bottom w:val="single" w:sz="8" w:color="auto"/>
              <w:right w:val="single" w:sz="8" w:color="auto"/>
            </w:tcBorders>
          </w:tcPr>
          <w:p>
            <w:pPr>
              <w:jc w:val="center"/>
              <w:ind w:right="553"/>
              <w:spacing w:after="0"/>
              <w:rPr>
                <w:sz w:val="20"/>
                <w:szCs w:val="20"/>
                <w:color w:val="auto"/>
              </w:rPr>
            </w:pPr>
            <w:r>
              <w:rPr>
                <w:rFonts w:ascii="Arial" w:cs="Arial" w:eastAsia="Arial" w:hAnsi="Arial"/>
                <w:sz w:val="14"/>
                <w:szCs w:val="14"/>
                <w:color w:val="auto"/>
                <w:w w:val="90"/>
              </w:rPr>
              <w:t>Name of each exchange on which registered</w:t>
            </w:r>
          </w:p>
        </w:tc>
      </w:tr>
      <w:tr>
        <w:trPr>
          <w:trHeight w:val="182"/>
        </w:trPr>
        <w:tc>
          <w:tcPr>
            <w:tcW w:w="3580" w:type="dxa"/>
            <w:vAlign w:val="bottom"/>
            <w:tcBorders>
              <w:left w:val="single" w:sz="8" w:color="auto"/>
              <w:bottom w:val="single" w:sz="8" w:color="auto"/>
            </w:tcBorders>
          </w:tcPr>
          <w:p>
            <w:pPr>
              <w:jc w:val="center"/>
              <w:ind w:left="227"/>
              <w:spacing w:after="0"/>
              <w:rPr>
                <w:sz w:val="20"/>
                <w:szCs w:val="20"/>
                <w:color w:val="auto"/>
              </w:rPr>
            </w:pPr>
            <w:r>
              <w:rPr>
                <w:rFonts w:ascii="Arial" w:cs="Arial" w:eastAsia="Arial" w:hAnsi="Arial"/>
                <w:sz w:val="14"/>
                <w:szCs w:val="14"/>
                <w:color w:val="auto"/>
                <w:w w:val="89"/>
              </w:rPr>
              <w:t>Shares of common stock, par value $0.01 per share</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WEST</w:t>
            </w:r>
          </w:p>
        </w:tc>
        <w:tc>
          <w:tcPr>
            <w:tcW w:w="580" w:type="dxa"/>
            <w:vAlign w:val="bottom"/>
            <w:tcBorders>
              <w:bottom w:val="single" w:sz="8" w:color="auto"/>
            </w:tcBorders>
          </w:tcPr>
          <w:p>
            <w:pPr>
              <w:spacing w:after="0"/>
              <w:rPr>
                <w:sz w:val="15"/>
                <w:szCs w:val="15"/>
                <w:color w:val="auto"/>
              </w:rPr>
            </w:pPr>
          </w:p>
        </w:tc>
        <w:tc>
          <w:tcPr>
            <w:tcW w:w="3280" w:type="dxa"/>
            <w:vAlign w:val="bottom"/>
            <w:tcBorders>
              <w:bottom w:val="single" w:sz="8" w:color="auto"/>
              <w:right w:val="single" w:sz="8" w:color="auto"/>
            </w:tcBorders>
          </w:tcPr>
          <w:p>
            <w:pPr>
              <w:jc w:val="center"/>
              <w:ind w:right="553"/>
              <w:spacing w:after="0"/>
              <w:rPr>
                <w:sz w:val="20"/>
                <w:szCs w:val="20"/>
                <w:color w:val="auto"/>
              </w:rPr>
            </w:pPr>
            <w:r>
              <w:rPr>
                <w:rFonts w:ascii="Arial" w:cs="Arial" w:eastAsia="Arial" w:hAnsi="Arial"/>
                <w:sz w:val="14"/>
                <w:szCs w:val="14"/>
                <w:color w:val="auto"/>
                <w:w w:val="92"/>
              </w:rPr>
              <w:t>The Nasdaq Stock Market LLC</w:t>
            </w:r>
          </w:p>
        </w:tc>
      </w:tr>
      <w:tr>
        <w:trPr>
          <w:trHeight w:val="120"/>
        </w:trPr>
        <w:tc>
          <w:tcPr>
            <w:tcW w:w="3580" w:type="dxa"/>
            <w:vAlign w:val="bottom"/>
            <w:tcBorders>
              <w:left w:val="single" w:sz="8" w:color="auto"/>
            </w:tcBorders>
          </w:tcPr>
          <w:p>
            <w:pPr>
              <w:jc w:val="center"/>
              <w:ind w:left="227"/>
              <w:spacing w:after="0" w:line="121" w:lineRule="exact"/>
              <w:rPr>
                <w:sz w:val="20"/>
                <w:szCs w:val="20"/>
                <w:color w:val="auto"/>
              </w:rPr>
            </w:pPr>
            <w:r>
              <w:rPr>
                <w:rFonts w:ascii="Arial" w:cs="Arial" w:eastAsia="Arial" w:hAnsi="Arial"/>
                <w:sz w:val="13"/>
                <w:szCs w:val="13"/>
                <w:color w:val="auto"/>
                <w:w w:val="97"/>
              </w:rPr>
              <w:t>Warrants, each whole warrant exercisable for one share of</w:t>
            </w:r>
          </w:p>
        </w:tc>
        <w:tc>
          <w:tcPr>
            <w:tcW w:w="2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3280" w:type="dxa"/>
            <w:vAlign w:val="bottom"/>
            <w:tcBorders>
              <w:right w:val="single" w:sz="8" w:color="auto"/>
            </w:tcBorders>
          </w:tcPr>
          <w:p>
            <w:pPr>
              <w:spacing w:after="0"/>
              <w:rPr>
                <w:sz w:val="10"/>
                <w:szCs w:val="10"/>
                <w:color w:val="auto"/>
              </w:rPr>
            </w:pPr>
          </w:p>
        </w:tc>
      </w:tr>
      <w:tr>
        <w:trPr>
          <w:trHeight w:val="204"/>
        </w:trPr>
        <w:tc>
          <w:tcPr>
            <w:tcW w:w="3580" w:type="dxa"/>
            <w:vAlign w:val="bottom"/>
            <w:tcBorders>
              <w:left w:val="single" w:sz="8" w:color="auto"/>
              <w:bottom w:val="single" w:sz="8" w:color="auto"/>
            </w:tcBorders>
          </w:tcPr>
          <w:p>
            <w:pPr>
              <w:jc w:val="center"/>
              <w:ind w:left="227"/>
              <w:spacing w:after="0"/>
              <w:rPr>
                <w:sz w:val="20"/>
                <w:szCs w:val="20"/>
                <w:color w:val="auto"/>
              </w:rPr>
            </w:pPr>
            <w:r>
              <w:rPr>
                <w:rFonts w:ascii="Arial" w:cs="Arial" w:eastAsia="Arial" w:hAnsi="Arial"/>
                <w:sz w:val="14"/>
                <w:szCs w:val="14"/>
                <w:color w:val="auto"/>
                <w:w w:val="90"/>
              </w:rPr>
              <w:t>common stock, par value $0.01 per share</w:t>
            </w: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WESTW</w:t>
            </w:r>
          </w:p>
        </w:tc>
        <w:tc>
          <w:tcPr>
            <w:tcW w:w="580" w:type="dxa"/>
            <w:vAlign w:val="bottom"/>
            <w:tcBorders>
              <w:bottom w:val="single" w:sz="8" w:color="auto"/>
            </w:tcBorders>
          </w:tcPr>
          <w:p>
            <w:pPr>
              <w:spacing w:after="0"/>
              <w:rPr>
                <w:sz w:val="17"/>
                <w:szCs w:val="17"/>
                <w:color w:val="auto"/>
              </w:rPr>
            </w:pPr>
          </w:p>
        </w:tc>
        <w:tc>
          <w:tcPr>
            <w:tcW w:w="3280" w:type="dxa"/>
            <w:vAlign w:val="bottom"/>
            <w:tcBorders>
              <w:bottom w:val="single" w:sz="8" w:color="auto"/>
              <w:right w:val="single" w:sz="8" w:color="auto"/>
            </w:tcBorders>
          </w:tcPr>
          <w:p>
            <w:pPr>
              <w:jc w:val="center"/>
              <w:ind w:right="553"/>
              <w:spacing w:after="0"/>
              <w:rPr>
                <w:sz w:val="20"/>
                <w:szCs w:val="20"/>
                <w:color w:val="auto"/>
              </w:rPr>
            </w:pPr>
            <w:r>
              <w:rPr>
                <w:rFonts w:ascii="Arial" w:cs="Arial" w:eastAsia="Arial" w:hAnsi="Arial"/>
                <w:sz w:val="14"/>
                <w:szCs w:val="14"/>
                <w:color w:val="auto"/>
                <w:w w:val="92"/>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184785</wp:posOffset>
            </wp:positionV>
            <wp:extent cx="16319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359" w:lineRule="exact"/>
        <w:rPr>
          <w:sz w:val="24"/>
          <w:szCs w:val="24"/>
          <w:color w:val="auto"/>
        </w:rPr>
      </w:pPr>
    </w:p>
    <w:p>
      <w:pPr>
        <w:ind w:right="580" w:firstLine="433"/>
        <w:spacing w:after="0" w:line="25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8" w:lineRule="exact"/>
        <w:rPr>
          <w:sz w:val="20"/>
          <w:szCs w:val="20"/>
          <w:color w:val="auto"/>
        </w:rPr>
      </w:pPr>
      <w:r>
        <w:rPr>
          <w:rFonts w:ascii="Arial" w:cs="Arial" w:eastAsia="Arial" w:hAnsi="Arial"/>
          <w:sz w:val="14"/>
          <w:szCs w:val="14"/>
          <w:color w:val="auto"/>
        </w:rPr>
        <w:t xml:space="preserve">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7" w:lineRule="exact"/>
        <w:rPr>
          <w:sz w:val="24"/>
          <w:szCs w:val="24"/>
          <w:color w:val="auto"/>
        </w:rPr>
      </w:pPr>
    </w:p>
    <w:p>
      <w:pPr>
        <w:ind w:right="380" w:firstLine="433"/>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6" w:lineRule="exact"/>
        <w:rPr>
          <w:sz w:val="24"/>
          <w:szCs w:val="24"/>
          <w:color w:val="auto"/>
        </w:rPr>
      </w:pPr>
    </w:p>
    <w:p>
      <w:pPr>
        <w:jc w:val="both"/>
        <w:ind w:right="280" w:firstLine="433"/>
        <w:spacing w:after="0" w:line="32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57" w:right="819" w:bottom="1440" w:gutter="0" w:footer="0" w:header="0"/>
        </w:sectPr>
      </w:pPr>
    </w:p>
    <w:p>
      <w:pPr>
        <w:spacing w:after="0" w:line="23" w:lineRule="exact"/>
        <w:rPr>
          <w:sz w:val="24"/>
          <w:szCs w:val="24"/>
          <w:color w:val="auto"/>
        </w:rPr>
      </w:pPr>
    </w:p>
    <w:p>
      <w:pPr>
        <w:spacing w:after="0" w:line="325" w:lineRule="auto"/>
        <w:rPr>
          <w:sz w:val="20"/>
          <w:szCs w:val="20"/>
          <w:color w:val="auto"/>
        </w:rPr>
      </w:pPr>
      <w:r>
        <w:rPr>
          <w:rFonts w:ascii="Arial" w:cs="Arial" w:eastAsia="Arial" w:hAnsi="Arial"/>
          <w:sz w:val="13"/>
          <w:szCs w:val="13"/>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79" w:lineRule="exact"/>
        <w:rPr>
          <w:sz w:val="20"/>
          <w:szCs w:val="20"/>
          <w:color w:val="auto"/>
        </w:rPr>
      </w:pPr>
      <w:r>
        <w:rPr>
          <w:rFonts w:ascii="Arial Unicode MS" w:cs="Arial Unicode MS" w:eastAsia="Arial Unicode MS" w:hAnsi="Arial Unicode MS"/>
          <w:sz w:val="14"/>
          <w:szCs w:val="14"/>
          <w:color w:val="auto"/>
        </w:rPr>
        <w:t>☐</w:t>
      </w:r>
    </w:p>
    <w:p>
      <w:pPr>
        <w:spacing w:after="0" w:line="17"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jc w:val="center"/>
        <w:spacing w:after="0" w:line="179"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79"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79" w:lineRule="exact"/>
        <w:rPr>
          <w:sz w:val="20"/>
          <w:szCs w:val="20"/>
          <w:color w:val="auto"/>
        </w:rPr>
      </w:pPr>
      <w:r>
        <w:rPr>
          <w:rFonts w:ascii="Arial Unicode MS" w:cs="Arial Unicode MS" w:eastAsia="Arial Unicode MS" w:hAnsi="Arial Unicode MS"/>
          <w:sz w:val="14"/>
          <w:szCs w:val="14"/>
          <w:color w:val="auto"/>
        </w:rPr>
        <w:t>☐</w:t>
      </w:r>
    </w:p>
    <w:p>
      <w:pPr>
        <w:spacing w:after="0" w:line="261" w:lineRule="exact"/>
        <w:rPr>
          <w:sz w:val="24"/>
          <w:szCs w:val="24"/>
          <w:color w:val="auto"/>
        </w:rPr>
      </w:pPr>
    </w:p>
    <w:p>
      <w:pPr>
        <w:sectPr>
          <w:pgSz w:w="11900" w:h="16838" w:orient="portrait"/>
          <w:cols w:equalWidth="0" w:num="8">
            <w:col w:w="1560" w:space="440"/>
            <w:col w:w="120" w:space="520"/>
            <w:col w:w="940" w:space="620"/>
            <w:col w:w="120" w:space="600"/>
            <w:col w:w="1200" w:space="640"/>
            <w:col w:w="120" w:space="360"/>
            <w:col w:w="1900" w:space="720"/>
            <w:col w:w="400"/>
          </w:cols>
          <w:pgMar w:left="820" w:top="657" w:right="819" w:bottom="1440" w:gutter="0" w:footer="0" w:header="0"/>
          <w:type w:val="continuous"/>
        </w:sectPr>
      </w:pPr>
    </w:p>
    <w:p>
      <w:pPr>
        <w:ind w:right="540" w:firstLine="433"/>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ind w:left="440" w:right="2480"/>
        <w:spacing w:after="0" w:line="228"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As of November 8, 2022, the Registrant had 73,033,991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798195</wp:posOffset>
            </wp:positionV>
            <wp:extent cx="64954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54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-8890</wp:posOffset>
            </wp:positionV>
            <wp:extent cx="6495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54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24130</wp:posOffset>
            </wp:positionV>
            <wp:extent cx="6495415"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5415" cy="33655"/>
                    </a:xfrm>
                    <a:prstGeom prst="rect">
                      <a:avLst/>
                    </a:prstGeom>
                    <a:noFill/>
                  </pic:spPr>
                </pic:pic>
              </a:graphicData>
            </a:graphic>
          </wp:anchor>
        </w:drawing>
      </w:r>
    </w:p>
    <w:p>
      <w:pPr>
        <w:sectPr>
          <w:pgSz w:w="11900" w:h="16838" w:orient="portrait"/>
          <w:cols w:equalWidth="0" w:num="1">
            <w:col w:w="10260"/>
          </w:cols>
          <w:pgMar w:left="820" w:top="657" w:right="81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3" w:lineRule="exact"/>
        <w:rPr>
          <w:sz w:val="20"/>
          <w:szCs w:val="20"/>
          <w:color w:val="auto"/>
        </w:rPr>
      </w:pPr>
    </w:p>
    <w:p>
      <w:pPr>
        <w:ind w:left="40" w:right="119"/>
        <w:spacing w:after="0" w:line="248" w:lineRule="auto"/>
        <w:rPr>
          <w:sz w:val="20"/>
          <w:szCs w:val="20"/>
          <w:color w:val="auto"/>
        </w:rPr>
      </w:pPr>
      <w:r>
        <w:rPr>
          <w:rFonts w:ascii="Arial" w:cs="Arial" w:eastAsia="Arial" w:hAnsi="Arial"/>
          <w:sz w:val="18"/>
          <w:szCs w:val="18"/>
          <w:color w:val="auto"/>
        </w:rPr>
        <w:t>On August 26, 2022, the registrant converted from a Delaware limited liability company, called Westrock Coffee Holdings, LLC, to a Delaware corporation called “Westrock Coffee Company” in connection with the closing of its de-SPAC merger transaction with Riverview Acquisition Corp., a special purpose acquisition vehicle and a Delaware corporation. References to “Westrock,” “we,” “us,” and “our,” prior to the effective time of the conversion, refer to the registrant when it was a Delaware limited liability company called “Westrock Coffee Holdings, LLC” and such references following the effective time of the conversion, refer to the registrant in its current corporate form as a Delaware corporation called “Westrock Coffee Company.”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3" w:lineRule="exact"/>
        <w:rPr>
          <w:sz w:val="20"/>
          <w:szCs w:val="20"/>
          <w:color w:val="auto"/>
        </w:rPr>
      </w:pPr>
    </w:p>
    <w:p>
      <w:pPr>
        <w:ind w:left="40" w:right="79"/>
        <w:spacing w:after="0" w:line="263" w:lineRule="auto"/>
        <w:rPr>
          <w:sz w:val="20"/>
          <w:szCs w:val="20"/>
          <w:color w:val="auto"/>
        </w:rPr>
      </w:pPr>
      <w:r>
        <w:rPr>
          <w:rFonts w:ascii="Arial" w:cs="Arial" w:eastAsia="Arial" w:hAnsi="Arial"/>
          <w:sz w:val="17"/>
          <w:szCs w:val="17"/>
          <w:color w:val="auto"/>
        </w:rPr>
        <w:t>This Quarterly Report on Form 10-Q includes forward-looking statements as defined under U.S. federal securities laws. Forward-looking statements include all statements that are not historical statements of fact and statements regarding, but not limited to, our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spacing w:after="0" w:line="186" w:lineRule="exact"/>
        <w:rPr>
          <w:sz w:val="20"/>
          <w:szCs w:val="20"/>
          <w:color w:val="auto"/>
        </w:rPr>
      </w:pPr>
    </w:p>
    <w:p>
      <w:pPr>
        <w:ind w:left="40" w:right="419"/>
        <w:spacing w:after="0" w:line="264"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risk related to the following:</w:t>
      </w:r>
    </w:p>
    <w:p>
      <w:pPr>
        <w:spacing w:after="0" w:line="194" w:lineRule="exact"/>
        <w:rPr>
          <w:sz w:val="20"/>
          <w:szCs w:val="20"/>
          <w:color w:val="auto"/>
        </w:rPr>
      </w:pPr>
    </w:p>
    <w:p>
      <w:pPr>
        <w:ind w:left="1660" w:hanging="313"/>
        <w:spacing w:after="0"/>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net losses;</w:t>
      </w:r>
    </w:p>
    <w:p>
      <w:pPr>
        <w:spacing w:after="0" w:line="18" w:lineRule="exact"/>
        <w:rPr>
          <w:rFonts w:ascii="Arial" w:cs="Arial" w:eastAsia="Arial" w:hAnsi="Arial"/>
          <w:sz w:val="18"/>
          <w:szCs w:val="18"/>
          <w:color w:val="auto"/>
        </w:rPr>
      </w:pPr>
    </w:p>
    <w:p>
      <w:pPr>
        <w:ind w:left="1660" w:right="259" w:hanging="313"/>
        <w:spacing w:after="0" w:line="253" w:lineRule="auto"/>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and increases in the cost of green coffee, tea and other ingredients and packaging, and our inability to pass these costs on to customers;</w:t>
      </w:r>
    </w:p>
    <w:p>
      <w:pPr>
        <w:ind w:left="1660" w:right="119" w:hanging="313"/>
        <w:spacing w:after="0" w:line="253" w:lineRule="auto"/>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secure an adequate supply of key raw materials, including green coffee and tea, or disruption in our supply chain;</w:t>
      </w:r>
    </w:p>
    <w:p>
      <w:pPr>
        <w:ind w:left="1660" w:hanging="313"/>
        <w:spacing w:after="0"/>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in general macroeconomic conditions;</w:t>
      </w:r>
    </w:p>
    <w:p>
      <w:pPr>
        <w:spacing w:after="0" w:line="18" w:lineRule="exact"/>
        <w:rPr>
          <w:rFonts w:ascii="Arial" w:cs="Arial" w:eastAsia="Arial" w:hAnsi="Arial"/>
          <w:sz w:val="18"/>
          <w:szCs w:val="18"/>
          <w:color w:val="auto"/>
        </w:rPr>
      </w:pPr>
    </w:p>
    <w:p>
      <w:pPr>
        <w:ind w:left="1660" w:hanging="313"/>
        <w:spacing w:after="0"/>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in operations at any of our production and distribution facilities;</w:t>
      </w:r>
    </w:p>
    <w:p>
      <w:pPr>
        <w:spacing w:after="0" w:line="18" w:lineRule="exact"/>
        <w:rPr>
          <w:rFonts w:ascii="Arial" w:cs="Arial" w:eastAsia="Arial" w:hAnsi="Arial"/>
          <w:sz w:val="18"/>
          <w:szCs w:val="18"/>
          <w:color w:val="auto"/>
        </w:rPr>
      </w:pPr>
    </w:p>
    <w:p>
      <w:pPr>
        <w:ind w:left="1660" w:right="559" w:hanging="313"/>
        <w:spacing w:after="0" w:line="253" w:lineRule="auto"/>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climate change, which may increase commodity costs, damage our facilities and disrupt our production capabilities and supply chain;</w:t>
      </w:r>
    </w:p>
    <w:p>
      <w:pPr>
        <w:ind w:left="1660" w:hanging="313"/>
        <w:spacing w:after="0"/>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key personnel or recruit qualified personnel;</w:t>
      </w:r>
    </w:p>
    <w:p>
      <w:pPr>
        <w:spacing w:after="0" w:line="18" w:lineRule="exact"/>
        <w:rPr>
          <w:rFonts w:ascii="Arial" w:cs="Arial" w:eastAsia="Arial" w:hAnsi="Arial"/>
          <w:sz w:val="18"/>
          <w:szCs w:val="18"/>
          <w:color w:val="auto"/>
        </w:rPr>
      </w:pPr>
    </w:p>
    <w:p>
      <w:pPr>
        <w:ind w:left="1660" w:hanging="313"/>
        <w:spacing w:after="0"/>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operating a coffee trading business and a coffee-exporting business;</w:t>
      </w:r>
    </w:p>
    <w:p>
      <w:pPr>
        <w:spacing w:after="0" w:line="18" w:lineRule="exact"/>
        <w:rPr>
          <w:rFonts w:ascii="Arial" w:cs="Arial" w:eastAsia="Arial" w:hAnsi="Arial"/>
          <w:sz w:val="18"/>
          <w:szCs w:val="18"/>
          <w:color w:val="auto"/>
        </w:rPr>
      </w:pPr>
    </w:p>
    <w:p>
      <w:pPr>
        <w:ind w:left="1660" w:hanging="313"/>
        <w:spacing w:after="0"/>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among our distributors and customers or the loss of any key customer;</w:t>
      </w:r>
    </w:p>
    <w:p>
      <w:pPr>
        <w:spacing w:after="0" w:line="18" w:lineRule="exact"/>
        <w:rPr>
          <w:rFonts w:ascii="Arial" w:cs="Arial" w:eastAsia="Arial" w:hAnsi="Arial"/>
          <w:sz w:val="18"/>
          <w:szCs w:val="18"/>
          <w:color w:val="auto"/>
        </w:rPr>
      </w:pPr>
    </w:p>
    <w:p>
      <w:pPr>
        <w:ind w:left="1660" w:right="139" w:hanging="313"/>
        <w:spacing w:after="0" w:line="253" w:lineRule="auto"/>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complex and evolving U.S. and international laws and regulations, and noncompliance subjecting us to criminal or civil liability;</w:t>
      </w:r>
    </w:p>
    <w:p>
      <w:pPr>
        <w:ind w:left="1660" w:right="99" w:hanging="313"/>
        <w:spacing w:after="0" w:line="253" w:lineRule="auto"/>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of businesses, which may divert our management’s attention, prove difficult to effectively integrate and fail to achieve their projected benefits;</w:t>
      </w:r>
    </w:p>
    <w:p>
      <w:pPr>
        <w:ind w:left="1660" w:hanging="313"/>
        <w:spacing w:after="0"/>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effectively manage the growth and increased complexity of our business;</w:t>
      </w:r>
    </w:p>
    <w:p>
      <w:pPr>
        <w:spacing w:after="0" w:line="18" w:lineRule="exact"/>
        <w:rPr>
          <w:rFonts w:ascii="Arial" w:cs="Arial" w:eastAsia="Arial" w:hAnsi="Arial"/>
          <w:sz w:val="18"/>
          <w:szCs w:val="18"/>
          <w:color w:val="auto"/>
        </w:rPr>
      </w:pPr>
    </w:p>
    <w:p>
      <w:pPr>
        <w:ind w:left="1660" w:right="319" w:hanging="313"/>
        <w:spacing w:after="0" w:line="253" w:lineRule="auto"/>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maintain or grow market share through continued differentiation of our product and competitive pricing;</w:t>
      </w:r>
    </w:p>
    <w:p>
      <w:pPr>
        <w:ind w:left="1660" w:hanging="313"/>
        <w:spacing w:after="0"/>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secure the additional capital needed to operate and grow our business;</w:t>
      </w:r>
    </w:p>
    <w:p>
      <w:pPr>
        <w:spacing w:after="0" w:line="18" w:lineRule="exact"/>
        <w:rPr>
          <w:rFonts w:ascii="Arial" w:cs="Arial" w:eastAsia="Arial" w:hAnsi="Arial"/>
          <w:sz w:val="18"/>
          <w:szCs w:val="18"/>
          <w:color w:val="auto"/>
        </w:rPr>
      </w:pPr>
    </w:p>
    <w:p>
      <w:pPr>
        <w:ind w:left="1660" w:right="219" w:hanging="313"/>
        <w:spacing w:after="0" w:line="264" w:lineRule="auto"/>
        <w:tabs>
          <w:tab w:leader="none" w:pos="1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litigation or legal disputes, which could lead us to incur significant liabilities and costs or harm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736600</wp:posOffset>
            </wp:positionV>
            <wp:extent cx="565404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60" w:hanging="313"/>
        <w:spacing w:after="0"/>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material failure, inadequacy or interruption of our information technology systems;</w:t>
      </w:r>
    </w:p>
    <w:p>
      <w:pPr>
        <w:spacing w:after="0" w:line="18" w:lineRule="exact"/>
        <w:rPr>
          <w:rFonts w:ascii="Arial" w:cs="Arial" w:eastAsia="Arial" w:hAnsi="Arial"/>
          <w:sz w:val="18"/>
          <w:szCs w:val="18"/>
          <w:color w:val="auto"/>
        </w:rPr>
      </w:pPr>
    </w:p>
    <w:p>
      <w:pPr>
        <w:ind w:left="1660" w:right="559" w:hanging="313"/>
        <w:spacing w:after="0" w:line="253" w:lineRule="auto"/>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unauthorized access, theft, use or destruction of personal, financial or other confidential information relating to our customers, suppliers, employees or business;</w:t>
      </w:r>
    </w:p>
    <w:p>
      <w:pPr>
        <w:ind w:left="1660" w:right="319" w:hanging="313"/>
        <w:spacing w:after="0" w:line="253" w:lineRule="auto"/>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level of indebtedness, which may reduce funds available for other business purposes and reduce our operational flexibility;</w:t>
      </w:r>
    </w:p>
    <w:p>
      <w:pPr>
        <w:ind w:left="1660" w:hanging="313"/>
        <w:spacing w:after="0"/>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comply with the financial covenants contained in our credit agreement;</w:t>
      </w:r>
    </w:p>
    <w:p>
      <w:pPr>
        <w:spacing w:after="0" w:line="18" w:lineRule="exact"/>
        <w:rPr>
          <w:rFonts w:ascii="Arial" w:cs="Arial" w:eastAsia="Arial" w:hAnsi="Arial"/>
          <w:sz w:val="18"/>
          <w:szCs w:val="18"/>
          <w:color w:val="auto"/>
        </w:rPr>
      </w:pPr>
    </w:p>
    <w:p>
      <w:pPr>
        <w:ind w:left="1660" w:right="479" w:hanging="313"/>
        <w:spacing w:after="0" w:line="253" w:lineRule="auto"/>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complete the construction of our new facility in Conway, Arkansas in time or incurring additional expenses in the process;</w:t>
      </w:r>
    </w:p>
    <w:p>
      <w:pPr>
        <w:ind w:left="1660" w:hanging="313"/>
        <w:spacing w:after="0"/>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corporate structure and organization; and</w:t>
      </w:r>
    </w:p>
    <w:p>
      <w:pPr>
        <w:spacing w:after="0" w:line="18" w:lineRule="exact"/>
        <w:rPr>
          <w:rFonts w:ascii="Arial" w:cs="Arial" w:eastAsia="Arial" w:hAnsi="Arial"/>
          <w:sz w:val="18"/>
          <w:szCs w:val="18"/>
          <w:color w:val="auto"/>
        </w:rPr>
      </w:pPr>
    </w:p>
    <w:p>
      <w:pPr>
        <w:ind w:left="1660" w:hanging="313"/>
        <w:spacing w:after="0"/>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being a public company;</w:t>
      </w:r>
    </w:p>
    <w:p>
      <w:pPr>
        <w:spacing w:after="0" w:line="18" w:lineRule="exact"/>
        <w:rPr>
          <w:rFonts w:ascii="Arial" w:cs="Arial" w:eastAsia="Arial" w:hAnsi="Arial"/>
          <w:sz w:val="18"/>
          <w:szCs w:val="18"/>
          <w:color w:val="auto"/>
        </w:rPr>
      </w:pPr>
    </w:p>
    <w:p>
      <w:pPr>
        <w:ind w:left="1660" w:right="819" w:hanging="313"/>
        <w:spacing w:after="0" w:line="253" w:lineRule="auto"/>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possible resurgence of COVID-19 and emergence of new variants of the virus on the foregoing; and</w:t>
      </w:r>
    </w:p>
    <w:p>
      <w:pPr>
        <w:ind w:left="1660" w:right="99" w:hanging="313"/>
        <w:spacing w:after="0" w:line="252" w:lineRule="auto"/>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uncertainties and factors set forth in the “Risk Factors” section in the Company’s Registration Statement on Form S-1 filed with the U.S. Securities and Exchange Commission (“SEC”) on September 20, 2022 and in the “Management’s Discussion and Analysis” section of this Quarterly Report on Form 10-Q.</w:t>
      </w:r>
    </w:p>
    <w:p>
      <w:pPr>
        <w:spacing w:after="0" w:line="204" w:lineRule="exact"/>
        <w:rPr>
          <w:sz w:val="20"/>
          <w:szCs w:val="20"/>
          <w:color w:val="auto"/>
        </w:rPr>
      </w:pPr>
    </w:p>
    <w:p>
      <w:pPr>
        <w:ind w:left="40" w:right="119"/>
        <w:spacing w:after="0" w:line="263"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the Registration Statement or in this Quarterly Report on Form 10-Q.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867410</wp:posOffset>
            </wp:positionV>
            <wp:extent cx="565404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WESTROCK COFFEE COMPANY</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20" w:type="dxa"/>
            <w:vAlign w:val="bottom"/>
            <w:gridSpan w:val="14"/>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660" w:type="dxa"/>
            <w:vAlign w:val="bottom"/>
            <w:gridSpan w:val="4"/>
          </w:tcPr>
          <w:p>
            <w:pPr>
              <w:spacing w:after="0"/>
              <w:rPr>
                <w:sz w:val="20"/>
                <w:szCs w:val="20"/>
                <w:color w:val="auto"/>
              </w:rPr>
            </w:pPr>
            <w:r>
              <w:rPr>
                <w:rFonts w:ascii="Arial" w:cs="Arial" w:eastAsia="Arial" w:hAnsi="Arial"/>
                <w:sz w:val="18"/>
                <w:szCs w:val="18"/>
                <w:b w:val="1"/>
                <w:bCs w:val="1"/>
                <w:color w:val="0000EE"/>
              </w:rPr>
              <w:t>Part I.</w:t>
            </w:r>
          </w:p>
        </w:tc>
        <w:tc>
          <w:tcPr>
            <w:tcW w:w="7200" w:type="dxa"/>
            <w:vAlign w:val="bottom"/>
            <w:gridSpan w:val="43"/>
          </w:tcPr>
          <w:p>
            <w:pPr>
              <w:spacing w:after="0"/>
              <w:rPr>
                <w:sz w:val="20"/>
                <w:szCs w:val="20"/>
                <w:color w:val="auto"/>
              </w:rPr>
            </w:pPr>
            <w:r>
              <w:rPr>
                <w:rFonts w:ascii="Arial" w:cs="Arial" w:eastAsia="Arial" w:hAnsi="Arial"/>
                <w:sz w:val="18"/>
                <w:szCs w:val="18"/>
                <w:b w:val="1"/>
                <w:bCs w:val="1"/>
                <w:color w:val="0000EE"/>
              </w:rPr>
              <w:t>Financial Information</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52"/>
        </w:trPr>
        <w:tc>
          <w:tcPr>
            <w:tcW w:w="500" w:type="dxa"/>
            <w:vAlign w:val="bottom"/>
            <w:tcBorders>
              <w:top w:val="single" w:sz="8" w:color="0000EE"/>
            </w:tcBorders>
          </w:tcPr>
          <w:p>
            <w:pPr>
              <w:spacing w:after="0" w:line="152" w:lineRule="exact"/>
              <w:rPr>
                <w:sz w:val="20"/>
                <w:szCs w:val="20"/>
                <w:color w:val="auto"/>
              </w:rPr>
            </w:pPr>
            <w:r>
              <w:rPr>
                <w:rFonts w:ascii="Arial" w:cs="Arial" w:eastAsia="Arial" w:hAnsi="Arial"/>
                <w:sz w:val="17"/>
                <w:szCs w:val="17"/>
                <w:color w:val="0000EE"/>
                <w:w w:val="88"/>
              </w:rPr>
              <w:t>Item 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Borders>
              <w:top w:val="single" w:sz="8" w:color="0000EE"/>
            </w:tcBorders>
            <w:gridSpan w:val="16"/>
          </w:tcPr>
          <w:p>
            <w:pPr>
              <w:spacing w:after="0" w:line="152" w:lineRule="exact"/>
              <w:rPr>
                <w:sz w:val="20"/>
                <w:szCs w:val="20"/>
                <w:color w:val="auto"/>
              </w:rPr>
            </w:pPr>
            <w:r>
              <w:rPr>
                <w:rFonts w:ascii="Arial" w:cs="Arial" w:eastAsia="Arial" w:hAnsi="Arial"/>
                <w:sz w:val="17"/>
                <w:szCs w:val="17"/>
                <w:color w:val="0000EE"/>
              </w:rPr>
              <w:t>Financial Statements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jc w:val="right"/>
              <w:spacing w:after="0" w:line="152"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0" w:type="dxa"/>
            <w:vAlign w:val="bottom"/>
            <w:gridSpan w:val="43"/>
          </w:tcPr>
          <w:p>
            <w:pPr>
              <w:spacing w:after="0" w:line="179" w:lineRule="exact"/>
              <w:rPr>
                <w:sz w:val="20"/>
                <w:szCs w:val="20"/>
                <w:color w:val="auto"/>
              </w:rPr>
            </w:pPr>
            <w:r>
              <w:rPr>
                <w:rFonts w:ascii="Arial" w:cs="Arial" w:eastAsia="Arial" w:hAnsi="Arial"/>
                <w:sz w:val="18"/>
                <w:szCs w:val="18"/>
                <w:color w:val="0000EE"/>
              </w:rPr>
              <w:t>Condensed Consolidated Balance Sheets</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0" w:type="dxa"/>
            <w:vAlign w:val="bottom"/>
            <w:tcBorders>
              <w:bottom w:val="single" w:sz="8" w:color="0000EE"/>
            </w:tcBorders>
            <w:gridSpan w:val="35"/>
          </w:tcPr>
          <w:p>
            <w:pPr>
              <w:spacing w:after="0" w:line="179" w:lineRule="exact"/>
              <w:rPr>
                <w:sz w:val="20"/>
                <w:szCs w:val="20"/>
                <w:color w:val="auto"/>
              </w:rPr>
            </w:pPr>
            <w:r>
              <w:rPr>
                <w:rFonts w:ascii="Arial" w:cs="Arial" w:eastAsia="Arial" w:hAnsi="Arial"/>
                <w:sz w:val="18"/>
                <w:szCs w:val="18"/>
                <w:color w:val="0000EE"/>
                <w:w w:val="87"/>
              </w:rPr>
              <w:t>Condensed Consolidated Statements of Operations</w:t>
            </w:r>
          </w:p>
        </w:tc>
        <w:tc>
          <w:tcPr>
            <w:tcW w:w="3600" w:type="dxa"/>
            <w:vAlign w:val="bottom"/>
            <w:gridSpan w:val="8"/>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0" w:type="dxa"/>
            <w:vAlign w:val="bottom"/>
            <w:gridSpan w:val="43"/>
          </w:tcPr>
          <w:p>
            <w:pPr>
              <w:spacing w:after="0" w:line="179" w:lineRule="exact"/>
              <w:rPr>
                <w:sz w:val="20"/>
                <w:szCs w:val="20"/>
                <w:color w:val="auto"/>
              </w:rPr>
            </w:pPr>
            <w:r>
              <w:rPr>
                <w:rFonts w:ascii="Arial" w:cs="Arial" w:eastAsia="Arial" w:hAnsi="Arial"/>
                <w:sz w:val="18"/>
                <w:szCs w:val="18"/>
                <w:color w:val="0000EE"/>
              </w:rPr>
              <w:t>Condensed Consolidated Statements of Comprehensive Income (Loss)</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0" w:type="dxa"/>
            <w:vAlign w:val="bottom"/>
            <w:tcBorders>
              <w:top w:val="single" w:sz="8" w:color="0000EE"/>
            </w:tcBorders>
            <w:gridSpan w:val="41"/>
          </w:tcPr>
          <w:p>
            <w:pPr>
              <w:spacing w:after="0" w:line="179" w:lineRule="exact"/>
              <w:rPr>
                <w:sz w:val="20"/>
                <w:szCs w:val="20"/>
                <w:color w:val="auto"/>
              </w:rPr>
            </w:pPr>
            <w:r>
              <w:rPr>
                <w:rFonts w:ascii="Arial" w:cs="Arial" w:eastAsia="Arial" w:hAnsi="Arial"/>
                <w:sz w:val="18"/>
                <w:szCs w:val="18"/>
                <w:color w:val="0000EE"/>
                <w:w w:val="89"/>
              </w:rPr>
              <w:t>Condensed Consolidated Statements of Shareholders’ Equity (Deficit</w:t>
            </w:r>
            <w:r>
              <w:rPr>
                <w:rFonts w:ascii="Arial" w:cs="Arial" w:eastAsia="Arial" w:hAnsi="Arial"/>
                <w:sz w:val="18"/>
                <w:szCs w:val="18"/>
                <w:color w:val="000000"/>
                <w:w w:val="89"/>
              </w:rPr>
              <w:t>)</w:t>
            </w:r>
          </w:p>
        </w:tc>
        <w:tc>
          <w:tcPr>
            <w:tcW w:w="2200" w:type="dxa"/>
            <w:vAlign w:val="bottom"/>
            <w:gridSpan w:val="2"/>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36"/>
          </w:tcPr>
          <w:p>
            <w:pPr>
              <w:spacing w:after="0" w:line="179" w:lineRule="exact"/>
              <w:rPr>
                <w:sz w:val="20"/>
                <w:szCs w:val="20"/>
                <w:color w:val="auto"/>
              </w:rPr>
            </w:pPr>
            <w:r>
              <w:rPr>
                <w:rFonts w:ascii="Arial" w:cs="Arial" w:eastAsia="Arial" w:hAnsi="Arial"/>
                <w:sz w:val="18"/>
                <w:szCs w:val="18"/>
                <w:color w:val="0000EE"/>
                <w:w w:val="87"/>
              </w:rPr>
              <w:t>Condensed Consolidated Statements of Cash Flows</w:t>
            </w:r>
          </w:p>
        </w:tc>
        <w:tc>
          <w:tcPr>
            <w:tcW w:w="1260" w:type="dxa"/>
            <w:vAlign w:val="bottom"/>
            <w:tcBorders>
              <w:top w:val="single" w:sz="8" w:color="0000EE"/>
            </w:tcBorders>
            <w:gridSpan w:val="4"/>
          </w:tcPr>
          <w:p>
            <w:pPr>
              <w:spacing w:after="0"/>
              <w:rPr>
                <w:sz w:val="15"/>
                <w:szCs w:val="15"/>
                <w:color w:val="auto"/>
              </w:rPr>
            </w:pPr>
          </w:p>
        </w:tc>
        <w:tc>
          <w:tcPr>
            <w:tcW w:w="2280" w:type="dxa"/>
            <w:vAlign w:val="bottom"/>
            <w:gridSpan w:val="3"/>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0" w:type="dxa"/>
            <w:vAlign w:val="bottom"/>
            <w:gridSpan w:val="43"/>
          </w:tcPr>
          <w:p>
            <w:pPr>
              <w:spacing w:after="0" w:line="179" w:lineRule="exact"/>
              <w:rPr>
                <w:sz w:val="20"/>
                <w:szCs w:val="20"/>
                <w:color w:val="auto"/>
              </w:rPr>
            </w:pPr>
            <w:r>
              <w:rPr>
                <w:rFonts w:ascii="Arial" w:cs="Arial" w:eastAsia="Arial" w:hAnsi="Arial"/>
                <w:sz w:val="18"/>
                <w:szCs w:val="18"/>
                <w:color w:val="0000EE"/>
              </w:rPr>
              <w:t>Notes to Condensed Consolidated Financial Statements</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740" w:type="dxa"/>
            <w:vAlign w:val="bottom"/>
            <w:tcBorders>
              <w:top w:val="single" w:sz="8" w:color="0000EE"/>
            </w:tcBorders>
            <w:gridSpan w:val="35"/>
          </w:tcPr>
          <w:p>
            <w:pPr>
              <w:spacing w:after="0" w:line="179" w:lineRule="exact"/>
              <w:rPr>
                <w:sz w:val="20"/>
                <w:szCs w:val="20"/>
                <w:color w:val="auto"/>
              </w:rPr>
            </w:pPr>
            <w:r>
              <w:rPr>
                <w:rFonts w:ascii="Arial" w:cs="Arial" w:eastAsia="Arial" w:hAnsi="Arial"/>
                <w:sz w:val="18"/>
                <w:szCs w:val="18"/>
                <w:color w:val="0000EE"/>
              </w:rPr>
              <w:t>1. Organization and Description of Business</w:t>
            </w:r>
          </w:p>
        </w:tc>
        <w:tc>
          <w:tcPr>
            <w:tcW w:w="3280" w:type="dxa"/>
            <w:vAlign w:val="bottom"/>
            <w:gridSpan w:val="6"/>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Borders>
              <w:top w:val="single" w:sz="8" w:color="0000EE"/>
            </w:tcBorders>
            <w:gridSpan w:val="30"/>
          </w:tcPr>
          <w:p>
            <w:pPr>
              <w:spacing w:after="0" w:line="179" w:lineRule="exact"/>
              <w:rPr>
                <w:sz w:val="20"/>
                <w:szCs w:val="20"/>
                <w:color w:val="auto"/>
              </w:rPr>
            </w:pPr>
            <w:r>
              <w:rPr>
                <w:rFonts w:ascii="Arial" w:cs="Arial" w:eastAsia="Arial" w:hAnsi="Arial"/>
                <w:sz w:val="18"/>
                <w:szCs w:val="18"/>
                <w:color w:val="0000EE"/>
                <w:w w:val="90"/>
              </w:rPr>
              <w:t>2. Basis of Presentation and Consolidation</w:t>
            </w:r>
          </w:p>
        </w:tc>
        <w:tc>
          <w:tcPr>
            <w:tcW w:w="3940" w:type="dxa"/>
            <w:vAlign w:val="bottom"/>
            <w:gridSpan w:val="11"/>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tcBorders>
              <w:bottom w:val="single" w:sz="8" w:color="0000EE"/>
            </w:tcBorders>
            <w:gridSpan w:val="32"/>
          </w:tcPr>
          <w:p>
            <w:pPr>
              <w:spacing w:after="0" w:line="179" w:lineRule="exact"/>
              <w:rPr>
                <w:sz w:val="20"/>
                <w:szCs w:val="20"/>
                <w:color w:val="auto"/>
              </w:rPr>
            </w:pPr>
            <w:r>
              <w:rPr>
                <w:rFonts w:ascii="Arial" w:cs="Arial" w:eastAsia="Arial" w:hAnsi="Arial"/>
                <w:sz w:val="18"/>
                <w:szCs w:val="18"/>
                <w:color w:val="0000EE"/>
                <w:w w:val="90"/>
              </w:rPr>
              <w:t>3. Summary of Significant Accounting Policies</w:t>
            </w:r>
          </w:p>
        </w:tc>
        <w:tc>
          <w:tcPr>
            <w:tcW w:w="3700" w:type="dxa"/>
            <w:vAlign w:val="bottom"/>
            <w:gridSpan w:val="9"/>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Borders>
              <w:bottom w:val="single" w:sz="8" w:color="0000EE"/>
            </w:tcBorders>
            <w:gridSpan w:val="23"/>
          </w:tcPr>
          <w:p>
            <w:pPr>
              <w:spacing w:after="0" w:line="179" w:lineRule="exact"/>
              <w:rPr>
                <w:sz w:val="20"/>
                <w:szCs w:val="20"/>
                <w:color w:val="auto"/>
              </w:rPr>
            </w:pPr>
            <w:r>
              <w:rPr>
                <w:rFonts w:ascii="Arial" w:cs="Arial" w:eastAsia="Arial" w:hAnsi="Arial"/>
                <w:sz w:val="18"/>
                <w:szCs w:val="18"/>
                <w:color w:val="0000EE"/>
                <w:w w:val="86"/>
              </w:rPr>
              <w:t>4. De-SPAC Merger Transaction</w:t>
            </w:r>
          </w:p>
        </w:tc>
        <w:tc>
          <w:tcPr>
            <w:tcW w:w="4760" w:type="dxa"/>
            <w:vAlign w:val="bottom"/>
            <w:gridSpan w:val="18"/>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0000EE"/>
            </w:tcBorders>
            <w:gridSpan w:val="7"/>
          </w:tcPr>
          <w:p>
            <w:pPr>
              <w:spacing w:after="0" w:line="179" w:lineRule="exact"/>
              <w:rPr>
                <w:sz w:val="20"/>
                <w:szCs w:val="20"/>
                <w:color w:val="auto"/>
              </w:rPr>
            </w:pPr>
            <w:r>
              <w:rPr>
                <w:rFonts w:ascii="Arial" w:cs="Arial" w:eastAsia="Arial" w:hAnsi="Arial"/>
                <w:sz w:val="18"/>
                <w:szCs w:val="18"/>
                <w:color w:val="0000EE"/>
                <w:w w:val="80"/>
              </w:rPr>
              <w:t>5. Revenue</w:t>
            </w:r>
          </w:p>
        </w:tc>
        <w:tc>
          <w:tcPr>
            <w:tcW w:w="6260" w:type="dxa"/>
            <w:vAlign w:val="bottom"/>
            <w:gridSpan w:val="34"/>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0000EE"/>
            </w:tcBorders>
            <w:gridSpan w:val="9"/>
          </w:tcPr>
          <w:p>
            <w:pPr>
              <w:spacing w:after="0" w:line="179" w:lineRule="exact"/>
              <w:rPr>
                <w:sz w:val="20"/>
                <w:szCs w:val="20"/>
                <w:color w:val="auto"/>
              </w:rPr>
            </w:pPr>
            <w:r>
              <w:rPr>
                <w:rFonts w:ascii="Arial" w:cs="Arial" w:eastAsia="Arial" w:hAnsi="Arial"/>
                <w:sz w:val="18"/>
                <w:szCs w:val="18"/>
                <w:color w:val="0000EE"/>
                <w:w w:val="85"/>
              </w:rPr>
              <w:t>6. Inventories</w:t>
            </w:r>
          </w:p>
        </w:tc>
        <w:tc>
          <w:tcPr>
            <w:tcW w:w="6080" w:type="dxa"/>
            <w:vAlign w:val="bottom"/>
            <w:gridSpan w:val="32"/>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20" w:type="dxa"/>
            <w:vAlign w:val="bottom"/>
            <w:gridSpan w:val="41"/>
          </w:tcPr>
          <w:p>
            <w:pPr>
              <w:spacing w:after="0" w:line="179" w:lineRule="exact"/>
              <w:rPr>
                <w:sz w:val="20"/>
                <w:szCs w:val="20"/>
                <w:color w:val="auto"/>
              </w:rPr>
            </w:pPr>
            <w:r>
              <w:rPr>
                <w:rFonts w:ascii="Arial" w:cs="Arial" w:eastAsia="Arial" w:hAnsi="Arial"/>
                <w:sz w:val="18"/>
                <w:szCs w:val="18"/>
                <w:color w:val="0000EE"/>
              </w:rPr>
              <w:t>7. Property, Plant and Equipment, Net</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Borders>
              <w:top w:val="single" w:sz="8" w:color="0000EE"/>
            </w:tcBorders>
            <w:gridSpan w:val="27"/>
          </w:tcPr>
          <w:p>
            <w:pPr>
              <w:spacing w:after="0" w:line="179" w:lineRule="exact"/>
              <w:rPr>
                <w:sz w:val="20"/>
                <w:szCs w:val="20"/>
                <w:color w:val="auto"/>
              </w:rPr>
            </w:pPr>
            <w:r>
              <w:rPr>
                <w:rFonts w:ascii="Arial" w:cs="Arial" w:eastAsia="Arial" w:hAnsi="Arial"/>
                <w:sz w:val="18"/>
                <w:szCs w:val="18"/>
                <w:color w:val="0000EE"/>
              </w:rPr>
              <w:t>8. Goodwill</w:t>
            </w:r>
          </w:p>
        </w:tc>
        <w:tc>
          <w:tcPr>
            <w:tcW w:w="4320" w:type="dxa"/>
            <w:vAlign w:val="bottom"/>
            <w:gridSpan w:val="14"/>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20" w:type="dxa"/>
            <w:vAlign w:val="bottom"/>
            <w:gridSpan w:val="41"/>
          </w:tcPr>
          <w:p>
            <w:pPr>
              <w:spacing w:after="0" w:line="179" w:lineRule="exact"/>
              <w:rPr>
                <w:sz w:val="20"/>
                <w:szCs w:val="20"/>
                <w:color w:val="auto"/>
              </w:rPr>
            </w:pPr>
            <w:r>
              <w:rPr>
                <w:rFonts w:ascii="Arial" w:cs="Arial" w:eastAsia="Arial" w:hAnsi="Arial"/>
                <w:sz w:val="18"/>
                <w:szCs w:val="18"/>
                <w:color w:val="0000EE"/>
              </w:rPr>
              <w:t>9. Intangible Assets, Net</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ind w:left="100"/>
              <w:spacing w:after="0" w:line="179" w:lineRule="exact"/>
              <w:rPr>
                <w:sz w:val="20"/>
                <w:szCs w:val="20"/>
                <w:color w:val="auto"/>
              </w:rPr>
            </w:pPr>
            <w:r>
              <w:rPr>
                <w:rFonts w:ascii="Arial" w:cs="Arial" w:eastAsia="Arial" w:hAnsi="Arial"/>
                <w:sz w:val="18"/>
                <w:szCs w:val="18"/>
                <w:color w:val="0000EE"/>
                <w:w w:val="87"/>
              </w:rPr>
              <w:t>10.</w:t>
            </w:r>
          </w:p>
        </w:tc>
        <w:tc>
          <w:tcPr>
            <w:tcW w:w="6860" w:type="dxa"/>
            <w:vAlign w:val="bottom"/>
            <w:gridSpan w:val="40"/>
          </w:tcPr>
          <w:p>
            <w:pPr>
              <w:ind w:left="20"/>
              <w:spacing w:after="0" w:line="179" w:lineRule="exact"/>
              <w:rPr>
                <w:sz w:val="20"/>
                <w:szCs w:val="20"/>
                <w:color w:val="auto"/>
              </w:rPr>
            </w:pPr>
            <w:r>
              <w:rPr>
                <w:rFonts w:ascii="Arial" w:cs="Arial" w:eastAsia="Arial" w:hAnsi="Arial"/>
                <w:sz w:val="18"/>
                <w:szCs w:val="18"/>
                <w:color w:val="0000EE"/>
              </w:rPr>
              <w:t>Leases</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0000EE"/>
              <w:bottom w:val="single" w:sz="8" w:color="0000EE"/>
            </w:tcBorders>
            <w:gridSpan w:val="3"/>
          </w:tcPr>
          <w:p>
            <w:pPr>
              <w:spacing w:after="0" w:line="179" w:lineRule="exact"/>
              <w:rPr>
                <w:sz w:val="20"/>
                <w:szCs w:val="20"/>
                <w:color w:val="auto"/>
              </w:rPr>
            </w:pPr>
            <w:r>
              <w:rPr>
                <w:rFonts w:ascii="Arial" w:cs="Arial" w:eastAsia="Arial" w:hAnsi="Arial"/>
                <w:sz w:val="18"/>
                <w:szCs w:val="18"/>
                <w:color w:val="0000EE"/>
                <w:w w:val="73"/>
              </w:rPr>
              <w:t>11. Debt</w:t>
            </w:r>
          </w:p>
        </w:tc>
        <w:tc>
          <w:tcPr>
            <w:tcW w:w="140" w:type="dxa"/>
            <w:vAlign w:val="bottom"/>
            <w:tcBorders>
              <w:top w:val="single" w:sz="8" w:color="0000EE"/>
            </w:tcBorders>
          </w:tcPr>
          <w:p>
            <w:pPr>
              <w:spacing w:after="0"/>
              <w:rPr>
                <w:sz w:val="15"/>
                <w:szCs w:val="15"/>
                <w:color w:val="auto"/>
              </w:rPr>
            </w:pPr>
          </w:p>
        </w:tc>
        <w:tc>
          <w:tcPr>
            <w:tcW w:w="6360" w:type="dxa"/>
            <w:vAlign w:val="bottom"/>
            <w:gridSpan w:val="37"/>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ind w:left="100"/>
              <w:spacing w:after="0" w:line="179" w:lineRule="exact"/>
              <w:rPr>
                <w:sz w:val="20"/>
                <w:szCs w:val="20"/>
                <w:color w:val="auto"/>
              </w:rPr>
            </w:pPr>
            <w:r>
              <w:rPr>
                <w:rFonts w:ascii="Arial" w:cs="Arial" w:eastAsia="Arial" w:hAnsi="Arial"/>
                <w:sz w:val="18"/>
                <w:szCs w:val="18"/>
                <w:color w:val="0000EE"/>
                <w:w w:val="87"/>
              </w:rPr>
              <w:t>12.</w:t>
            </w:r>
          </w:p>
        </w:tc>
        <w:tc>
          <w:tcPr>
            <w:tcW w:w="6860" w:type="dxa"/>
            <w:vAlign w:val="bottom"/>
            <w:gridSpan w:val="40"/>
          </w:tcPr>
          <w:p>
            <w:pPr>
              <w:ind w:left="20"/>
              <w:spacing w:after="0" w:line="179" w:lineRule="exact"/>
              <w:rPr>
                <w:sz w:val="20"/>
                <w:szCs w:val="20"/>
                <w:color w:val="auto"/>
              </w:rPr>
            </w:pPr>
            <w:r>
              <w:rPr>
                <w:rFonts w:ascii="Arial" w:cs="Arial" w:eastAsia="Arial" w:hAnsi="Arial"/>
                <w:sz w:val="18"/>
                <w:szCs w:val="18"/>
                <w:color w:val="0000EE"/>
              </w:rPr>
              <w:t>Series A Preferred Shares</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ind w:left="100"/>
              <w:spacing w:after="0" w:line="179" w:lineRule="exact"/>
              <w:rPr>
                <w:sz w:val="20"/>
                <w:szCs w:val="20"/>
                <w:color w:val="auto"/>
              </w:rPr>
            </w:pPr>
            <w:r>
              <w:rPr>
                <w:rFonts w:ascii="Arial" w:cs="Arial" w:eastAsia="Arial" w:hAnsi="Arial"/>
                <w:sz w:val="18"/>
                <w:szCs w:val="18"/>
                <w:color w:val="0000EE"/>
                <w:w w:val="87"/>
              </w:rPr>
              <w:t>13.</w:t>
            </w:r>
          </w:p>
        </w:tc>
        <w:tc>
          <w:tcPr>
            <w:tcW w:w="6860" w:type="dxa"/>
            <w:vAlign w:val="bottom"/>
            <w:gridSpan w:val="40"/>
          </w:tcPr>
          <w:p>
            <w:pPr>
              <w:ind w:left="20"/>
              <w:spacing w:after="0" w:line="179" w:lineRule="exact"/>
              <w:rPr>
                <w:sz w:val="20"/>
                <w:szCs w:val="20"/>
                <w:color w:val="auto"/>
              </w:rPr>
            </w:pPr>
            <w:r>
              <w:rPr>
                <w:rFonts w:ascii="Arial" w:cs="Arial" w:eastAsia="Arial" w:hAnsi="Arial"/>
                <w:sz w:val="18"/>
                <w:szCs w:val="18"/>
                <w:color w:val="0000EE"/>
              </w:rPr>
              <w:t>Derivatives</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ind w:left="100"/>
              <w:spacing w:after="0" w:line="179" w:lineRule="exact"/>
              <w:rPr>
                <w:sz w:val="20"/>
                <w:szCs w:val="20"/>
                <w:color w:val="auto"/>
              </w:rPr>
            </w:pPr>
            <w:r>
              <w:rPr>
                <w:rFonts w:ascii="Arial" w:cs="Arial" w:eastAsia="Arial" w:hAnsi="Arial"/>
                <w:sz w:val="18"/>
                <w:szCs w:val="18"/>
                <w:color w:val="0000EE"/>
                <w:w w:val="87"/>
              </w:rPr>
              <w:t>14.</w:t>
            </w:r>
          </w:p>
        </w:tc>
        <w:tc>
          <w:tcPr>
            <w:tcW w:w="6860" w:type="dxa"/>
            <w:vAlign w:val="bottom"/>
            <w:gridSpan w:val="40"/>
          </w:tcPr>
          <w:p>
            <w:pPr>
              <w:ind w:left="20"/>
              <w:spacing w:after="0" w:line="179" w:lineRule="exact"/>
              <w:rPr>
                <w:sz w:val="20"/>
                <w:szCs w:val="20"/>
                <w:color w:val="auto"/>
              </w:rPr>
            </w:pPr>
            <w:r>
              <w:rPr>
                <w:rFonts w:ascii="Arial" w:cs="Arial" w:eastAsia="Arial" w:hAnsi="Arial"/>
                <w:sz w:val="18"/>
                <w:szCs w:val="18"/>
                <w:color w:val="0000EE"/>
              </w:rPr>
              <w:t>Fair Value Measurements</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ind w:left="100"/>
              <w:spacing w:after="0" w:line="179" w:lineRule="exact"/>
              <w:rPr>
                <w:sz w:val="20"/>
                <w:szCs w:val="20"/>
                <w:color w:val="auto"/>
              </w:rPr>
            </w:pPr>
            <w:r>
              <w:rPr>
                <w:rFonts w:ascii="Arial" w:cs="Arial" w:eastAsia="Arial" w:hAnsi="Arial"/>
                <w:sz w:val="18"/>
                <w:szCs w:val="18"/>
                <w:color w:val="0000EE"/>
                <w:w w:val="87"/>
              </w:rPr>
              <w:t>15.</w:t>
            </w:r>
          </w:p>
        </w:tc>
        <w:tc>
          <w:tcPr>
            <w:tcW w:w="6860" w:type="dxa"/>
            <w:vAlign w:val="bottom"/>
            <w:gridSpan w:val="40"/>
          </w:tcPr>
          <w:p>
            <w:pPr>
              <w:ind w:left="20"/>
              <w:spacing w:after="0" w:line="179" w:lineRule="exact"/>
              <w:rPr>
                <w:sz w:val="20"/>
                <w:szCs w:val="20"/>
                <w:color w:val="auto"/>
              </w:rPr>
            </w:pPr>
            <w:r>
              <w:rPr>
                <w:rFonts w:ascii="Arial" w:cs="Arial" w:eastAsia="Arial" w:hAnsi="Arial"/>
                <w:sz w:val="18"/>
                <w:szCs w:val="18"/>
                <w:color w:val="0000EE"/>
              </w:rPr>
              <w:t>Accumulated Other Comprehensive Income</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ind w:left="100"/>
              <w:spacing w:after="0" w:line="179" w:lineRule="exact"/>
              <w:rPr>
                <w:sz w:val="20"/>
                <w:szCs w:val="20"/>
                <w:color w:val="auto"/>
              </w:rPr>
            </w:pPr>
            <w:r>
              <w:rPr>
                <w:rFonts w:ascii="Arial" w:cs="Arial" w:eastAsia="Arial" w:hAnsi="Arial"/>
                <w:sz w:val="18"/>
                <w:szCs w:val="18"/>
                <w:color w:val="0000EE"/>
                <w:w w:val="87"/>
              </w:rPr>
              <w:t>16.</w:t>
            </w:r>
          </w:p>
        </w:tc>
        <w:tc>
          <w:tcPr>
            <w:tcW w:w="6860" w:type="dxa"/>
            <w:vAlign w:val="bottom"/>
            <w:gridSpan w:val="40"/>
          </w:tcPr>
          <w:p>
            <w:pPr>
              <w:ind w:left="20"/>
              <w:spacing w:after="0" w:line="179" w:lineRule="exact"/>
              <w:rPr>
                <w:sz w:val="20"/>
                <w:szCs w:val="20"/>
                <w:color w:val="auto"/>
              </w:rPr>
            </w:pPr>
            <w:r>
              <w:rPr>
                <w:rFonts w:ascii="Arial" w:cs="Arial" w:eastAsia="Arial" w:hAnsi="Arial"/>
                <w:sz w:val="18"/>
                <w:szCs w:val="18"/>
                <w:color w:val="0000EE"/>
              </w:rPr>
              <w:t>Equity-Based Compensation</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ind w:left="100"/>
              <w:spacing w:after="0" w:line="179" w:lineRule="exact"/>
              <w:rPr>
                <w:sz w:val="20"/>
                <w:szCs w:val="20"/>
                <w:color w:val="auto"/>
              </w:rPr>
            </w:pPr>
            <w:r>
              <w:rPr>
                <w:rFonts w:ascii="Arial" w:cs="Arial" w:eastAsia="Arial" w:hAnsi="Arial"/>
                <w:sz w:val="18"/>
                <w:szCs w:val="18"/>
                <w:color w:val="0000EE"/>
                <w:w w:val="87"/>
              </w:rPr>
              <w:t>17.</w:t>
            </w:r>
          </w:p>
        </w:tc>
        <w:tc>
          <w:tcPr>
            <w:tcW w:w="6860" w:type="dxa"/>
            <w:vAlign w:val="bottom"/>
            <w:gridSpan w:val="40"/>
          </w:tcPr>
          <w:p>
            <w:pPr>
              <w:ind w:left="20"/>
              <w:spacing w:after="0" w:line="179" w:lineRule="exact"/>
              <w:rPr>
                <w:sz w:val="20"/>
                <w:szCs w:val="20"/>
                <w:color w:val="auto"/>
              </w:rPr>
            </w:pPr>
            <w:r>
              <w:rPr>
                <w:rFonts w:ascii="Arial" w:cs="Arial" w:eastAsia="Arial" w:hAnsi="Arial"/>
                <w:sz w:val="18"/>
                <w:szCs w:val="18"/>
                <w:color w:val="0000EE"/>
              </w:rPr>
              <w:t>Earnings per Share</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ind w:left="100"/>
              <w:spacing w:after="0" w:line="179" w:lineRule="exact"/>
              <w:rPr>
                <w:sz w:val="20"/>
                <w:szCs w:val="20"/>
                <w:color w:val="auto"/>
              </w:rPr>
            </w:pPr>
            <w:r>
              <w:rPr>
                <w:rFonts w:ascii="Arial" w:cs="Arial" w:eastAsia="Arial" w:hAnsi="Arial"/>
                <w:sz w:val="18"/>
                <w:szCs w:val="18"/>
                <w:color w:val="0000EE"/>
                <w:w w:val="87"/>
              </w:rPr>
              <w:t>18.</w:t>
            </w:r>
          </w:p>
        </w:tc>
        <w:tc>
          <w:tcPr>
            <w:tcW w:w="6860" w:type="dxa"/>
            <w:vAlign w:val="bottom"/>
            <w:gridSpan w:val="40"/>
          </w:tcPr>
          <w:p>
            <w:pPr>
              <w:ind w:left="20"/>
              <w:spacing w:after="0" w:line="179" w:lineRule="exact"/>
              <w:rPr>
                <w:sz w:val="20"/>
                <w:szCs w:val="20"/>
                <w:color w:val="auto"/>
              </w:rPr>
            </w:pPr>
            <w:r>
              <w:rPr>
                <w:rFonts w:ascii="Arial" w:cs="Arial" w:eastAsia="Arial" w:hAnsi="Arial"/>
                <w:sz w:val="18"/>
                <w:szCs w:val="18"/>
                <w:color w:val="0000EE"/>
              </w:rPr>
              <w:t>Segment Information</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ind w:left="100"/>
              <w:spacing w:after="0" w:line="179" w:lineRule="exact"/>
              <w:rPr>
                <w:sz w:val="20"/>
                <w:szCs w:val="20"/>
                <w:color w:val="auto"/>
              </w:rPr>
            </w:pPr>
            <w:r>
              <w:rPr>
                <w:rFonts w:ascii="Arial" w:cs="Arial" w:eastAsia="Arial" w:hAnsi="Arial"/>
                <w:sz w:val="18"/>
                <w:szCs w:val="18"/>
                <w:color w:val="0000EE"/>
                <w:w w:val="87"/>
              </w:rPr>
              <w:t>19.</w:t>
            </w:r>
          </w:p>
        </w:tc>
        <w:tc>
          <w:tcPr>
            <w:tcW w:w="6860" w:type="dxa"/>
            <w:vAlign w:val="bottom"/>
            <w:gridSpan w:val="40"/>
          </w:tcPr>
          <w:p>
            <w:pPr>
              <w:ind w:left="20"/>
              <w:spacing w:after="0" w:line="179" w:lineRule="exact"/>
              <w:rPr>
                <w:sz w:val="20"/>
                <w:szCs w:val="20"/>
                <w:color w:val="auto"/>
              </w:rPr>
            </w:pPr>
            <w:r>
              <w:rPr>
                <w:rFonts w:ascii="Arial" w:cs="Arial" w:eastAsia="Arial" w:hAnsi="Arial"/>
                <w:sz w:val="18"/>
                <w:szCs w:val="18"/>
                <w:color w:val="0000EE"/>
              </w:rPr>
              <w:t>Commitments and Contingencies</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ind w:left="100"/>
              <w:spacing w:after="0" w:line="179" w:lineRule="exact"/>
              <w:rPr>
                <w:sz w:val="20"/>
                <w:szCs w:val="20"/>
                <w:color w:val="auto"/>
              </w:rPr>
            </w:pPr>
            <w:r>
              <w:rPr>
                <w:rFonts w:ascii="Arial" w:cs="Arial" w:eastAsia="Arial" w:hAnsi="Arial"/>
                <w:sz w:val="18"/>
                <w:szCs w:val="18"/>
                <w:color w:val="0000EE"/>
                <w:w w:val="87"/>
              </w:rPr>
              <w:t>20.</w:t>
            </w:r>
          </w:p>
        </w:tc>
        <w:tc>
          <w:tcPr>
            <w:tcW w:w="6860" w:type="dxa"/>
            <w:vAlign w:val="bottom"/>
            <w:gridSpan w:val="40"/>
          </w:tcPr>
          <w:p>
            <w:pPr>
              <w:ind w:left="20"/>
              <w:spacing w:after="0" w:line="179" w:lineRule="exact"/>
              <w:rPr>
                <w:sz w:val="20"/>
                <w:szCs w:val="20"/>
                <w:color w:val="auto"/>
              </w:rPr>
            </w:pPr>
            <w:r>
              <w:rPr>
                <w:rFonts w:ascii="Arial" w:cs="Arial" w:eastAsia="Arial" w:hAnsi="Arial"/>
                <w:sz w:val="18"/>
                <w:szCs w:val="18"/>
                <w:color w:val="0000EE"/>
              </w:rPr>
              <w:t>Related Party Transactions</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ind w:left="100"/>
              <w:spacing w:after="0" w:line="179" w:lineRule="exact"/>
              <w:rPr>
                <w:sz w:val="20"/>
                <w:szCs w:val="20"/>
                <w:color w:val="auto"/>
              </w:rPr>
            </w:pPr>
            <w:r>
              <w:rPr>
                <w:rFonts w:ascii="Arial" w:cs="Arial" w:eastAsia="Arial" w:hAnsi="Arial"/>
                <w:sz w:val="18"/>
                <w:szCs w:val="18"/>
                <w:color w:val="0000EE"/>
                <w:w w:val="87"/>
              </w:rPr>
              <w:t>21.</w:t>
            </w:r>
          </w:p>
        </w:tc>
        <w:tc>
          <w:tcPr>
            <w:tcW w:w="6860" w:type="dxa"/>
            <w:vAlign w:val="bottom"/>
            <w:gridSpan w:val="40"/>
          </w:tcPr>
          <w:p>
            <w:pPr>
              <w:ind w:left="20"/>
              <w:spacing w:after="0" w:line="179" w:lineRule="exact"/>
              <w:rPr>
                <w:sz w:val="20"/>
                <w:szCs w:val="20"/>
                <w:color w:val="auto"/>
              </w:rPr>
            </w:pPr>
            <w:r>
              <w:rPr>
                <w:rFonts w:ascii="Arial" w:cs="Arial" w:eastAsia="Arial" w:hAnsi="Arial"/>
                <w:sz w:val="18"/>
                <w:szCs w:val="18"/>
                <w:color w:val="0000EE"/>
              </w:rPr>
              <w:t>Subsequent Events</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9" w:lineRule="exact"/>
              <w:rPr>
                <w:sz w:val="20"/>
                <w:szCs w:val="20"/>
                <w:color w:val="auto"/>
              </w:rPr>
            </w:pPr>
            <w:r>
              <w:rPr>
                <w:rFonts w:ascii="Arial" w:cs="Arial" w:eastAsia="Arial" w:hAnsi="Arial"/>
                <w:sz w:val="18"/>
                <w:szCs w:val="18"/>
                <w:color w:val="0000EE"/>
                <w:w w:val="83"/>
              </w:rPr>
              <w:t>Item 2.</w:t>
            </w:r>
          </w:p>
        </w:tc>
        <w:tc>
          <w:tcPr>
            <w:tcW w:w="160" w:type="dxa"/>
            <w:vAlign w:val="bottom"/>
            <w:gridSpan w:val="3"/>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79"/>
        </w:trPr>
        <w:tc>
          <w:tcPr>
            <w:tcW w:w="500" w:type="dxa"/>
            <w:vAlign w:val="bottom"/>
            <w:vMerge w:val="continue"/>
          </w:tcPr>
          <w:p>
            <w:pPr>
              <w:spacing w:after="0"/>
              <w:rPr>
                <w:sz w:val="15"/>
                <w:szCs w:val="15"/>
                <w:color w:val="auto"/>
              </w:rPr>
            </w:pPr>
          </w:p>
        </w:tc>
        <w:tc>
          <w:tcPr>
            <w:tcW w:w="160" w:type="dxa"/>
            <w:vAlign w:val="bottom"/>
            <w:gridSpan w:val="3"/>
            <w:vMerge w:val="continue"/>
          </w:tcPr>
          <w:p>
            <w:pPr>
              <w:spacing w:after="0"/>
              <w:rPr>
                <w:sz w:val="15"/>
                <w:szCs w:val="15"/>
                <w:color w:val="auto"/>
              </w:rPr>
            </w:pPr>
          </w:p>
        </w:tc>
        <w:tc>
          <w:tcPr>
            <w:tcW w:w="7200" w:type="dxa"/>
            <w:vAlign w:val="bottom"/>
            <w:gridSpan w:val="43"/>
          </w:tcPr>
          <w:p>
            <w:pPr>
              <w:spacing w:after="0" w:line="179"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160" w:type="dxa"/>
            <w:vAlign w:val="bottom"/>
            <w:tcBorders>
              <w:top w:val="single" w:sz="8" w:color="0000EE"/>
            </w:tcBorders>
            <w:gridSpan w:val="40"/>
          </w:tcPr>
          <w:p>
            <w:pPr>
              <w:spacing w:after="0" w:line="179" w:lineRule="exact"/>
              <w:rPr>
                <w:sz w:val="20"/>
                <w:szCs w:val="20"/>
                <w:color w:val="auto"/>
              </w:rPr>
            </w:pPr>
            <w:r>
              <w:rPr>
                <w:rFonts w:ascii="Arial" w:cs="Arial" w:eastAsia="Arial" w:hAnsi="Arial"/>
                <w:sz w:val="18"/>
                <w:szCs w:val="18"/>
                <w:color w:val="0000EE"/>
              </w:rPr>
              <w:t>Overview</w:t>
            </w:r>
          </w:p>
        </w:tc>
        <w:tc>
          <w:tcPr>
            <w:tcW w:w="86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bottom w:val="single" w:sz="8" w:color="0000EE"/>
            </w:tcBorders>
            <w:gridSpan w:val="16"/>
          </w:tcPr>
          <w:p>
            <w:pPr>
              <w:spacing w:after="0" w:line="179" w:lineRule="exact"/>
              <w:rPr>
                <w:sz w:val="20"/>
                <w:szCs w:val="20"/>
                <w:color w:val="auto"/>
              </w:rPr>
            </w:pPr>
            <w:r>
              <w:rPr>
                <w:rFonts w:ascii="Arial" w:cs="Arial" w:eastAsia="Arial" w:hAnsi="Arial"/>
                <w:sz w:val="18"/>
                <w:szCs w:val="18"/>
                <w:color w:val="0000EE"/>
                <w:w w:val="89"/>
              </w:rPr>
              <w:t>Key Business Metrics</w:t>
            </w:r>
          </w:p>
        </w:tc>
        <w:tc>
          <w:tcPr>
            <w:tcW w:w="5460" w:type="dxa"/>
            <w:vAlign w:val="bottom"/>
            <w:gridSpan w:val="25"/>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20" w:type="dxa"/>
            <w:vAlign w:val="bottom"/>
            <w:gridSpan w:val="41"/>
          </w:tcPr>
          <w:p>
            <w:pPr>
              <w:spacing w:after="0" w:line="179" w:lineRule="exact"/>
              <w:rPr>
                <w:sz w:val="20"/>
                <w:szCs w:val="20"/>
                <w:color w:val="auto"/>
              </w:rPr>
            </w:pPr>
            <w:r>
              <w:rPr>
                <w:rFonts w:ascii="Arial" w:cs="Arial" w:eastAsia="Arial" w:hAnsi="Arial"/>
                <w:sz w:val="18"/>
                <w:szCs w:val="18"/>
                <w:color w:val="0000EE"/>
              </w:rPr>
              <w:t>Significant Developments</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top w:val="single" w:sz="8" w:color="0000EE"/>
              <w:bottom w:val="single" w:sz="8" w:color="0000EE"/>
            </w:tcBorders>
            <w:gridSpan w:val="15"/>
          </w:tcPr>
          <w:p>
            <w:pPr>
              <w:spacing w:after="0" w:line="179" w:lineRule="exact"/>
              <w:rPr>
                <w:sz w:val="20"/>
                <w:szCs w:val="20"/>
                <w:color w:val="auto"/>
              </w:rPr>
            </w:pPr>
            <w:r>
              <w:rPr>
                <w:rFonts w:ascii="Arial" w:cs="Arial" w:eastAsia="Arial" w:hAnsi="Arial"/>
                <w:sz w:val="18"/>
                <w:szCs w:val="18"/>
                <w:color w:val="0000EE"/>
                <w:w w:val="85"/>
              </w:rPr>
              <w:t>Results of Operations</w:t>
            </w:r>
          </w:p>
        </w:tc>
        <w:tc>
          <w:tcPr>
            <w:tcW w:w="320" w:type="dxa"/>
            <w:vAlign w:val="bottom"/>
            <w:tcBorders>
              <w:top w:val="single" w:sz="8" w:color="0000EE"/>
            </w:tcBorders>
            <w:gridSpan w:val="3"/>
          </w:tcPr>
          <w:p>
            <w:pPr>
              <w:spacing w:after="0"/>
              <w:rPr>
                <w:sz w:val="15"/>
                <w:szCs w:val="15"/>
                <w:color w:val="auto"/>
              </w:rPr>
            </w:pPr>
          </w:p>
        </w:tc>
        <w:tc>
          <w:tcPr>
            <w:tcW w:w="5180" w:type="dxa"/>
            <w:vAlign w:val="bottom"/>
            <w:gridSpan w:val="23"/>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Borders>
              <w:bottom w:val="single" w:sz="8" w:color="0000EE"/>
            </w:tcBorders>
            <w:gridSpan w:val="29"/>
          </w:tcPr>
          <w:p>
            <w:pPr>
              <w:spacing w:after="0" w:line="179" w:lineRule="exact"/>
              <w:rPr>
                <w:sz w:val="20"/>
                <w:szCs w:val="20"/>
                <w:color w:val="auto"/>
              </w:rPr>
            </w:pPr>
            <w:r>
              <w:rPr>
                <w:rFonts w:ascii="Arial" w:cs="Arial" w:eastAsia="Arial" w:hAnsi="Arial"/>
                <w:sz w:val="18"/>
                <w:szCs w:val="18"/>
                <w:color w:val="0000EE"/>
                <w:w w:val="90"/>
              </w:rPr>
              <w:t>Critical Accounting Policies and Estimates</w:t>
            </w:r>
          </w:p>
        </w:tc>
        <w:tc>
          <w:tcPr>
            <w:tcW w:w="3980" w:type="dxa"/>
            <w:vAlign w:val="bottom"/>
            <w:gridSpan w:val="12"/>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20" w:type="dxa"/>
            <w:vAlign w:val="bottom"/>
            <w:gridSpan w:val="41"/>
          </w:tcPr>
          <w:p>
            <w:pPr>
              <w:spacing w:after="0" w:line="179" w:lineRule="exact"/>
              <w:rPr>
                <w:sz w:val="20"/>
                <w:szCs w:val="20"/>
                <w:color w:val="auto"/>
              </w:rPr>
            </w:pPr>
            <w:r>
              <w:rPr>
                <w:rFonts w:ascii="Arial" w:cs="Arial" w:eastAsia="Arial" w:hAnsi="Arial"/>
                <w:sz w:val="18"/>
                <w:szCs w:val="18"/>
                <w:color w:val="0000EE"/>
              </w:rPr>
              <w:t>Liquidity and Capital Resources</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2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20" w:type="dxa"/>
            <w:vAlign w:val="bottom"/>
            <w:gridSpan w:val="41"/>
          </w:tcPr>
          <w:p>
            <w:pPr>
              <w:spacing w:after="0" w:line="179" w:lineRule="exact"/>
              <w:rPr>
                <w:sz w:val="20"/>
                <w:szCs w:val="20"/>
                <w:color w:val="auto"/>
              </w:rPr>
            </w:pPr>
            <w:r>
              <w:rPr>
                <w:rFonts w:ascii="Arial" w:cs="Arial" w:eastAsia="Arial" w:hAnsi="Arial"/>
                <w:sz w:val="18"/>
                <w:szCs w:val="18"/>
                <w:color w:val="0000EE"/>
              </w:rPr>
              <w:t>Recent Accounting Pronouncements</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9" w:lineRule="exact"/>
              <w:rPr>
                <w:sz w:val="20"/>
                <w:szCs w:val="20"/>
                <w:color w:val="auto"/>
              </w:rPr>
            </w:pPr>
            <w:r>
              <w:rPr>
                <w:rFonts w:ascii="Arial" w:cs="Arial" w:eastAsia="Arial" w:hAnsi="Arial"/>
                <w:sz w:val="18"/>
                <w:szCs w:val="18"/>
                <w:color w:val="0000EE"/>
                <w:w w:val="83"/>
              </w:rPr>
              <w:t>Item 3.</w:t>
            </w:r>
          </w:p>
        </w:tc>
        <w:tc>
          <w:tcPr>
            <w:tcW w:w="160" w:type="dxa"/>
            <w:vAlign w:val="bottom"/>
            <w:gridSpan w:val="3"/>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52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79"/>
        </w:trPr>
        <w:tc>
          <w:tcPr>
            <w:tcW w:w="500" w:type="dxa"/>
            <w:vAlign w:val="bottom"/>
            <w:tcBorders>
              <w:bottom w:val="single" w:sz="8" w:color="0000EE"/>
            </w:tcBorders>
            <w:vMerge w:val="continue"/>
          </w:tcPr>
          <w:p>
            <w:pPr>
              <w:spacing w:after="0"/>
              <w:rPr>
                <w:sz w:val="15"/>
                <w:szCs w:val="15"/>
                <w:color w:val="auto"/>
              </w:rPr>
            </w:pPr>
          </w:p>
        </w:tc>
        <w:tc>
          <w:tcPr>
            <w:tcW w:w="160" w:type="dxa"/>
            <w:vAlign w:val="bottom"/>
            <w:gridSpan w:val="3"/>
            <w:vMerge w:val="continue"/>
          </w:tcPr>
          <w:p>
            <w:pPr>
              <w:spacing w:after="0"/>
              <w:rPr>
                <w:sz w:val="15"/>
                <w:szCs w:val="15"/>
                <w:color w:val="auto"/>
              </w:rPr>
            </w:pPr>
          </w:p>
        </w:tc>
        <w:tc>
          <w:tcPr>
            <w:tcW w:w="4580" w:type="dxa"/>
            <w:vAlign w:val="bottom"/>
            <w:tcBorders>
              <w:bottom w:val="single" w:sz="8" w:color="0000EE"/>
            </w:tcBorders>
            <w:gridSpan w:val="39"/>
          </w:tcPr>
          <w:p>
            <w:pPr>
              <w:spacing w:after="0" w:line="179" w:lineRule="exact"/>
              <w:rPr>
                <w:sz w:val="20"/>
                <w:szCs w:val="20"/>
                <w:color w:val="auto"/>
              </w:rPr>
            </w:pPr>
            <w:r>
              <w:rPr>
                <w:rFonts w:ascii="Arial" w:cs="Arial" w:eastAsia="Arial" w:hAnsi="Arial"/>
                <w:sz w:val="18"/>
                <w:szCs w:val="18"/>
                <w:color w:val="0000EE"/>
                <w:w w:val="89"/>
              </w:rPr>
              <w:t>Quantitative and Qualitative Disclosures Regarding Market Risk</w:t>
            </w:r>
          </w:p>
        </w:tc>
        <w:tc>
          <w:tcPr>
            <w:tcW w:w="2620" w:type="dxa"/>
            <w:vAlign w:val="bottom"/>
            <w:gridSpan w:val="4"/>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0" w:type="dxa"/>
            <w:vAlign w:val="bottom"/>
          </w:tcPr>
          <w:p>
            <w:pPr>
              <w:spacing w:after="0" w:line="179" w:lineRule="exact"/>
              <w:rPr>
                <w:sz w:val="20"/>
                <w:szCs w:val="20"/>
                <w:color w:val="auto"/>
              </w:rPr>
            </w:pPr>
            <w:r>
              <w:rPr>
                <w:rFonts w:ascii="Arial" w:cs="Arial" w:eastAsia="Arial" w:hAnsi="Arial"/>
                <w:sz w:val="18"/>
                <w:szCs w:val="18"/>
                <w:color w:val="0000EE"/>
                <w:w w:val="83"/>
              </w:rPr>
              <w:t>Item 4.</w:t>
            </w:r>
          </w:p>
        </w:tc>
        <w:tc>
          <w:tcPr>
            <w:tcW w:w="160" w:type="dxa"/>
            <w:vAlign w:val="bottom"/>
            <w:gridSpan w:val="3"/>
          </w:tcPr>
          <w:p>
            <w:pPr>
              <w:spacing w:after="0"/>
              <w:rPr>
                <w:sz w:val="15"/>
                <w:szCs w:val="15"/>
                <w:color w:val="auto"/>
              </w:rPr>
            </w:pPr>
          </w:p>
        </w:tc>
        <w:tc>
          <w:tcPr>
            <w:tcW w:w="7200" w:type="dxa"/>
            <w:vAlign w:val="bottom"/>
            <w:gridSpan w:val="43"/>
          </w:tcPr>
          <w:p>
            <w:pPr>
              <w:spacing w:after="0" w:line="179" w:lineRule="exact"/>
              <w:rPr>
                <w:sz w:val="20"/>
                <w:szCs w:val="20"/>
                <w:color w:val="auto"/>
              </w:rPr>
            </w:pPr>
            <w:r>
              <w:rPr>
                <w:rFonts w:ascii="Arial" w:cs="Arial" w:eastAsia="Arial" w:hAnsi="Arial"/>
                <w:sz w:val="18"/>
                <w:szCs w:val="18"/>
                <w:color w:val="0000EE"/>
              </w:rPr>
              <w:t>Controls and Procedures</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40" w:type="dxa"/>
            <w:vAlign w:val="bottom"/>
            <w:gridSpan w:val="5"/>
            <w:vMerge w:val="restart"/>
          </w:tcPr>
          <w:p>
            <w:pPr>
              <w:spacing w:after="0" w:line="20" w:lineRule="exact"/>
              <w:rPr>
                <w:sz w:val="1"/>
                <w:szCs w:val="1"/>
                <w:color w:val="auto"/>
              </w:rPr>
            </w:pPr>
          </w:p>
        </w:tc>
        <w:tc>
          <w:tcPr>
            <w:tcW w:w="2000" w:type="dxa"/>
            <w:vAlign w:val="bottom"/>
            <w:gridSpan w:val="15"/>
            <w:vMerge w:val="restart"/>
          </w:tcPr>
          <w:p>
            <w:pPr>
              <w:spacing w:after="0" w:line="20" w:lineRule="exact"/>
              <w:rPr>
                <w:sz w:val="1"/>
                <w:szCs w:val="1"/>
                <w:color w:val="auto"/>
              </w:rPr>
            </w:pPr>
          </w:p>
        </w:tc>
        <w:tc>
          <w:tcPr>
            <w:tcW w:w="2920" w:type="dxa"/>
            <w:vAlign w:val="bottom"/>
            <w:gridSpan w:val="5"/>
            <w:vMerge w:val="restart"/>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55</w:t>
            </w:r>
          </w:p>
        </w:tc>
        <w:tc>
          <w:tcPr>
            <w:tcW w:w="0" w:type="dxa"/>
            <w:vAlign w:val="bottom"/>
          </w:tcPr>
          <w:p>
            <w:pPr>
              <w:spacing w:after="0" w:line="20" w:lineRule="exact"/>
              <w:rPr>
                <w:sz w:val="1"/>
                <w:szCs w:val="1"/>
                <w:color w:val="auto"/>
              </w:rPr>
            </w:pPr>
          </w:p>
        </w:tc>
      </w:tr>
      <w:tr>
        <w:trPr>
          <w:trHeight w:val="179"/>
        </w:trPr>
        <w:tc>
          <w:tcPr>
            <w:tcW w:w="560" w:type="dxa"/>
            <w:vAlign w:val="bottom"/>
            <w:gridSpan w:val="2"/>
          </w:tcPr>
          <w:p>
            <w:pPr>
              <w:spacing w:after="0" w:line="179" w:lineRule="exact"/>
              <w:rPr>
                <w:sz w:val="20"/>
                <w:szCs w:val="20"/>
                <w:color w:val="auto"/>
              </w:rPr>
            </w:pPr>
            <w:r>
              <w:rPr>
                <w:rFonts w:ascii="Arial" w:cs="Arial" w:eastAsia="Arial" w:hAnsi="Arial"/>
                <w:sz w:val="18"/>
                <w:szCs w:val="18"/>
                <w:b w:val="1"/>
                <w:bCs w:val="1"/>
                <w:color w:val="0000EE"/>
                <w:w w:val="98"/>
              </w:rPr>
              <w:t>Part II.</w:t>
            </w:r>
          </w:p>
        </w:tc>
        <w:tc>
          <w:tcPr>
            <w:tcW w:w="100" w:type="dxa"/>
            <w:vAlign w:val="bottom"/>
            <w:gridSpan w:val="2"/>
          </w:tcPr>
          <w:p>
            <w:pPr>
              <w:spacing w:after="0"/>
              <w:rPr>
                <w:sz w:val="15"/>
                <w:szCs w:val="15"/>
                <w:color w:val="auto"/>
              </w:rPr>
            </w:pPr>
          </w:p>
        </w:tc>
        <w:tc>
          <w:tcPr>
            <w:tcW w:w="1740" w:type="dxa"/>
            <w:vAlign w:val="bottom"/>
            <w:gridSpan w:val="18"/>
          </w:tcPr>
          <w:p>
            <w:pPr>
              <w:spacing w:after="0" w:line="179" w:lineRule="exact"/>
              <w:rPr>
                <w:sz w:val="20"/>
                <w:szCs w:val="20"/>
                <w:color w:val="auto"/>
              </w:rPr>
            </w:pPr>
            <w:r>
              <w:rPr>
                <w:rFonts w:ascii="Arial" w:cs="Arial" w:eastAsia="Arial" w:hAnsi="Arial"/>
                <w:sz w:val="18"/>
                <w:szCs w:val="18"/>
                <w:b w:val="1"/>
                <w:bCs w:val="1"/>
                <w:color w:val="0000EE"/>
              </w:rPr>
              <w:t>Other Information</w:t>
            </w:r>
          </w:p>
        </w:tc>
        <w:tc>
          <w:tcPr>
            <w:tcW w:w="540" w:type="dxa"/>
            <w:vAlign w:val="bottom"/>
            <w:gridSpan w:val="5"/>
            <w:vMerge w:val="continue"/>
          </w:tcPr>
          <w:p>
            <w:pPr>
              <w:spacing w:after="0"/>
              <w:rPr>
                <w:sz w:val="15"/>
                <w:szCs w:val="15"/>
                <w:color w:val="auto"/>
              </w:rPr>
            </w:pPr>
          </w:p>
        </w:tc>
        <w:tc>
          <w:tcPr>
            <w:tcW w:w="2000" w:type="dxa"/>
            <w:vAlign w:val="bottom"/>
            <w:gridSpan w:val="15"/>
            <w:vMerge w:val="continue"/>
          </w:tcPr>
          <w:p>
            <w:pPr>
              <w:spacing w:after="0"/>
              <w:rPr>
                <w:sz w:val="15"/>
                <w:szCs w:val="15"/>
                <w:color w:val="auto"/>
              </w:rPr>
            </w:pPr>
          </w:p>
        </w:tc>
        <w:tc>
          <w:tcPr>
            <w:tcW w:w="2920" w:type="dxa"/>
            <w:vAlign w:val="bottom"/>
            <w:gridSpan w:val="5"/>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0" w:type="dxa"/>
            <w:vAlign w:val="bottom"/>
            <w:tcBorders>
              <w:top w:val="single" w:sz="8" w:color="0000EE"/>
              <w:bottom w:val="single" w:sz="8" w:color="0000EE"/>
            </w:tcBorders>
          </w:tcPr>
          <w:p>
            <w:pPr>
              <w:spacing w:after="0" w:line="179" w:lineRule="exact"/>
              <w:rPr>
                <w:sz w:val="20"/>
                <w:szCs w:val="20"/>
                <w:color w:val="auto"/>
              </w:rPr>
            </w:pPr>
            <w:r>
              <w:rPr>
                <w:rFonts w:ascii="Arial" w:cs="Arial" w:eastAsia="Arial" w:hAnsi="Arial"/>
                <w:sz w:val="18"/>
                <w:szCs w:val="18"/>
                <w:color w:val="0000EE"/>
                <w:w w:val="83"/>
              </w:rPr>
              <w:t>Item 1.</w:t>
            </w:r>
          </w:p>
        </w:tc>
        <w:tc>
          <w:tcPr>
            <w:tcW w:w="60" w:type="dxa"/>
            <w:vAlign w:val="bottom"/>
            <w:tcBorders>
              <w:top w:val="single" w:sz="8" w:color="0000EE"/>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1320" w:type="dxa"/>
            <w:vAlign w:val="bottom"/>
            <w:tcBorders>
              <w:top w:val="single" w:sz="8" w:color="0000EE"/>
              <w:bottom w:val="single" w:sz="8" w:color="0000EE"/>
            </w:tcBorders>
            <w:gridSpan w:val="14"/>
          </w:tcPr>
          <w:p>
            <w:pPr>
              <w:spacing w:after="0" w:line="179" w:lineRule="exact"/>
              <w:rPr>
                <w:sz w:val="20"/>
                <w:szCs w:val="20"/>
                <w:color w:val="auto"/>
              </w:rPr>
            </w:pPr>
            <w:r>
              <w:rPr>
                <w:rFonts w:ascii="Arial" w:cs="Arial" w:eastAsia="Arial" w:hAnsi="Arial"/>
                <w:sz w:val="18"/>
                <w:szCs w:val="18"/>
                <w:color w:val="0000EE"/>
                <w:w w:val="87"/>
              </w:rPr>
              <w:t>Legal Proceedings</w:t>
            </w:r>
          </w:p>
        </w:tc>
        <w:tc>
          <w:tcPr>
            <w:tcW w:w="160" w:type="dxa"/>
            <w:vAlign w:val="bottom"/>
            <w:tcBorders>
              <w:top w:val="single" w:sz="8" w:color="0000EE"/>
            </w:tcBorders>
          </w:tcPr>
          <w:p>
            <w:pPr>
              <w:spacing w:after="0"/>
              <w:rPr>
                <w:sz w:val="15"/>
                <w:szCs w:val="15"/>
                <w:color w:val="auto"/>
              </w:rPr>
            </w:pPr>
          </w:p>
        </w:tc>
        <w:tc>
          <w:tcPr>
            <w:tcW w:w="5720" w:type="dxa"/>
            <w:vAlign w:val="bottom"/>
            <w:gridSpan w:val="28"/>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79"/>
        </w:trPr>
        <w:tc>
          <w:tcPr>
            <w:tcW w:w="7860" w:type="dxa"/>
            <w:vAlign w:val="bottom"/>
            <w:gridSpan w:val="47"/>
          </w:tcPr>
          <w:p>
            <w:pPr>
              <w:spacing w:after="0" w:line="179" w:lineRule="exact"/>
              <w:rPr>
                <w:sz w:val="20"/>
                <w:szCs w:val="20"/>
                <w:color w:val="auto"/>
              </w:rPr>
            </w:pPr>
            <w:r>
              <w:rPr>
                <w:rFonts w:ascii="Arial" w:cs="Arial" w:eastAsia="Arial" w:hAnsi="Arial"/>
                <w:sz w:val="18"/>
                <w:szCs w:val="18"/>
                <w:color w:val="0000EE"/>
              </w:rPr>
              <w:t>Item 1A. Risk Factors</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2000" w:type="dxa"/>
            <w:vAlign w:val="bottom"/>
            <w:gridSpan w:val="15"/>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1040" w:type="dxa"/>
            <w:vAlign w:val="bottom"/>
            <w:vMerge w:val="restart"/>
          </w:tcPr>
          <w:p>
            <w:pPr>
              <w:jc w:val="right"/>
              <w:spacing w:after="0" w:line="199" w:lineRule="exact"/>
              <w:rPr>
                <w:sz w:val="20"/>
                <w:szCs w:val="20"/>
                <w:color w:val="auto"/>
              </w:rPr>
            </w:pPr>
            <w:r>
              <w:rPr>
                <w:rFonts w:ascii="Arial" w:cs="Arial" w:eastAsia="Arial" w:hAnsi="Arial"/>
                <w:sz w:val="18"/>
                <w:szCs w:val="18"/>
                <w:color w:val="auto"/>
              </w:rPr>
              <w:t>55</w:t>
            </w:r>
          </w:p>
        </w:tc>
        <w:tc>
          <w:tcPr>
            <w:tcW w:w="0" w:type="dxa"/>
            <w:vAlign w:val="bottom"/>
          </w:tcPr>
          <w:p>
            <w:pPr>
              <w:spacing w:after="0" w:line="20" w:lineRule="exact"/>
              <w:rPr>
                <w:sz w:val="1"/>
                <w:szCs w:val="1"/>
                <w:color w:val="auto"/>
              </w:rPr>
            </w:pPr>
          </w:p>
        </w:tc>
      </w:tr>
      <w:tr>
        <w:trPr>
          <w:trHeight w:val="179"/>
        </w:trPr>
        <w:tc>
          <w:tcPr>
            <w:tcW w:w="500" w:type="dxa"/>
            <w:vAlign w:val="bottom"/>
            <w:tcBorders>
              <w:bottom w:val="single" w:sz="8" w:color="0000EE"/>
            </w:tcBorders>
          </w:tcPr>
          <w:p>
            <w:pPr>
              <w:spacing w:after="0" w:line="179" w:lineRule="exact"/>
              <w:rPr>
                <w:sz w:val="20"/>
                <w:szCs w:val="20"/>
                <w:color w:val="auto"/>
              </w:rPr>
            </w:pPr>
            <w:r>
              <w:rPr>
                <w:rFonts w:ascii="Arial" w:cs="Arial" w:eastAsia="Arial" w:hAnsi="Arial"/>
                <w:sz w:val="18"/>
                <w:szCs w:val="18"/>
                <w:color w:val="0000EE"/>
                <w:w w:val="83"/>
              </w:rPr>
              <w:t>Item 2.</w:t>
            </w:r>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280" w:type="dxa"/>
            <w:vAlign w:val="bottom"/>
            <w:tcBorders>
              <w:bottom w:val="single" w:sz="8" w:color="0000EE"/>
            </w:tcBorders>
            <w:gridSpan w:val="38"/>
          </w:tcPr>
          <w:p>
            <w:pPr>
              <w:spacing w:after="0" w:line="179" w:lineRule="exact"/>
              <w:rPr>
                <w:sz w:val="20"/>
                <w:szCs w:val="20"/>
                <w:color w:val="auto"/>
              </w:rPr>
            </w:pPr>
            <w:r>
              <w:rPr>
                <w:rFonts w:ascii="Arial" w:cs="Arial" w:eastAsia="Arial" w:hAnsi="Arial"/>
                <w:sz w:val="18"/>
                <w:szCs w:val="18"/>
                <w:color w:val="0000EE"/>
                <w:w w:val="87"/>
              </w:rPr>
              <w:t>Unregistered Sales of Equity Securities and Use of Proceeds</w:t>
            </w:r>
          </w:p>
        </w:tc>
        <w:tc>
          <w:tcPr>
            <w:tcW w:w="2920" w:type="dxa"/>
            <w:vAlign w:val="bottom"/>
            <w:gridSpan w:val="5"/>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0" w:type="dxa"/>
            <w:vAlign w:val="bottom"/>
          </w:tcPr>
          <w:p>
            <w:pPr>
              <w:spacing w:after="0" w:line="179" w:lineRule="exact"/>
              <w:rPr>
                <w:sz w:val="20"/>
                <w:szCs w:val="20"/>
                <w:color w:val="auto"/>
              </w:rPr>
            </w:pPr>
            <w:r>
              <w:rPr>
                <w:rFonts w:ascii="Arial" w:cs="Arial" w:eastAsia="Arial" w:hAnsi="Arial"/>
                <w:sz w:val="18"/>
                <w:szCs w:val="18"/>
                <w:color w:val="0000EE"/>
                <w:w w:val="83"/>
              </w:rPr>
              <w:t>Item 3.</w:t>
            </w:r>
          </w:p>
        </w:tc>
        <w:tc>
          <w:tcPr>
            <w:tcW w:w="160" w:type="dxa"/>
            <w:vAlign w:val="bottom"/>
            <w:gridSpan w:val="3"/>
          </w:tcPr>
          <w:p>
            <w:pPr>
              <w:spacing w:after="0"/>
              <w:rPr>
                <w:sz w:val="15"/>
                <w:szCs w:val="15"/>
                <w:color w:val="auto"/>
              </w:rPr>
            </w:pPr>
          </w:p>
        </w:tc>
        <w:tc>
          <w:tcPr>
            <w:tcW w:w="7200" w:type="dxa"/>
            <w:vAlign w:val="bottom"/>
            <w:gridSpan w:val="43"/>
          </w:tcPr>
          <w:p>
            <w:pPr>
              <w:spacing w:after="0" w:line="179" w:lineRule="exact"/>
              <w:rPr>
                <w:sz w:val="20"/>
                <w:szCs w:val="20"/>
                <w:color w:val="auto"/>
              </w:rPr>
            </w:pPr>
            <w:r>
              <w:rPr>
                <w:rFonts w:ascii="Arial" w:cs="Arial" w:eastAsia="Arial" w:hAnsi="Arial"/>
                <w:sz w:val="18"/>
                <w:szCs w:val="18"/>
                <w:color w:val="0000EE"/>
              </w:rPr>
              <w:t>Defaults Upon Senior Securities</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79"/>
        </w:trPr>
        <w:tc>
          <w:tcPr>
            <w:tcW w:w="500" w:type="dxa"/>
            <w:vAlign w:val="bottom"/>
            <w:tcBorders>
              <w:top w:val="single" w:sz="8" w:color="0000EE"/>
            </w:tcBorders>
          </w:tcPr>
          <w:p>
            <w:pPr>
              <w:spacing w:after="0" w:line="179" w:lineRule="exact"/>
              <w:rPr>
                <w:sz w:val="20"/>
                <w:szCs w:val="20"/>
                <w:color w:val="auto"/>
              </w:rPr>
            </w:pPr>
            <w:r>
              <w:rPr>
                <w:rFonts w:ascii="Arial" w:cs="Arial" w:eastAsia="Arial" w:hAnsi="Arial"/>
                <w:sz w:val="18"/>
                <w:szCs w:val="18"/>
                <w:color w:val="0000EE"/>
                <w:w w:val="83"/>
              </w:rPr>
              <w:t>Item 4.</w:t>
            </w:r>
          </w:p>
        </w:tc>
        <w:tc>
          <w:tcPr>
            <w:tcW w:w="160" w:type="dxa"/>
            <w:vAlign w:val="bottom"/>
            <w:gridSpan w:val="3"/>
          </w:tcPr>
          <w:p>
            <w:pPr>
              <w:spacing w:after="0"/>
              <w:rPr>
                <w:sz w:val="15"/>
                <w:szCs w:val="15"/>
                <w:color w:val="auto"/>
              </w:rPr>
            </w:pPr>
          </w:p>
        </w:tc>
        <w:tc>
          <w:tcPr>
            <w:tcW w:w="2280" w:type="dxa"/>
            <w:vAlign w:val="bottom"/>
            <w:tcBorders>
              <w:top w:val="single" w:sz="8" w:color="0000EE"/>
            </w:tcBorders>
            <w:gridSpan w:val="23"/>
          </w:tcPr>
          <w:p>
            <w:pPr>
              <w:spacing w:after="0" w:line="179" w:lineRule="exact"/>
              <w:rPr>
                <w:sz w:val="20"/>
                <w:szCs w:val="20"/>
                <w:color w:val="auto"/>
              </w:rPr>
            </w:pPr>
            <w:r>
              <w:rPr>
                <w:rFonts w:ascii="Arial" w:cs="Arial" w:eastAsia="Arial" w:hAnsi="Arial"/>
                <w:sz w:val="18"/>
                <w:szCs w:val="18"/>
                <w:color w:val="0000EE"/>
              </w:rPr>
              <w:t>Mine Safety Disclosures</w:t>
            </w:r>
          </w:p>
        </w:tc>
        <w:tc>
          <w:tcPr>
            <w:tcW w:w="4920" w:type="dxa"/>
            <w:vAlign w:val="bottom"/>
            <w:gridSpan w:val="20"/>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79"/>
        </w:trPr>
        <w:tc>
          <w:tcPr>
            <w:tcW w:w="500" w:type="dxa"/>
            <w:vAlign w:val="bottom"/>
            <w:tcBorders>
              <w:top w:val="single" w:sz="8" w:color="0000EE"/>
              <w:bottom w:val="single" w:sz="8" w:color="0000EE"/>
            </w:tcBorders>
          </w:tcPr>
          <w:p>
            <w:pPr>
              <w:spacing w:after="0" w:line="179" w:lineRule="exact"/>
              <w:rPr>
                <w:sz w:val="20"/>
                <w:szCs w:val="20"/>
                <w:color w:val="auto"/>
              </w:rPr>
            </w:pPr>
            <w:r>
              <w:rPr>
                <w:rFonts w:ascii="Arial" w:cs="Arial" w:eastAsia="Arial" w:hAnsi="Arial"/>
                <w:sz w:val="18"/>
                <w:szCs w:val="18"/>
                <w:color w:val="0000EE"/>
                <w:w w:val="83"/>
              </w:rPr>
              <w:t>Item 5.</w:t>
            </w:r>
          </w:p>
        </w:tc>
        <w:tc>
          <w:tcPr>
            <w:tcW w:w="160" w:type="dxa"/>
            <w:vAlign w:val="bottom"/>
            <w:gridSpan w:val="3"/>
          </w:tcPr>
          <w:p>
            <w:pPr>
              <w:spacing w:after="0"/>
              <w:rPr>
                <w:sz w:val="15"/>
                <w:szCs w:val="15"/>
                <w:color w:val="auto"/>
              </w:rPr>
            </w:pPr>
          </w:p>
        </w:tc>
        <w:tc>
          <w:tcPr>
            <w:tcW w:w="1300" w:type="dxa"/>
            <w:vAlign w:val="bottom"/>
            <w:tcBorders>
              <w:top w:val="single" w:sz="8" w:color="0000EE"/>
              <w:bottom w:val="single" w:sz="8" w:color="0000EE"/>
            </w:tcBorders>
            <w:gridSpan w:val="13"/>
          </w:tcPr>
          <w:p>
            <w:pPr>
              <w:spacing w:after="0" w:line="179" w:lineRule="exact"/>
              <w:rPr>
                <w:sz w:val="20"/>
                <w:szCs w:val="20"/>
                <w:color w:val="auto"/>
              </w:rPr>
            </w:pPr>
            <w:r>
              <w:rPr>
                <w:rFonts w:ascii="Arial" w:cs="Arial" w:eastAsia="Arial" w:hAnsi="Arial"/>
                <w:sz w:val="18"/>
                <w:szCs w:val="18"/>
                <w:color w:val="0000EE"/>
                <w:w w:val="91"/>
              </w:rPr>
              <w:t>Other Information</w:t>
            </w:r>
          </w:p>
        </w:tc>
        <w:tc>
          <w:tcPr>
            <w:tcW w:w="440" w:type="dxa"/>
            <w:vAlign w:val="bottom"/>
            <w:tcBorders>
              <w:top w:val="single" w:sz="8" w:color="0000EE"/>
            </w:tcBorders>
            <w:gridSpan w:val="5"/>
          </w:tcPr>
          <w:p>
            <w:pPr>
              <w:spacing w:after="0"/>
              <w:rPr>
                <w:sz w:val="15"/>
                <w:szCs w:val="15"/>
                <w:color w:val="auto"/>
              </w:rPr>
            </w:pPr>
          </w:p>
        </w:tc>
        <w:tc>
          <w:tcPr>
            <w:tcW w:w="5460" w:type="dxa"/>
            <w:vAlign w:val="bottom"/>
            <w:gridSpan w:val="25"/>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79"/>
        </w:trPr>
        <w:tc>
          <w:tcPr>
            <w:tcW w:w="500" w:type="dxa"/>
            <w:vAlign w:val="bottom"/>
            <w:tcBorders>
              <w:bottom w:val="single" w:sz="8" w:color="0000EE"/>
            </w:tcBorders>
          </w:tcPr>
          <w:p>
            <w:pPr>
              <w:spacing w:after="0" w:line="179" w:lineRule="exact"/>
              <w:rPr>
                <w:sz w:val="20"/>
                <w:szCs w:val="20"/>
                <w:color w:val="auto"/>
              </w:rPr>
            </w:pPr>
            <w:r>
              <w:rPr>
                <w:rFonts w:ascii="Arial" w:cs="Arial" w:eastAsia="Arial" w:hAnsi="Arial"/>
                <w:sz w:val="18"/>
                <w:szCs w:val="18"/>
                <w:color w:val="0000EE"/>
                <w:w w:val="83"/>
              </w:rPr>
              <w:t>Item 6.</w:t>
            </w:r>
          </w:p>
        </w:tc>
        <w:tc>
          <w:tcPr>
            <w:tcW w:w="160" w:type="dxa"/>
            <w:vAlign w:val="bottom"/>
            <w:gridSpan w:val="3"/>
          </w:tcPr>
          <w:p>
            <w:pPr>
              <w:spacing w:after="0"/>
              <w:rPr>
                <w:sz w:val="15"/>
                <w:szCs w:val="15"/>
                <w:color w:val="auto"/>
              </w:rPr>
            </w:pPr>
          </w:p>
        </w:tc>
        <w:tc>
          <w:tcPr>
            <w:tcW w:w="600" w:type="dxa"/>
            <w:vAlign w:val="bottom"/>
            <w:tcBorders>
              <w:bottom w:val="single" w:sz="8" w:color="0000EE"/>
            </w:tcBorders>
            <w:gridSpan w:val="4"/>
          </w:tcPr>
          <w:p>
            <w:pPr>
              <w:spacing w:after="0" w:line="179" w:lineRule="exact"/>
              <w:rPr>
                <w:sz w:val="20"/>
                <w:szCs w:val="20"/>
                <w:color w:val="auto"/>
              </w:rPr>
            </w:pPr>
            <w:r>
              <w:rPr>
                <w:rFonts w:ascii="Arial" w:cs="Arial" w:eastAsia="Arial" w:hAnsi="Arial"/>
                <w:sz w:val="18"/>
                <w:szCs w:val="18"/>
                <w:color w:val="0000EE"/>
                <w:w w:val="91"/>
              </w:rPr>
              <w:t>Exhibits</w:t>
            </w:r>
          </w:p>
        </w:tc>
        <w:tc>
          <w:tcPr>
            <w:tcW w:w="6600" w:type="dxa"/>
            <w:vAlign w:val="bottom"/>
            <w:gridSpan w:val="39"/>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79"/>
        </w:trPr>
        <w:tc>
          <w:tcPr>
            <w:tcW w:w="1000" w:type="dxa"/>
            <w:vAlign w:val="bottom"/>
            <w:gridSpan w:val="7"/>
          </w:tcPr>
          <w:p>
            <w:pPr>
              <w:spacing w:after="0" w:line="179" w:lineRule="exact"/>
              <w:rPr>
                <w:sz w:val="20"/>
                <w:szCs w:val="20"/>
                <w:color w:val="auto"/>
              </w:rPr>
            </w:pPr>
            <w:r>
              <w:rPr>
                <w:rFonts w:ascii="Arial" w:cs="Arial" w:eastAsia="Arial" w:hAnsi="Arial"/>
                <w:sz w:val="18"/>
                <w:szCs w:val="18"/>
                <w:color w:val="0000EE"/>
              </w:rPr>
              <w:t>Signatures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656"/>
        </w:trPr>
        <w:tc>
          <w:tcPr>
            <w:tcW w:w="5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1"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 Financial Information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WESTROCK COFFEE COMPANY</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140" w:type="dxa"/>
            <w:vAlign w:val="bottom"/>
            <w:gridSpan w:val="2"/>
          </w:tcPr>
          <w:p>
            <w:pPr>
              <w:spacing w:after="0"/>
              <w:rPr>
                <w:sz w:val="20"/>
                <w:szCs w:val="20"/>
                <w:color w:val="auto"/>
              </w:rPr>
            </w:pPr>
            <w:r>
              <w:rPr>
                <w:rFonts w:ascii="Arial" w:cs="Arial" w:eastAsia="Arial" w:hAnsi="Arial"/>
                <w:sz w:val="13"/>
                <w:szCs w:val="13"/>
                <w:color w:val="auto"/>
              </w:rPr>
              <w:t>(Thousands, except par value)</w:t>
            </w:r>
          </w:p>
        </w:tc>
        <w:tc>
          <w:tcPr>
            <w:tcW w:w="18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September 30, 2022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b w:val="1"/>
                <w:bCs w:val="1"/>
                <w:color w:val="auto"/>
                <w:w w:val="88"/>
              </w:rPr>
              <w:t>December 31, 2021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12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tcPr>
          <w:p>
            <w:pPr>
              <w:ind w:left="200"/>
              <w:spacing w:after="0" w:line="146" w:lineRule="exact"/>
              <w:rPr>
                <w:sz w:val="20"/>
                <w:szCs w:val="20"/>
                <w:color w:val="auto"/>
              </w:rPr>
            </w:pPr>
            <w:r>
              <w:rPr>
                <w:rFonts w:ascii="Arial" w:cs="Arial" w:eastAsia="Arial" w:hAnsi="Arial"/>
                <w:sz w:val="13"/>
                <w:szCs w:val="13"/>
                <w:color w:val="auto"/>
              </w:rPr>
              <w:t>Cash and cash equivalents</w:t>
            </w:r>
          </w:p>
        </w:tc>
        <w:tc>
          <w:tcPr>
            <w:tcW w:w="560" w:type="dxa"/>
            <w:vAlign w:val="bottom"/>
            <w:gridSpan w:val="2"/>
          </w:tcPr>
          <w:p>
            <w:pPr>
              <w:jc w:val="right"/>
              <w:ind w:right="262"/>
              <w:spacing w:after="0" w:line="146"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90,984</w:t>
            </w:r>
          </w:p>
        </w:tc>
        <w:tc>
          <w:tcPr>
            <w:tcW w:w="26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46" w:lineRule="exact"/>
              <w:rPr>
                <w:sz w:val="20"/>
                <w:szCs w:val="20"/>
                <w:color w:val="auto"/>
              </w:rPr>
            </w:pPr>
            <w:r>
              <w:rPr>
                <w:rFonts w:ascii="Arial" w:cs="Arial" w:eastAsia="Arial" w:hAnsi="Arial"/>
                <w:sz w:val="13"/>
                <w:szCs w:val="13"/>
                <w:color w:val="auto"/>
              </w:rPr>
              <w:t>19,344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Restricted cash</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4,562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3,526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tcPr>
          <w:p>
            <w:pPr>
              <w:ind w:left="200"/>
              <w:spacing w:after="0" w:line="146" w:lineRule="exact"/>
              <w:rPr>
                <w:sz w:val="20"/>
                <w:szCs w:val="20"/>
                <w:color w:val="auto"/>
              </w:rPr>
            </w:pPr>
            <w:r>
              <w:rPr>
                <w:rFonts w:ascii="Arial" w:cs="Arial" w:eastAsia="Arial" w:hAnsi="Arial"/>
                <w:sz w:val="13"/>
                <w:szCs w:val="13"/>
                <w:color w:val="auto"/>
              </w:rPr>
              <w:t>Accounts receivable, net of allowance for credit losses of $2,747 and $3,749, respectively</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98,380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Arial" w:cs="Arial" w:eastAsia="Arial" w:hAnsi="Arial"/>
                <w:sz w:val="13"/>
                <w:szCs w:val="13"/>
                <w:color w:val="auto"/>
              </w:rPr>
              <w:t>85,795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Inventories</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162,245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109,166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tcPr>
          <w:p>
            <w:pPr>
              <w:ind w:left="200"/>
              <w:spacing w:after="0" w:line="146" w:lineRule="exact"/>
              <w:rPr>
                <w:sz w:val="20"/>
                <w:szCs w:val="20"/>
                <w:color w:val="auto"/>
              </w:rPr>
            </w:pPr>
            <w:r>
              <w:rPr>
                <w:rFonts w:ascii="Arial" w:cs="Arial" w:eastAsia="Arial" w:hAnsi="Arial"/>
                <w:sz w:val="13"/>
                <w:szCs w:val="13"/>
                <w:color w:val="auto"/>
              </w:rPr>
              <w:t>Derivative assets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13,696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Arial" w:cs="Arial" w:eastAsia="Arial" w:hAnsi="Arial"/>
                <w:sz w:val="13"/>
                <w:szCs w:val="13"/>
                <w:color w:val="auto"/>
              </w:rPr>
              <w:t>13,765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Prepaid expenses and other current assets</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10,238</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6,410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120" w:type="dxa"/>
            <w:vAlign w:val="bottom"/>
          </w:tcPr>
          <w:p>
            <w:pPr>
              <w:ind w:left="420"/>
              <w:spacing w:after="0" w:line="139" w:lineRule="exact"/>
              <w:rPr>
                <w:sz w:val="20"/>
                <w:szCs w:val="20"/>
                <w:color w:val="auto"/>
              </w:rPr>
            </w:pPr>
            <w:r>
              <w:rPr>
                <w:rFonts w:ascii="Arial" w:cs="Arial" w:eastAsia="Arial" w:hAnsi="Arial"/>
                <w:sz w:val="13"/>
                <w:szCs w:val="13"/>
                <w:color w:val="auto"/>
              </w:rPr>
              <w:t>Total current assets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3"/>
                <w:szCs w:val="13"/>
                <w:color w:val="auto"/>
              </w:rPr>
              <w:t>380,105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spacing w:after="0" w:line="139" w:lineRule="exact"/>
              <w:rPr>
                <w:sz w:val="20"/>
                <w:szCs w:val="20"/>
                <w:color w:val="auto"/>
              </w:rPr>
            </w:pPr>
            <w:r>
              <w:rPr>
                <w:rFonts w:ascii="Arial" w:cs="Arial" w:eastAsia="Arial" w:hAnsi="Arial"/>
                <w:sz w:val="13"/>
                <w:szCs w:val="13"/>
                <w:color w:val="auto"/>
              </w:rPr>
              <w:t>238,006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tcPr>
          <w:p>
            <w:pPr>
              <w:ind w:left="200"/>
              <w:spacing w:after="0" w:line="146" w:lineRule="exact"/>
              <w:rPr>
                <w:sz w:val="20"/>
                <w:szCs w:val="20"/>
                <w:color w:val="auto"/>
              </w:rPr>
            </w:pPr>
            <w:r>
              <w:rPr>
                <w:rFonts w:ascii="Arial" w:cs="Arial" w:eastAsia="Arial" w:hAnsi="Arial"/>
                <w:sz w:val="13"/>
                <w:szCs w:val="13"/>
                <w:color w:val="auto"/>
              </w:rPr>
              <w:t>Property, plant and equipment, net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134,131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Arial" w:cs="Arial" w:eastAsia="Arial" w:hAnsi="Arial"/>
                <w:sz w:val="13"/>
                <w:szCs w:val="13"/>
                <w:color w:val="auto"/>
              </w:rPr>
              <w:t>127,613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Goodwill</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97,053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97,053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tcPr>
          <w:p>
            <w:pPr>
              <w:ind w:left="200"/>
              <w:spacing w:after="0" w:line="146" w:lineRule="exact"/>
              <w:rPr>
                <w:sz w:val="20"/>
                <w:szCs w:val="20"/>
                <w:color w:val="auto"/>
              </w:rPr>
            </w:pPr>
            <w:r>
              <w:rPr>
                <w:rFonts w:ascii="Arial" w:cs="Arial" w:eastAsia="Arial" w:hAnsi="Arial"/>
                <w:sz w:val="13"/>
                <w:szCs w:val="13"/>
                <w:color w:val="auto"/>
              </w:rPr>
              <w:t>Intangible assets, net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120,949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Arial" w:cs="Arial" w:eastAsia="Arial" w:hAnsi="Arial"/>
                <w:sz w:val="13"/>
                <w:szCs w:val="13"/>
                <w:color w:val="auto"/>
              </w:rPr>
              <w:t>125,914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Other long-term assets</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17,850</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4,434</w:t>
            </w:r>
          </w:p>
        </w:tc>
        <w:tc>
          <w:tcPr>
            <w:tcW w:w="0" w:type="dxa"/>
            <w:vAlign w:val="bottom"/>
          </w:tcPr>
          <w:p>
            <w:pPr>
              <w:spacing w:after="0"/>
              <w:rPr>
                <w:sz w:val="1"/>
                <w:szCs w:val="1"/>
                <w:color w:val="auto"/>
              </w:rPr>
            </w:pPr>
          </w:p>
        </w:tc>
      </w:tr>
      <w:tr>
        <w:trPr>
          <w:trHeight w:val="179"/>
        </w:trPr>
        <w:tc>
          <w:tcPr>
            <w:tcW w:w="6140" w:type="dxa"/>
            <w:vAlign w:val="bottom"/>
            <w:gridSpan w:val="2"/>
          </w:tcPr>
          <w:p>
            <w:pPr>
              <w:spacing w:after="0" w:line="139" w:lineRule="exact"/>
              <w:rPr>
                <w:sz w:val="20"/>
                <w:szCs w:val="20"/>
                <w:color w:val="auto"/>
              </w:rPr>
            </w:pPr>
            <w:r>
              <w:rPr>
                <w:rFonts w:ascii="Arial" w:cs="Arial" w:eastAsia="Arial" w:hAnsi="Arial"/>
                <w:sz w:val="13"/>
                <w:szCs w:val="13"/>
                <w:color w:val="auto"/>
              </w:rPr>
              <w:t>Total Assets</w:t>
            </w:r>
          </w:p>
        </w:tc>
        <w:tc>
          <w:tcPr>
            <w:tcW w:w="180" w:type="dxa"/>
            <w:vAlign w:val="bottom"/>
          </w:tcPr>
          <w:p>
            <w:pPr>
              <w:spacing w:after="0"/>
              <w:rPr>
                <w:sz w:val="15"/>
                <w:szCs w:val="15"/>
                <w:color w:val="auto"/>
              </w:rPr>
            </w:pPr>
          </w:p>
        </w:tc>
        <w:tc>
          <w:tcPr>
            <w:tcW w:w="38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750,088</w:t>
            </w:r>
          </w:p>
        </w:tc>
        <w:tc>
          <w:tcPr>
            <w:tcW w:w="20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593,020</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6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6120" w:type="dxa"/>
            <w:vAlign w:val="bottom"/>
          </w:tcPr>
          <w:p>
            <w:pPr>
              <w:spacing w:after="0" w:line="133" w:lineRule="exact"/>
              <w:rPr>
                <w:sz w:val="20"/>
                <w:szCs w:val="20"/>
                <w:color w:val="auto"/>
              </w:rPr>
            </w:pPr>
            <w:r>
              <w:rPr>
                <w:rFonts w:ascii="Arial" w:cs="Arial" w:eastAsia="Arial" w:hAnsi="Arial"/>
                <w:sz w:val="13"/>
                <w:szCs w:val="13"/>
                <w:b w:val="1"/>
                <w:bCs w:val="1"/>
                <w:color w:val="auto"/>
              </w:rPr>
              <w:t>LIABILITIES, CONVERTIBLE PREFERRED SHARES, REDEEMABLE UNITS, AND</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140" w:type="dxa"/>
            <w:vAlign w:val="bottom"/>
            <w:gridSpan w:val="2"/>
          </w:tcPr>
          <w:p>
            <w:pPr>
              <w:spacing w:after="0"/>
              <w:rPr>
                <w:sz w:val="20"/>
                <w:szCs w:val="20"/>
                <w:color w:val="auto"/>
              </w:rPr>
            </w:pPr>
            <w:r>
              <w:rPr>
                <w:rFonts w:ascii="Arial" w:cs="Arial" w:eastAsia="Arial" w:hAnsi="Arial"/>
                <w:sz w:val="13"/>
                <w:szCs w:val="13"/>
                <w:b w:val="1"/>
                <w:bCs w:val="1"/>
                <w:color w:val="auto"/>
              </w:rPr>
              <w:t>SHAREHOLDERS' EQUITY (DEFICIT)</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Current maturities of long-term debt</w:t>
            </w:r>
          </w:p>
        </w:tc>
        <w:tc>
          <w:tcPr>
            <w:tcW w:w="560" w:type="dxa"/>
            <w:vAlign w:val="bottom"/>
            <w:gridSpan w:val="2"/>
            <w:shd w:val="clear" w:color="auto" w:fill="CCEEFF"/>
          </w:tcPr>
          <w:p>
            <w:pPr>
              <w:jc w:val="right"/>
              <w:ind w:right="262"/>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12,011</w:t>
            </w:r>
          </w:p>
        </w:tc>
        <w:tc>
          <w:tcPr>
            <w:tcW w:w="2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8,735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tcPr>
          <w:p>
            <w:pPr>
              <w:ind w:left="200"/>
              <w:spacing w:after="0" w:line="146" w:lineRule="exact"/>
              <w:rPr>
                <w:sz w:val="20"/>
                <w:szCs w:val="20"/>
                <w:color w:val="auto"/>
              </w:rPr>
            </w:pPr>
            <w:r>
              <w:rPr>
                <w:rFonts w:ascii="Arial" w:cs="Arial" w:eastAsia="Arial" w:hAnsi="Arial"/>
                <w:sz w:val="13"/>
                <w:szCs w:val="13"/>
                <w:color w:val="auto"/>
              </w:rPr>
              <w:t>Short-term debt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61,806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Arial" w:cs="Arial" w:eastAsia="Arial" w:hAnsi="Arial"/>
                <w:sz w:val="13"/>
                <w:szCs w:val="13"/>
                <w:color w:val="auto"/>
              </w:rPr>
              <w:t>4,510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Short-term related party debt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34,199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tcPr>
          <w:p>
            <w:pPr>
              <w:ind w:left="200"/>
              <w:spacing w:after="0" w:line="146" w:lineRule="exact"/>
              <w:rPr>
                <w:sz w:val="20"/>
                <w:szCs w:val="20"/>
                <w:color w:val="auto"/>
              </w:rPr>
            </w:pPr>
            <w:r>
              <w:rPr>
                <w:rFonts w:ascii="Arial" w:cs="Arial" w:eastAsia="Arial" w:hAnsi="Arial"/>
                <w:sz w:val="13"/>
                <w:szCs w:val="13"/>
                <w:color w:val="auto"/>
              </w:rPr>
              <w:t>Accounts payable</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110,651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Arial" w:cs="Arial" w:eastAsia="Arial" w:hAnsi="Arial"/>
                <w:sz w:val="13"/>
                <w:szCs w:val="13"/>
                <w:color w:val="auto"/>
              </w:rPr>
              <w:t>80,405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Derivative liabilities</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5,357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14,021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tcBorders>
              <w:bottom w:val="single" w:sz="8" w:color="CCEEFF"/>
            </w:tcBorders>
          </w:tcPr>
          <w:p>
            <w:pPr>
              <w:ind w:left="200"/>
              <w:spacing w:after="0" w:line="146" w:lineRule="exact"/>
              <w:rPr>
                <w:sz w:val="20"/>
                <w:szCs w:val="20"/>
                <w:color w:val="auto"/>
              </w:rPr>
            </w:pPr>
            <w:r>
              <w:rPr>
                <w:rFonts w:ascii="Arial" w:cs="Arial" w:eastAsia="Arial" w:hAnsi="Arial"/>
                <w:sz w:val="13"/>
                <w:szCs w:val="13"/>
                <w:color w:val="auto"/>
              </w:rPr>
              <w:t>Accrued expenses and other current liabilities</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36,569</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26,370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120" w:type="dxa"/>
            <w:vAlign w:val="bottom"/>
            <w:shd w:val="clear" w:color="auto" w:fill="CCEEFF"/>
          </w:tcPr>
          <w:p>
            <w:pPr>
              <w:ind w:left="420"/>
              <w:spacing w:after="0" w:line="139" w:lineRule="exact"/>
              <w:rPr>
                <w:sz w:val="20"/>
                <w:szCs w:val="20"/>
                <w:color w:val="auto"/>
              </w:rPr>
            </w:pPr>
            <w:r>
              <w:rPr>
                <w:rFonts w:ascii="Arial" w:cs="Arial" w:eastAsia="Arial" w:hAnsi="Arial"/>
                <w:sz w:val="13"/>
                <w:szCs w:val="13"/>
                <w:color w:val="auto"/>
              </w:rPr>
              <w:t>Total current liabilities</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226,394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168,240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Long-term debt, net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164,671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277,064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tcPr>
          <w:p>
            <w:pPr>
              <w:ind w:left="200"/>
              <w:spacing w:after="0" w:line="146" w:lineRule="exact"/>
              <w:rPr>
                <w:sz w:val="20"/>
                <w:szCs w:val="20"/>
                <w:color w:val="auto"/>
              </w:rPr>
            </w:pPr>
            <w:r>
              <w:rPr>
                <w:rFonts w:ascii="Arial" w:cs="Arial" w:eastAsia="Arial" w:hAnsi="Arial"/>
                <w:sz w:val="13"/>
                <w:szCs w:val="13"/>
                <w:color w:val="auto"/>
              </w:rPr>
              <w:t>Subordinated related party debt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Arial" w:cs="Arial" w:eastAsia="Arial" w:hAnsi="Arial"/>
                <w:sz w:val="13"/>
                <w:szCs w:val="13"/>
                <w:color w:val="auto"/>
              </w:rPr>
              <w:t>13,300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Deferred income taxes</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16,326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25,515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tcPr>
          <w:p>
            <w:pPr>
              <w:ind w:left="200"/>
              <w:spacing w:after="0" w:line="146" w:lineRule="exact"/>
              <w:rPr>
                <w:sz w:val="20"/>
                <w:szCs w:val="20"/>
                <w:color w:val="auto"/>
              </w:rPr>
            </w:pPr>
            <w:r>
              <w:rPr>
                <w:rFonts w:ascii="Arial" w:cs="Arial" w:eastAsia="Arial" w:hAnsi="Arial"/>
                <w:sz w:val="13"/>
                <w:szCs w:val="13"/>
                <w:color w:val="auto"/>
              </w:rPr>
              <w:t>Warrant liabilities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32,333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Other long-term liabilities</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11,217</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3,028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120" w:type="dxa"/>
            <w:vAlign w:val="bottom"/>
            <w:tcBorders>
              <w:bottom w:val="single" w:sz="8" w:color="CCEEFF"/>
            </w:tcBorders>
          </w:tcPr>
          <w:p>
            <w:pPr>
              <w:ind w:left="420"/>
              <w:spacing w:after="0" w:line="139" w:lineRule="exact"/>
              <w:rPr>
                <w:sz w:val="20"/>
                <w:szCs w:val="20"/>
                <w:color w:val="auto"/>
              </w:rPr>
            </w:pPr>
            <w:r>
              <w:rPr>
                <w:rFonts w:ascii="Arial" w:cs="Arial" w:eastAsia="Arial" w:hAnsi="Arial"/>
                <w:sz w:val="13"/>
                <w:szCs w:val="13"/>
                <w:color w:val="auto"/>
              </w:rPr>
              <w:t>Total liabilities</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450,941</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487,147</w:t>
            </w: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120" w:type="dxa"/>
            <w:vAlign w:val="bottom"/>
          </w:tcPr>
          <w:p>
            <w:pPr>
              <w:spacing w:after="0" w:line="146" w:lineRule="exact"/>
              <w:rPr>
                <w:sz w:val="20"/>
                <w:szCs w:val="20"/>
                <w:color w:val="auto"/>
              </w:rPr>
            </w:pPr>
            <w:r>
              <w:rPr>
                <w:rFonts w:ascii="Arial" w:cs="Arial" w:eastAsia="Arial" w:hAnsi="Arial"/>
                <w:sz w:val="13"/>
                <w:szCs w:val="13"/>
                <w:color w:val="auto"/>
              </w:rPr>
              <w:t>Commitments and contingencies (Note 19)</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20" w:type="dxa"/>
            <w:vAlign w:val="bottom"/>
          </w:tcPr>
          <w:p>
            <w:pPr>
              <w:ind w:left="200"/>
              <w:spacing w:after="0" w:line="137" w:lineRule="exact"/>
              <w:rPr>
                <w:sz w:val="20"/>
                <w:szCs w:val="20"/>
                <w:color w:val="auto"/>
              </w:rPr>
            </w:pPr>
            <w:r>
              <w:rPr>
                <w:rFonts w:ascii="Arial" w:cs="Arial" w:eastAsia="Arial" w:hAnsi="Arial"/>
                <w:sz w:val="13"/>
                <w:szCs w:val="13"/>
                <w:color w:val="auto"/>
                <w:w w:val="93"/>
              </w:rPr>
              <w:t>Series A Convertible Preferred Shares, $0.01 par value, 24,000 shares authorized, 23,588 shares issued and</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20" w:type="dxa"/>
            <w:vAlign w:val="bottom"/>
          </w:tcPr>
          <w:p>
            <w:pPr>
              <w:ind w:left="200"/>
              <w:spacing w:after="0"/>
              <w:rPr>
                <w:sz w:val="20"/>
                <w:szCs w:val="20"/>
                <w:color w:val="auto"/>
              </w:rPr>
            </w:pPr>
            <w:r>
              <w:rPr>
                <w:rFonts w:ascii="Arial" w:cs="Arial" w:eastAsia="Arial" w:hAnsi="Arial"/>
                <w:sz w:val="13"/>
                <w:szCs w:val="13"/>
                <w:color w:val="auto"/>
              </w:rPr>
              <w:t>outstanding, $11.50 liquidation value</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273,620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20" w:type="dxa"/>
            <w:vAlign w:val="bottom"/>
            <w:shd w:val="clear" w:color="auto" w:fill="CCEEFF"/>
          </w:tcPr>
          <w:p>
            <w:pPr>
              <w:ind w:left="200"/>
              <w:spacing w:after="0" w:line="137" w:lineRule="exact"/>
              <w:rPr>
                <w:sz w:val="20"/>
                <w:szCs w:val="20"/>
                <w:color w:val="auto"/>
              </w:rPr>
            </w:pPr>
            <w:r>
              <w:rPr>
                <w:rFonts w:ascii="Arial" w:cs="Arial" w:eastAsia="Arial" w:hAnsi="Arial"/>
                <w:sz w:val="13"/>
                <w:szCs w:val="13"/>
                <w:color w:val="auto"/>
                <w:w w:val="92"/>
              </w:rPr>
              <w:t>Series A Redeemable Common Equivalent Preferred Units: $0.00 par value, 222,150 units authorized, no units</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9"/>
              </w:rPr>
              <w:t>and 222,150 units issued and outstanding at September 30, 2022 and December 31, 2021, respectively</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264,729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20" w:type="dxa"/>
            <w:vAlign w:val="bottom"/>
          </w:tcPr>
          <w:p>
            <w:pPr>
              <w:ind w:left="200"/>
              <w:spacing w:after="0" w:line="137" w:lineRule="exact"/>
              <w:rPr>
                <w:sz w:val="20"/>
                <w:szCs w:val="20"/>
                <w:color w:val="auto"/>
              </w:rPr>
            </w:pPr>
            <w:r>
              <w:rPr>
                <w:rFonts w:ascii="Arial" w:cs="Arial" w:eastAsia="Arial" w:hAnsi="Arial"/>
                <w:sz w:val="13"/>
                <w:szCs w:val="13"/>
                <w:color w:val="auto"/>
                <w:w w:val="93"/>
              </w:rPr>
              <w:t>Series B Redeemable Common Equivalent Preferred Units: $0.00 par value, 17,000 units authorized, no units</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20" w:type="dxa"/>
            <w:vAlign w:val="bottom"/>
          </w:tcPr>
          <w:p>
            <w:pPr>
              <w:ind w:left="200"/>
              <w:spacing w:after="0"/>
              <w:rPr>
                <w:sz w:val="20"/>
                <w:szCs w:val="20"/>
                <w:color w:val="auto"/>
              </w:rPr>
            </w:pPr>
            <w:r>
              <w:rPr>
                <w:rFonts w:ascii="Arial" w:cs="Arial" w:eastAsia="Arial" w:hAnsi="Arial"/>
                <w:sz w:val="13"/>
                <w:szCs w:val="13"/>
                <w:color w:val="auto"/>
              </w:rPr>
              <w:t>and 17,000 units issued and outstanding at September 30, 2022 and December 31, 2021, respectively</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17,142</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120" w:type="dxa"/>
            <w:vAlign w:val="bottom"/>
          </w:tcPr>
          <w:p>
            <w:pPr>
              <w:spacing w:after="0" w:line="146" w:lineRule="exact"/>
              <w:rPr>
                <w:sz w:val="20"/>
                <w:szCs w:val="20"/>
                <w:color w:val="auto"/>
              </w:rPr>
            </w:pPr>
            <w:r>
              <w:rPr>
                <w:rFonts w:ascii="Arial" w:cs="Arial" w:eastAsia="Arial" w:hAnsi="Arial"/>
                <w:sz w:val="11"/>
                <w:szCs w:val="11"/>
                <w:b w:val="1"/>
                <w:bCs w:val="1"/>
                <w:i w:val="1"/>
                <w:iCs w:val="1"/>
                <w:color w:val="auto"/>
              </w:rPr>
              <w:t xml:space="preserve">Shareholders' Equity (Deficit) </w:t>
            </w:r>
            <w:r>
              <w:rPr>
                <w:rFonts w:ascii="Arial" w:cs="Arial" w:eastAsia="Arial" w:hAnsi="Arial"/>
                <w:sz w:val="16"/>
                <w:szCs w:val="16"/>
                <w:b w:val="1"/>
                <w:bCs w:val="1"/>
                <w:i w:val="1"/>
                <w:iCs w:val="1"/>
                <w:color w:val="auto"/>
                <w:vertAlign w:val="superscript"/>
              </w:rPr>
              <w:t>(1)</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Preferred stock, $0.01 par value, 26,000 shares authorized, no shares issued and outstanding</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120" w:type="dxa"/>
            <w:vAlign w:val="bottom"/>
          </w:tcPr>
          <w:p>
            <w:pPr>
              <w:ind w:left="200"/>
              <w:spacing w:after="0" w:line="137" w:lineRule="exact"/>
              <w:rPr>
                <w:sz w:val="20"/>
                <w:szCs w:val="20"/>
                <w:color w:val="auto"/>
              </w:rPr>
            </w:pPr>
            <w:r>
              <w:rPr>
                <w:rFonts w:ascii="Arial" w:cs="Arial" w:eastAsia="Arial" w:hAnsi="Arial"/>
                <w:sz w:val="13"/>
                <w:szCs w:val="13"/>
                <w:color w:val="auto"/>
              </w:rPr>
              <w:t>Common stock, $0.01 par value, 300,000 shares authorized, 73,034 shares issued and outstanding at</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tcPr>
          <w:p>
            <w:pPr>
              <w:ind w:left="200"/>
              <w:spacing w:after="0" w:line="146" w:lineRule="exact"/>
              <w:rPr>
                <w:sz w:val="20"/>
                <w:szCs w:val="20"/>
                <w:color w:val="auto"/>
              </w:rPr>
            </w:pPr>
            <w:r>
              <w:rPr>
                <w:rFonts w:ascii="Arial" w:cs="Arial" w:eastAsia="Arial" w:hAnsi="Arial"/>
                <w:sz w:val="13"/>
                <w:szCs w:val="13"/>
                <w:color w:val="auto"/>
                <w:w w:val="96"/>
              </w:rPr>
              <w:t>September 30, 2022; $0.00 par value, 39,389 shares authorized, 34,523 shares issued and outstanding at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20" w:type="dxa"/>
            <w:vAlign w:val="bottom"/>
          </w:tcPr>
          <w:p>
            <w:pPr>
              <w:ind w:left="200"/>
              <w:spacing w:after="0"/>
              <w:rPr>
                <w:sz w:val="20"/>
                <w:szCs w:val="20"/>
                <w:color w:val="auto"/>
              </w:rPr>
            </w:pPr>
            <w:r>
              <w:rPr>
                <w:rFonts w:ascii="Arial" w:cs="Arial" w:eastAsia="Arial" w:hAnsi="Arial"/>
                <w:sz w:val="13"/>
                <w:szCs w:val="13"/>
                <w:color w:val="auto"/>
              </w:rPr>
              <w:t>December 31, 2021</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730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Additional paid-in-capital</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316,537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60,628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tcPr>
          <w:p>
            <w:pPr>
              <w:ind w:left="200"/>
              <w:spacing w:after="0" w:line="146" w:lineRule="exact"/>
              <w:rPr>
                <w:sz w:val="20"/>
                <w:szCs w:val="20"/>
                <w:color w:val="auto"/>
              </w:rPr>
            </w:pPr>
            <w:r>
              <w:rPr>
                <w:rFonts w:ascii="Arial" w:cs="Arial" w:eastAsia="Arial" w:hAnsi="Arial"/>
                <w:sz w:val="13"/>
                <w:szCs w:val="13"/>
                <w:color w:val="auto"/>
              </w:rPr>
              <w:t>Accumulated deficit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(296,442)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Arial" w:cs="Arial" w:eastAsia="Arial" w:hAnsi="Arial"/>
                <w:sz w:val="13"/>
                <w:szCs w:val="13"/>
                <w:color w:val="auto"/>
              </w:rPr>
              <w:t>(251,725)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Accumulated other comprehensive income</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1,923</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12,018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120" w:type="dxa"/>
            <w:vAlign w:val="bottom"/>
          </w:tcPr>
          <w:p>
            <w:pPr>
              <w:ind w:left="420"/>
              <w:spacing w:after="0" w:line="139" w:lineRule="exact"/>
              <w:rPr>
                <w:sz w:val="20"/>
                <w:szCs w:val="20"/>
                <w:color w:val="auto"/>
              </w:rPr>
            </w:pPr>
            <w:r>
              <w:rPr>
                <w:rFonts w:ascii="Arial" w:cs="Arial" w:eastAsia="Arial" w:hAnsi="Arial"/>
                <w:sz w:val="13"/>
                <w:szCs w:val="13"/>
                <w:b w:val="1"/>
                <w:bCs w:val="1"/>
                <w:color w:val="auto"/>
              </w:rPr>
              <w:t>Total shareholders' equity (deficit) attributable to Westrock Coffee Company</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3"/>
                <w:szCs w:val="13"/>
                <w:color w:val="auto"/>
              </w:rPr>
              <w:t>22,748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right"/>
              <w:spacing w:after="0" w:line="139" w:lineRule="exact"/>
              <w:rPr>
                <w:sz w:val="20"/>
                <w:szCs w:val="20"/>
                <w:color w:val="auto"/>
              </w:rPr>
            </w:pPr>
            <w:r>
              <w:rPr>
                <w:rFonts w:ascii="Arial" w:cs="Arial" w:eastAsia="Arial" w:hAnsi="Arial"/>
                <w:sz w:val="13"/>
                <w:szCs w:val="13"/>
                <w:color w:val="auto"/>
              </w:rPr>
              <w:t>(178,734)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Noncontrolling interest</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2,779</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2,736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120" w:type="dxa"/>
            <w:vAlign w:val="bottom"/>
            <w:tcBorders>
              <w:bottom w:val="single" w:sz="8" w:color="CCEEFF"/>
            </w:tcBorders>
          </w:tcPr>
          <w:p>
            <w:pPr>
              <w:ind w:left="420"/>
              <w:spacing w:after="0" w:line="139" w:lineRule="exact"/>
              <w:rPr>
                <w:sz w:val="20"/>
                <w:szCs w:val="20"/>
                <w:color w:val="auto"/>
              </w:rPr>
            </w:pPr>
            <w:r>
              <w:rPr>
                <w:rFonts w:ascii="Arial" w:cs="Arial" w:eastAsia="Arial" w:hAnsi="Arial"/>
                <w:sz w:val="13"/>
                <w:szCs w:val="13"/>
                <w:b w:val="1"/>
                <w:bCs w:val="1"/>
                <w:color w:val="auto"/>
              </w:rPr>
              <w:t>Total shareholders' equity (deficit)</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25,527</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(175,998)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14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w w:val="99"/>
              </w:rPr>
              <w:t>Total Liabilities, Convertible Preferred Shares, Redeemable Units and Shareholders' Equity (Deficit)</w:t>
            </w:r>
          </w:p>
        </w:tc>
        <w:tc>
          <w:tcPr>
            <w:tcW w:w="560" w:type="dxa"/>
            <w:vAlign w:val="bottom"/>
            <w:gridSpan w:val="2"/>
          </w:tcPr>
          <w:p>
            <w:pPr>
              <w:jc w:val="right"/>
              <w:ind w:right="262"/>
              <w:spacing w:after="0" w:line="146"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750,088</w:t>
            </w:r>
          </w:p>
        </w:tc>
        <w:tc>
          <w:tcPr>
            <w:tcW w:w="26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46" w:lineRule="exact"/>
              <w:rPr>
                <w:sz w:val="20"/>
                <w:szCs w:val="20"/>
                <w:color w:val="auto"/>
              </w:rPr>
            </w:pPr>
            <w:r>
              <w:rPr>
                <w:rFonts w:ascii="Arial" w:cs="Arial" w:eastAsia="Arial" w:hAnsi="Arial"/>
                <w:sz w:val="13"/>
                <w:szCs w:val="13"/>
                <w:color w:val="auto"/>
              </w:rPr>
              <w:t>593,020</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3"/>
                <w:szCs w:val="13"/>
                <w:color w:val="auto"/>
              </w:rPr>
              <w:t>(1) Retroactively restated for de-SPAC merger transaction as described in Note 4.</w:t>
            </w: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14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40" w:right="59"/>
        <w:spacing w:after="0" w:line="258" w:lineRule="auto"/>
        <w:rPr>
          <w:sz w:val="20"/>
          <w:szCs w:val="20"/>
          <w:color w:val="auto"/>
        </w:rPr>
      </w:pPr>
      <w:r>
        <w:rPr>
          <w:rFonts w:ascii="Arial" w:cs="Arial" w:eastAsia="Arial" w:hAnsi="Arial"/>
          <w:sz w:val="18"/>
          <w:szCs w:val="18"/>
          <w:b w:val="1"/>
          <w:bCs w:val="1"/>
          <w:color w:val="auto"/>
        </w:rPr>
        <w:t>WESTROCK COFFEE COMPANY CONDENSED CONSOLIDATED STATEMENTS OF OPERATIONS (Unaudited)</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59"/>
        </w:trPr>
        <w:tc>
          <w:tcPr>
            <w:tcW w:w="4640" w:type="dxa"/>
            <w:vAlign w:val="bottom"/>
            <w:gridSpan w:val="2"/>
            <w:vMerge w:val="restart"/>
          </w:tcPr>
          <w:p>
            <w:pPr>
              <w:spacing w:after="0"/>
              <w:rPr>
                <w:sz w:val="20"/>
                <w:szCs w:val="20"/>
                <w:color w:val="auto"/>
              </w:rPr>
            </w:pPr>
            <w:r>
              <w:rPr>
                <w:rFonts w:ascii="Arial" w:cs="Arial" w:eastAsia="Arial" w:hAnsi="Arial"/>
                <w:sz w:val="13"/>
                <w:szCs w:val="13"/>
                <w:color w:val="auto"/>
              </w:rPr>
              <w:t>(Thousands, except per share data)</w:t>
            </w:r>
          </w:p>
        </w:tc>
        <w:tc>
          <w:tcPr>
            <w:tcW w:w="2220" w:type="dxa"/>
            <w:vAlign w:val="bottom"/>
            <w:gridSpan w:val="6"/>
          </w:tcPr>
          <w:p>
            <w:pPr>
              <w:ind w:left="20"/>
              <w:spacing w:after="0"/>
              <w:rPr>
                <w:sz w:val="20"/>
                <w:szCs w:val="20"/>
                <w:color w:val="auto"/>
              </w:rPr>
            </w:pPr>
            <w:r>
              <w:rPr>
                <w:rFonts w:ascii="Arial" w:cs="Arial" w:eastAsia="Arial" w:hAnsi="Arial"/>
                <w:sz w:val="13"/>
                <w:szCs w:val="13"/>
                <w:b w:val="1"/>
                <w:bCs w:val="1"/>
                <w:color w:val="auto"/>
                <w:w w:val="98"/>
              </w:rPr>
              <w:t>Three Months Ended September 30,</w:t>
            </w:r>
          </w:p>
        </w:tc>
        <w:tc>
          <w:tcPr>
            <w:tcW w:w="2040" w:type="dxa"/>
            <w:vAlign w:val="bottom"/>
            <w:gridSpan w:val="6"/>
          </w:tcPr>
          <w:p>
            <w:pPr>
              <w:ind w:left="20"/>
              <w:spacing w:after="0"/>
              <w:rPr>
                <w:sz w:val="20"/>
                <w:szCs w:val="20"/>
                <w:color w:val="auto"/>
              </w:rPr>
            </w:pPr>
            <w:r>
              <w:rPr>
                <w:rFonts w:ascii="Arial" w:cs="Arial" w:eastAsia="Arial" w:hAnsi="Arial"/>
                <w:sz w:val="13"/>
                <w:szCs w:val="13"/>
                <w:b w:val="1"/>
                <w:bCs w:val="1"/>
                <w:color w:val="auto"/>
                <w:w w:val="93"/>
              </w:rPr>
              <w:t>Nine Months Ended September 30,</w:t>
            </w:r>
          </w:p>
        </w:tc>
        <w:tc>
          <w:tcPr>
            <w:tcW w:w="0" w:type="dxa"/>
            <w:vAlign w:val="bottom"/>
          </w:tcPr>
          <w:p>
            <w:pPr>
              <w:spacing w:after="0"/>
              <w:rPr>
                <w:sz w:val="1"/>
                <w:szCs w:val="1"/>
                <w:color w:val="auto"/>
              </w:rPr>
            </w:pPr>
          </w:p>
        </w:tc>
      </w:tr>
      <w:tr>
        <w:trPr>
          <w:trHeight w:val="139"/>
        </w:trPr>
        <w:tc>
          <w:tcPr>
            <w:tcW w:w="464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94"/>
              <w:spacing w:after="0" w:line="139" w:lineRule="exact"/>
              <w:rPr>
                <w:sz w:val="20"/>
                <w:szCs w:val="20"/>
                <w:color w:val="auto"/>
              </w:rPr>
            </w:pPr>
            <w:r>
              <w:rPr>
                <w:rFonts w:ascii="Arial" w:cs="Arial" w:eastAsia="Arial" w:hAnsi="Arial"/>
                <w:sz w:val="13"/>
                <w:szCs w:val="13"/>
                <w:b w:val="1"/>
                <w:bCs w:val="1"/>
                <w:color w:val="auto"/>
              </w:rPr>
              <w:t>2022</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94"/>
              <w:spacing w:after="0" w:line="139"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74"/>
              <w:spacing w:after="0" w:line="139" w:lineRule="exact"/>
              <w:rPr>
                <w:sz w:val="20"/>
                <w:szCs w:val="20"/>
                <w:color w:val="auto"/>
              </w:rPr>
            </w:pPr>
            <w:r>
              <w:rPr>
                <w:rFonts w:ascii="Arial" w:cs="Arial" w:eastAsia="Arial" w:hAnsi="Arial"/>
                <w:sz w:val="13"/>
                <w:szCs w:val="13"/>
                <w:b w:val="1"/>
                <w:bCs w:val="1"/>
                <w:color w:val="auto"/>
              </w:rPr>
              <w:t>2022</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74"/>
              <w:spacing w:after="0" w:line="139"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39"/>
        </w:trPr>
        <w:tc>
          <w:tcPr>
            <w:tcW w:w="452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3"/>
                <w:szCs w:val="13"/>
                <w:color w:val="auto"/>
              </w:rPr>
              <w:t>Net sales</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230,308</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181,277</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640,149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507,752</w:t>
            </w:r>
          </w:p>
        </w:tc>
        <w:tc>
          <w:tcPr>
            <w:tcW w:w="0" w:type="dxa"/>
            <w:vAlign w:val="bottom"/>
          </w:tcPr>
          <w:p>
            <w:pPr>
              <w:spacing w:after="0"/>
              <w:rPr>
                <w:sz w:val="1"/>
                <w:szCs w:val="1"/>
                <w:color w:val="auto"/>
              </w:rPr>
            </w:pPr>
          </w:p>
        </w:tc>
      </w:tr>
      <w:tr>
        <w:trPr>
          <w:trHeight w:val="146"/>
        </w:trPr>
        <w:tc>
          <w:tcPr>
            <w:tcW w:w="4640" w:type="dxa"/>
            <w:vAlign w:val="bottom"/>
            <w:tcBorders>
              <w:bottom w:val="single" w:sz="8" w:color="CCEEFF"/>
            </w:tcBorders>
            <w:gridSpan w:val="2"/>
          </w:tcPr>
          <w:p>
            <w:pPr>
              <w:spacing w:after="0" w:line="146" w:lineRule="exact"/>
              <w:rPr>
                <w:sz w:val="20"/>
                <w:szCs w:val="20"/>
                <w:color w:val="auto"/>
              </w:rPr>
            </w:pPr>
            <w:r>
              <w:rPr>
                <w:rFonts w:ascii="Arial" w:cs="Arial" w:eastAsia="Arial" w:hAnsi="Arial"/>
                <w:sz w:val="13"/>
                <w:szCs w:val="13"/>
                <w:color w:val="auto"/>
              </w:rPr>
              <w:t>Costs of sales</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189,169</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142,993</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521,681</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401,980</w:t>
            </w:r>
          </w:p>
        </w:tc>
        <w:tc>
          <w:tcPr>
            <w:tcW w:w="0" w:type="dxa"/>
            <w:vAlign w:val="bottom"/>
          </w:tcPr>
          <w:p>
            <w:pPr>
              <w:spacing w:after="0"/>
              <w:rPr>
                <w:sz w:val="1"/>
                <w:szCs w:val="1"/>
                <w:color w:val="auto"/>
              </w:rPr>
            </w:pPr>
          </w:p>
        </w:tc>
      </w:tr>
      <w:tr>
        <w:trPr>
          <w:trHeight w:val="139"/>
        </w:trPr>
        <w:tc>
          <w:tcPr>
            <w:tcW w:w="46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3"/>
                <w:szCs w:val="13"/>
                <w:color w:val="auto"/>
              </w:rPr>
              <w:t>Gross profit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41,139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38,284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118,468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105,772</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4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Selling, general and administrative expense</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31,223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32,803</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101,332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96,309</w:t>
            </w:r>
          </w:p>
        </w:tc>
        <w:tc>
          <w:tcPr>
            <w:tcW w:w="0" w:type="dxa"/>
            <w:vAlign w:val="bottom"/>
          </w:tcPr>
          <w:p>
            <w:pPr>
              <w:spacing w:after="0"/>
              <w:rPr>
                <w:sz w:val="1"/>
                <w:szCs w:val="1"/>
                <w:color w:val="auto"/>
              </w:rPr>
            </w:pPr>
          </w:p>
        </w:tc>
      </w:tr>
      <w:tr>
        <w:trPr>
          <w:trHeight w:val="146"/>
        </w:trPr>
        <w:tc>
          <w:tcPr>
            <w:tcW w:w="464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Acquisition, restructuring and integration expense</w:t>
            </w:r>
          </w:p>
        </w:tc>
        <w:tc>
          <w:tcPr>
            <w:tcW w:w="22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3,959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1,829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8,746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3,772</w:t>
            </w:r>
          </w:p>
        </w:tc>
        <w:tc>
          <w:tcPr>
            <w:tcW w:w="0" w:type="dxa"/>
            <w:vAlign w:val="bottom"/>
          </w:tcPr>
          <w:p>
            <w:pPr>
              <w:spacing w:after="0"/>
              <w:rPr>
                <w:sz w:val="1"/>
                <w:szCs w:val="1"/>
                <w:color w:val="auto"/>
              </w:rPr>
            </w:pPr>
          </w:p>
        </w:tc>
      </w:tr>
      <w:tr>
        <w:trPr>
          <w:trHeight w:val="146"/>
        </w:trPr>
        <w:tc>
          <w:tcPr>
            <w:tcW w:w="464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Loss (gain) on disposal of property, plant and equipment</w:t>
            </w: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459</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(390)</w:t>
            </w: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748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39"/>
        </w:trPr>
        <w:tc>
          <w:tcPr>
            <w:tcW w:w="4640" w:type="dxa"/>
            <w:vAlign w:val="bottom"/>
            <w:tcBorders>
              <w:bottom w:val="single" w:sz="8" w:color="CCEEFF"/>
            </w:tcBorders>
            <w:gridSpan w:val="2"/>
          </w:tcPr>
          <w:p>
            <w:pPr>
              <w:ind w:left="200"/>
              <w:spacing w:after="0" w:line="139" w:lineRule="exact"/>
              <w:rPr>
                <w:sz w:val="20"/>
                <w:szCs w:val="20"/>
                <w:color w:val="auto"/>
              </w:rPr>
            </w:pPr>
            <w:r>
              <w:rPr>
                <w:rFonts w:ascii="Arial" w:cs="Arial" w:eastAsia="Arial" w:hAnsi="Arial"/>
                <w:sz w:val="13"/>
                <w:szCs w:val="13"/>
                <w:color w:val="auto"/>
              </w:rPr>
              <w:t>Total operating expenses</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35,641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34,242</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110,826</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99,934</w:t>
            </w:r>
          </w:p>
        </w:tc>
        <w:tc>
          <w:tcPr>
            <w:tcW w:w="0" w:type="dxa"/>
            <w:vAlign w:val="bottom"/>
          </w:tcPr>
          <w:p>
            <w:pPr>
              <w:spacing w:after="0"/>
              <w:rPr>
                <w:sz w:val="1"/>
                <w:szCs w:val="1"/>
                <w:color w:val="auto"/>
              </w:rPr>
            </w:pPr>
          </w:p>
        </w:tc>
      </w:tr>
      <w:tr>
        <w:trPr>
          <w:trHeight w:val="139"/>
        </w:trPr>
        <w:tc>
          <w:tcPr>
            <w:tcW w:w="464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Income from operations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5,498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4,042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7,642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5,838</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4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Other (income) expense</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4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Interest expense</w:t>
            </w:r>
          </w:p>
        </w:tc>
        <w:tc>
          <w:tcPr>
            <w:tcW w:w="22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13,404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8,614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30,265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24,283</w:t>
            </w:r>
          </w:p>
        </w:tc>
        <w:tc>
          <w:tcPr>
            <w:tcW w:w="0" w:type="dxa"/>
            <w:vAlign w:val="bottom"/>
          </w:tcPr>
          <w:p>
            <w:pPr>
              <w:spacing w:after="0"/>
              <w:rPr>
                <w:sz w:val="1"/>
                <w:szCs w:val="1"/>
                <w:color w:val="auto"/>
              </w:rPr>
            </w:pPr>
          </w:p>
        </w:tc>
      </w:tr>
      <w:tr>
        <w:trPr>
          <w:trHeight w:val="146"/>
        </w:trPr>
        <w:tc>
          <w:tcPr>
            <w:tcW w:w="464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Change in fair value of warrant liabilities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5,215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5,215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64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Other, net</w:t>
            </w:r>
          </w:p>
        </w:tc>
        <w:tc>
          <w:tcPr>
            <w:tcW w:w="22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325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114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(785)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39"/>
        </w:trPr>
        <w:tc>
          <w:tcPr>
            <w:tcW w:w="4640" w:type="dxa"/>
            <w:vAlign w:val="bottom"/>
            <w:tcBorders>
              <w:top w:val="single" w:sz="8" w:color="CCEEFF"/>
            </w:tcBorders>
            <w:gridSpan w:val="2"/>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Loss before income taxes</w:t>
            </w: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(13,446)</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(4,686)</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(27,053)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(18,321)</w:t>
            </w:r>
          </w:p>
        </w:tc>
        <w:tc>
          <w:tcPr>
            <w:tcW w:w="0" w:type="dxa"/>
            <w:vAlign w:val="bottom"/>
          </w:tcPr>
          <w:p>
            <w:pPr>
              <w:spacing w:after="0"/>
              <w:rPr>
                <w:sz w:val="1"/>
                <w:szCs w:val="1"/>
                <w:color w:val="auto"/>
              </w:rPr>
            </w:pPr>
          </w:p>
        </w:tc>
      </w:tr>
      <w:tr>
        <w:trPr>
          <w:trHeight w:val="146"/>
        </w:trPr>
        <w:tc>
          <w:tcPr>
            <w:tcW w:w="464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Income tax benefit</w:t>
            </w:r>
          </w:p>
        </w:tc>
        <w:tc>
          <w:tcPr>
            <w:tcW w:w="22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(428)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(796)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(3,511)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(2,239)</w:t>
            </w:r>
          </w:p>
        </w:tc>
        <w:tc>
          <w:tcPr>
            <w:tcW w:w="0" w:type="dxa"/>
            <w:vAlign w:val="bottom"/>
          </w:tcPr>
          <w:p>
            <w:pPr>
              <w:spacing w:after="0"/>
              <w:rPr>
                <w:sz w:val="1"/>
                <w:szCs w:val="1"/>
                <w:color w:val="auto"/>
              </w:rPr>
            </w:pPr>
          </w:p>
        </w:tc>
      </w:tr>
      <w:tr>
        <w:trPr>
          <w:trHeight w:val="139"/>
        </w:trPr>
        <w:tc>
          <w:tcPr>
            <w:tcW w:w="4640" w:type="dxa"/>
            <w:vAlign w:val="bottom"/>
            <w:tcBorders>
              <w:top w:val="single" w:sz="8" w:color="CCEEFF"/>
            </w:tcBorders>
            <w:gridSpan w:val="2"/>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Net loss</w:t>
            </w:r>
          </w:p>
        </w:tc>
        <w:tc>
          <w:tcPr>
            <w:tcW w:w="22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(13,018)</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(3,890)</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(23,542)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(16,082)</w:t>
            </w:r>
          </w:p>
        </w:tc>
        <w:tc>
          <w:tcPr>
            <w:tcW w:w="0" w:type="dxa"/>
            <w:vAlign w:val="bottom"/>
          </w:tcPr>
          <w:p>
            <w:pPr>
              <w:spacing w:after="0"/>
              <w:rPr>
                <w:sz w:val="1"/>
                <w:szCs w:val="1"/>
                <w:color w:val="auto"/>
              </w:rPr>
            </w:pPr>
          </w:p>
        </w:tc>
      </w:tr>
      <w:tr>
        <w:trPr>
          <w:trHeight w:val="146"/>
        </w:trPr>
        <w:tc>
          <w:tcPr>
            <w:tcW w:w="4640" w:type="dxa"/>
            <w:vAlign w:val="bottom"/>
            <w:tcBorders>
              <w:bottom w:val="single" w:sz="8" w:color="CCEEFF"/>
            </w:tcBorders>
            <w:gridSpan w:val="2"/>
          </w:tcPr>
          <w:p>
            <w:pPr>
              <w:ind w:left="100"/>
              <w:spacing w:after="0" w:line="146" w:lineRule="exact"/>
              <w:rPr>
                <w:sz w:val="20"/>
                <w:szCs w:val="20"/>
                <w:color w:val="auto"/>
              </w:rPr>
            </w:pPr>
            <w:r>
              <w:rPr>
                <w:rFonts w:ascii="Arial" w:cs="Arial" w:eastAsia="Arial" w:hAnsi="Arial"/>
                <w:sz w:val="13"/>
                <w:szCs w:val="13"/>
                <w:color w:val="auto"/>
              </w:rPr>
              <w:t>Net (loss) income attributable to non-controlling interest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(22)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97</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43</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139"/>
        </w:trPr>
        <w:tc>
          <w:tcPr>
            <w:tcW w:w="464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Net loss attributable to shareholders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(12,996)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(3,987)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(23,585)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(16,515)</w:t>
            </w:r>
          </w:p>
        </w:tc>
        <w:tc>
          <w:tcPr>
            <w:tcW w:w="0" w:type="dxa"/>
            <w:vAlign w:val="bottom"/>
          </w:tcPr>
          <w:p>
            <w:pPr>
              <w:spacing w:after="0"/>
              <w:rPr>
                <w:sz w:val="1"/>
                <w:szCs w:val="1"/>
                <w:color w:val="auto"/>
              </w:rPr>
            </w:pPr>
          </w:p>
        </w:tc>
      </w:tr>
      <w:tr>
        <w:trPr>
          <w:trHeight w:val="146"/>
        </w:trPr>
        <w:tc>
          <w:tcPr>
            <w:tcW w:w="4640" w:type="dxa"/>
            <w:vAlign w:val="bottom"/>
            <w:gridSpan w:val="2"/>
          </w:tcPr>
          <w:p>
            <w:pPr>
              <w:ind w:left="100"/>
              <w:spacing w:after="0" w:line="146" w:lineRule="exact"/>
              <w:rPr>
                <w:sz w:val="20"/>
                <w:szCs w:val="20"/>
                <w:color w:val="auto"/>
              </w:rPr>
            </w:pPr>
            <w:r>
              <w:rPr>
                <w:rFonts w:ascii="Arial" w:cs="Arial" w:eastAsia="Arial" w:hAnsi="Arial"/>
                <w:sz w:val="13"/>
                <w:szCs w:val="13"/>
                <w:color w:val="auto"/>
                <w:w w:val="97"/>
              </w:rPr>
              <w:t>Loss on extinguishment of Redeemable Common Equivalent Preferred Units, net</w:t>
            </w:r>
          </w:p>
        </w:tc>
        <w:tc>
          <w:tcPr>
            <w:tcW w:w="22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(2,870)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(2,870)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64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Common equivalent preferred dividends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(4,380)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(4,380)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64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Accumulating preferred dividends</w:t>
            </w:r>
          </w:p>
        </w:tc>
        <w:tc>
          <w:tcPr>
            <w:tcW w:w="220" w:type="dxa"/>
            <w:vAlign w:val="bottom"/>
          </w:tcPr>
          <w:p>
            <w:pPr>
              <w:spacing w:after="0"/>
              <w:rPr>
                <w:sz w:val="12"/>
                <w:szCs w:val="12"/>
                <w:color w:val="auto"/>
              </w:rPr>
            </w:pPr>
          </w:p>
        </w:tc>
        <w:tc>
          <w:tcPr>
            <w:tcW w:w="9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(6,109)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(13,882)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(17,957)</w:t>
            </w:r>
          </w:p>
        </w:tc>
        <w:tc>
          <w:tcPr>
            <w:tcW w:w="0" w:type="dxa"/>
            <w:vAlign w:val="bottom"/>
          </w:tcPr>
          <w:p>
            <w:pPr>
              <w:spacing w:after="0"/>
              <w:rPr>
                <w:sz w:val="1"/>
                <w:szCs w:val="1"/>
                <w:color w:val="auto"/>
              </w:rPr>
            </w:pPr>
          </w:p>
        </w:tc>
      </w:tr>
      <w:tr>
        <w:trPr>
          <w:trHeight w:val="139"/>
        </w:trPr>
        <w:tc>
          <w:tcPr>
            <w:tcW w:w="4640" w:type="dxa"/>
            <w:vAlign w:val="bottom"/>
            <w:tcBorders>
              <w:top w:val="single" w:sz="8" w:color="CCEEFF"/>
              <w:bottom w:val="single" w:sz="8" w:color="CCEEFF"/>
            </w:tcBorders>
            <w:gridSpan w:val="2"/>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Net loss attributable to common shareholders</w:t>
            </w:r>
          </w:p>
        </w:tc>
        <w:tc>
          <w:tcPr>
            <w:tcW w:w="220" w:type="dxa"/>
            <w:vAlign w:val="bottom"/>
            <w:tcBorders>
              <w:top w:val="single" w:sz="8" w:color="auto"/>
              <w:bottom w:val="single" w:sz="8" w:color="auto"/>
            </w:tcBorders>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(20,246)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(10,096)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(44,717)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(34,472)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640" w:type="dxa"/>
            <w:vAlign w:val="bottom"/>
            <w:gridSpan w:val="2"/>
            <w:shd w:val="clear" w:color="auto" w:fill="CCEEFF"/>
          </w:tcPr>
          <w:p>
            <w:pPr>
              <w:spacing w:after="0" w:line="146" w:lineRule="exact"/>
              <w:rPr>
                <w:sz w:val="20"/>
                <w:szCs w:val="20"/>
                <w:color w:val="auto"/>
              </w:rPr>
            </w:pPr>
            <w:r>
              <w:rPr>
                <w:rFonts w:ascii="Arial" w:cs="Arial" w:eastAsia="Arial" w:hAnsi="Arial"/>
                <w:sz w:val="11"/>
                <w:szCs w:val="11"/>
                <w:b w:val="1"/>
                <w:bCs w:val="1"/>
                <w:color w:val="auto"/>
              </w:rPr>
              <w:t>Loss per common share</w:t>
            </w:r>
            <w:r>
              <w:rPr>
                <w:rFonts w:ascii="Arial" w:cs="Arial" w:eastAsia="Arial" w:hAnsi="Arial"/>
                <w:sz w:val="16"/>
                <w:szCs w:val="16"/>
                <w:b w:val="1"/>
                <w:bCs w:val="1"/>
                <w:color w:val="auto"/>
                <w:vertAlign w:val="superscript"/>
              </w:rPr>
              <w:t>(1)</w:t>
            </w:r>
            <w:r>
              <w:rPr>
                <w:rFonts w:ascii="Arial" w:cs="Arial" w:eastAsia="Arial" w:hAnsi="Arial"/>
                <w:sz w:val="11"/>
                <w:szCs w:val="11"/>
                <w:b w:val="1"/>
                <w:bCs w:val="1"/>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64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Basic</w:t>
            </w:r>
          </w:p>
        </w:tc>
        <w:tc>
          <w:tcPr>
            <w:tcW w:w="220" w:type="dxa"/>
            <w:vAlign w:val="bottom"/>
          </w:tcPr>
          <w:p>
            <w:pPr>
              <w:spacing w:after="0" w:line="146"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(0.41)</w:t>
            </w:r>
          </w:p>
        </w:tc>
        <w:tc>
          <w:tcPr>
            <w:tcW w:w="140" w:type="dxa"/>
            <w:vAlign w:val="bottom"/>
          </w:tcPr>
          <w:p>
            <w:pPr>
              <w:spacing w:after="0"/>
              <w:rPr>
                <w:sz w:val="16"/>
                <w:szCs w:val="16"/>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(0.29)</w:t>
            </w:r>
          </w:p>
        </w:tc>
        <w:tc>
          <w:tcPr>
            <w:tcW w:w="120" w:type="dxa"/>
            <w:vAlign w:val="bottom"/>
          </w:tcPr>
          <w:p>
            <w:pPr>
              <w:spacing w:after="0"/>
              <w:rPr>
                <w:sz w:val="16"/>
                <w:szCs w:val="16"/>
                <w:color w:val="auto"/>
              </w:rPr>
            </w:pPr>
          </w:p>
        </w:tc>
        <w:tc>
          <w:tcPr>
            <w:tcW w:w="220" w:type="dxa"/>
            <w:vAlign w:val="bottom"/>
          </w:tcPr>
          <w:p>
            <w:pPr>
              <w:spacing w:after="0" w:line="14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(1.12)</w:t>
            </w:r>
          </w:p>
        </w:tc>
        <w:tc>
          <w:tcPr>
            <w:tcW w:w="280" w:type="dxa"/>
            <w:vAlign w:val="bottom"/>
            <w:gridSpan w:val="2"/>
          </w:tcPr>
          <w:p>
            <w:pPr>
              <w:jc w:val="right"/>
              <w:ind w:right="9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6"/>
        </w:trPr>
        <w:tc>
          <w:tcPr>
            <w:tcW w:w="4640" w:type="dxa"/>
            <w:vAlign w:val="bottom"/>
            <w:tcBorders>
              <w:top w:val="single" w:sz="8" w:color="CCEEFF"/>
              <w:bottom w:val="single" w:sz="8" w:color="CCEEFF"/>
            </w:tcBorders>
            <w:gridSpan w:val="2"/>
            <w:shd w:val="clear" w:color="auto" w:fill="CCEEFF"/>
          </w:tcPr>
          <w:p>
            <w:pPr>
              <w:ind w:left="100"/>
              <w:spacing w:after="0" w:line="126" w:lineRule="exact"/>
              <w:rPr>
                <w:sz w:val="20"/>
                <w:szCs w:val="20"/>
                <w:color w:val="auto"/>
              </w:rPr>
            </w:pPr>
            <w:r>
              <w:rPr>
                <w:rFonts w:ascii="Arial" w:cs="Arial" w:eastAsia="Arial" w:hAnsi="Arial"/>
                <w:sz w:val="13"/>
                <w:szCs w:val="13"/>
                <w:color w:val="auto"/>
              </w:rPr>
              <w:t>Diluted</w:t>
            </w:r>
          </w:p>
        </w:tc>
        <w:tc>
          <w:tcPr>
            <w:tcW w:w="220" w:type="dxa"/>
            <w:vAlign w:val="bottom"/>
            <w:tcBorders>
              <w:top w:val="single" w:sz="8" w:color="auto"/>
              <w:bottom w:val="single" w:sz="8" w:color="auto"/>
            </w:tcBorders>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(0.41)</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(0.29)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(1.12)</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640" w:type="dxa"/>
            <w:vAlign w:val="bottom"/>
            <w:gridSpan w:val="2"/>
            <w:shd w:val="clear" w:color="auto" w:fill="CCEEFF"/>
          </w:tcPr>
          <w:p>
            <w:pPr>
              <w:spacing w:after="0" w:line="146" w:lineRule="exact"/>
              <w:rPr>
                <w:sz w:val="20"/>
                <w:szCs w:val="20"/>
                <w:color w:val="auto"/>
              </w:rPr>
            </w:pPr>
            <w:r>
              <w:rPr>
                <w:rFonts w:ascii="Arial" w:cs="Arial" w:eastAsia="Arial" w:hAnsi="Arial"/>
                <w:sz w:val="11"/>
                <w:szCs w:val="11"/>
                <w:b w:val="1"/>
                <w:bCs w:val="1"/>
                <w:color w:val="auto"/>
              </w:rPr>
              <w:t>Weighted-average number of shares outstanding</w:t>
            </w:r>
            <w:r>
              <w:rPr>
                <w:rFonts w:ascii="Arial" w:cs="Arial" w:eastAsia="Arial" w:hAnsi="Arial"/>
                <w:sz w:val="16"/>
                <w:szCs w:val="16"/>
                <w:b w:val="1"/>
                <w:bCs w:val="1"/>
                <w:color w:val="auto"/>
                <w:vertAlign w:val="superscript"/>
              </w:rPr>
              <w:t>(1)</w:t>
            </w:r>
            <w:r>
              <w:rPr>
                <w:rFonts w:ascii="Arial" w:cs="Arial" w:eastAsia="Arial" w:hAnsi="Arial"/>
                <w:sz w:val="11"/>
                <w:szCs w:val="11"/>
                <w:b w:val="1"/>
                <w:bCs w:val="1"/>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640" w:type="dxa"/>
            <w:vAlign w:val="bottom"/>
            <w:tcBorders>
              <w:bottom w:val="single" w:sz="8" w:color="CCEEFF"/>
            </w:tcBorders>
            <w:gridSpan w:val="2"/>
          </w:tcPr>
          <w:p>
            <w:pPr>
              <w:ind w:left="100"/>
              <w:spacing w:after="0" w:line="146" w:lineRule="exact"/>
              <w:rPr>
                <w:sz w:val="20"/>
                <w:szCs w:val="20"/>
                <w:color w:val="auto"/>
              </w:rPr>
            </w:pPr>
            <w:r>
              <w:rPr>
                <w:rFonts w:ascii="Arial" w:cs="Arial" w:eastAsia="Arial" w:hAnsi="Arial"/>
                <w:sz w:val="13"/>
                <w:szCs w:val="13"/>
                <w:color w:val="auto"/>
              </w:rPr>
              <w:t>Basic</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49,795</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34,523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39,819</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34,455</w:t>
            </w:r>
          </w:p>
        </w:tc>
        <w:tc>
          <w:tcPr>
            <w:tcW w:w="0" w:type="dxa"/>
            <w:vAlign w:val="bottom"/>
          </w:tcPr>
          <w:p>
            <w:pPr>
              <w:spacing w:after="0"/>
              <w:rPr>
                <w:sz w:val="1"/>
                <w:szCs w:val="1"/>
                <w:color w:val="auto"/>
              </w:rPr>
            </w:pPr>
          </w:p>
        </w:tc>
      </w:tr>
      <w:tr>
        <w:trPr>
          <w:trHeight w:val="125"/>
        </w:trPr>
        <w:tc>
          <w:tcPr>
            <w:tcW w:w="4640" w:type="dxa"/>
            <w:vAlign w:val="bottom"/>
            <w:tcBorders>
              <w:bottom w:val="single" w:sz="8" w:color="CCEEFF"/>
            </w:tcBorders>
            <w:gridSpan w:val="2"/>
            <w:shd w:val="clear" w:color="auto" w:fill="CCEEFF"/>
          </w:tcPr>
          <w:p>
            <w:pPr>
              <w:ind w:left="100"/>
              <w:spacing w:after="0" w:line="126" w:lineRule="exact"/>
              <w:rPr>
                <w:sz w:val="20"/>
                <w:szCs w:val="20"/>
                <w:color w:val="auto"/>
              </w:rPr>
            </w:pPr>
            <w:r>
              <w:rPr>
                <w:rFonts w:ascii="Arial" w:cs="Arial" w:eastAsia="Arial" w:hAnsi="Arial"/>
                <w:sz w:val="13"/>
                <w:szCs w:val="13"/>
                <w:color w:val="auto"/>
              </w:rPr>
              <w:t>Diluted</w:t>
            </w:r>
          </w:p>
        </w:tc>
        <w:tc>
          <w:tcPr>
            <w:tcW w:w="2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49,795</w:t>
            </w:r>
          </w:p>
        </w:tc>
        <w:tc>
          <w:tcPr>
            <w:tcW w:w="1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34,523</w:t>
            </w:r>
          </w:p>
        </w:tc>
        <w:tc>
          <w:tcPr>
            <w:tcW w:w="1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39,819</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34,455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Retroactively restated for de-SPAC merger transaction as described in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WESTROCK COFFEE COMPANY</w:t>
      </w:r>
    </w:p>
    <w:p>
      <w:pPr>
        <w:spacing w:after="0" w:line="22"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(Unaudited)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540" w:type="dxa"/>
            <w:vAlign w:val="bottom"/>
            <w:gridSpan w:val="2"/>
            <w:vMerge w:val="restart"/>
          </w:tcPr>
          <w:p>
            <w:pPr>
              <w:spacing w:after="0"/>
              <w:rPr>
                <w:sz w:val="20"/>
                <w:szCs w:val="20"/>
                <w:color w:val="auto"/>
              </w:rPr>
            </w:pPr>
            <w:r>
              <w:rPr>
                <w:rFonts w:ascii="Arial" w:cs="Arial" w:eastAsia="Arial" w:hAnsi="Arial"/>
                <w:sz w:val="13"/>
                <w:szCs w:val="13"/>
                <w:color w:val="auto"/>
              </w:rPr>
              <w:t>(Thousands)</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3"/>
                <w:szCs w:val="13"/>
                <w:b w:val="1"/>
                <w:bCs w:val="1"/>
                <w:color w:val="auto"/>
                <w:w w:val="92"/>
              </w:rPr>
              <w:t>Three Months Ended September 30,</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jc w:val="right"/>
              <w:ind w:right="94"/>
              <w:spacing w:after="0"/>
              <w:rPr>
                <w:sz w:val="20"/>
                <w:szCs w:val="20"/>
                <w:color w:val="auto"/>
              </w:rPr>
            </w:pPr>
            <w:r>
              <w:rPr>
                <w:rFonts w:ascii="Arial" w:cs="Arial" w:eastAsia="Arial" w:hAnsi="Arial"/>
                <w:sz w:val="13"/>
                <w:szCs w:val="13"/>
                <w:b w:val="1"/>
                <w:bCs w:val="1"/>
                <w:color w:val="auto"/>
                <w:w w:val="92"/>
              </w:rPr>
              <w:t>Nine Months Ended September 30,</w:t>
            </w:r>
          </w:p>
        </w:tc>
        <w:tc>
          <w:tcPr>
            <w:tcW w:w="0" w:type="dxa"/>
            <w:vAlign w:val="bottom"/>
          </w:tcPr>
          <w:p>
            <w:pPr>
              <w:spacing w:after="0"/>
              <w:rPr>
                <w:sz w:val="1"/>
                <w:szCs w:val="1"/>
                <w:color w:val="auto"/>
              </w:rPr>
            </w:pPr>
          </w:p>
        </w:tc>
      </w:tr>
      <w:tr>
        <w:trPr>
          <w:trHeight w:val="139"/>
        </w:trPr>
        <w:tc>
          <w:tcPr>
            <w:tcW w:w="45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94"/>
              <w:spacing w:after="0" w:line="139" w:lineRule="exact"/>
              <w:rPr>
                <w:sz w:val="20"/>
                <w:szCs w:val="20"/>
                <w:color w:val="auto"/>
              </w:rPr>
            </w:pPr>
            <w:r>
              <w:rPr>
                <w:rFonts w:ascii="Arial" w:cs="Arial" w:eastAsia="Arial" w:hAnsi="Arial"/>
                <w:sz w:val="13"/>
                <w:szCs w:val="13"/>
                <w:b w:val="1"/>
                <w:bCs w:val="1"/>
                <w:color w:val="auto"/>
              </w:rPr>
              <w:t>2022</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74"/>
              <w:spacing w:after="0" w:line="139" w:lineRule="exact"/>
              <w:rPr>
                <w:sz w:val="20"/>
                <w:szCs w:val="20"/>
                <w:color w:val="auto"/>
              </w:rPr>
            </w:pPr>
            <w:r>
              <w:rPr>
                <w:rFonts w:ascii="Arial" w:cs="Arial" w:eastAsia="Arial" w:hAnsi="Arial"/>
                <w:sz w:val="13"/>
                <w:szCs w:val="13"/>
                <w:b w:val="1"/>
                <w:bCs w:val="1"/>
                <w:color w:val="auto"/>
              </w:rPr>
              <w:t>2021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74"/>
              <w:spacing w:after="0" w:line="139" w:lineRule="exact"/>
              <w:rPr>
                <w:sz w:val="20"/>
                <w:szCs w:val="20"/>
                <w:color w:val="auto"/>
              </w:rPr>
            </w:pPr>
            <w:r>
              <w:rPr>
                <w:rFonts w:ascii="Arial" w:cs="Arial" w:eastAsia="Arial" w:hAnsi="Arial"/>
                <w:sz w:val="13"/>
                <w:szCs w:val="13"/>
                <w:b w:val="1"/>
                <w:bCs w:val="1"/>
                <w:color w:val="auto"/>
              </w:rPr>
              <w:t>2022</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54"/>
              <w:spacing w:after="0" w:line="139"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2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3"/>
                <w:szCs w:val="13"/>
                <w:color w:val="auto"/>
              </w:rPr>
              <w:t>Net loss</w:t>
            </w:r>
          </w:p>
        </w:tc>
        <w:tc>
          <w:tcPr>
            <w:tcW w:w="4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(13,018)</w:t>
            </w:r>
          </w:p>
        </w:tc>
        <w:tc>
          <w:tcPr>
            <w:tcW w:w="4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(3,890)</w:t>
            </w:r>
          </w:p>
        </w:tc>
        <w:tc>
          <w:tcPr>
            <w:tcW w:w="4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(23,542)</w:t>
            </w:r>
          </w:p>
        </w:tc>
        <w:tc>
          <w:tcPr>
            <w:tcW w:w="4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4"/>
                <w:szCs w:val="4"/>
                <w:color w:val="auto"/>
                <w:w w:val="87"/>
              </w:rPr>
              <w:t>$</w:t>
            </w:r>
          </w:p>
        </w:tc>
        <w:tc>
          <w:tcPr>
            <w:tcW w:w="7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(16,082)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20" w:type="dxa"/>
            <w:vAlign w:val="bottom"/>
          </w:tcPr>
          <w:p>
            <w:pPr>
              <w:spacing w:after="0" w:line="146" w:lineRule="exact"/>
              <w:rPr>
                <w:sz w:val="20"/>
                <w:szCs w:val="20"/>
                <w:color w:val="auto"/>
              </w:rPr>
            </w:pPr>
            <w:r>
              <w:rPr>
                <w:rFonts w:ascii="Arial" w:cs="Arial" w:eastAsia="Arial" w:hAnsi="Arial"/>
                <w:sz w:val="13"/>
                <w:szCs w:val="13"/>
                <w:i w:val="1"/>
                <w:iCs w:val="1"/>
                <w:color w:val="auto"/>
              </w:rPr>
              <w:t>Other comprehensive income (loss), net of tax:</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Unrealized (loss) gain on derivative instruments</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(2,802)</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2,372</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(10,087)</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5,882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20" w:type="dxa"/>
            <w:vAlign w:val="bottom"/>
            <w:tcBorders>
              <w:bottom w:val="single" w:sz="8" w:color="CCEEFF"/>
            </w:tcBorders>
          </w:tcPr>
          <w:p>
            <w:pPr>
              <w:ind w:left="200"/>
              <w:spacing w:after="0" w:line="146" w:lineRule="exact"/>
              <w:rPr>
                <w:sz w:val="20"/>
                <w:szCs w:val="20"/>
                <w:color w:val="auto"/>
              </w:rPr>
            </w:pPr>
            <w:r>
              <w:rPr>
                <w:rFonts w:ascii="Arial" w:cs="Arial" w:eastAsia="Arial" w:hAnsi="Arial"/>
                <w:sz w:val="13"/>
                <w:szCs w:val="13"/>
                <w:color w:val="auto"/>
              </w:rPr>
              <w:t>Foreign currency translation adjustment</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w:t>
            </w: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67</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(8)</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39" w:lineRule="exact"/>
              <w:rPr>
                <w:sz w:val="20"/>
                <w:szCs w:val="20"/>
                <w:color w:val="auto"/>
              </w:rPr>
            </w:pPr>
            <w:r>
              <w:rPr>
                <w:rFonts w:ascii="Arial" w:cs="Arial" w:eastAsia="Arial" w:hAnsi="Arial"/>
                <w:sz w:val="13"/>
                <w:szCs w:val="13"/>
                <w:color w:val="auto"/>
              </w:rPr>
              <w:t>Total other comprehensive (loss) income</w:t>
            </w:r>
          </w:p>
        </w:tc>
        <w:tc>
          <w:tcPr>
            <w:tcW w:w="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(2,801)</w:t>
            </w:r>
          </w:p>
        </w:tc>
        <w:tc>
          <w:tcPr>
            <w:tcW w:w="4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2,439</w:t>
            </w:r>
          </w:p>
        </w:tc>
        <w:tc>
          <w:tcPr>
            <w:tcW w:w="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(10,095)</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5,884</w:t>
            </w:r>
          </w:p>
        </w:tc>
        <w:tc>
          <w:tcPr>
            <w:tcW w:w="0" w:type="dxa"/>
            <w:vAlign w:val="bottom"/>
          </w:tcPr>
          <w:p>
            <w:pPr>
              <w:spacing w:after="0"/>
              <w:rPr>
                <w:sz w:val="1"/>
                <w:szCs w:val="1"/>
                <w:color w:val="auto"/>
              </w:rPr>
            </w:pPr>
          </w:p>
        </w:tc>
      </w:tr>
      <w:tr>
        <w:trPr>
          <w:trHeight w:val="139"/>
        </w:trPr>
        <w:tc>
          <w:tcPr>
            <w:tcW w:w="4540" w:type="dxa"/>
            <w:vAlign w:val="bottom"/>
            <w:gridSpan w:val="2"/>
          </w:tcPr>
          <w:p>
            <w:pPr>
              <w:spacing w:after="0" w:line="139" w:lineRule="exact"/>
              <w:rPr>
                <w:sz w:val="20"/>
                <w:szCs w:val="20"/>
                <w:color w:val="auto"/>
              </w:rPr>
            </w:pPr>
            <w:r>
              <w:rPr>
                <w:rFonts w:ascii="Arial" w:cs="Arial" w:eastAsia="Arial" w:hAnsi="Arial"/>
                <w:sz w:val="13"/>
                <w:szCs w:val="13"/>
                <w:color w:val="auto"/>
              </w:rPr>
              <w:t>Comprehensive loss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(15,819)</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Arial" w:cs="Arial" w:eastAsia="Arial" w:hAnsi="Arial"/>
                <w:sz w:val="13"/>
                <w:szCs w:val="13"/>
                <w:color w:val="auto"/>
              </w:rPr>
              <w:t>(1,451)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(33,637)</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(10,198)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Comprehensive (loss) income attributable to non-controlling interests</w:t>
            </w:r>
          </w:p>
        </w:tc>
        <w:tc>
          <w:tcPr>
            <w:tcW w:w="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(22)</w:t>
            </w:r>
          </w:p>
        </w:tc>
        <w:tc>
          <w:tcPr>
            <w:tcW w:w="4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97</w:t>
            </w:r>
          </w:p>
        </w:tc>
        <w:tc>
          <w:tcPr>
            <w:tcW w:w="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43</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139"/>
        </w:trPr>
        <w:tc>
          <w:tcPr>
            <w:tcW w:w="454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Comprehensive loss attributable to shareholders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(15,797)</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Arial" w:cs="Arial" w:eastAsia="Arial" w:hAnsi="Arial"/>
                <w:sz w:val="13"/>
                <w:szCs w:val="13"/>
                <w:color w:val="auto"/>
              </w:rPr>
              <w:t>(1,548)</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(33,680)</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auto"/>
              </w:rPr>
              <w:t>(10,631)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w w:val="92"/>
              </w:rPr>
              <w:t>Loss on extinguishment of Redeemable Common Equivalent Preferred Units, net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(2,870)</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(2,870)</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20" w:type="dxa"/>
            <w:vAlign w:val="bottom"/>
          </w:tcPr>
          <w:p>
            <w:pPr>
              <w:ind w:left="200"/>
              <w:spacing w:after="0" w:line="146" w:lineRule="exact"/>
              <w:rPr>
                <w:sz w:val="20"/>
                <w:szCs w:val="20"/>
                <w:color w:val="auto"/>
              </w:rPr>
            </w:pPr>
            <w:r>
              <w:rPr>
                <w:rFonts w:ascii="Arial" w:cs="Arial" w:eastAsia="Arial" w:hAnsi="Arial"/>
                <w:sz w:val="13"/>
                <w:szCs w:val="13"/>
                <w:color w:val="auto"/>
              </w:rPr>
              <w:t>Common equivalent preferred dividends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6" w:lineRule="exact"/>
              <w:rPr>
                <w:sz w:val="20"/>
                <w:szCs w:val="20"/>
                <w:color w:val="auto"/>
              </w:rPr>
            </w:pPr>
            <w:r>
              <w:rPr>
                <w:rFonts w:ascii="Arial" w:cs="Arial" w:eastAsia="Arial" w:hAnsi="Arial"/>
                <w:sz w:val="13"/>
                <w:szCs w:val="13"/>
                <w:color w:val="auto"/>
              </w:rPr>
              <w:t>(4,380)</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(4,380)</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Accumulating preferred dividends</w:t>
            </w:r>
          </w:p>
        </w:tc>
        <w:tc>
          <w:tcPr>
            <w:tcW w:w="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(6,109)</w:t>
            </w:r>
          </w:p>
        </w:tc>
        <w:tc>
          <w:tcPr>
            <w:tcW w:w="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(13,882)</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(17,957)</w:t>
            </w:r>
          </w:p>
        </w:tc>
        <w:tc>
          <w:tcPr>
            <w:tcW w:w="0" w:type="dxa"/>
            <w:vAlign w:val="bottom"/>
          </w:tcPr>
          <w:p>
            <w:pPr>
              <w:spacing w:after="0"/>
              <w:rPr>
                <w:sz w:val="1"/>
                <w:szCs w:val="1"/>
                <w:color w:val="auto"/>
              </w:rPr>
            </w:pPr>
          </w:p>
        </w:tc>
      </w:tr>
      <w:tr>
        <w:trPr>
          <w:trHeight w:val="139"/>
        </w:trPr>
        <w:tc>
          <w:tcPr>
            <w:tcW w:w="454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Comprehensive loss attributable to common shareholders</w:t>
            </w:r>
          </w:p>
        </w:tc>
        <w:tc>
          <w:tcPr>
            <w:tcW w:w="4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(23,047)</w:t>
            </w:r>
          </w:p>
        </w:tc>
        <w:tc>
          <w:tcPr>
            <w:tcW w:w="420" w:type="dxa"/>
            <w:vAlign w:val="bottom"/>
          </w:tcPr>
          <w:p>
            <w:pPr>
              <w:spacing w:after="0"/>
              <w:rPr>
                <w:sz w:val="12"/>
                <w:szCs w:val="1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(7,657)</w:t>
            </w:r>
          </w:p>
        </w:tc>
        <w:tc>
          <w:tcPr>
            <w:tcW w:w="4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(54,812)</w:t>
            </w:r>
          </w:p>
        </w:tc>
        <w:tc>
          <w:tcPr>
            <w:tcW w:w="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8"/>
              <w:spacing w:after="0"/>
              <w:rPr>
                <w:sz w:val="20"/>
                <w:szCs w:val="20"/>
                <w:color w:val="auto"/>
              </w:rPr>
            </w:pPr>
            <w:r>
              <w:rPr>
                <w:rFonts w:ascii="Arial" w:cs="Arial" w:eastAsia="Arial" w:hAnsi="Arial"/>
                <w:sz w:val="4"/>
                <w:szCs w:val="4"/>
                <w:color w:val="auto"/>
                <w:w w:val="87"/>
              </w:rPr>
              <w:t>$</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(28,588)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2580"/>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5"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10020"/>
          </w:cols>
          <w:pgMar w:left="1440" w:top="511" w:right="43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WESTROCK COFFEE COMPANY</w:t>
      </w:r>
    </w:p>
    <w:p>
      <w:pPr>
        <w:jc w:val="center"/>
        <w:ind w:right="19"/>
        <w:spacing w:after="0" w:line="190" w:lineRule="auto"/>
        <w:rPr>
          <w:sz w:val="20"/>
          <w:szCs w:val="20"/>
          <w:color w:val="auto"/>
        </w:rPr>
      </w:pPr>
      <w:r>
        <w:rPr>
          <w:rFonts w:ascii="Arial" w:cs="Arial" w:eastAsia="Arial" w:hAnsi="Arial"/>
          <w:sz w:val="18"/>
          <w:szCs w:val="18"/>
          <w:b w:val="1"/>
          <w:bCs w:val="1"/>
          <w:color w:val="auto"/>
        </w:rPr>
        <w:t>CONDENSED CONSOLIDATED STATEMENTS OF SHAREHOLDERS’ EQUITY (DEFICIT)</w:t>
      </w:r>
      <w:r>
        <w:rPr>
          <w:rFonts w:ascii="Arial" w:cs="Arial" w:eastAsia="Arial" w:hAnsi="Arial"/>
          <w:sz w:val="26"/>
          <w:szCs w:val="26"/>
          <w:b w:val="1"/>
          <w:bCs w:val="1"/>
          <w:color w:val="auto"/>
          <w:vertAlign w:val="superscript"/>
        </w:rPr>
        <w:t>(1)</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8"/>
              <w:spacing w:after="0" w:line="133"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Borders>
              <w:bottom w:val="single" w:sz="8" w:color="auto"/>
            </w:tcBorders>
            <w:gridSpan w:val="4"/>
          </w:tcPr>
          <w:p>
            <w:pPr>
              <w:jc w:val="right"/>
              <w:ind w:right="398"/>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18"/>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Comprehensive</w:t>
            </w:r>
          </w:p>
        </w:tc>
        <w:tc>
          <w:tcPr>
            <w:tcW w:w="14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Non-Controlling</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3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6"/>
        </w:trPr>
        <w:tc>
          <w:tcPr>
            <w:tcW w:w="2100" w:type="dxa"/>
            <w:vAlign w:val="bottom"/>
            <w:gridSpan w:val="3"/>
          </w:tcPr>
          <w:p>
            <w:pPr>
              <w:spacing w:after="0" w:line="126" w:lineRule="exact"/>
              <w:rPr>
                <w:sz w:val="20"/>
                <w:szCs w:val="20"/>
                <w:color w:val="auto"/>
              </w:rPr>
            </w:pPr>
            <w:r>
              <w:rPr>
                <w:rFonts w:ascii="Arial" w:cs="Arial" w:eastAsia="Arial" w:hAnsi="Arial"/>
                <w:sz w:val="12"/>
                <w:szCs w:val="12"/>
                <w:color w:val="auto"/>
              </w:rPr>
              <w:t>(Thousands)</w:t>
            </w:r>
          </w:p>
        </w:tc>
        <w:tc>
          <w:tcPr>
            <w:tcW w:w="780" w:type="dxa"/>
            <w:vAlign w:val="bottom"/>
          </w:tcPr>
          <w:p>
            <w:pPr>
              <w:jc w:val="right"/>
              <w:ind w:right="158"/>
              <w:spacing w:after="0" w:line="126" w:lineRule="exact"/>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138"/>
              <w:spacing w:after="0" w:line="126"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0"/>
                <w:szCs w:val="10"/>
                <w:color w:val="auto"/>
              </w:rPr>
            </w:pPr>
          </w:p>
        </w:tc>
        <w:tc>
          <w:tcPr>
            <w:tcW w:w="860" w:type="dxa"/>
            <w:vAlign w:val="bottom"/>
            <w:gridSpan w:val="2"/>
          </w:tcPr>
          <w:p>
            <w:pPr>
              <w:jc w:val="right"/>
              <w:spacing w:after="0" w:line="126" w:lineRule="exact"/>
              <w:rPr>
                <w:sz w:val="20"/>
                <w:szCs w:val="20"/>
                <w:color w:val="auto"/>
              </w:rPr>
            </w:pPr>
            <w:r>
              <w:rPr>
                <w:rFonts w:ascii="Arial" w:cs="Arial" w:eastAsia="Arial" w:hAnsi="Arial"/>
                <w:sz w:val="12"/>
                <w:szCs w:val="12"/>
                <w:b w:val="1"/>
                <w:bCs w:val="1"/>
                <w:color w:val="auto"/>
                <w:w w:val="98"/>
              </w:rPr>
              <w:t>Paid-in Capital</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198"/>
              <w:spacing w:after="0" w:line="126" w:lineRule="exact"/>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8"/>
              <w:spacing w:after="0" w:line="126" w:lineRule="exact"/>
              <w:rPr>
                <w:sz w:val="20"/>
                <w:szCs w:val="20"/>
                <w:color w:val="auto"/>
              </w:rPr>
            </w:pPr>
            <w:r>
              <w:rPr>
                <w:rFonts w:ascii="Arial" w:cs="Arial" w:eastAsia="Arial" w:hAnsi="Arial"/>
                <w:sz w:val="12"/>
                <w:szCs w:val="12"/>
                <w:b w:val="1"/>
                <w:bCs w:val="1"/>
                <w:color w:val="auto"/>
                <w:w w:val="95"/>
              </w:rPr>
              <w:t>Income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178"/>
              <w:spacing w:after="0" w:line="126" w:lineRule="exact"/>
              <w:rPr>
                <w:sz w:val="20"/>
                <w:szCs w:val="20"/>
                <w:color w:val="auto"/>
              </w:rPr>
            </w:pPr>
            <w:r>
              <w:rPr>
                <w:rFonts w:ascii="Arial" w:cs="Arial" w:eastAsia="Arial" w:hAnsi="Arial"/>
                <w:sz w:val="12"/>
                <w:szCs w:val="12"/>
                <w:b w:val="1"/>
                <w:bCs w:val="1"/>
                <w:color w:val="auto"/>
              </w:rPr>
              <w:t>Interest</w:t>
            </w:r>
          </w:p>
        </w:tc>
        <w:tc>
          <w:tcPr>
            <w:tcW w:w="140" w:type="dxa"/>
            <w:vAlign w:val="bottom"/>
          </w:tcPr>
          <w:p>
            <w:pPr>
              <w:spacing w:after="0"/>
              <w:rPr>
                <w:sz w:val="10"/>
                <w:szCs w:val="10"/>
                <w:color w:val="auto"/>
              </w:rPr>
            </w:pPr>
          </w:p>
        </w:tc>
        <w:tc>
          <w:tcPr>
            <w:tcW w:w="860" w:type="dxa"/>
            <w:vAlign w:val="bottom"/>
            <w:gridSpan w:val="2"/>
          </w:tcPr>
          <w:p>
            <w:pPr>
              <w:jc w:val="right"/>
              <w:spacing w:after="0" w:line="126" w:lineRule="exact"/>
              <w:rPr>
                <w:sz w:val="20"/>
                <w:szCs w:val="20"/>
                <w:color w:val="auto"/>
              </w:rPr>
            </w:pPr>
            <w:r>
              <w:rPr>
                <w:rFonts w:ascii="Arial" w:cs="Arial" w:eastAsia="Arial" w:hAnsi="Arial"/>
                <w:sz w:val="12"/>
                <w:szCs w:val="12"/>
                <w:b w:val="1"/>
                <w:bCs w:val="1"/>
                <w:color w:val="auto"/>
                <w:w w:val="96"/>
              </w:rPr>
              <w:t>Equity (Deficit)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6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2"/>
                <w:szCs w:val="12"/>
                <w:b w:val="1"/>
                <w:bCs w:val="1"/>
                <w:color w:val="auto"/>
              </w:rPr>
              <w:t>Balance at June 30, 2021</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34,523</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345</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60,017</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(229,946)</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7,265</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2,433</w:t>
            </w: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(159,886)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8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Net income (loss)</w:t>
            </w: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(3,987)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(3,890)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8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Other comprehensive income (loss)</w:t>
            </w: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2,439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2,439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8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Equity-based compensation</w:t>
            </w: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8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Accumulating preferred dividends</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(6,109)</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(6,109)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80" w:type="dxa"/>
            <w:vAlign w:val="bottom"/>
            <w:tcBorders>
              <w:bottom w:val="single" w:sz="8" w:color="CCEEFF"/>
            </w:tcBorders>
            <w:gridSpan w:val="2"/>
          </w:tcPr>
          <w:p>
            <w:pPr>
              <w:ind w:left="100"/>
              <w:spacing w:after="0" w:line="126" w:lineRule="exact"/>
              <w:rPr>
                <w:sz w:val="20"/>
                <w:szCs w:val="20"/>
                <w:color w:val="auto"/>
              </w:rPr>
            </w:pPr>
            <w:r>
              <w:rPr>
                <w:rFonts w:ascii="Arial" w:cs="Arial" w:eastAsia="Arial" w:hAnsi="Arial"/>
                <w:sz w:val="12"/>
                <w:szCs w:val="12"/>
                <w:b w:val="1"/>
                <w:bCs w:val="1"/>
                <w:color w:val="auto"/>
              </w:rPr>
              <w:t>Balance at September 30, 2021</w:t>
            </w:r>
          </w:p>
        </w:tc>
        <w:tc>
          <w:tcPr>
            <w:tcW w:w="78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34,523</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345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60,323</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(240,042)</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9,704</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2,530</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5"/>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(167,140)</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1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Balance at June 30, 2022</w:t>
            </w: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34,856</w:t>
            </w:r>
          </w:p>
        </w:tc>
        <w:tc>
          <w:tcPr>
            <w:tcW w:w="260" w:type="dxa"/>
            <w:vAlign w:val="bottom"/>
            <w:gridSpan w:val="2"/>
          </w:tcPr>
          <w:p>
            <w:pPr>
              <w:jc w:val="right"/>
              <w:ind w:right="2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348</w:t>
            </w:r>
          </w:p>
        </w:tc>
        <w:tc>
          <w:tcPr>
            <w:tcW w:w="2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60,627</w:t>
            </w:r>
          </w:p>
        </w:tc>
        <w:tc>
          <w:tcPr>
            <w:tcW w:w="2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(276,196)</w:t>
            </w:r>
          </w:p>
        </w:tc>
        <w:tc>
          <w:tcPr>
            <w:tcW w:w="2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4,724</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2,801</w:t>
            </w:r>
          </w:p>
        </w:tc>
        <w:tc>
          <w:tcPr>
            <w:tcW w:w="320" w:type="dxa"/>
            <w:vAlign w:val="bottom"/>
            <w:gridSpan w:val="2"/>
          </w:tcPr>
          <w:p>
            <w:pPr>
              <w:jc w:val="right"/>
              <w:ind w:right="65"/>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(207,696)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8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Net income (loss)</w:t>
            </w: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(12,996)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(22)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(13,018)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80" w:type="dxa"/>
            <w:vAlign w:val="bottom"/>
            <w:gridSpan w:val="2"/>
          </w:tcPr>
          <w:p>
            <w:pPr>
              <w:ind w:left="100"/>
              <w:spacing w:after="0" w:line="118" w:lineRule="exact"/>
              <w:rPr>
                <w:sz w:val="20"/>
                <w:szCs w:val="20"/>
                <w:color w:val="auto"/>
              </w:rPr>
            </w:pPr>
            <w:r>
              <w:rPr>
                <w:rFonts w:ascii="Arial" w:cs="Arial" w:eastAsia="Arial" w:hAnsi="Arial"/>
                <w:sz w:val="12"/>
                <w:szCs w:val="12"/>
                <w:color w:val="auto"/>
              </w:rPr>
              <w:t>Issuance of common shares upon</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8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closing of de-SPAC merger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80" w:type="dxa"/>
            <w:vAlign w:val="bottom"/>
            <w:gridSpan w:val="2"/>
          </w:tcPr>
          <w:p>
            <w:pPr>
              <w:ind w:left="100"/>
              <w:spacing w:after="0" w:line="133" w:lineRule="exact"/>
              <w:rPr>
                <w:sz w:val="20"/>
                <w:szCs w:val="20"/>
                <w:color w:val="auto"/>
              </w:rPr>
            </w:pPr>
            <w:r>
              <w:rPr>
                <w:rFonts w:ascii="Arial" w:cs="Arial" w:eastAsia="Arial" w:hAnsi="Arial"/>
                <w:sz w:val="12"/>
                <w:szCs w:val="12"/>
                <w:color w:val="auto"/>
                <w:w w:val="97"/>
              </w:rPr>
              <w:t>transaction, net of issuance costs, net</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80" w:type="dxa"/>
            <w:vAlign w:val="bottom"/>
            <w:gridSpan w:val="2"/>
          </w:tcPr>
          <w:p>
            <w:pPr>
              <w:ind w:left="100"/>
              <w:spacing w:after="0"/>
              <w:rPr>
                <w:sz w:val="20"/>
                <w:szCs w:val="20"/>
                <w:color w:val="auto"/>
              </w:rPr>
            </w:pPr>
            <w:r>
              <w:rPr>
                <w:rFonts w:ascii="Arial" w:cs="Arial" w:eastAsia="Arial" w:hAnsi="Arial"/>
                <w:sz w:val="12"/>
                <w:szCs w:val="12"/>
                <w:color w:val="auto"/>
              </w:rPr>
              <w:t>of $2,469 of taxes (see Note 4)</w:t>
            </w:r>
          </w:p>
        </w:tc>
        <w:tc>
          <w:tcPr>
            <w:tcW w:w="780" w:type="dxa"/>
            <w:vAlign w:val="bottom"/>
          </w:tcPr>
          <w:p>
            <w:pPr>
              <w:jc w:val="right"/>
              <w:spacing w:after="0"/>
              <w:rPr>
                <w:sz w:val="20"/>
                <w:szCs w:val="20"/>
                <w:color w:val="auto"/>
              </w:rPr>
            </w:pPr>
            <w:r>
              <w:rPr>
                <w:rFonts w:ascii="Arial" w:cs="Arial" w:eastAsia="Arial" w:hAnsi="Arial"/>
                <w:sz w:val="12"/>
                <w:szCs w:val="12"/>
                <w:color w:val="auto"/>
              </w:rPr>
              <w:t>12,868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805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934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80" w:type="dxa"/>
            <w:vAlign w:val="bottom"/>
            <w:gridSpan w:val="2"/>
          </w:tcPr>
          <w:p>
            <w:pPr>
              <w:ind w:left="100"/>
              <w:spacing w:after="0" w:line="118" w:lineRule="exact"/>
              <w:rPr>
                <w:sz w:val="20"/>
                <w:szCs w:val="20"/>
                <w:color w:val="auto"/>
              </w:rPr>
            </w:pPr>
            <w:r>
              <w:rPr>
                <w:rFonts w:ascii="Arial" w:cs="Arial" w:eastAsia="Arial" w:hAnsi="Arial"/>
                <w:sz w:val="12"/>
                <w:szCs w:val="12"/>
                <w:color w:val="auto"/>
              </w:rPr>
              <w:t>Issuance of common shares related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80" w:type="dxa"/>
            <w:vAlign w:val="bottom"/>
            <w:gridSpan w:val="2"/>
          </w:tcPr>
          <w:p>
            <w:pPr>
              <w:ind w:left="100"/>
              <w:spacing w:after="0"/>
              <w:rPr>
                <w:sz w:val="20"/>
                <w:szCs w:val="20"/>
                <w:color w:val="auto"/>
              </w:rPr>
            </w:pPr>
            <w:r>
              <w:rPr>
                <w:rFonts w:ascii="Arial" w:cs="Arial" w:eastAsia="Arial" w:hAnsi="Arial"/>
                <w:sz w:val="12"/>
                <w:szCs w:val="12"/>
                <w:color w:val="auto"/>
              </w:rPr>
              <w:t>to PIPE financing</w:t>
            </w:r>
          </w:p>
        </w:tc>
        <w:tc>
          <w:tcPr>
            <w:tcW w:w="780" w:type="dxa"/>
            <w:vAlign w:val="bottom"/>
          </w:tcPr>
          <w:p>
            <w:pPr>
              <w:jc w:val="right"/>
              <w:spacing w:after="0"/>
              <w:rPr>
                <w:sz w:val="20"/>
                <w:szCs w:val="20"/>
                <w:color w:val="auto"/>
              </w:rPr>
            </w:pPr>
            <w:r>
              <w:rPr>
                <w:rFonts w:ascii="Arial" w:cs="Arial" w:eastAsia="Arial" w:hAnsi="Arial"/>
                <w:sz w:val="12"/>
                <w:szCs w:val="12"/>
                <w:color w:val="auto"/>
              </w:rPr>
              <w:t>20,590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205,694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205,900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80" w:type="dxa"/>
            <w:vAlign w:val="bottom"/>
            <w:gridSpan w:val="2"/>
          </w:tcPr>
          <w:p>
            <w:pPr>
              <w:ind w:left="100"/>
              <w:spacing w:after="0" w:line="118" w:lineRule="exact"/>
              <w:rPr>
                <w:sz w:val="20"/>
                <w:szCs w:val="20"/>
                <w:color w:val="auto"/>
              </w:rPr>
            </w:pPr>
            <w:r>
              <w:rPr>
                <w:rFonts w:ascii="Arial" w:cs="Arial" w:eastAsia="Arial" w:hAnsi="Arial"/>
                <w:sz w:val="12"/>
                <w:szCs w:val="12"/>
                <w:color w:val="auto"/>
              </w:rPr>
              <w:t>Issuance of common shares related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8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to conversion of debt to equity (see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80" w:type="dxa"/>
            <w:vAlign w:val="bottom"/>
            <w:gridSpan w:val="2"/>
          </w:tcPr>
          <w:p>
            <w:pPr>
              <w:ind w:left="100"/>
              <w:spacing w:after="0"/>
              <w:rPr>
                <w:sz w:val="20"/>
                <w:szCs w:val="20"/>
                <w:color w:val="auto"/>
              </w:rPr>
            </w:pPr>
            <w:r>
              <w:rPr>
                <w:rFonts w:ascii="Arial" w:cs="Arial" w:eastAsia="Arial" w:hAnsi="Arial"/>
                <w:sz w:val="12"/>
                <w:szCs w:val="12"/>
                <w:color w:val="auto"/>
              </w:rPr>
              <w:t>Note 11)</w:t>
            </w:r>
          </w:p>
        </w:tc>
        <w:tc>
          <w:tcPr>
            <w:tcW w:w="780" w:type="dxa"/>
            <w:vAlign w:val="bottom"/>
          </w:tcPr>
          <w:p>
            <w:pPr>
              <w:jc w:val="right"/>
              <w:spacing w:after="0"/>
              <w:rPr>
                <w:sz w:val="20"/>
                <w:szCs w:val="20"/>
                <w:color w:val="auto"/>
              </w:rPr>
            </w:pPr>
            <w:r>
              <w:rPr>
                <w:rFonts w:ascii="Arial" w:cs="Arial" w:eastAsia="Arial" w:hAnsi="Arial"/>
                <w:sz w:val="12"/>
                <w:szCs w:val="12"/>
                <w:color w:val="auto"/>
              </w:rPr>
              <w:t>2,500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24,975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25,000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80" w:type="dxa"/>
            <w:vAlign w:val="bottom"/>
            <w:gridSpan w:val="2"/>
          </w:tcPr>
          <w:p>
            <w:pPr>
              <w:ind w:left="100"/>
              <w:spacing w:after="0" w:line="118" w:lineRule="exact"/>
              <w:rPr>
                <w:sz w:val="20"/>
                <w:szCs w:val="20"/>
                <w:color w:val="auto"/>
              </w:rPr>
            </w:pPr>
            <w:r>
              <w:rPr>
                <w:rFonts w:ascii="Arial" w:cs="Arial" w:eastAsia="Arial" w:hAnsi="Arial"/>
                <w:sz w:val="12"/>
                <w:szCs w:val="12"/>
                <w:color w:val="auto"/>
              </w:rPr>
              <w:t>Issuance of common shares related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8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to conversion of Common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8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Equivalent Preferred Units (see Note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980" w:type="dxa"/>
            <w:vAlign w:val="bottom"/>
            <w:gridSpan w:val="2"/>
          </w:tcPr>
          <w:p>
            <w:pPr>
              <w:ind w:left="12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23,731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23,753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80" w:type="dxa"/>
            <w:vAlign w:val="bottom"/>
            <w:gridSpan w:val="2"/>
          </w:tcPr>
          <w:p>
            <w:pPr>
              <w:ind w:left="100"/>
              <w:spacing w:after="0" w:line="118" w:lineRule="exact"/>
              <w:rPr>
                <w:sz w:val="20"/>
                <w:szCs w:val="20"/>
                <w:color w:val="auto"/>
              </w:rPr>
            </w:pPr>
            <w:r>
              <w:rPr>
                <w:rFonts w:ascii="Arial" w:cs="Arial" w:eastAsia="Arial" w:hAnsi="Arial"/>
                <w:sz w:val="12"/>
                <w:szCs w:val="12"/>
                <w:color w:val="auto"/>
              </w:rPr>
              <w:t>Common Equivalent Preferred Unit</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80" w:type="dxa"/>
            <w:vAlign w:val="bottom"/>
            <w:gridSpan w:val="2"/>
          </w:tcPr>
          <w:p>
            <w:pPr>
              <w:ind w:left="100"/>
              <w:spacing w:after="0"/>
              <w:rPr>
                <w:sz w:val="20"/>
                <w:szCs w:val="20"/>
                <w:color w:val="auto"/>
              </w:rPr>
            </w:pPr>
            <w:r>
              <w:rPr>
                <w:rFonts w:ascii="Arial" w:cs="Arial" w:eastAsia="Arial" w:hAnsi="Arial"/>
                <w:sz w:val="12"/>
                <w:szCs w:val="12"/>
                <w:color w:val="auto"/>
              </w:rPr>
              <w:t>dividends ($0.02 per unit)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(4,380)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(4,380)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80" w:type="dxa"/>
            <w:vAlign w:val="bottom"/>
            <w:gridSpan w:val="2"/>
          </w:tcPr>
          <w:p>
            <w:pPr>
              <w:ind w:left="100"/>
              <w:spacing w:after="0" w:line="118" w:lineRule="exact"/>
              <w:rPr>
                <w:sz w:val="20"/>
                <w:szCs w:val="20"/>
                <w:color w:val="auto"/>
              </w:rPr>
            </w:pPr>
            <w:r>
              <w:rPr>
                <w:rFonts w:ascii="Arial" w:cs="Arial" w:eastAsia="Arial" w:hAnsi="Arial"/>
                <w:sz w:val="12"/>
                <w:szCs w:val="12"/>
                <w:color w:val="auto"/>
              </w:rPr>
              <w:t>Loss on extinguishment of Common</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80" w:type="dxa"/>
            <w:vAlign w:val="bottom"/>
            <w:gridSpan w:val="2"/>
          </w:tcPr>
          <w:p>
            <w:pPr>
              <w:ind w:left="100"/>
              <w:spacing w:after="0"/>
              <w:rPr>
                <w:sz w:val="20"/>
                <w:szCs w:val="20"/>
                <w:color w:val="auto"/>
              </w:rPr>
            </w:pPr>
            <w:r>
              <w:rPr>
                <w:rFonts w:ascii="Arial" w:cs="Arial" w:eastAsia="Arial" w:hAnsi="Arial"/>
                <w:sz w:val="12"/>
                <w:szCs w:val="12"/>
                <w:color w:val="auto"/>
              </w:rPr>
              <w:t>Equivalent Preferred Units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(2,870)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8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Other comprehensive income (loss)</w:t>
            </w: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(2,801)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(2,801)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8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Equity-based compensation</w:t>
            </w: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705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705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8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b w:val="1"/>
                <w:bCs w:val="1"/>
                <w:color w:val="auto"/>
              </w:rPr>
              <w:t>Balance at September 30, 2022</w:t>
            </w: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73,034</w:t>
            </w:r>
          </w:p>
        </w:tc>
        <w:tc>
          <w:tcPr>
            <w:tcW w:w="260" w:type="dxa"/>
            <w:vAlign w:val="bottom"/>
            <w:gridSpan w:val="2"/>
            <w:shd w:val="clear" w:color="auto" w:fill="CCEEFF"/>
          </w:tcPr>
          <w:p>
            <w:pPr>
              <w:jc w:val="right"/>
              <w:ind w:right="28"/>
              <w:spacing w:after="0" w:line="133"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730</w:t>
            </w:r>
          </w:p>
        </w:tc>
        <w:tc>
          <w:tcPr>
            <w:tcW w:w="2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316,537</w:t>
            </w:r>
          </w:p>
        </w:tc>
        <w:tc>
          <w:tcPr>
            <w:tcW w:w="2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(296,442)</w:t>
            </w:r>
          </w:p>
        </w:tc>
        <w:tc>
          <w:tcPr>
            <w:tcW w:w="2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1,923</w:t>
            </w:r>
          </w:p>
        </w:tc>
        <w:tc>
          <w:tcPr>
            <w:tcW w:w="30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2,779</w:t>
            </w:r>
          </w:p>
        </w:tc>
        <w:tc>
          <w:tcPr>
            <w:tcW w:w="320" w:type="dxa"/>
            <w:vAlign w:val="bottom"/>
            <w:gridSpan w:val="2"/>
            <w:shd w:val="clear" w:color="auto" w:fill="CCEEFF"/>
          </w:tcPr>
          <w:p>
            <w:pPr>
              <w:jc w:val="right"/>
              <w:ind w:right="65"/>
              <w:spacing w:after="0" w:line="133"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25,527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8"/>
              <w:spacing w:after="0" w:line="133"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398"/>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78"/>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b w:val="1"/>
                <w:bCs w:val="1"/>
                <w:color w:val="auto"/>
                <w:w w:val="90"/>
              </w:rPr>
              <w:t>Accumulated</w:t>
            </w:r>
          </w:p>
        </w:tc>
        <w:tc>
          <w:tcPr>
            <w:tcW w:w="14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Comprehensive</w:t>
            </w:r>
          </w:p>
        </w:tc>
        <w:tc>
          <w:tcPr>
            <w:tcW w:w="14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b w:val="1"/>
                <w:bCs w:val="1"/>
                <w:color w:val="auto"/>
                <w:w w:val="96"/>
              </w:rPr>
              <w:t>Non-Controlling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3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6"/>
        </w:trPr>
        <w:tc>
          <w:tcPr>
            <w:tcW w:w="2220" w:type="dxa"/>
            <w:vAlign w:val="bottom"/>
            <w:gridSpan w:val="3"/>
          </w:tcPr>
          <w:p>
            <w:pPr>
              <w:spacing w:after="0" w:line="126" w:lineRule="exact"/>
              <w:rPr>
                <w:sz w:val="20"/>
                <w:szCs w:val="20"/>
                <w:color w:val="auto"/>
              </w:rPr>
            </w:pPr>
            <w:r>
              <w:rPr>
                <w:rFonts w:ascii="Arial" w:cs="Arial" w:eastAsia="Arial" w:hAnsi="Arial"/>
                <w:sz w:val="12"/>
                <w:szCs w:val="12"/>
                <w:color w:val="auto"/>
              </w:rPr>
              <w:t>(Thousands)</w:t>
            </w:r>
          </w:p>
        </w:tc>
        <w:tc>
          <w:tcPr>
            <w:tcW w:w="740" w:type="dxa"/>
            <w:vAlign w:val="bottom"/>
          </w:tcPr>
          <w:p>
            <w:pPr>
              <w:jc w:val="right"/>
              <w:ind w:right="138"/>
              <w:spacing w:after="0" w:line="126" w:lineRule="exact"/>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58"/>
              <w:spacing w:after="0" w:line="126"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0"/>
                <w:szCs w:val="10"/>
                <w:color w:val="auto"/>
              </w:rPr>
            </w:pPr>
          </w:p>
        </w:tc>
        <w:tc>
          <w:tcPr>
            <w:tcW w:w="8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5"/>
              </w:rPr>
              <w:t>Paid-in Capital</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jc w:val="right"/>
              <w:ind w:right="178"/>
              <w:spacing w:after="0" w:line="126" w:lineRule="exact"/>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8"/>
              <w:spacing w:after="0" w:line="126" w:lineRule="exact"/>
              <w:rPr>
                <w:sz w:val="20"/>
                <w:szCs w:val="20"/>
                <w:color w:val="auto"/>
              </w:rPr>
            </w:pPr>
            <w:r>
              <w:rPr>
                <w:rFonts w:ascii="Arial" w:cs="Arial" w:eastAsia="Arial" w:hAnsi="Arial"/>
                <w:sz w:val="12"/>
                <w:szCs w:val="12"/>
                <w:b w:val="1"/>
                <w:bCs w:val="1"/>
                <w:color w:val="auto"/>
                <w:w w:val="95"/>
              </w:rPr>
              <w:t>Income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198"/>
              <w:spacing w:after="0" w:line="126" w:lineRule="exact"/>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0"/>
                <w:szCs w:val="10"/>
                <w:color w:val="auto"/>
              </w:rPr>
            </w:pPr>
          </w:p>
        </w:tc>
        <w:tc>
          <w:tcPr>
            <w:tcW w:w="8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6"/>
              </w:rPr>
              <w:t>Equity (Deficit)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2"/>
                <w:szCs w:val="12"/>
                <w:b w:val="1"/>
                <w:bCs w:val="1"/>
                <w:color w:val="auto"/>
              </w:rPr>
              <w:t>Balance at December 31, 2020</w:t>
            </w: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34,202</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342</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59,570</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(205,570)</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3,820</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2,097</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(139,741)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Net income (loss)</w:t>
            </w: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(16,515)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433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(16,082)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Other comprehensive income</w:t>
            </w: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5,884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5,884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Equity-based compensation</w:t>
            </w: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321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915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Net unit settlement</w:t>
            </w: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Accumulating preferred dividends</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(17,957)</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(17,957)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00" w:type="dxa"/>
            <w:vAlign w:val="bottom"/>
            <w:tcBorders>
              <w:bottom w:val="single" w:sz="8" w:color="CCEEFF"/>
            </w:tcBorders>
            <w:gridSpan w:val="2"/>
          </w:tcPr>
          <w:p>
            <w:pPr>
              <w:ind w:left="100"/>
              <w:spacing w:after="0" w:line="126" w:lineRule="exact"/>
              <w:rPr>
                <w:sz w:val="20"/>
                <w:szCs w:val="20"/>
                <w:color w:val="auto"/>
              </w:rPr>
            </w:pPr>
            <w:r>
              <w:rPr>
                <w:rFonts w:ascii="Arial" w:cs="Arial" w:eastAsia="Arial" w:hAnsi="Arial"/>
                <w:sz w:val="12"/>
                <w:szCs w:val="12"/>
                <w:b w:val="1"/>
                <w:bCs w:val="1"/>
                <w:color w:val="auto"/>
              </w:rPr>
              <w:t>Balance at September 30, 2021</w:t>
            </w:r>
          </w:p>
        </w:tc>
        <w:tc>
          <w:tcPr>
            <w:tcW w:w="74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34,523</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345</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60,323</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gridSpan w:val="2"/>
          </w:tcPr>
          <w:p>
            <w:pPr>
              <w:jc w:val="right"/>
              <w:spacing w:after="0" w:line="126" w:lineRule="exact"/>
              <w:rPr>
                <w:sz w:val="20"/>
                <w:szCs w:val="20"/>
                <w:color w:val="auto"/>
              </w:rPr>
            </w:pPr>
            <w:r>
              <w:rPr>
                <w:rFonts w:ascii="Arial" w:cs="Arial" w:eastAsia="Arial" w:hAnsi="Arial"/>
                <w:sz w:val="12"/>
                <w:szCs w:val="12"/>
                <w:color w:val="auto"/>
              </w:rPr>
              <w:t>(240,042)</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9,704</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2,530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color w:val="auto"/>
              </w:rPr>
              <w:t>(167,140)</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Balance at December 31, 2021</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34,523</w:t>
            </w:r>
          </w:p>
        </w:tc>
        <w:tc>
          <w:tcPr>
            <w:tcW w:w="2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345</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60,628</w:t>
            </w:r>
          </w:p>
        </w:tc>
        <w:tc>
          <w:tcPr>
            <w:tcW w:w="2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(251,725)</w:t>
            </w:r>
          </w:p>
        </w:tc>
        <w:tc>
          <w:tcPr>
            <w:tcW w:w="2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12,018</w:t>
            </w:r>
          </w:p>
        </w:tc>
        <w:tc>
          <w:tcPr>
            <w:tcW w:w="300" w:type="dxa"/>
            <w:vAlign w:val="bottom"/>
            <w:gridSpan w:val="2"/>
          </w:tcPr>
          <w:p>
            <w:pPr>
              <w:jc w:val="right"/>
              <w:ind w:right="46"/>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2,736</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(175,998)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Net income (loss)</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(23,585)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43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(23,542)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00" w:type="dxa"/>
            <w:vAlign w:val="bottom"/>
            <w:gridSpan w:val="2"/>
          </w:tcPr>
          <w:p>
            <w:pPr>
              <w:ind w:left="100"/>
              <w:spacing w:after="0" w:line="118" w:lineRule="exact"/>
              <w:rPr>
                <w:sz w:val="20"/>
                <w:szCs w:val="20"/>
                <w:color w:val="auto"/>
              </w:rPr>
            </w:pPr>
            <w:r>
              <w:rPr>
                <w:rFonts w:ascii="Arial" w:cs="Arial" w:eastAsia="Arial" w:hAnsi="Arial"/>
                <w:sz w:val="12"/>
                <w:szCs w:val="12"/>
                <w:color w:val="auto"/>
              </w:rPr>
              <w:t>Issuance of common shares upon</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gridSpan w:val="2"/>
          </w:tcPr>
          <w:p>
            <w:pPr>
              <w:ind w:left="100"/>
              <w:spacing w:after="0" w:line="133" w:lineRule="exact"/>
              <w:rPr>
                <w:sz w:val="20"/>
                <w:szCs w:val="20"/>
                <w:color w:val="auto"/>
              </w:rPr>
            </w:pPr>
            <w:r>
              <w:rPr>
                <w:rFonts w:ascii="Arial" w:cs="Arial" w:eastAsia="Arial" w:hAnsi="Arial"/>
                <w:sz w:val="12"/>
                <w:szCs w:val="12"/>
                <w:color w:val="auto"/>
                <w:w w:val="98"/>
              </w:rPr>
              <w:t>closing of de-SPAC merger transaction,</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net of issuance costs, net of $2,469 of</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00" w:type="dxa"/>
            <w:vAlign w:val="bottom"/>
            <w:gridSpan w:val="2"/>
          </w:tcPr>
          <w:p>
            <w:pPr>
              <w:ind w:left="100"/>
              <w:spacing w:after="0"/>
              <w:rPr>
                <w:sz w:val="20"/>
                <w:szCs w:val="20"/>
                <w:color w:val="auto"/>
              </w:rPr>
            </w:pPr>
            <w:r>
              <w:rPr>
                <w:rFonts w:ascii="Arial" w:cs="Arial" w:eastAsia="Arial" w:hAnsi="Arial"/>
                <w:sz w:val="12"/>
                <w:szCs w:val="12"/>
                <w:color w:val="auto"/>
              </w:rPr>
              <w:t>taxes (see Note 4)</w:t>
            </w:r>
          </w:p>
        </w:tc>
        <w:tc>
          <w:tcPr>
            <w:tcW w:w="740" w:type="dxa"/>
            <w:vAlign w:val="bottom"/>
          </w:tcPr>
          <w:p>
            <w:pPr>
              <w:jc w:val="right"/>
              <w:spacing w:after="0"/>
              <w:rPr>
                <w:sz w:val="20"/>
                <w:szCs w:val="20"/>
                <w:color w:val="auto"/>
              </w:rPr>
            </w:pPr>
            <w:r>
              <w:rPr>
                <w:rFonts w:ascii="Arial" w:cs="Arial" w:eastAsia="Arial" w:hAnsi="Arial"/>
                <w:sz w:val="12"/>
                <w:szCs w:val="12"/>
                <w:color w:val="auto"/>
              </w:rPr>
              <w:t>12,868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805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934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00" w:type="dxa"/>
            <w:vAlign w:val="bottom"/>
            <w:gridSpan w:val="2"/>
          </w:tcPr>
          <w:p>
            <w:pPr>
              <w:ind w:left="100"/>
              <w:spacing w:after="0" w:line="118" w:lineRule="exact"/>
              <w:rPr>
                <w:sz w:val="20"/>
                <w:szCs w:val="20"/>
                <w:color w:val="auto"/>
              </w:rPr>
            </w:pPr>
            <w:r>
              <w:rPr>
                <w:rFonts w:ascii="Arial" w:cs="Arial" w:eastAsia="Arial" w:hAnsi="Arial"/>
                <w:sz w:val="12"/>
                <w:szCs w:val="12"/>
                <w:color w:val="auto"/>
              </w:rPr>
              <w:t>Issuance of common shares related to</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00" w:type="dxa"/>
            <w:vAlign w:val="bottom"/>
            <w:gridSpan w:val="2"/>
          </w:tcPr>
          <w:p>
            <w:pPr>
              <w:ind w:left="100"/>
              <w:spacing w:after="0"/>
              <w:rPr>
                <w:sz w:val="20"/>
                <w:szCs w:val="20"/>
                <w:color w:val="auto"/>
              </w:rPr>
            </w:pPr>
            <w:r>
              <w:rPr>
                <w:rFonts w:ascii="Arial" w:cs="Arial" w:eastAsia="Arial" w:hAnsi="Arial"/>
                <w:sz w:val="12"/>
                <w:szCs w:val="12"/>
                <w:color w:val="auto"/>
              </w:rPr>
              <w:t>PIPE financing</w:t>
            </w:r>
          </w:p>
        </w:tc>
        <w:tc>
          <w:tcPr>
            <w:tcW w:w="740" w:type="dxa"/>
            <w:vAlign w:val="bottom"/>
          </w:tcPr>
          <w:p>
            <w:pPr>
              <w:jc w:val="right"/>
              <w:spacing w:after="0"/>
              <w:rPr>
                <w:sz w:val="20"/>
                <w:szCs w:val="20"/>
                <w:color w:val="auto"/>
              </w:rPr>
            </w:pPr>
            <w:r>
              <w:rPr>
                <w:rFonts w:ascii="Arial" w:cs="Arial" w:eastAsia="Arial" w:hAnsi="Arial"/>
                <w:sz w:val="12"/>
                <w:szCs w:val="12"/>
                <w:color w:val="auto"/>
              </w:rPr>
              <w:t>20,590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205,694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205,900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00" w:type="dxa"/>
            <w:vAlign w:val="bottom"/>
            <w:gridSpan w:val="2"/>
          </w:tcPr>
          <w:p>
            <w:pPr>
              <w:ind w:left="100"/>
              <w:spacing w:after="0" w:line="118" w:lineRule="exact"/>
              <w:rPr>
                <w:sz w:val="20"/>
                <w:szCs w:val="20"/>
                <w:color w:val="auto"/>
              </w:rPr>
            </w:pPr>
            <w:r>
              <w:rPr>
                <w:rFonts w:ascii="Arial" w:cs="Arial" w:eastAsia="Arial" w:hAnsi="Arial"/>
                <w:sz w:val="12"/>
                <w:szCs w:val="12"/>
                <w:color w:val="auto"/>
              </w:rPr>
              <w:t>Issuance of common shares related to</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conversion of debt to equity (see Note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80" w:type="dxa"/>
            <w:vAlign w:val="bottom"/>
            <w:gridSpan w:val="2"/>
          </w:tcPr>
          <w:p>
            <w:pPr>
              <w:ind w:left="120"/>
              <w:spacing w:after="0"/>
              <w:rPr>
                <w:sz w:val="20"/>
                <w:szCs w:val="20"/>
                <w:color w:val="auto"/>
              </w:rPr>
            </w:pPr>
            <w:r>
              <w:rPr>
                <w:rFonts w:ascii="Arial" w:cs="Arial" w:eastAsia="Arial" w:hAnsi="Arial"/>
                <w:sz w:val="12"/>
                <w:szCs w:val="12"/>
                <w:color w:val="auto"/>
              </w:rPr>
              <w:t>11)</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24,975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25,000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00" w:type="dxa"/>
            <w:vAlign w:val="bottom"/>
            <w:gridSpan w:val="2"/>
          </w:tcPr>
          <w:p>
            <w:pPr>
              <w:ind w:left="100"/>
              <w:spacing w:after="0" w:line="118" w:lineRule="exact"/>
              <w:rPr>
                <w:sz w:val="20"/>
                <w:szCs w:val="20"/>
                <w:color w:val="auto"/>
              </w:rPr>
            </w:pPr>
            <w:r>
              <w:rPr>
                <w:rFonts w:ascii="Arial" w:cs="Arial" w:eastAsia="Arial" w:hAnsi="Arial"/>
                <w:sz w:val="12"/>
                <w:szCs w:val="12"/>
                <w:color w:val="auto"/>
              </w:rPr>
              <w:t>Issuance of common shares related to</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conversion of Common Equivalent</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00" w:type="dxa"/>
            <w:vAlign w:val="bottom"/>
            <w:gridSpan w:val="2"/>
          </w:tcPr>
          <w:p>
            <w:pPr>
              <w:ind w:left="100"/>
              <w:spacing w:after="0"/>
              <w:rPr>
                <w:sz w:val="20"/>
                <w:szCs w:val="20"/>
                <w:color w:val="auto"/>
              </w:rPr>
            </w:pPr>
            <w:r>
              <w:rPr>
                <w:rFonts w:ascii="Arial" w:cs="Arial" w:eastAsia="Arial" w:hAnsi="Arial"/>
                <w:sz w:val="12"/>
                <w:szCs w:val="12"/>
                <w:color w:val="auto"/>
              </w:rPr>
              <w:t>Preferred Units (see Note 4)</w:t>
            </w:r>
          </w:p>
        </w:tc>
        <w:tc>
          <w:tcPr>
            <w:tcW w:w="740" w:type="dxa"/>
            <w:vAlign w:val="bottom"/>
          </w:tcPr>
          <w:p>
            <w:pPr>
              <w:jc w:val="right"/>
              <w:spacing w:after="0"/>
              <w:rPr>
                <w:sz w:val="20"/>
                <w:szCs w:val="20"/>
                <w:color w:val="auto"/>
              </w:rPr>
            </w:pPr>
            <w:r>
              <w:rPr>
                <w:rFonts w:ascii="Arial" w:cs="Arial" w:eastAsia="Arial" w:hAnsi="Arial"/>
                <w:sz w:val="12"/>
                <w:szCs w:val="12"/>
                <w:color w:val="auto"/>
              </w:rPr>
              <w:t>2,220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23,731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23,753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00" w:type="dxa"/>
            <w:vAlign w:val="bottom"/>
            <w:gridSpan w:val="2"/>
          </w:tcPr>
          <w:p>
            <w:pPr>
              <w:ind w:left="100"/>
              <w:spacing w:after="0" w:line="118" w:lineRule="exact"/>
              <w:rPr>
                <w:sz w:val="20"/>
                <w:szCs w:val="20"/>
                <w:color w:val="auto"/>
              </w:rPr>
            </w:pPr>
            <w:r>
              <w:rPr>
                <w:rFonts w:ascii="Arial" w:cs="Arial" w:eastAsia="Arial" w:hAnsi="Arial"/>
                <w:sz w:val="12"/>
                <w:szCs w:val="12"/>
                <w:color w:val="auto"/>
              </w:rPr>
              <w:t>Common Equivalent Preferred Unit</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00" w:type="dxa"/>
            <w:vAlign w:val="bottom"/>
            <w:gridSpan w:val="2"/>
          </w:tcPr>
          <w:p>
            <w:pPr>
              <w:ind w:left="100"/>
              <w:spacing w:after="0"/>
              <w:rPr>
                <w:sz w:val="20"/>
                <w:szCs w:val="20"/>
                <w:color w:val="auto"/>
              </w:rPr>
            </w:pPr>
            <w:r>
              <w:rPr>
                <w:rFonts w:ascii="Arial" w:cs="Arial" w:eastAsia="Arial" w:hAnsi="Arial"/>
                <w:sz w:val="12"/>
                <w:szCs w:val="12"/>
                <w:color w:val="auto"/>
              </w:rPr>
              <w:t>dividends ($0.02 per unit)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(4,380)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(4,380)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00" w:type="dxa"/>
            <w:vAlign w:val="bottom"/>
            <w:gridSpan w:val="2"/>
          </w:tcPr>
          <w:p>
            <w:pPr>
              <w:ind w:left="100"/>
              <w:spacing w:after="0" w:line="118" w:lineRule="exact"/>
              <w:rPr>
                <w:sz w:val="20"/>
                <w:szCs w:val="20"/>
                <w:color w:val="auto"/>
              </w:rPr>
            </w:pPr>
            <w:r>
              <w:rPr>
                <w:rFonts w:ascii="Arial" w:cs="Arial" w:eastAsia="Arial" w:hAnsi="Arial"/>
                <w:sz w:val="12"/>
                <w:szCs w:val="12"/>
                <w:color w:val="auto"/>
              </w:rPr>
              <w:t>Loss on extinguishment of Common</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00" w:type="dxa"/>
            <w:vAlign w:val="bottom"/>
            <w:gridSpan w:val="2"/>
          </w:tcPr>
          <w:p>
            <w:pPr>
              <w:ind w:left="100"/>
              <w:spacing w:after="0"/>
              <w:rPr>
                <w:sz w:val="20"/>
                <w:szCs w:val="20"/>
                <w:color w:val="auto"/>
              </w:rPr>
            </w:pPr>
            <w:r>
              <w:rPr>
                <w:rFonts w:ascii="Arial" w:cs="Arial" w:eastAsia="Arial" w:hAnsi="Arial"/>
                <w:sz w:val="12"/>
                <w:szCs w:val="12"/>
                <w:color w:val="auto"/>
              </w:rPr>
              <w:t>Equivalent Preferred units</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(2,870)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(2,870)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Other comprehensive income</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(10,095)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(10,095)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Equity-based compensation</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333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1,181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1,184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Net unit settlement</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(477)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(477)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Accumulating preferred dividends</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(13,882)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(13,882)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0" w:type="dxa"/>
            <w:vAlign w:val="bottom"/>
            <w:tcBorders>
              <w:top w:val="single" w:sz="8" w:color="CCEEFF"/>
            </w:tcBorders>
            <w:gridSpan w:val="2"/>
            <w:shd w:val="clear" w:color="auto" w:fill="CCEEFF"/>
          </w:tcPr>
          <w:p>
            <w:pPr>
              <w:ind w:left="100"/>
              <w:spacing w:after="0" w:line="126" w:lineRule="exact"/>
              <w:rPr>
                <w:sz w:val="20"/>
                <w:szCs w:val="20"/>
                <w:color w:val="auto"/>
              </w:rPr>
            </w:pPr>
            <w:r>
              <w:rPr>
                <w:rFonts w:ascii="Arial" w:cs="Arial" w:eastAsia="Arial" w:hAnsi="Arial"/>
                <w:sz w:val="12"/>
                <w:szCs w:val="12"/>
                <w:b w:val="1"/>
                <w:bCs w:val="1"/>
                <w:color w:val="auto"/>
              </w:rPr>
              <w:t>Balance at September 30, 2022</w:t>
            </w:r>
          </w:p>
        </w:tc>
        <w:tc>
          <w:tcPr>
            <w:tcW w:w="7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73,034</w:t>
            </w:r>
          </w:p>
        </w:tc>
        <w:tc>
          <w:tcPr>
            <w:tcW w:w="220" w:type="dxa"/>
            <w:vAlign w:val="bottom"/>
            <w:tcBorders>
              <w:top w:val="single" w:sz="8" w:color="CCEEFF"/>
            </w:tcBorders>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730</w:t>
            </w:r>
          </w:p>
        </w:tc>
        <w:tc>
          <w:tcPr>
            <w:tcW w:w="240" w:type="dxa"/>
            <w:vAlign w:val="bottom"/>
            <w:tcBorders>
              <w:top w:val="single" w:sz="8" w:color="CCEEFF"/>
            </w:tcBorders>
            <w:gridSpan w:val="2"/>
            <w:shd w:val="clear" w:color="auto" w:fill="CCEEFF"/>
          </w:tcPr>
          <w:p>
            <w:pPr>
              <w:ind w:left="120"/>
              <w:spacing w:after="0" w:line="126"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316,537</w:t>
            </w:r>
          </w:p>
        </w:tc>
        <w:tc>
          <w:tcPr>
            <w:tcW w:w="200" w:type="dxa"/>
            <w:vAlign w:val="bottom"/>
            <w:tcBorders>
              <w:top w:val="single" w:sz="8" w:color="CCEEFF"/>
            </w:tcBorders>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(296,442)</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1,923</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2,779</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25,527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40"/>
        <w:spacing w:after="0"/>
        <w:rPr>
          <w:sz w:val="20"/>
          <w:szCs w:val="20"/>
          <w:color w:val="auto"/>
        </w:rPr>
      </w:pPr>
      <w:r>
        <w:rPr>
          <w:rFonts w:ascii="Arial" w:cs="Arial" w:eastAsia="Arial" w:hAnsi="Arial"/>
          <w:sz w:val="12"/>
          <w:szCs w:val="12"/>
          <w:color w:val="auto"/>
        </w:rPr>
        <w:t>(1) Retroactively restated for de-SPAC merger transaction as described in Note 4.</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1500" w:right="1800"/>
        <w:spacing w:after="0" w:line="253" w:lineRule="auto"/>
        <w:rPr>
          <w:sz w:val="20"/>
          <w:szCs w:val="20"/>
          <w:color w:val="auto"/>
        </w:rPr>
      </w:pPr>
      <w:r>
        <w:rPr>
          <w:rFonts w:ascii="Arial" w:cs="Arial" w:eastAsia="Arial" w:hAnsi="Arial"/>
          <w:sz w:val="18"/>
          <w:szCs w:val="18"/>
          <w:b w:val="1"/>
          <w:bCs w:val="1"/>
          <w:color w:val="auto"/>
        </w:rPr>
        <w:t>WESTROCK COFFEE COMPANY CONDENSED CONSOLIDATED STATEMENTS OF CASH FLOWS (Unaudited)</w:t>
      </w:r>
    </w:p>
    <w:tbl>
      <w:tblPr>
        <w:tblLayout w:type="fixed"/>
        <w:tblInd w:w="4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920" w:type="dxa"/>
            <w:vAlign w:val="bottom"/>
            <w:vMerge w:val="restart"/>
          </w:tcPr>
          <w:p>
            <w:pPr>
              <w:spacing w:after="0"/>
              <w:rPr>
                <w:sz w:val="20"/>
                <w:szCs w:val="20"/>
                <w:color w:val="auto"/>
              </w:rPr>
            </w:pPr>
            <w:r>
              <w:rPr>
                <w:rFonts w:ascii="Arial" w:cs="Arial" w:eastAsia="Arial" w:hAnsi="Arial"/>
                <w:sz w:val="13"/>
                <w:szCs w:val="13"/>
                <w:color w:val="auto"/>
              </w:rPr>
              <w:t>(Thousands)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6"/>
          </w:tcPr>
          <w:p>
            <w:pPr>
              <w:ind w:left="180"/>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9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74"/>
              <w:spacing w:after="0" w:line="139" w:lineRule="exact"/>
              <w:rPr>
                <w:sz w:val="20"/>
                <w:szCs w:val="20"/>
                <w:color w:val="auto"/>
              </w:rPr>
            </w:pPr>
            <w:r>
              <w:rPr>
                <w:rFonts w:ascii="Arial" w:cs="Arial" w:eastAsia="Arial" w:hAnsi="Arial"/>
                <w:sz w:val="13"/>
                <w:szCs w:val="13"/>
                <w:b w:val="1"/>
                <w:bCs w:val="1"/>
                <w:color w:val="auto"/>
              </w:rPr>
              <w:t>2022</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94"/>
              <w:spacing w:after="0" w:line="139" w:lineRule="exact"/>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92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Cash flows from operating activities: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200"/>
              <w:spacing w:after="0" w:line="146" w:lineRule="exact"/>
              <w:rPr>
                <w:sz w:val="20"/>
                <w:szCs w:val="20"/>
                <w:color w:val="auto"/>
              </w:rPr>
            </w:pPr>
            <w:r>
              <w:rPr>
                <w:rFonts w:ascii="Arial" w:cs="Arial" w:eastAsia="Arial" w:hAnsi="Arial"/>
                <w:sz w:val="13"/>
                <w:szCs w:val="13"/>
                <w:color w:val="auto"/>
              </w:rPr>
              <w:t>Net loss</w:t>
            </w:r>
          </w:p>
        </w:tc>
        <w:tc>
          <w:tcPr>
            <w:tcW w:w="380" w:type="dxa"/>
            <w:vAlign w:val="bottom"/>
            <w:gridSpan w:val="2"/>
          </w:tcPr>
          <w:p>
            <w:pPr>
              <w:jc w:val="right"/>
              <w:ind w:right="130"/>
              <w:spacing w:after="0" w:line="146"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(23,542)</w:t>
            </w:r>
          </w:p>
        </w:tc>
        <w:tc>
          <w:tcPr>
            <w:tcW w:w="380" w:type="dxa"/>
            <w:vAlign w:val="bottom"/>
            <w:gridSpan w:val="2"/>
          </w:tcPr>
          <w:p>
            <w:pPr>
              <w:jc w:val="right"/>
              <w:ind w:right="190"/>
              <w:spacing w:after="0" w:line="146"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(16,082)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i w:val="1"/>
                <w:iCs w:val="1"/>
                <w:color w:val="auto"/>
              </w:rPr>
              <w:t>Adjustments to reconcile net loss to net cash provided by (used in) operating activities: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420"/>
              <w:spacing w:after="0" w:line="146" w:lineRule="exact"/>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17,782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18,386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Equity-based compensation</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420"/>
              <w:spacing w:after="0" w:line="146" w:lineRule="exact"/>
              <w:rPr>
                <w:sz w:val="20"/>
                <w:szCs w:val="20"/>
                <w:color w:val="auto"/>
              </w:rPr>
            </w:pPr>
            <w:r>
              <w:rPr>
                <w:rFonts w:ascii="Arial" w:cs="Arial" w:eastAsia="Arial" w:hAnsi="Arial"/>
                <w:sz w:val="13"/>
                <w:szCs w:val="13"/>
                <w:color w:val="auto"/>
              </w:rPr>
              <w:t>Paid-in-kind interest added to debt principal</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295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1,452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Provision for credit losses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1,286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420"/>
              <w:spacing w:after="0" w:line="146" w:lineRule="exact"/>
              <w:rPr>
                <w:sz w:val="20"/>
                <w:szCs w:val="20"/>
                <w:color w:val="auto"/>
              </w:rPr>
            </w:pPr>
            <w:r>
              <w:rPr>
                <w:rFonts w:ascii="Arial" w:cs="Arial" w:eastAsia="Arial" w:hAnsi="Arial"/>
                <w:sz w:val="13"/>
                <w:szCs w:val="13"/>
                <w:color w:val="auto"/>
              </w:rPr>
              <w:t>Amortization of deferred financing fees included in interest expense</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1,350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1,361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Write-off of unamortized deferred financing fees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4,296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420"/>
              <w:spacing w:after="0" w:line="146" w:lineRule="exact"/>
              <w:rPr>
                <w:sz w:val="20"/>
                <w:szCs w:val="20"/>
                <w:color w:val="auto"/>
              </w:rPr>
            </w:pPr>
            <w:r>
              <w:rPr>
                <w:rFonts w:ascii="Arial" w:cs="Arial" w:eastAsia="Arial" w:hAnsi="Arial"/>
                <w:sz w:val="13"/>
                <w:szCs w:val="13"/>
                <w:color w:val="auto"/>
              </w:rPr>
              <w:t>Loss on debt extinguishment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1,580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Loss (gain) on disposal of property, plant and equipment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748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420"/>
              <w:spacing w:after="0" w:line="146" w:lineRule="exact"/>
              <w:rPr>
                <w:sz w:val="20"/>
                <w:szCs w:val="20"/>
                <w:color w:val="auto"/>
              </w:rPr>
            </w:pPr>
            <w:r>
              <w:rPr>
                <w:rFonts w:ascii="Arial" w:cs="Arial" w:eastAsia="Arial" w:hAnsi="Arial"/>
                <w:sz w:val="13"/>
                <w:szCs w:val="13"/>
                <w:color w:val="auto"/>
              </w:rPr>
              <w:t>Mark-to-market adjustments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793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(1,979)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Change in fair value of warrant liabilities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5,215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420"/>
              <w:spacing w:after="0" w:line="146" w:lineRule="exact"/>
              <w:rPr>
                <w:sz w:val="20"/>
                <w:szCs w:val="20"/>
                <w:color w:val="auto"/>
              </w:rPr>
            </w:pPr>
            <w:r>
              <w:rPr>
                <w:rFonts w:ascii="Arial" w:cs="Arial" w:eastAsia="Arial" w:hAnsi="Arial"/>
                <w:sz w:val="13"/>
                <w:szCs w:val="13"/>
                <w:color w:val="auto"/>
              </w:rPr>
              <w:t>Foreign currency transactions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355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Deferred income tax (benefit) expense</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(3,511)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420"/>
              <w:spacing w:after="0" w:line="146" w:lineRule="exact"/>
              <w:rPr>
                <w:sz w:val="20"/>
                <w:szCs w:val="20"/>
                <w:color w:val="auto"/>
              </w:rPr>
            </w:pPr>
            <w:r>
              <w:rPr>
                <w:rFonts w:ascii="Arial" w:cs="Arial" w:eastAsia="Arial" w:hAnsi="Arial"/>
                <w:sz w:val="13"/>
                <w:szCs w:val="13"/>
                <w:i w:val="1"/>
                <w:iCs w:val="1"/>
                <w:color w:val="auto"/>
              </w:rPr>
              <w:t>Change in operating assets and liabilities: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620"/>
              <w:spacing w:after="0" w:line="146" w:lineRule="exact"/>
              <w:rPr>
                <w:sz w:val="20"/>
                <w:szCs w:val="20"/>
                <w:color w:val="auto"/>
              </w:rPr>
            </w:pPr>
            <w:r>
              <w:rPr>
                <w:rFonts w:ascii="Arial" w:cs="Arial" w:eastAsia="Arial" w:hAnsi="Arial"/>
                <w:sz w:val="13"/>
                <w:szCs w:val="13"/>
                <w:color w:val="auto"/>
              </w:rPr>
              <w:t>Accounts receivable</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(13,891)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(16,622)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620"/>
              <w:spacing w:after="0" w:line="146" w:lineRule="exact"/>
              <w:rPr>
                <w:sz w:val="20"/>
                <w:szCs w:val="20"/>
                <w:color w:val="auto"/>
              </w:rPr>
            </w:pPr>
            <w:r>
              <w:rPr>
                <w:rFonts w:ascii="Arial" w:cs="Arial" w:eastAsia="Arial" w:hAnsi="Arial"/>
                <w:sz w:val="13"/>
                <w:szCs w:val="13"/>
                <w:color w:val="auto"/>
              </w:rPr>
              <w:t>Inventories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(61,180)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(20,548)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620"/>
              <w:spacing w:after="0" w:line="146" w:lineRule="exact"/>
              <w:rPr>
                <w:sz w:val="20"/>
                <w:szCs w:val="20"/>
                <w:color w:val="auto"/>
              </w:rPr>
            </w:pPr>
            <w:r>
              <w:rPr>
                <w:rFonts w:ascii="Arial" w:cs="Arial" w:eastAsia="Arial" w:hAnsi="Arial"/>
                <w:sz w:val="13"/>
                <w:szCs w:val="13"/>
                <w:color w:val="auto"/>
              </w:rPr>
              <w:t>Derivative assets and liabilities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(14,661)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8,512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620"/>
              <w:spacing w:after="0" w:line="146" w:lineRule="exact"/>
              <w:rPr>
                <w:sz w:val="20"/>
                <w:szCs w:val="20"/>
                <w:color w:val="auto"/>
              </w:rPr>
            </w:pPr>
            <w:r>
              <w:rPr>
                <w:rFonts w:ascii="Arial" w:cs="Arial" w:eastAsia="Arial" w:hAnsi="Arial"/>
                <w:sz w:val="13"/>
                <w:szCs w:val="13"/>
                <w:color w:val="auto"/>
              </w:rPr>
              <w:t>Prepaid expense and other assets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(14,944)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(1,301)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620"/>
              <w:spacing w:after="0" w:line="146" w:lineRule="exact"/>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29,834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16,931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Borders>
              <w:bottom w:val="single" w:sz="8" w:color="CCEEFF"/>
            </w:tcBorders>
          </w:tcPr>
          <w:p>
            <w:pPr>
              <w:ind w:left="620"/>
              <w:spacing w:after="0" w:line="146" w:lineRule="exact"/>
              <w:rPr>
                <w:sz w:val="20"/>
                <w:szCs w:val="20"/>
                <w:color w:val="auto"/>
              </w:rPr>
            </w:pPr>
            <w:r>
              <w:rPr>
                <w:rFonts w:ascii="Arial" w:cs="Arial" w:eastAsia="Arial" w:hAnsi="Arial"/>
                <w:sz w:val="13"/>
                <w:szCs w:val="13"/>
                <w:color w:val="auto"/>
              </w:rPr>
              <w:t>Accrued liabilities and other</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7,477</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2,867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39" w:lineRule="exact"/>
              <w:rPr>
                <w:sz w:val="20"/>
                <w:szCs w:val="20"/>
                <w:color w:val="auto"/>
              </w:rPr>
            </w:pPr>
            <w:r>
              <w:rPr>
                <w:rFonts w:ascii="Arial" w:cs="Arial" w:eastAsia="Arial" w:hAnsi="Arial"/>
                <w:sz w:val="13"/>
                <w:szCs w:val="13"/>
                <w:color w:val="auto"/>
              </w:rPr>
              <w:t>Net cash used in operating activities</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(59,534)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(8,182)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920" w:type="dxa"/>
            <w:vAlign w:val="bottom"/>
          </w:tcPr>
          <w:p>
            <w:pPr>
              <w:spacing w:after="0" w:line="139" w:lineRule="exact"/>
              <w:rPr>
                <w:sz w:val="20"/>
                <w:szCs w:val="20"/>
                <w:color w:val="auto"/>
              </w:rPr>
            </w:pPr>
            <w:r>
              <w:rPr>
                <w:rFonts w:ascii="Arial" w:cs="Arial" w:eastAsia="Arial" w:hAnsi="Arial"/>
                <w:sz w:val="13"/>
                <w:szCs w:val="13"/>
                <w:b w:val="1"/>
                <w:bCs w:val="1"/>
                <w:color w:val="auto"/>
              </w:rPr>
              <w:t>Cash flows from investing activities: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Additions to property, plant and equipment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(22,966)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200"/>
              <w:spacing w:after="0" w:line="146" w:lineRule="exact"/>
              <w:rPr>
                <w:sz w:val="20"/>
                <w:szCs w:val="20"/>
                <w:color w:val="auto"/>
              </w:rPr>
            </w:pPr>
            <w:r>
              <w:rPr>
                <w:rFonts w:ascii="Arial" w:cs="Arial" w:eastAsia="Arial" w:hAnsi="Arial"/>
                <w:sz w:val="13"/>
                <w:szCs w:val="13"/>
                <w:color w:val="auto"/>
              </w:rPr>
              <w:t>Additions to intangible assets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(135)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(244)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Proceeds from sale of property, plant and equipment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3,300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1,060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920" w:type="dxa"/>
            <w:vAlign w:val="bottom"/>
          </w:tcPr>
          <w:p>
            <w:pPr>
              <w:ind w:left="200"/>
              <w:spacing w:after="0" w:line="139" w:lineRule="exact"/>
              <w:rPr>
                <w:sz w:val="20"/>
                <w:szCs w:val="20"/>
                <w:color w:val="auto"/>
              </w:rPr>
            </w:pPr>
            <w:r>
              <w:rPr>
                <w:rFonts w:ascii="Arial" w:cs="Arial" w:eastAsia="Arial" w:hAnsi="Arial"/>
                <w:sz w:val="13"/>
                <w:szCs w:val="13"/>
                <w:color w:val="auto"/>
              </w:rPr>
              <w:t>Net cash used in investing activities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39" w:lineRule="exact"/>
              <w:rPr>
                <w:sz w:val="20"/>
                <w:szCs w:val="20"/>
                <w:color w:val="auto"/>
              </w:rPr>
            </w:pPr>
            <w:r>
              <w:rPr>
                <w:rFonts w:ascii="Arial" w:cs="Arial" w:eastAsia="Arial" w:hAnsi="Arial"/>
                <w:sz w:val="13"/>
                <w:szCs w:val="13"/>
                <w:color w:val="auto"/>
              </w:rPr>
              <w:t>(19,801)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39" w:lineRule="exact"/>
              <w:rPr>
                <w:sz w:val="20"/>
                <w:szCs w:val="20"/>
                <w:color w:val="auto"/>
              </w:rPr>
            </w:pPr>
            <w:r>
              <w:rPr>
                <w:rFonts w:ascii="Arial" w:cs="Arial" w:eastAsia="Arial" w:hAnsi="Arial"/>
                <w:sz w:val="13"/>
                <w:szCs w:val="13"/>
                <w:color w:val="auto"/>
              </w:rPr>
              <w:t>(11,729)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Cash flows from financing activities: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200"/>
              <w:spacing w:after="0" w:line="146" w:lineRule="exact"/>
              <w:rPr>
                <w:sz w:val="20"/>
                <w:szCs w:val="20"/>
                <w:color w:val="auto"/>
              </w:rPr>
            </w:pPr>
            <w:r>
              <w:rPr>
                <w:rFonts w:ascii="Arial" w:cs="Arial" w:eastAsia="Arial" w:hAnsi="Arial"/>
                <w:sz w:val="13"/>
                <w:szCs w:val="13"/>
                <w:color w:val="auto"/>
              </w:rPr>
              <w:t>Payments on debt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(407,384)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(74,881)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Proceeds from debt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319,100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90,980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200"/>
              <w:spacing w:after="0" w:line="146" w:lineRule="exact"/>
              <w:rPr>
                <w:sz w:val="20"/>
                <w:szCs w:val="20"/>
                <w:color w:val="auto"/>
              </w:rPr>
            </w:pPr>
            <w:r>
              <w:rPr>
                <w:rFonts w:ascii="Arial" w:cs="Arial" w:eastAsia="Arial" w:hAnsi="Arial"/>
                <w:sz w:val="13"/>
                <w:szCs w:val="13"/>
                <w:color w:val="auto"/>
              </w:rPr>
              <w:t>Proceeds from related party debt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11,700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Debt extinguishment costs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(1,580)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200"/>
              <w:spacing w:after="0" w:line="146" w:lineRule="exact"/>
              <w:rPr>
                <w:sz w:val="20"/>
                <w:szCs w:val="20"/>
                <w:color w:val="auto"/>
              </w:rPr>
            </w:pPr>
            <w:r>
              <w:rPr>
                <w:rFonts w:ascii="Arial" w:cs="Arial" w:eastAsia="Arial" w:hAnsi="Arial"/>
                <w:sz w:val="13"/>
                <w:szCs w:val="13"/>
                <w:color w:val="auto"/>
              </w:rPr>
              <w:t>Payment of debt issuance costs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(6,007)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(597)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Proceeds from de-SPAC merger and PIPE financing</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255,737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200"/>
              <w:spacing w:after="0" w:line="146" w:lineRule="exact"/>
              <w:rPr>
                <w:sz w:val="20"/>
                <w:szCs w:val="20"/>
                <w:color w:val="auto"/>
              </w:rPr>
            </w:pPr>
            <w:r>
              <w:rPr>
                <w:rFonts w:ascii="Arial" w:cs="Arial" w:eastAsia="Arial" w:hAnsi="Arial"/>
                <w:sz w:val="13"/>
                <w:szCs w:val="13"/>
                <w:color w:val="auto"/>
              </w:rPr>
              <w:t>Payment of common equity issuance costs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(24,220)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Payment of preferred equity issuance costs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(1,250)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200"/>
              <w:spacing w:after="0" w:line="146" w:lineRule="exact"/>
              <w:rPr>
                <w:sz w:val="20"/>
                <w:szCs w:val="20"/>
                <w:color w:val="auto"/>
              </w:rPr>
            </w:pPr>
            <w:r>
              <w:rPr>
                <w:rFonts w:ascii="Arial" w:cs="Arial" w:eastAsia="Arial" w:hAnsi="Arial"/>
                <w:sz w:val="13"/>
                <w:szCs w:val="13"/>
                <w:color w:val="auto"/>
              </w:rPr>
              <w:t>Net proceeds from repurchase agreements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10,951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6" w:lineRule="exact"/>
              <w:rPr>
                <w:sz w:val="20"/>
                <w:szCs w:val="20"/>
                <w:color w:val="auto"/>
              </w:rPr>
            </w:pPr>
            <w:r>
              <w:rPr>
                <w:rFonts w:ascii="Arial" w:cs="Arial" w:eastAsia="Arial" w:hAnsi="Arial"/>
                <w:sz w:val="13"/>
                <w:szCs w:val="13"/>
                <w:color w:val="auto"/>
              </w:rPr>
              <w:t>Common equivalent preferred dividends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(4,380)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200"/>
              <w:spacing w:after="0" w:line="146" w:lineRule="exact"/>
              <w:rPr>
                <w:sz w:val="20"/>
                <w:szCs w:val="20"/>
                <w:color w:val="auto"/>
              </w:rPr>
            </w:pPr>
            <w:r>
              <w:rPr>
                <w:rFonts w:ascii="Arial" w:cs="Arial" w:eastAsia="Arial" w:hAnsi="Arial"/>
                <w:sz w:val="13"/>
                <w:szCs w:val="13"/>
                <w:color w:val="auto"/>
              </w:rPr>
              <w:t>Net unit settlement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(477)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920" w:type="dxa"/>
            <w:vAlign w:val="bottom"/>
            <w:tcBorders>
              <w:top w:val="single" w:sz="8" w:color="CCEEFF"/>
            </w:tcBorders>
            <w:shd w:val="clear" w:color="auto" w:fill="CCEEFF"/>
          </w:tcPr>
          <w:p>
            <w:pPr>
              <w:ind w:left="200"/>
              <w:spacing w:after="0" w:line="139" w:lineRule="exact"/>
              <w:rPr>
                <w:sz w:val="20"/>
                <w:szCs w:val="20"/>
                <w:color w:val="auto"/>
              </w:rPr>
            </w:pPr>
            <w:r>
              <w:rPr>
                <w:rFonts w:ascii="Arial" w:cs="Arial" w:eastAsia="Arial" w:hAnsi="Arial"/>
                <w:sz w:val="13"/>
                <w:szCs w:val="13"/>
                <w:color w:val="auto"/>
              </w:rPr>
              <w:t>Net cash provided by financing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152,190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15,340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200"/>
              <w:spacing w:after="0" w:line="146" w:lineRule="exact"/>
              <w:rPr>
                <w:sz w:val="20"/>
                <w:szCs w:val="20"/>
                <w:color w:val="auto"/>
              </w:rPr>
            </w:pPr>
            <w:r>
              <w:rPr>
                <w:rFonts w:ascii="Arial" w:cs="Arial" w:eastAsia="Arial" w:hAnsi="Arial"/>
                <w:sz w:val="13"/>
                <w:szCs w:val="13"/>
                <w:color w:val="auto"/>
              </w:rPr>
              <w:t>Effect of exchange rate changes on cash</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(179)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92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3"/>
                <w:szCs w:val="13"/>
                <w:color w:val="auto"/>
              </w:rPr>
              <w:t>Net increase (decrease) in cash and cash equivalents and restricted cash</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72,676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(4,458)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line="146" w:lineRule="exact"/>
              <w:rPr>
                <w:sz w:val="20"/>
                <w:szCs w:val="20"/>
                <w:color w:val="auto"/>
              </w:rPr>
            </w:pPr>
            <w:r>
              <w:rPr>
                <w:rFonts w:ascii="Arial" w:cs="Arial" w:eastAsia="Arial" w:hAnsi="Arial"/>
                <w:sz w:val="13"/>
                <w:szCs w:val="13"/>
                <w:color w:val="auto"/>
              </w:rPr>
              <w:t>Cash and cash equivalents and restricted cash at beginning of period</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22,870</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18,652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920" w:type="dxa"/>
            <w:vAlign w:val="bottom"/>
            <w:tcBorders>
              <w:bottom w:val="single" w:sz="8" w:color="CCEEFF"/>
            </w:tcBorders>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Cash and cash equivalents and restricted cash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95,546</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14,194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Supplemental non-cash investing and financing activities: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100"/>
              <w:spacing w:after="0" w:line="146" w:lineRule="exact"/>
              <w:rPr>
                <w:sz w:val="20"/>
                <w:szCs w:val="20"/>
                <w:color w:val="auto"/>
              </w:rPr>
            </w:pPr>
            <w:r>
              <w:rPr>
                <w:rFonts w:ascii="Arial" w:cs="Arial" w:eastAsia="Arial" w:hAnsi="Arial"/>
                <w:sz w:val="13"/>
                <w:szCs w:val="13"/>
                <w:color w:val="auto"/>
              </w:rPr>
              <w:t>Property, plant and equipment acquired but not yet paid</w:t>
            </w:r>
          </w:p>
        </w:tc>
        <w:tc>
          <w:tcPr>
            <w:tcW w:w="380" w:type="dxa"/>
            <w:vAlign w:val="bottom"/>
            <w:gridSpan w:val="2"/>
          </w:tcPr>
          <w:p>
            <w:pPr>
              <w:jc w:val="right"/>
              <w:ind w:right="130"/>
              <w:spacing w:after="0" w:line="146" w:lineRule="exact"/>
              <w:rPr>
                <w:sz w:val="20"/>
                <w:szCs w:val="20"/>
                <w:color w:val="auto"/>
              </w:rPr>
            </w:pPr>
            <w:r>
              <w:rPr>
                <w:rFonts w:ascii="Arial" w:cs="Arial" w:eastAsia="Arial" w:hAnsi="Arial"/>
                <w:sz w:val="13"/>
                <w:szCs w:val="13"/>
                <w:color w:val="auto"/>
              </w:rPr>
              <w:t>$</w:t>
            </w: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596</w:t>
            </w:r>
          </w:p>
        </w:tc>
        <w:tc>
          <w:tcPr>
            <w:tcW w:w="60" w:type="dxa"/>
            <w:vAlign w:val="bottom"/>
          </w:tcPr>
          <w:p>
            <w:pPr>
              <w:spacing w:after="0"/>
              <w:rPr>
                <w:sz w:val="12"/>
                <w:szCs w:val="12"/>
                <w:color w:val="auto"/>
              </w:rPr>
            </w:pPr>
          </w:p>
        </w:tc>
        <w:tc>
          <w:tcPr>
            <w:tcW w:w="380" w:type="dxa"/>
            <w:vAlign w:val="bottom"/>
            <w:gridSpan w:val="2"/>
          </w:tcPr>
          <w:p>
            <w:pPr>
              <w:jc w:val="right"/>
              <w:ind w:right="190"/>
              <w:spacing w:after="0" w:line="146"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Accumulating preferred dividends</w:t>
            </w:r>
          </w:p>
        </w:tc>
        <w:tc>
          <w:tcPr>
            <w:tcW w:w="380" w:type="dxa"/>
            <w:vAlign w:val="bottom"/>
            <w:gridSpan w:val="2"/>
            <w:shd w:val="clear" w:color="auto" w:fill="CCEEFF"/>
          </w:tcPr>
          <w:p>
            <w:pPr>
              <w:jc w:val="right"/>
              <w:ind w:right="130"/>
              <w:spacing w:after="0" w:line="146"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13,882</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90"/>
              <w:spacing w:after="0" w:line="146"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17,957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100"/>
              <w:spacing w:after="0" w:line="146" w:lineRule="exact"/>
              <w:rPr>
                <w:sz w:val="20"/>
                <w:szCs w:val="20"/>
                <w:color w:val="auto"/>
              </w:rPr>
            </w:pPr>
            <w:r>
              <w:rPr>
                <w:rFonts w:ascii="Arial" w:cs="Arial" w:eastAsia="Arial" w:hAnsi="Arial"/>
                <w:sz w:val="13"/>
                <w:szCs w:val="13"/>
                <w:color w:val="auto"/>
                <w:w w:val="95"/>
              </w:rPr>
              <w:t>Exchange of Redeemable Common Equivalent Preferred Units for Series A Convertible Preferred Shares</w:t>
            </w:r>
          </w:p>
        </w:tc>
        <w:tc>
          <w:tcPr>
            <w:tcW w:w="380" w:type="dxa"/>
            <w:vAlign w:val="bottom"/>
            <w:gridSpan w:val="2"/>
          </w:tcPr>
          <w:p>
            <w:pPr>
              <w:jc w:val="right"/>
              <w:ind w:right="130"/>
              <w:spacing w:after="0" w:line="146" w:lineRule="exact"/>
              <w:rPr>
                <w:sz w:val="20"/>
                <w:szCs w:val="20"/>
                <w:color w:val="auto"/>
              </w:rPr>
            </w:pPr>
            <w:r>
              <w:rPr>
                <w:rFonts w:ascii="Arial" w:cs="Arial" w:eastAsia="Arial" w:hAnsi="Arial"/>
                <w:sz w:val="13"/>
                <w:szCs w:val="13"/>
                <w:color w:val="auto"/>
              </w:rPr>
              <w:t>$</w:t>
            </w: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271,539</w:t>
            </w:r>
          </w:p>
        </w:tc>
        <w:tc>
          <w:tcPr>
            <w:tcW w:w="60" w:type="dxa"/>
            <w:vAlign w:val="bottom"/>
          </w:tcPr>
          <w:p>
            <w:pPr>
              <w:spacing w:after="0"/>
              <w:rPr>
                <w:sz w:val="12"/>
                <w:szCs w:val="12"/>
                <w:color w:val="auto"/>
              </w:rPr>
            </w:pPr>
          </w:p>
        </w:tc>
        <w:tc>
          <w:tcPr>
            <w:tcW w:w="380" w:type="dxa"/>
            <w:vAlign w:val="bottom"/>
            <w:gridSpan w:val="2"/>
          </w:tcPr>
          <w:p>
            <w:pPr>
              <w:jc w:val="right"/>
              <w:ind w:right="190"/>
              <w:spacing w:after="0" w:line="146"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Exchange of Redeemable Common Equivalent Preferred Units for common shares</w:t>
            </w:r>
          </w:p>
        </w:tc>
        <w:tc>
          <w:tcPr>
            <w:tcW w:w="380" w:type="dxa"/>
            <w:vAlign w:val="bottom"/>
            <w:gridSpan w:val="2"/>
            <w:shd w:val="clear" w:color="auto" w:fill="CCEEFF"/>
          </w:tcPr>
          <w:p>
            <w:pPr>
              <w:jc w:val="right"/>
              <w:ind w:right="130"/>
              <w:spacing w:after="0" w:line="146"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24,214</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90"/>
              <w:spacing w:after="0" w:line="146"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Pr>
          <w:p>
            <w:pPr>
              <w:ind w:left="100"/>
              <w:spacing w:after="0" w:line="146" w:lineRule="exact"/>
              <w:rPr>
                <w:sz w:val="20"/>
                <w:szCs w:val="20"/>
                <w:color w:val="auto"/>
              </w:rPr>
            </w:pPr>
            <w:r>
              <w:rPr>
                <w:rFonts w:ascii="Arial" w:cs="Arial" w:eastAsia="Arial" w:hAnsi="Arial"/>
                <w:sz w:val="13"/>
                <w:szCs w:val="13"/>
                <w:color w:val="auto"/>
              </w:rPr>
              <w:t>Related party debt exchanged for common shares</w:t>
            </w:r>
          </w:p>
        </w:tc>
        <w:tc>
          <w:tcPr>
            <w:tcW w:w="380" w:type="dxa"/>
            <w:vAlign w:val="bottom"/>
            <w:gridSpan w:val="2"/>
          </w:tcPr>
          <w:p>
            <w:pPr>
              <w:jc w:val="right"/>
              <w:ind w:right="130"/>
              <w:spacing w:after="0" w:line="146" w:lineRule="exact"/>
              <w:rPr>
                <w:sz w:val="20"/>
                <w:szCs w:val="20"/>
                <w:color w:val="auto"/>
              </w:rPr>
            </w:pPr>
            <w:r>
              <w:rPr>
                <w:rFonts w:ascii="Arial" w:cs="Arial" w:eastAsia="Arial" w:hAnsi="Arial"/>
                <w:sz w:val="13"/>
                <w:szCs w:val="13"/>
                <w:color w:val="auto"/>
              </w:rPr>
              <w:t>$</w:t>
            </w:r>
          </w:p>
        </w:tc>
        <w:tc>
          <w:tcPr>
            <w:tcW w:w="1100" w:type="dxa"/>
            <w:vAlign w:val="bottom"/>
          </w:tcPr>
          <w:p>
            <w:pPr>
              <w:jc w:val="right"/>
              <w:spacing w:after="0" w:line="146" w:lineRule="exact"/>
              <w:rPr>
                <w:sz w:val="20"/>
                <w:szCs w:val="20"/>
                <w:color w:val="auto"/>
              </w:rPr>
            </w:pPr>
            <w:r>
              <w:rPr>
                <w:rFonts w:ascii="Arial" w:cs="Arial" w:eastAsia="Arial" w:hAnsi="Arial"/>
                <w:sz w:val="13"/>
                <w:szCs w:val="13"/>
                <w:color w:val="auto"/>
              </w:rPr>
              <w:t>25,000</w:t>
            </w:r>
          </w:p>
        </w:tc>
        <w:tc>
          <w:tcPr>
            <w:tcW w:w="60" w:type="dxa"/>
            <w:vAlign w:val="bottom"/>
          </w:tcPr>
          <w:p>
            <w:pPr>
              <w:spacing w:after="0"/>
              <w:rPr>
                <w:sz w:val="12"/>
                <w:szCs w:val="12"/>
                <w:color w:val="auto"/>
              </w:rPr>
            </w:pPr>
          </w:p>
        </w:tc>
        <w:tc>
          <w:tcPr>
            <w:tcW w:w="380" w:type="dxa"/>
            <w:vAlign w:val="bottom"/>
            <w:gridSpan w:val="2"/>
          </w:tcPr>
          <w:p>
            <w:pPr>
              <w:jc w:val="right"/>
              <w:ind w:right="190"/>
              <w:spacing w:after="0" w:line="146"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Loss on extinguishment of Common Equivalent Preferred Units</w:t>
            </w:r>
          </w:p>
        </w:tc>
        <w:tc>
          <w:tcPr>
            <w:tcW w:w="380" w:type="dxa"/>
            <w:vAlign w:val="bottom"/>
            <w:gridSpan w:val="2"/>
            <w:shd w:val="clear" w:color="auto" w:fill="CCEEFF"/>
          </w:tcPr>
          <w:p>
            <w:pPr>
              <w:jc w:val="right"/>
              <w:ind w:right="130"/>
              <w:spacing w:after="0" w:line="146"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2,870</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90"/>
              <w:spacing w:after="0" w:line="146"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1"/>
        </w:trPr>
        <w:tc>
          <w:tcPr>
            <w:tcW w:w="5940" w:type="dxa"/>
            <w:vAlign w:val="bottom"/>
            <w:gridSpan w:val="2"/>
          </w:tcPr>
          <w:p>
            <w:pPr>
              <w:spacing w:after="0"/>
              <w:rPr>
                <w:sz w:val="20"/>
                <w:szCs w:val="20"/>
                <w:color w:val="auto"/>
              </w:rPr>
            </w:pPr>
            <w:r>
              <w:rPr>
                <w:rFonts w:ascii="Arial" w:cs="Arial" w:eastAsia="Arial" w:hAnsi="Arial"/>
                <w:sz w:val="13"/>
                <w:szCs w:val="13"/>
                <w:color w:val="auto"/>
              </w:rPr>
              <w:t>The total cash and cash equivalents and restricted cash is as follows: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5980" w:type="dxa"/>
            <w:vAlign w:val="bottom"/>
            <w:gridSpan w:val="2"/>
          </w:tcPr>
          <w:p>
            <w:pPr>
              <w:spacing w:after="0"/>
              <w:rPr>
                <w:sz w:val="20"/>
                <w:szCs w:val="20"/>
                <w:color w:val="auto"/>
              </w:rPr>
            </w:pPr>
            <w:r>
              <w:rPr>
                <w:rFonts w:ascii="Arial" w:cs="Arial" w:eastAsia="Arial" w:hAnsi="Arial"/>
                <w:sz w:val="13"/>
                <w:szCs w:val="13"/>
                <w:color w:val="auto"/>
              </w:rPr>
              <w:t>(Thousands)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14"/>
              <w:spacing w:after="0"/>
              <w:rPr>
                <w:sz w:val="20"/>
                <w:szCs w:val="20"/>
                <w:color w:val="auto"/>
              </w:rPr>
            </w:pPr>
            <w:r>
              <w:rPr>
                <w:rFonts w:ascii="Arial" w:cs="Arial" w:eastAsia="Arial" w:hAnsi="Arial"/>
                <w:sz w:val="13"/>
                <w:szCs w:val="13"/>
                <w:b w:val="1"/>
                <w:bCs w:val="1"/>
                <w:color w:val="auto"/>
                <w:w w:val="88"/>
              </w:rPr>
              <w:t>September 30, 2022</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Arial" w:cs="Arial" w:eastAsia="Arial" w:hAnsi="Arial"/>
                <w:sz w:val="13"/>
                <w:szCs w:val="13"/>
                <w:b w:val="1"/>
                <w:bCs w:val="1"/>
                <w:color w:val="auto"/>
                <w:w w:val="90"/>
              </w:rPr>
              <w:t>September 30, 2021</w:t>
            </w:r>
          </w:p>
        </w:tc>
      </w:tr>
      <w:tr>
        <w:trPr>
          <w:trHeight w:val="139"/>
        </w:trPr>
        <w:tc>
          <w:tcPr>
            <w:tcW w:w="20" w:type="dxa"/>
            <w:vAlign w:val="bottom"/>
          </w:tcPr>
          <w:p>
            <w:pPr>
              <w:spacing w:after="0"/>
              <w:rPr>
                <w:sz w:val="12"/>
                <w:szCs w:val="12"/>
                <w:color w:val="auto"/>
              </w:rPr>
            </w:pPr>
          </w:p>
        </w:tc>
        <w:tc>
          <w:tcPr>
            <w:tcW w:w="596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3"/>
                <w:szCs w:val="13"/>
                <w:color w:val="auto"/>
              </w:rPr>
              <w:t>Cash and cash equivalents</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90,984</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12,596</w:t>
            </w:r>
          </w:p>
        </w:tc>
      </w:tr>
      <w:tr>
        <w:trPr>
          <w:trHeight w:val="146"/>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line="146" w:lineRule="exact"/>
              <w:rPr>
                <w:sz w:val="20"/>
                <w:szCs w:val="20"/>
                <w:color w:val="auto"/>
              </w:rPr>
            </w:pPr>
            <w:r>
              <w:rPr>
                <w:rFonts w:ascii="Arial" w:cs="Arial" w:eastAsia="Arial" w:hAnsi="Arial"/>
                <w:sz w:val="13"/>
                <w:szCs w:val="13"/>
                <w:color w:val="auto"/>
              </w:rPr>
              <w:t>Restricted cash</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4,562</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1,598</w:t>
            </w:r>
          </w:p>
        </w:tc>
      </w:tr>
      <w:tr>
        <w:trPr>
          <w:trHeight w:val="139"/>
        </w:trPr>
        <w:tc>
          <w:tcPr>
            <w:tcW w:w="20" w:type="dxa"/>
            <w:vAlign w:val="bottom"/>
          </w:tcPr>
          <w:p>
            <w:pPr>
              <w:spacing w:after="0"/>
              <w:rPr>
                <w:sz w:val="12"/>
                <w:szCs w:val="12"/>
                <w:color w:val="auto"/>
              </w:rPr>
            </w:pPr>
          </w:p>
        </w:tc>
        <w:tc>
          <w:tcPr>
            <w:tcW w:w="5960" w:type="dxa"/>
            <w:vAlign w:val="bottom"/>
            <w:tcBorders>
              <w:bottom w:val="single" w:sz="8" w:color="CCEEFF"/>
            </w:tcBorders>
            <w:shd w:val="clear" w:color="auto" w:fill="CCEEFF"/>
          </w:tcPr>
          <w:p>
            <w:pPr>
              <w:spacing w:after="0" w:line="139" w:lineRule="exact"/>
              <w:rPr>
                <w:sz w:val="20"/>
                <w:szCs w:val="20"/>
                <w:color w:val="auto"/>
              </w:rPr>
            </w:pPr>
            <w:r>
              <w:rPr>
                <w:rFonts w:ascii="Arial" w:cs="Arial" w:eastAsia="Arial" w:hAnsi="Arial"/>
                <w:sz w:val="13"/>
                <w:szCs w:val="13"/>
                <w:color w:val="auto"/>
              </w:rPr>
              <w:t>Total</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95,546</w:t>
            </w: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14,194</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WESTROCK COFFEE COMPANY</w:t>
      </w:r>
    </w:p>
    <w:p>
      <w:pPr>
        <w:spacing w:after="0" w:line="22" w:lineRule="exact"/>
        <w:rPr>
          <w:sz w:val="20"/>
          <w:szCs w:val="20"/>
          <w:color w:val="auto"/>
        </w:rPr>
      </w:pPr>
    </w:p>
    <w:p>
      <w:pPr>
        <w:ind w:left="4040" w:right="1299" w:hanging="2116"/>
        <w:spacing w:after="0" w:line="25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3" w:lineRule="exact"/>
        <w:rPr>
          <w:sz w:val="20"/>
          <w:szCs w:val="20"/>
          <w:color w:val="auto"/>
        </w:rPr>
      </w:pPr>
    </w:p>
    <w:p>
      <w:pPr>
        <w:ind w:left="40" w:right="159"/>
        <w:spacing w:after="0" w:line="318" w:lineRule="auto"/>
        <w:rPr>
          <w:sz w:val="20"/>
          <w:szCs w:val="20"/>
          <w:color w:val="auto"/>
        </w:rPr>
      </w:pPr>
      <w:r>
        <w:rPr>
          <w:rFonts w:ascii="Arial" w:cs="Arial" w:eastAsia="Arial" w:hAnsi="Arial"/>
          <w:sz w:val="15"/>
          <w:szCs w:val="15"/>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w:t>
      </w:r>
    </w:p>
    <w:p>
      <w:pPr>
        <w:spacing w:after="0" w:line="146" w:lineRule="exact"/>
        <w:rPr>
          <w:sz w:val="20"/>
          <w:szCs w:val="20"/>
          <w:color w:val="auto"/>
        </w:rPr>
      </w:pPr>
    </w:p>
    <w:p>
      <w:pPr>
        <w:ind w:left="40" w:right="159"/>
        <w:spacing w:after="0" w:line="318" w:lineRule="auto"/>
        <w:rPr>
          <w:sz w:val="20"/>
          <w:szCs w:val="20"/>
          <w:color w:val="auto"/>
        </w:rPr>
      </w:pPr>
      <w:r>
        <w:rPr>
          <w:rFonts w:ascii="Arial" w:cs="Arial" w:eastAsia="Arial" w:hAnsi="Arial"/>
          <w:sz w:val="15"/>
          <w:szCs w:val="15"/>
          <w:color w:val="auto"/>
        </w:rPr>
        <w:t>The Company has an 85% ownership interest in Falcon Coffees Limited, which operates our trading business and is reported within our Sustainable Sourcing &amp; Traceability segment. Equity interests not owned by us are reflected as non-controlling interests. In the Condensed Consolidated Statements of Operations, we allocate net income (loss) attributable to non-controlling interest to arrive at net income (loss) attributable to common shareholders based on their proportionate share.</w:t>
      </w:r>
    </w:p>
    <w:p>
      <w:pPr>
        <w:spacing w:after="0" w:line="146" w:lineRule="exact"/>
        <w:rPr>
          <w:sz w:val="20"/>
          <w:szCs w:val="20"/>
          <w:color w:val="auto"/>
        </w:rPr>
      </w:pPr>
    </w:p>
    <w:p>
      <w:pPr>
        <w:ind w:left="40" w:right="259"/>
        <w:spacing w:after="0" w:line="264" w:lineRule="auto"/>
        <w:rPr>
          <w:sz w:val="20"/>
          <w:szCs w:val="20"/>
          <w:color w:val="auto"/>
        </w:rPr>
      </w:pPr>
      <w:r>
        <w:rPr>
          <w:rFonts w:ascii="Arial" w:cs="Arial" w:eastAsia="Arial" w:hAnsi="Arial"/>
          <w:sz w:val="18"/>
          <w:szCs w:val="18"/>
          <w:color w:val="auto"/>
        </w:rPr>
        <w:t>The Company operates seven manufacturing facilities, three of which are located in Concord, North Carolina, two in North Little Rock, Arkansas, one in Kigali, Rwanda, and one in Johor Bahru, Malaysia.</w:t>
      </w:r>
    </w:p>
    <w:p>
      <w:pPr>
        <w:spacing w:after="0" w:line="181" w:lineRule="exact"/>
        <w:rPr>
          <w:sz w:val="20"/>
          <w:szCs w:val="20"/>
          <w:color w:val="auto"/>
        </w:rPr>
      </w:pPr>
    </w:p>
    <w:p>
      <w:pPr>
        <w:ind w:left="40" w:right="59"/>
        <w:spacing w:after="0" w:line="263" w:lineRule="auto"/>
        <w:rPr>
          <w:sz w:val="20"/>
          <w:szCs w:val="20"/>
          <w:color w:val="auto"/>
        </w:rPr>
      </w:pPr>
      <w:r>
        <w:rPr>
          <w:rFonts w:ascii="Arial" w:cs="Arial" w:eastAsia="Arial" w:hAnsi="Arial"/>
          <w:sz w:val="17"/>
          <w:szCs w:val="17"/>
          <w:color w:val="auto"/>
        </w:rPr>
        <w:t>On August 26, 2022 (the “Closing Date”), pursuant to the terms of the Transaction Agreement, dated April 4, 2022, by and among the Company, Riverview Acquisition Corp., a special purpose acquisition vehicle and a Delaware corporation (“Riverview”), Origin Merger Sub I, Inc. (“Merger Sub I”), and Origin Merger Sub II, LLC (“Merger Sub II”) (as amended, modified or supplemented, the “Transaction Agreement”), the Company completed its de-SPAC merger transaction with Riverview (the “Transaction”). In connection with the closing of the Transaction (the “Closing”), the Company converted from a Delaware limited liability company to a Delaware corporation (the “Conversion”) and changed its corporate name from “Westrock Coffee Holdings, LLC” (the “Converting Company”) to “Westrock Coffee Company.” Pursuant to the Transaction Agreement, Merger Sub I merged with and into Riverview, with Riverview surviving the merger as a direct wholly owned subsidiary of Westrock (such merger, the “SPAC Merger”) and immediately following the consummation of the SPAC Merger, Riverview merged with and into Merger Sub II, with Merger Sub II surviving the merger as a direct wholly owned subsidiary of Westrock (the “LLC Merger”, and together with the SPAC Merger, the “Mergers”). See Note 4 for additional disclosures related to the Transaction.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Basis of Presentation and Consolidation</w:t>
      </w:r>
    </w:p>
    <w:p>
      <w:pPr>
        <w:spacing w:after="0" w:line="223" w:lineRule="exact"/>
        <w:rPr>
          <w:sz w:val="20"/>
          <w:szCs w:val="20"/>
          <w:color w:val="auto"/>
        </w:rPr>
      </w:pPr>
    </w:p>
    <w:p>
      <w:pPr>
        <w:ind w:left="40" w:right="279"/>
        <w:spacing w:after="0" w:line="309" w:lineRule="auto"/>
        <w:rPr>
          <w:sz w:val="20"/>
          <w:szCs w:val="20"/>
          <w:color w:val="auto"/>
        </w:rPr>
      </w:pPr>
      <w:r>
        <w:rPr>
          <w:rFonts w:ascii="Arial" w:cs="Arial" w:eastAsia="Arial" w:hAnsi="Arial"/>
          <w:sz w:val="15"/>
          <w:szCs w:val="15"/>
          <w:color w:val="auto"/>
        </w:rPr>
        <w:t>The accompanying Condensed Consolidated Financial Statements have been prepared in accordance with U.S. generally accepted accounting principles (“GAAP”) using the U.S. dollar as the reporting currency. They do not include all the information and footnotes required by GAAP for complete financial statements. The Condensed Consolidated Financial Statements include the activities of the Company and its wholly owned and/or controlled subsidiaries. All intercompany balances and transactions have been eliminated. The Condensed Consolidated Balance Sheet as of December 31, 2021 was derived from the audited financial statements, but does not include all disclosures required by GAAP.</w:t>
      </w:r>
    </w:p>
    <w:p>
      <w:pPr>
        <w:spacing w:after="0" w:line="152" w:lineRule="exact"/>
        <w:rPr>
          <w:sz w:val="20"/>
          <w:szCs w:val="20"/>
          <w:color w:val="auto"/>
        </w:rPr>
      </w:pPr>
    </w:p>
    <w:p>
      <w:pPr>
        <w:ind w:left="40" w:right="99"/>
        <w:spacing w:after="0" w:line="305" w:lineRule="auto"/>
        <w:rPr>
          <w:sz w:val="20"/>
          <w:szCs w:val="20"/>
          <w:color w:val="auto"/>
        </w:rPr>
      </w:pPr>
      <w:r>
        <w:rPr>
          <w:rFonts w:ascii="Arial" w:cs="Arial" w:eastAsia="Arial" w:hAnsi="Arial"/>
          <w:sz w:val="15"/>
          <w:szCs w:val="15"/>
          <w:color w:val="auto"/>
        </w:rPr>
        <w:t>The interim financial information is unaudited but, in the opinion of management, all adjustments (consisting of normal recurring accruals) considered necessary for fair statement of results for the interim periods have been included. Operating results from any interim period are not necessarily indicative of the results that may be expected for the full fiscal year. The Condensed Consolidated Financial Statements and related notes should be read in conjunction with the audited December 31, 2021 consolidated financial statements and notes thereto included in our Registration Statement on Form S-1 filed with the U.S. Securities and Exchange Commission (“SEC”) on September 20, 2022. Accordingly, certain significant accounting policies and other disclosures normally provided have been omitted from the accompanying Condensed Consolidated Financial Statements and related notes since such items are disclosed in our audited financial statements.</w:t>
      </w:r>
    </w:p>
    <w:p>
      <w:pPr>
        <w:spacing w:after="0" w:line="36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Use of Estimates</w:t>
      </w:r>
    </w:p>
    <w:p>
      <w:pPr>
        <w:spacing w:after="0" w:line="217" w:lineRule="exact"/>
        <w:rPr>
          <w:sz w:val="20"/>
          <w:szCs w:val="20"/>
          <w:color w:val="auto"/>
        </w:rPr>
      </w:pPr>
    </w:p>
    <w:p>
      <w:pPr>
        <w:ind w:left="40" w:right="860"/>
        <w:spacing w:after="0" w:line="264"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credit losses, useful lives of property, equipment, incremental borrowing rates for lease liability measurement, fair values of forward purchase and sales contracts, green coffee associated with forward contracts, and warrant liabilities,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Accounts Receivable and Allowance for Credit Losses</w:t>
      </w:r>
    </w:p>
    <w:p>
      <w:pPr>
        <w:spacing w:after="0" w:line="217" w:lineRule="exact"/>
        <w:rPr>
          <w:sz w:val="20"/>
          <w:szCs w:val="20"/>
          <w:color w:val="auto"/>
        </w:rPr>
      </w:pPr>
    </w:p>
    <w:p>
      <w:pPr>
        <w:ind w:left="40" w:right="860"/>
        <w:spacing w:after="0" w:line="265" w:lineRule="auto"/>
        <w:rPr>
          <w:sz w:val="20"/>
          <w:szCs w:val="20"/>
          <w:color w:val="auto"/>
        </w:rPr>
      </w:pPr>
      <w:r>
        <w:rPr>
          <w:rFonts w:ascii="Arial" w:cs="Arial" w:eastAsia="Arial" w:hAnsi="Arial"/>
          <w:sz w:val="17"/>
          <w:szCs w:val="17"/>
          <w:color w:val="auto"/>
        </w:rPr>
        <w:t>Accounts receivable consists principally of amounts billed and currently due from customers and are generally unsecured and due within 30 to 60 days. A portion of our accounts receivable is not expected to be collected due to non-payment, bankruptcies and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 receivable delinquent or past due based on payment terms established with each customer. Accounts receivable are written off when the account is determined to be uncollectible.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Activity in the allowance for credit losses was as follows: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 September 30,</w:t>
            </w:r>
          </w:p>
        </w:tc>
        <w:tc>
          <w:tcPr>
            <w:tcW w:w="2880" w:type="dxa"/>
            <w:vAlign w:val="bottom"/>
            <w:gridSpan w:val="7"/>
          </w:tcPr>
          <w:p>
            <w:pPr>
              <w:ind w:left="20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06"/>
        </w:trPr>
        <w:tc>
          <w:tcPr>
            <w:tcW w:w="3880" w:type="dxa"/>
            <w:vAlign w:val="bottom"/>
            <w:gridSpan w:val="2"/>
          </w:tcPr>
          <w:p>
            <w:pPr>
              <w:spacing w:after="0" w:line="205" w:lineRule="exact"/>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r>
      <w:tr>
        <w:trPr>
          <w:trHeight w:val="205"/>
        </w:trPr>
        <w:tc>
          <w:tcPr>
            <w:tcW w:w="20" w:type="dxa"/>
            <w:vAlign w:val="bottom"/>
          </w:tcPr>
          <w:p>
            <w:pPr>
              <w:spacing w:after="0"/>
              <w:rPr>
                <w:sz w:val="17"/>
                <w:szCs w:val="17"/>
                <w:color w:val="auto"/>
              </w:rPr>
            </w:pPr>
          </w:p>
        </w:tc>
        <w:tc>
          <w:tcPr>
            <w:tcW w:w="38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2,392</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3,666</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3,749</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3,977</w:t>
            </w:r>
          </w:p>
        </w:tc>
      </w:tr>
      <w:tr>
        <w:trPr>
          <w:trHeight w:val="212"/>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87"/>
              </w:rPr>
              <w:t>Charged to selling, general and administrative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05"/>
        </w:trPr>
        <w:tc>
          <w:tcPr>
            <w:tcW w:w="3880" w:type="dxa"/>
            <w:vAlign w:val="bottom"/>
            <w:gridSpan w:val="2"/>
          </w:tcPr>
          <w:p>
            <w:pPr>
              <w:spacing w:after="0" w:line="205"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2,747</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3,566</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2,747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3,566</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Inventories</w:t>
      </w:r>
    </w:p>
    <w:p>
      <w:pPr>
        <w:spacing w:after="0" w:line="217" w:lineRule="exact"/>
        <w:rPr>
          <w:sz w:val="20"/>
          <w:szCs w:val="20"/>
          <w:color w:val="auto"/>
        </w:rPr>
      </w:pPr>
    </w:p>
    <w:p>
      <w:pPr>
        <w:ind w:left="40" w:right="880"/>
        <w:spacing w:after="0" w:line="263" w:lineRule="auto"/>
        <w:rPr>
          <w:sz w:val="20"/>
          <w:szCs w:val="20"/>
          <w:color w:val="auto"/>
        </w:rPr>
      </w:pPr>
      <w:r>
        <w:rPr>
          <w:rFonts w:ascii="Arial" w:cs="Arial" w:eastAsia="Arial" w:hAnsi="Arial"/>
          <w:sz w:val="17"/>
          <w:szCs w:val="17"/>
          <w:color w:val="auto"/>
        </w:rPr>
        <w:t>Green coffee associated with our forward contracts is recorded at net realizable value, which approximates market price, within our Sustainable Sourcing &amp; Traceability segment, consistent with our forward purchase contracts recorded at fair value in accordance with Accounting Standards Codification (“ASC”) 815, Derivatives and Hedging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Condensed Consolidated Statements of Operations. For the three and nine months ended September 30, 2022, we recognized $0.6 million and $8.1 million, respectively, of unrealized losses on green coffee inventory associated with our forward sales and purchase contracts. For the three and nine months ended September 30, 2021, we recognized $3.3 million and $5.9 million, respectively, of unrealized gains on green coffee inventory associated with our forward sales and purchase contracts.</w:t>
      </w:r>
    </w:p>
    <w:p>
      <w:pPr>
        <w:spacing w:after="0" w:line="400"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800"/>
          </w:cols>
          <w:pgMar w:left="1440" w:top="511" w:right="65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Warrant Liabilities</w:t>
      </w:r>
    </w:p>
    <w:p>
      <w:pPr>
        <w:spacing w:after="0" w:line="217"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8"/>
          <w:szCs w:val="18"/>
          <w:color w:val="auto"/>
        </w:rPr>
        <w:t>We account for warrants assumed in connection with the Transaction (see Note 4)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94" w:lineRule="exact"/>
        <w:rPr>
          <w:sz w:val="20"/>
          <w:szCs w:val="20"/>
          <w:color w:val="auto"/>
        </w:rPr>
      </w:pPr>
    </w:p>
    <w:p>
      <w:pPr>
        <w:jc w:val="both"/>
        <w:ind w:left="40" w:right="59"/>
        <w:spacing w:after="0" w:line="252" w:lineRule="auto"/>
        <w:rPr>
          <w:sz w:val="20"/>
          <w:szCs w:val="20"/>
          <w:color w:val="auto"/>
        </w:rPr>
      </w:pPr>
      <w:r>
        <w:rPr>
          <w:rFonts w:ascii="Arial" w:cs="Arial" w:eastAsia="Arial" w:hAnsi="Arial"/>
          <w:sz w:val="18"/>
          <w:szCs w:val="18"/>
          <w:color w:val="auto"/>
        </w:rPr>
        <w:t>The Company remeasures the fair value of the Public Warrants (as defined in Note 4) based on the quoted market price of the Public Warrants. The Private Warrants (as defined in Note 4) are valued using a binomial lattice valuation model. For the three and nine months ended September 30, 2022, the Company recognized $5.2 million of losses related to the change in fair value of warrant liabilities.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Update ASU 2016-02 – Leases (Topic 842) and Update ASU 2018-10 – Codification Improvements to Topic 842, Leases</w:t>
      </w:r>
    </w:p>
    <w:p>
      <w:pPr>
        <w:spacing w:after="0" w:line="146" w:lineRule="exact"/>
        <w:rPr>
          <w:sz w:val="20"/>
          <w:szCs w:val="20"/>
          <w:color w:val="auto"/>
        </w:rPr>
      </w:pPr>
    </w:p>
    <w:p>
      <w:pPr>
        <w:ind w:left="40" w:right="79"/>
        <w:spacing w:after="0" w:line="271" w:lineRule="auto"/>
        <w:rPr>
          <w:sz w:val="20"/>
          <w:szCs w:val="20"/>
          <w:color w:val="auto"/>
        </w:rPr>
      </w:pPr>
      <w:r>
        <w:rPr>
          <w:rFonts w:ascii="Arial" w:cs="Arial" w:eastAsia="Arial" w:hAnsi="Arial"/>
          <w:sz w:val="17"/>
          <w:szCs w:val="17"/>
          <w:color w:val="auto"/>
        </w:rPr>
        <w:t xml:space="preserve">Effective January 1, 2022, we account for leases in accordance with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standard establishes a right-of-use (ROU) model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statement of operations.</w:t>
      </w:r>
    </w:p>
    <w:p>
      <w:pPr>
        <w:spacing w:after="0" w:line="177" w:lineRule="exact"/>
        <w:rPr>
          <w:sz w:val="20"/>
          <w:szCs w:val="20"/>
          <w:color w:val="auto"/>
        </w:rPr>
      </w:pPr>
    </w:p>
    <w:p>
      <w:pPr>
        <w:ind w:left="40" w:right="79"/>
        <w:spacing w:after="0" w:line="248" w:lineRule="auto"/>
        <w:rPr>
          <w:sz w:val="20"/>
          <w:szCs w:val="20"/>
          <w:color w:val="auto"/>
        </w:rPr>
      </w:pPr>
      <w:r>
        <w:rPr>
          <w:rFonts w:ascii="Arial" w:cs="Arial" w:eastAsia="Arial" w:hAnsi="Arial"/>
          <w:sz w:val="18"/>
          <w:szCs w:val="18"/>
          <w:color w:val="auto"/>
        </w:rPr>
        <w:t xml:space="preserve">We adopted ASC 842 using a modified retrospective transition approach as permitted by the amendments of ASU 2018-11 </w:t>
      </w:r>
      <w:r>
        <w:rPr>
          <w:rFonts w:ascii="Arial" w:cs="Arial" w:eastAsia="Arial" w:hAnsi="Arial"/>
          <w:sz w:val="18"/>
          <w:szCs w:val="18"/>
          <w:i w:val="1"/>
          <w:iCs w:val="1"/>
          <w:color w:val="auto"/>
        </w:rPr>
        <w:t>Leases (Topic 842): Target Improvements</w:t>
      </w:r>
      <w:r>
        <w:rPr>
          <w:rFonts w:ascii="Arial" w:cs="Arial" w:eastAsia="Arial" w:hAnsi="Arial"/>
          <w:sz w:val="18"/>
          <w:szCs w:val="18"/>
          <w:color w:val="auto"/>
        </w:rPr>
        <w:t>, which provides an alternative modified retrospective transition method.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we were not required to adjust our comparative period financial information for effects of the standard or make the new required lease disclosures for periods before the date of adoption (i.e., January 1, 2022). We have elected to adopt the package of transition practical expedients and, therefore, have not reassessed (i) whether existing or expired contracts contain a lease, (ii) lease classification for existing or expired leases, or (iii) the accounting for initial direct costs that were previously capitalized.</w:t>
      </w:r>
    </w:p>
    <w:p>
      <w:pPr>
        <w:spacing w:after="0" w:line="199" w:lineRule="exact"/>
        <w:rPr>
          <w:sz w:val="20"/>
          <w:szCs w:val="20"/>
          <w:color w:val="auto"/>
        </w:rPr>
      </w:pPr>
    </w:p>
    <w:p>
      <w:pPr>
        <w:ind w:left="40" w:right="139"/>
        <w:spacing w:after="0" w:line="248" w:lineRule="auto"/>
        <w:rPr>
          <w:sz w:val="20"/>
          <w:szCs w:val="20"/>
          <w:color w:val="auto"/>
        </w:rPr>
      </w:pPr>
      <w:r>
        <w:rPr>
          <w:rFonts w:ascii="Arial" w:cs="Arial" w:eastAsia="Arial" w:hAnsi="Arial"/>
          <w:sz w:val="18"/>
          <w:szCs w:val="18"/>
          <w:color w:val="auto"/>
        </w:rPr>
        <w:t>We determine if an arrangement is a lease at contract inception. A lease exists when a contract conveys to the customer the right to control the use of identified property, plant, or equipment for a period of time in exchange for consideration. The definition of a lease embodies two conditions: (i) there is an identified asset in the contract that is land or a depreciable asset, and (ii) the customer has a right to control the use of the identified asset. We enter into lease contracts for manufacturing and production facilities, warehouse facilities, vehicles and machinery and equipment. Upon adoption, we recognized $13.0 million of ROU assets and lease liabilities on our Condensed Consolidated Balance Sheets. See Note 10 for additional disclosures related to leases.</w:t>
      </w:r>
    </w:p>
    <w:p>
      <w:pPr>
        <w:spacing w:after="0" w:line="199" w:lineRule="exact"/>
        <w:rPr>
          <w:sz w:val="20"/>
          <w:szCs w:val="20"/>
          <w:color w:val="auto"/>
        </w:rPr>
      </w:pPr>
    </w:p>
    <w:p>
      <w:pPr>
        <w:ind w:left="40" w:right="419"/>
        <w:spacing w:after="0" w:line="318" w:lineRule="auto"/>
        <w:rPr>
          <w:sz w:val="20"/>
          <w:szCs w:val="20"/>
          <w:color w:val="auto"/>
        </w:rPr>
      </w:pPr>
      <w:r>
        <w:rPr>
          <w:rFonts w:ascii="Arial" w:cs="Arial" w:eastAsia="Arial" w:hAnsi="Arial"/>
          <w:sz w:val="15"/>
          <w:szCs w:val="15"/>
          <w:color w:val="auto"/>
        </w:rPr>
        <w:t>ROU assets are initially measured at cost, which comprises the initial amount of the lease liability adjusted for lease payments made at or before the lease commencement date, plus any initial direct costs incurred, less any lease incentives received. The lease liabilities are initially measured at the present value of the unpaid lease payments at the lease commencement date. Lease expense, for operating leases, is recognized on a straight-line basis over the lease term.</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Key estimates and judgements include the following:</w:t>
      </w:r>
    </w:p>
    <w:p>
      <w:pPr>
        <w:spacing w:after="0" w:line="217" w:lineRule="exact"/>
        <w:rPr>
          <w:sz w:val="20"/>
          <w:szCs w:val="20"/>
          <w:color w:val="auto"/>
        </w:rPr>
      </w:pPr>
    </w:p>
    <w:p>
      <w:pPr>
        <w:ind w:left="1020" w:right="119" w:hanging="627"/>
        <w:spacing w:after="0" w:line="267"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Discount rate</w:t>
      </w:r>
      <w:r>
        <w:rPr>
          <w:rFonts w:ascii="Arial" w:cs="Arial" w:eastAsia="Arial" w:hAnsi="Arial"/>
          <w:sz w:val="17"/>
          <w:szCs w:val="17"/>
          <w:color w:val="auto"/>
        </w:rPr>
        <w:t xml:space="preserve"> – ASC 842 requires a lessee to discount its unpaid lease payments using the rate implicit in the lease or, if that rate cannot be readily determined, its incremental borrowing rate. As we generally do not know the rate implicit in our leases, we use our incremental borrowing rate, based on the information available at the lease commencement date, in determining the present value of our lease payments. Our incremental borrowing rate for a lease is the rate of interest we would have to pay on a collateralized basis to borrow an amount equal to the lease payments under similar terms.</w:t>
      </w:r>
    </w:p>
    <w:p>
      <w:pPr>
        <w:spacing w:after="0" w:line="39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20" w:right="259" w:hanging="627"/>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Lease term</w:t>
      </w:r>
      <w:r>
        <w:rPr>
          <w:rFonts w:ascii="Arial" w:cs="Arial" w:eastAsia="Arial" w:hAnsi="Arial"/>
          <w:sz w:val="18"/>
          <w:szCs w:val="18"/>
          <w:color w:val="auto"/>
        </w:rPr>
        <w:t xml:space="preserve"> – The lease term for all of our leases includes the noncancellable period of the lease plus any additional periods covered by either a lessee option to extend (or not to terminate) the lease that is reasonably certain to be exercised.</w:t>
      </w:r>
    </w:p>
    <w:p>
      <w:pPr>
        <w:spacing w:after="0" w:line="188" w:lineRule="exact"/>
        <w:rPr>
          <w:sz w:val="20"/>
          <w:szCs w:val="20"/>
          <w:color w:val="auto"/>
        </w:rPr>
      </w:pPr>
    </w:p>
    <w:p>
      <w:pPr>
        <w:ind w:left="40" w:right="419"/>
        <w:spacing w:after="0" w:line="330" w:lineRule="auto"/>
        <w:rPr>
          <w:sz w:val="20"/>
          <w:szCs w:val="20"/>
          <w:color w:val="auto"/>
        </w:rPr>
      </w:pPr>
      <w:r>
        <w:rPr>
          <w:rFonts w:ascii="Arial" w:cs="Arial" w:eastAsia="Arial" w:hAnsi="Arial"/>
          <w:sz w:val="15"/>
          <w:szCs w:val="15"/>
          <w:color w:val="auto"/>
        </w:rPr>
        <w:t>Variable lease payments associated with our leases are recognized when the event, activity, or circumstance in the lease agreement on which those payments are assessed occurs. Variable lease payments are included in both costs of sales and selling, general and administrative expense in our Condensed Consolidated Statements of Operations.</w:t>
      </w:r>
    </w:p>
    <w:p>
      <w:pPr>
        <w:spacing w:after="0" w:line="137" w:lineRule="exact"/>
        <w:rPr>
          <w:sz w:val="20"/>
          <w:szCs w:val="20"/>
          <w:color w:val="auto"/>
        </w:rPr>
      </w:pPr>
    </w:p>
    <w:p>
      <w:pPr>
        <w:ind w:left="40" w:right="119"/>
        <w:spacing w:after="0" w:line="250" w:lineRule="auto"/>
        <w:rPr>
          <w:sz w:val="20"/>
          <w:szCs w:val="20"/>
          <w:color w:val="auto"/>
        </w:rPr>
      </w:pPr>
      <w:r>
        <w:rPr>
          <w:rFonts w:ascii="Arial" w:cs="Arial" w:eastAsia="Arial" w:hAnsi="Arial"/>
          <w:sz w:val="18"/>
          <w:szCs w:val="18"/>
          <w:color w:val="auto"/>
        </w:rPr>
        <w:t>We monitor for events or changes in circumstances that require a reassessment of a lease. When a reassessment results in the remeasurement of a lease liability, a corresponding adjustment is made to the carrying amount of the associated ROU asset, unless doing so would reduce the carrying amount of the ROU asset to an amount less than zero. In that case, the amount of the adjustment that would result in a negative ROU asset is recorded in the Condensed Consolidated Statements of Operations.</w:t>
      </w:r>
    </w:p>
    <w:p>
      <w:pPr>
        <w:spacing w:after="0" w:line="194" w:lineRule="exact"/>
        <w:rPr>
          <w:sz w:val="20"/>
          <w:szCs w:val="20"/>
          <w:color w:val="auto"/>
        </w:rPr>
      </w:pPr>
    </w:p>
    <w:p>
      <w:pPr>
        <w:ind w:left="40" w:right="99"/>
        <w:spacing w:after="0" w:line="271" w:lineRule="auto"/>
        <w:rPr>
          <w:sz w:val="20"/>
          <w:szCs w:val="20"/>
          <w:color w:val="auto"/>
        </w:rPr>
      </w:pPr>
      <w:r>
        <w:rPr>
          <w:rFonts w:ascii="Arial" w:cs="Arial" w:eastAsia="Arial" w:hAnsi="Arial"/>
          <w:sz w:val="17"/>
          <w:szCs w:val="17"/>
          <w:color w:val="auto"/>
        </w:rPr>
        <w:t>We have elected not to recognize ROU assets and lease liabilities for all short-term leases that have a lease term of 12 months or less. We recognize the lease payments associated with our short-term leases as an expense on a straight-line basis over the lease term. Furthermore, we have elected to combine lease and non-lease components for all contracts. Non-lease components primarily relate to maintenance services related to the leased asset.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De-SPAC Merger Transaction</w:t>
      </w:r>
    </w:p>
    <w:p>
      <w:pPr>
        <w:spacing w:after="0" w:line="223" w:lineRule="exact"/>
        <w:rPr>
          <w:sz w:val="20"/>
          <w:szCs w:val="20"/>
          <w:color w:val="auto"/>
        </w:rPr>
      </w:pPr>
    </w:p>
    <w:p>
      <w:pPr>
        <w:ind w:left="40" w:right="139"/>
        <w:spacing w:after="0" w:line="248" w:lineRule="auto"/>
        <w:rPr>
          <w:sz w:val="20"/>
          <w:szCs w:val="20"/>
          <w:color w:val="auto"/>
        </w:rPr>
      </w:pPr>
      <w:r>
        <w:rPr>
          <w:rFonts w:ascii="Arial" w:cs="Arial" w:eastAsia="Arial" w:hAnsi="Arial"/>
          <w:sz w:val="18"/>
          <w:szCs w:val="18"/>
          <w:color w:val="auto"/>
        </w:rPr>
        <w:t>On the Closing Date, the Company completed the Transaction with Riverview (“Closing”). At Closing, the Company issued 12,868,151 shares of common stock of the Company (“Common Shares”) to public and class B shareholders of Riverview, receiving $49.8 million of the cash held in the trust account of Riverview, which is net of $17.1 million of Riverview transaction expenses offset against proceeds received by the Company at Closing. The 12,868,151 shares include 1,910,000 shares issued to PIPE investors who elected to satisfy their PIPE commitments through the purchase of shares of Class A common stock of Riverview (“Riverview Class A Shares”) on the public market, pursuant to the terms of their respective subscription agreements.</w:t>
      </w:r>
    </w:p>
    <w:p>
      <w:pPr>
        <w:spacing w:after="0" w:line="199" w:lineRule="exact"/>
        <w:rPr>
          <w:sz w:val="20"/>
          <w:szCs w:val="20"/>
          <w:color w:val="auto"/>
        </w:rPr>
      </w:pPr>
    </w:p>
    <w:p>
      <w:pPr>
        <w:ind w:left="40" w:right="159"/>
        <w:spacing w:after="0" w:line="265" w:lineRule="auto"/>
        <w:rPr>
          <w:sz w:val="20"/>
          <w:szCs w:val="20"/>
          <w:color w:val="auto"/>
        </w:rPr>
      </w:pPr>
      <w:r>
        <w:rPr>
          <w:rFonts w:ascii="Arial" w:cs="Arial" w:eastAsia="Arial" w:hAnsi="Arial"/>
          <w:sz w:val="17"/>
          <w:szCs w:val="17"/>
          <w:color w:val="auto"/>
        </w:rPr>
        <w:t>Substantially concurrently with the Closing, the Company received $205.9 million in cash proceeds (which amount excludes contribution to the Company of certain related party notes as described in Note 11) from common stock PIPE investments (the “PIPE Financing”), issued 20,590,000 Common Shares to the PIPE investors (which share amount excludes the conversion of the related party notes as described in Note 11), and entered into a credit agreement that includes (a) a senior secured first lien revolving credit facility in an initial aggregate principal amount of $175.0 million and (b) a senior secured first lien term loan facility in an initial aggregate principal amount of $175.0 million. See Note 11 for additional disclosures regarding the new credit agreement.</w:t>
      </w:r>
    </w:p>
    <w:p>
      <w:pPr>
        <w:spacing w:after="0" w:line="185" w:lineRule="exact"/>
        <w:rPr>
          <w:sz w:val="20"/>
          <w:szCs w:val="20"/>
          <w:color w:val="auto"/>
        </w:rPr>
      </w:pPr>
    </w:p>
    <w:p>
      <w:pPr>
        <w:ind w:left="40" w:right="179"/>
        <w:spacing w:after="0" w:line="297" w:lineRule="auto"/>
        <w:rPr>
          <w:sz w:val="20"/>
          <w:szCs w:val="20"/>
          <w:color w:val="auto"/>
        </w:rPr>
      </w:pPr>
      <w:r>
        <w:rPr>
          <w:rFonts w:ascii="Arial" w:cs="Arial" w:eastAsia="Arial" w:hAnsi="Arial"/>
          <w:sz w:val="15"/>
          <w:szCs w:val="15"/>
          <w:color w:val="auto"/>
        </w:rPr>
        <w:t>Pursuant to the Transaction Agreement, (a) each issued and outstanding common unit of the Converting Company was automatically converted into 0.1049203474320 Common Shares, (b) each issued and outstanding common equivalent preferred unit of the Converting Company (the “Westrock Preferred Unit ”) for which the holder had not elected to convert such unit into shares of Series A convertible preferred stock of Westrock (the “Westrock Series A Preferred Shares”) (see Note 12), automatically converted into 0.1086138208640 Common Shares if such Westrock Preferred Unit was designated a Series A common equivalent preferred unit of the Converting Company (the “Westrock Series A Preferred Units”) or</w:t>
      </w:r>
    </w:p>
    <w:p>
      <w:pPr>
        <w:spacing w:after="0" w:line="3" w:lineRule="exact"/>
        <w:rPr>
          <w:sz w:val="20"/>
          <w:szCs w:val="20"/>
          <w:color w:val="auto"/>
        </w:rPr>
      </w:pPr>
    </w:p>
    <w:p>
      <w:pPr>
        <w:ind w:left="40" w:right="79"/>
        <w:spacing w:after="0" w:line="263" w:lineRule="auto"/>
        <w:rPr>
          <w:sz w:val="20"/>
          <w:szCs w:val="20"/>
          <w:color w:val="auto"/>
        </w:rPr>
      </w:pPr>
      <w:r>
        <w:rPr>
          <w:rFonts w:ascii="Arial" w:cs="Arial" w:eastAsia="Arial" w:hAnsi="Arial"/>
          <w:sz w:val="17"/>
          <w:szCs w:val="17"/>
          <w:color w:val="auto"/>
        </w:rPr>
        <w:t>0.1049203474320 Common Shares if such Westrock Preferred Unit was designated a Series B common equivalent preferred unit of the Converting Company (the “Westrock Series B Preferred Units”) and (c) each outstanding Westrock Preferred Unit, for which the holder thereof had made an election to convert such unit into Westrock Series A Preferred Shares, converted into 0.1086138208740 Westrock Series A Preferred Shares if such Westrock Preferred Unit was a Westrock Series A Preferred Unit or 0.0919280171940 Westrock Series A Preferred Shares if such Westrock Preferred Unit was a Westrock Series B Preferred Unit. In connection with the Closing, holders of Westrock Preferred Units were paid a cash dividend totaling $4.4 million, which is equal to the accreted liquidation preference of the Westrock Preferred Units from June 30, 2022 through the Closing Date.</w:t>
      </w:r>
    </w:p>
    <w:p>
      <w:pPr>
        <w:spacing w:after="0" w:line="183" w:lineRule="exact"/>
        <w:rPr>
          <w:sz w:val="20"/>
          <w:szCs w:val="20"/>
          <w:color w:val="auto"/>
        </w:rPr>
      </w:pPr>
    </w:p>
    <w:p>
      <w:pPr>
        <w:ind w:left="40" w:right="619"/>
        <w:spacing w:after="0" w:line="365" w:lineRule="auto"/>
        <w:rPr>
          <w:sz w:val="20"/>
          <w:szCs w:val="20"/>
          <w:color w:val="auto"/>
        </w:rPr>
      </w:pPr>
      <w:r>
        <w:rPr>
          <w:rFonts w:ascii="Arial" w:cs="Arial" w:eastAsia="Arial" w:hAnsi="Arial"/>
          <w:sz w:val="15"/>
          <w:szCs w:val="15"/>
          <w:color w:val="auto"/>
        </w:rPr>
        <w:t>As a result, we issued 34,855,535 Common Shares to common unitholders, 2,220,305 Common Shares to holders of Westrock Preferred Units who elected to convert their Westrock Preferred Units into Common Shares, and 23,587,952</w:t>
      </w:r>
    </w:p>
    <w:p>
      <w:pPr>
        <w:sectPr>
          <w:pgSz w:w="11900" w:h="16838" w:orient="portrait"/>
          <w:cols w:equalWidth="0" w:num="1">
            <w:col w:w="9019"/>
          </w:cols>
          <w:pgMar w:left="1440" w:top="511" w:right="1440" w:bottom="1440" w:gutter="0" w:footer="0" w:header="0"/>
        </w:sectPr>
      </w:pPr>
    </w:p>
    <w:p>
      <w:pPr>
        <w:spacing w:after="0" w:line="323" w:lineRule="exact"/>
        <w:rPr>
          <w:sz w:val="20"/>
          <w:szCs w:val="20"/>
          <w:color w:val="auto"/>
        </w:rPr>
      </w:pPr>
    </w:p>
    <w:p>
      <w:pPr>
        <w:ind w:left="878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369570</wp:posOffset>
            </wp:positionV>
            <wp:extent cx="565404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type w:val="continuous"/>
        </w:sectPr>
      </w:pPr>
    </w:p>
    <w:bookmarkStart w:id="14" w:name="page15"/>
    <w:bookmarkEnd w:id="1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99"/>
        <w:spacing w:after="0" w:line="250" w:lineRule="auto"/>
        <w:rPr>
          <w:sz w:val="20"/>
          <w:szCs w:val="20"/>
          <w:color w:val="auto"/>
        </w:rPr>
      </w:pPr>
      <w:r>
        <w:rPr>
          <w:rFonts w:ascii="Arial" w:cs="Arial" w:eastAsia="Arial" w:hAnsi="Arial"/>
          <w:sz w:val="18"/>
          <w:szCs w:val="18"/>
          <w:color w:val="auto"/>
        </w:rPr>
        <w:t>Westrock Series A Preferred Shares to holders who elected to convert their Westrock Preferred Units into Westrock Series A Preferred Shares. The Company realized a net loss on extinguishment of the Westrock Preferred Units of $2.9 million, including the payment of approximately $1.3 million of issuance costs, which have been recorded within accumulated deficit on our Condensed Consolidated Balance Sheets and adjusts earnings attributable to common shareholders in computing basic and diluted earnings per share.</w:t>
      </w:r>
    </w:p>
    <w:p>
      <w:pPr>
        <w:spacing w:after="0" w:line="194" w:lineRule="exact"/>
        <w:rPr>
          <w:sz w:val="20"/>
          <w:szCs w:val="20"/>
          <w:color w:val="auto"/>
        </w:rPr>
      </w:pPr>
    </w:p>
    <w:p>
      <w:pPr>
        <w:ind w:left="40" w:right="59"/>
        <w:spacing w:after="0" w:line="300" w:lineRule="auto"/>
        <w:rPr>
          <w:sz w:val="20"/>
          <w:szCs w:val="20"/>
          <w:color w:val="auto"/>
        </w:rPr>
      </w:pPr>
      <w:r>
        <w:rPr>
          <w:rFonts w:ascii="Arial" w:cs="Arial" w:eastAsia="Arial" w:hAnsi="Arial"/>
          <w:sz w:val="15"/>
          <w:szCs w:val="15"/>
          <w:color w:val="auto"/>
        </w:rPr>
        <w:t>In addition, at Closing, (i) each outstanding share of class B common stock of Riverview (the “Riverview Class B Shares” together with the Riverview Class A Shares, the “Riverview Shares”) (other than the Riverview Class B Shares held as treasury stock, which were automatically cancelled and extinguished at Closing), automatically converted into one Riverview Class A Share, (ii) each outstanding Riverview Class A Share (including the Riverview Class A Shares resulting from the conversion of Riverview Class B Shares at Closing but excluding any Riverview Class A Shares held as treasury stock, which were automatically cancelled and extinguished at Closing) were exchanged for one Common Share, (iii) each outstanding warrant to purchase Riverview Class A Shares (the “Riverview Warrants”) was, by its terms, automatically converted into a comparable warrant to purchase Common Shares (the “Westrock Warrants”) on the terms and subject to the conditions set forth in the warrant agreement for the Riverview Warrants and the amended and restated warrant agreement for the Westrock Warrants, (iv) each Riverview Share held immediately prior to Closing by Riverview as treasury stock was automatically canceled and extinguished and (v) each share of capital stock of Merger Sub I issued and outstanding immediately prior to Closing was automatically canceled and extinguished and converted into one share of common stock, par value $0.01, of the surviving corporation in the SPAC Merger. In connection with obtaining the approval of the Mergers by Riverview’s stockholders, Riverview provided an opportunity for its stockholders to redeem all or a portion of their outstanding Riverview Class A Shares.</w:t>
      </w:r>
    </w:p>
    <w:p>
      <w:pPr>
        <w:spacing w:after="0" w:line="374" w:lineRule="exact"/>
        <w:rPr>
          <w:sz w:val="20"/>
          <w:szCs w:val="20"/>
          <w:color w:val="auto"/>
        </w:rPr>
      </w:pPr>
    </w:p>
    <w:p>
      <w:pPr>
        <w:ind w:left="40" w:right="139"/>
        <w:spacing w:after="0" w:line="271" w:lineRule="auto"/>
        <w:rPr>
          <w:sz w:val="20"/>
          <w:szCs w:val="20"/>
          <w:color w:val="auto"/>
        </w:rPr>
      </w:pPr>
      <w:r>
        <w:rPr>
          <w:rFonts w:ascii="Arial" w:cs="Arial" w:eastAsia="Arial" w:hAnsi="Arial"/>
          <w:sz w:val="17"/>
          <w:szCs w:val="17"/>
          <w:color w:val="auto"/>
        </w:rPr>
        <w:t xml:space="preserve">The Transaction is a capital transaction in substance and not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t>
      </w:r>
      <w:r>
        <w:rPr>
          <w:rFonts w:ascii="Arial" w:cs="Arial" w:eastAsia="Arial" w:hAnsi="Arial"/>
          <w:sz w:val="17"/>
          <w:szCs w:val="17"/>
          <w:i w:val="1"/>
          <w:iCs w:val="1"/>
          <w:color w:val="auto"/>
        </w:rPr>
        <w:t>(“ASC 805”)</w:t>
      </w:r>
      <w:r>
        <w:rPr>
          <w:rFonts w:ascii="Arial" w:cs="Arial" w:eastAsia="Arial" w:hAnsi="Arial"/>
          <w:sz w:val="17"/>
          <w:szCs w:val="17"/>
          <w:color w:val="auto"/>
        </w:rPr>
        <w:t>. As a result, Westrock is treated as the accounting acquirer and Riverview is treated as the acquired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for financial reporting purposes per ASC 805. Accordingly, for accounting purposes, the Transaction is treated similar to an equity contribution in exchange for the issuance of Common Shares.</w:t>
      </w:r>
    </w:p>
    <w:p>
      <w:pPr>
        <w:spacing w:after="0" w:line="177" w:lineRule="exact"/>
        <w:rPr>
          <w:sz w:val="20"/>
          <w:szCs w:val="20"/>
          <w:color w:val="auto"/>
        </w:rPr>
      </w:pPr>
    </w:p>
    <w:p>
      <w:pPr>
        <w:ind w:left="40" w:right="59"/>
        <w:spacing w:after="0" w:line="318" w:lineRule="auto"/>
        <w:rPr>
          <w:sz w:val="20"/>
          <w:szCs w:val="20"/>
          <w:color w:val="auto"/>
        </w:rPr>
      </w:pPr>
      <w:r>
        <w:rPr>
          <w:rFonts w:ascii="Arial" w:cs="Arial" w:eastAsia="Arial" w:hAnsi="Arial"/>
          <w:sz w:val="15"/>
          <w:szCs w:val="15"/>
          <w:color w:val="auto"/>
        </w:rPr>
        <w:t>Accordingly, for accounting purposes, the financial statements of the combined entity represent a continuation of the financial statements of Westrock, and the net assets of Riverview have been stated at historical cost, with no goodwill or other intangible assets recorded. The equity and net loss per unit attributable to common equityholders of the Company, prior to the Closing, have been retroactively restated as shares reflecting the common unit conversion ratio discussed above.</w:t>
      </w:r>
    </w:p>
    <w:p>
      <w:pPr>
        <w:spacing w:after="0" w:line="146" w:lineRule="exact"/>
        <w:rPr>
          <w:sz w:val="20"/>
          <w:szCs w:val="20"/>
          <w:color w:val="auto"/>
        </w:rPr>
      </w:pPr>
    </w:p>
    <w:p>
      <w:pPr>
        <w:jc w:val="both"/>
        <w:ind w:left="40" w:right="179"/>
        <w:spacing w:after="0" w:line="365" w:lineRule="auto"/>
        <w:rPr>
          <w:sz w:val="20"/>
          <w:szCs w:val="20"/>
          <w:color w:val="auto"/>
        </w:rPr>
      </w:pPr>
      <w:r>
        <w:rPr>
          <w:rFonts w:ascii="Arial" w:cs="Arial" w:eastAsia="Arial" w:hAnsi="Arial"/>
          <w:sz w:val="15"/>
          <w:szCs w:val="15"/>
          <w:color w:val="auto"/>
        </w:rPr>
        <w:t>Proceeds from the Transaction and the $175.0 million term loan facility were used to pay off and terminate our then existing term loan and asset-based lending agreements, and to pay expenses related to the Transaction and the new credit agreement.</w:t>
      </w:r>
    </w:p>
    <w:p>
      <w:pPr>
        <w:spacing w:after="0" w:line="111" w:lineRule="exact"/>
        <w:rPr>
          <w:sz w:val="20"/>
          <w:szCs w:val="20"/>
          <w:color w:val="auto"/>
        </w:rPr>
      </w:pPr>
    </w:p>
    <w:p>
      <w:pPr>
        <w:ind w:left="40" w:right="59"/>
        <w:spacing w:after="0" w:line="265" w:lineRule="auto"/>
        <w:rPr>
          <w:sz w:val="20"/>
          <w:szCs w:val="20"/>
          <w:color w:val="auto"/>
        </w:rPr>
      </w:pPr>
      <w:r>
        <w:rPr>
          <w:rFonts w:ascii="Arial" w:cs="Arial" w:eastAsia="Arial" w:hAnsi="Arial"/>
          <w:sz w:val="17"/>
          <w:szCs w:val="17"/>
          <w:color w:val="auto"/>
        </w:rPr>
        <w:t>The Company and Riverview incurred $24.2 million and $17.1 million, respectively, of expenses related to the Transaction. These expenses consist of underwriting fees, professional services (legal, accounting, advisory, etc.) and other direct expenses associated with the Transaction. Costs incurred by Westrock were initially capitalized as incurred in the other assets on the Condensed Consolidated Balance Sheets. At Closing, $24.2 million of transaction costs incurred by the Company related to the issuance of shares were recognized in additional paid-in capital as a reduction of proceeds. The $17.1 million of expenses incurred by Riverview were either paid by Riverview prior to Closing or netted against proceeds received by the Company at Closing. There were no deferred transaction costs recorded in the Condensed Consolidated Balance Sheets as of September 30, 2022 and December 31, 2021.</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Common Stock Warrants</w:t>
      </w:r>
    </w:p>
    <w:p>
      <w:pPr>
        <w:spacing w:after="0" w:line="111" w:lineRule="exact"/>
        <w:rPr>
          <w:sz w:val="20"/>
          <w:szCs w:val="20"/>
          <w:color w:val="auto"/>
        </w:rPr>
      </w:pPr>
    </w:p>
    <w:p>
      <w:pPr>
        <w:ind w:left="40" w:right="79"/>
        <w:spacing w:after="0" w:line="265" w:lineRule="auto"/>
        <w:rPr>
          <w:sz w:val="20"/>
          <w:szCs w:val="20"/>
          <w:color w:val="auto"/>
        </w:rPr>
      </w:pPr>
      <w:r>
        <w:rPr>
          <w:rFonts w:ascii="Arial" w:cs="Arial" w:eastAsia="Arial" w:hAnsi="Arial"/>
          <w:sz w:val="17"/>
          <w:szCs w:val="17"/>
          <w:color w:val="auto"/>
        </w:rPr>
        <w:t>The Company assumed 12,500,000 publicly-traded Riverview Warrants (“Public Warrants”) and 7,400,000 private placement Riverview Warrants (“Private Warrants”), which were originally issued by Riverview in connection with its initial public offering and, as a result of the assumption by the Company, became Westrock Warrants. The Public Warrants assumed by Westrock are referred to as the Westrock Public Warrants and the Private Warrants assumed by Westrock are referred to as the Westrock Private Warrants. The Westrock Warrants are included in warrant liabilities on the Company’s Condensed Consolidated Balance Sheet. The Westrock Warrants entitle the holder to purchase one share of Common Share at an exercise price of $11.50 per share.</w:t>
      </w:r>
    </w:p>
    <w:p>
      <w:pPr>
        <w:spacing w:after="0" w:line="39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15" w:name="page16"/>
    <w:bookmarkEnd w:id="1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right="79"/>
        <w:spacing w:after="0" w:line="301" w:lineRule="auto"/>
        <w:rPr>
          <w:sz w:val="20"/>
          <w:szCs w:val="20"/>
          <w:color w:val="auto"/>
        </w:rPr>
      </w:pPr>
      <w:r>
        <w:rPr>
          <w:rFonts w:ascii="Arial" w:cs="Arial" w:eastAsia="Arial" w:hAnsi="Arial"/>
          <w:sz w:val="15"/>
          <w:szCs w:val="15"/>
          <w:color w:val="auto"/>
        </w:rPr>
        <w:t>The Westrock Warrants will become exercisable upon the effectiveness of our Registration Statement on Form S-1 (File No. 333-267509) (“Warrant Registration Statement”) registering the Common Shares issuable upon the exercise of the Westrock Warrants. The Westrock Warrants may only be exercised for a whole number of shares, and will expire on August 26, 2027 (i.e., five years following the Closing), or earlier upon redemption or liquidations. Once the Westrock Public Warrants become exercisable, Westrock may redeem the outstanding Westrock Public Warrants (i) in whole and not in part; (ii) at a price of $0.01 per warrant; (iii) upon not less than 30 days’ prior written notice of redemption to each warrant holder; and (iv) if, and only if, the reported last sale price of the Common Shares for any 20 trading days within a 30-trading day period ending three business days before Westrock sends the notice of redemption to the warrant holders equals or exceeds $18.00 per share. If the Warrant Registration Statement is not effective by November 25, 2022 (i.e., 60 business days after Closing), warrant holders may, until such time as there is an effective registration statement and during any period when Westrock will have failed to maintain an effective registration statement, exercise its Westrock Warrants on a “cashless basis” in accordance with Section 3(a)(9) of the Securities Act of 1933, as amended, or another exemption.</w:t>
      </w:r>
    </w:p>
    <w:p>
      <w:pPr>
        <w:spacing w:after="0" w:line="376" w:lineRule="exact"/>
        <w:rPr>
          <w:sz w:val="20"/>
          <w:szCs w:val="20"/>
          <w:color w:val="auto"/>
        </w:rPr>
      </w:pPr>
    </w:p>
    <w:p>
      <w:pPr>
        <w:ind w:left="40" w:right="619"/>
        <w:spacing w:after="0" w:line="365" w:lineRule="auto"/>
        <w:rPr>
          <w:sz w:val="20"/>
          <w:szCs w:val="20"/>
          <w:color w:val="auto"/>
        </w:rPr>
      </w:pPr>
      <w:r>
        <w:rPr>
          <w:rFonts w:ascii="Arial" w:cs="Arial" w:eastAsia="Arial" w:hAnsi="Arial"/>
          <w:sz w:val="15"/>
          <w:szCs w:val="15"/>
          <w:color w:val="auto"/>
        </w:rPr>
        <w:t>If and when the Public Warrants become redeemable by Westrock, Westrock may exercise its redemption right even if Westrock is unable to register or qualify the underlying securities for sale under all applicable state securities laws.</w:t>
      </w:r>
    </w:p>
    <w:p>
      <w:pPr>
        <w:spacing w:after="0" w:line="217" w:lineRule="exact"/>
        <w:rPr>
          <w:sz w:val="20"/>
          <w:szCs w:val="20"/>
          <w:color w:val="auto"/>
        </w:rPr>
      </w:pPr>
    </w:p>
    <w:p>
      <w:pPr>
        <w:ind w:left="40" w:right="59"/>
        <w:spacing w:after="0" w:line="248" w:lineRule="auto"/>
        <w:rPr>
          <w:sz w:val="20"/>
          <w:szCs w:val="20"/>
          <w:color w:val="auto"/>
        </w:rPr>
      </w:pPr>
      <w:r>
        <w:rPr>
          <w:rFonts w:ascii="Arial" w:cs="Arial" w:eastAsia="Arial" w:hAnsi="Arial"/>
          <w:sz w:val="18"/>
          <w:szCs w:val="18"/>
          <w:color w:val="auto"/>
        </w:rPr>
        <w:t>The Westrock Private Warrants, which became transferable, assignable and salable on September 26, 2022 (i.e., 30 days after the Closing), are currently held by the Riverview Sponsor, and are generally identical to the Westrock Public Warrants, except they will not be redeemable by Westrock so long as they are held by the Riverview Sponsor or its permitted transferees. The Riverview Sponsor, or its permitted transferees, have the option to exercise the Westrock Private Warrants on a cashless basis. If the Westrock Private Warrants are held by holders other than the Riverview Sponsor or its permitted transferees, the Westrock Private Warrants will be redeemable by Westrock and exercisable by the holders on the same basis as the Westrock Public Warrants.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Revenue</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from Contracts with Customers (ASC 606)</w:t>
      </w:r>
    </w:p>
    <w:p>
      <w:pPr>
        <w:spacing w:after="0" w:line="217" w:lineRule="exact"/>
        <w:rPr>
          <w:sz w:val="20"/>
          <w:szCs w:val="20"/>
          <w:color w:val="auto"/>
        </w:rPr>
      </w:pPr>
    </w:p>
    <w:p>
      <w:pPr>
        <w:ind w:left="40" w:right="339"/>
        <w:spacing w:after="0" w:line="318" w:lineRule="auto"/>
        <w:rPr>
          <w:sz w:val="20"/>
          <w:szCs w:val="20"/>
          <w:color w:val="auto"/>
        </w:rPr>
      </w:pPr>
      <w:r>
        <w:rPr>
          <w:rFonts w:ascii="Arial" w:cs="Arial" w:eastAsia="Arial" w:hAnsi="Arial"/>
          <w:sz w:val="15"/>
          <w:szCs w:val="15"/>
          <w:color w:val="auto"/>
        </w:rPr>
        <w:t xml:space="preserve">We measure revenue based on the consideration specified in the client arrangement, and revenue is recognized when the performance obligations in the client arrangement are satisfied in accordance with ASC 606,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Customers </w:t>
      </w:r>
      <w:r>
        <w:rPr>
          <w:rFonts w:ascii="Arial" w:cs="Arial" w:eastAsia="Arial" w:hAnsi="Arial"/>
          <w:sz w:val="15"/>
          <w:szCs w:val="15"/>
          <w:color w:val="auto"/>
        </w:rPr>
        <w:t>(“ASC 606”). Our principal source of revenue is from the procurement, trade, manufacture, and distribution of</w:t>
      </w:r>
      <w:r>
        <w:rPr>
          <w:rFonts w:ascii="Arial" w:cs="Arial" w:eastAsia="Arial" w:hAnsi="Arial"/>
          <w:sz w:val="15"/>
          <w:szCs w:val="15"/>
          <w:i w:val="1"/>
          <w:iCs w:val="1"/>
          <w:color w:val="auto"/>
        </w:rPr>
        <w:t xml:space="preserve"> </w:t>
      </w:r>
      <w:r>
        <w:rPr>
          <w:rFonts w:ascii="Arial" w:cs="Arial" w:eastAsia="Arial" w:hAnsi="Arial"/>
          <w:sz w:val="15"/>
          <w:szCs w:val="15"/>
          <w:color w:val="auto"/>
        </w:rPr>
        <w:t>coffee, tea, flavors, extracts and ingredients to customers in the United States, Europe, and Asia.</w:t>
      </w:r>
    </w:p>
    <w:p>
      <w:pPr>
        <w:spacing w:after="0" w:line="146" w:lineRule="exact"/>
        <w:rPr>
          <w:sz w:val="20"/>
          <w:szCs w:val="20"/>
          <w:color w:val="auto"/>
        </w:rPr>
      </w:pPr>
    </w:p>
    <w:p>
      <w:pPr>
        <w:ind w:left="40" w:right="119"/>
        <w:spacing w:after="0" w:line="312" w:lineRule="auto"/>
        <w:rPr>
          <w:sz w:val="20"/>
          <w:szCs w:val="20"/>
          <w:color w:val="auto"/>
        </w:rPr>
      </w:pPr>
      <w:r>
        <w:rPr>
          <w:rFonts w:ascii="Arial" w:cs="Arial" w:eastAsia="Arial" w:hAnsi="Arial"/>
          <w:sz w:val="15"/>
          <w:szCs w:val="15"/>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pacing w:after="0" w:line="151" w:lineRule="exact"/>
        <w:rPr>
          <w:sz w:val="20"/>
          <w:szCs w:val="20"/>
          <w:color w:val="auto"/>
        </w:rPr>
      </w:pPr>
    </w:p>
    <w:p>
      <w:pPr>
        <w:ind w:left="40" w:right="99"/>
        <w:spacing w:after="0" w:line="309" w:lineRule="auto"/>
        <w:rPr>
          <w:sz w:val="20"/>
          <w:szCs w:val="20"/>
          <w:color w:val="auto"/>
        </w:rPr>
      </w:pPr>
      <w:r>
        <w:rPr>
          <w:rFonts w:ascii="Arial" w:cs="Arial" w:eastAsia="Arial" w:hAnsi="Arial"/>
          <w:sz w:val="15"/>
          <w:szCs w:val="15"/>
          <w:color w:val="auto"/>
        </w:rPr>
        <w:t>Substantially all our client contracts require that we be compensated for services performed to date. This is upon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revenue-producing transactions. Although we occasionally accept returns of products from our customers, historically returns have not been material.</w:t>
      </w:r>
    </w:p>
    <w:p>
      <w:pPr>
        <w:spacing w:after="0" w:line="152" w:lineRule="exact"/>
        <w:rPr>
          <w:sz w:val="20"/>
          <w:szCs w:val="20"/>
          <w:color w:val="auto"/>
        </w:rPr>
      </w:pPr>
    </w:p>
    <w:p>
      <w:pPr>
        <w:ind w:left="40" w:right="179"/>
        <w:spacing w:after="0" w:line="271" w:lineRule="auto"/>
        <w:rPr>
          <w:sz w:val="20"/>
          <w:szCs w:val="20"/>
          <w:color w:val="auto"/>
        </w:rPr>
      </w:pPr>
      <w:r>
        <w:rPr>
          <w:rFonts w:ascii="Arial" w:cs="Arial" w:eastAsia="Arial" w:hAnsi="Arial"/>
          <w:sz w:val="17"/>
          <w:szCs w:val="17"/>
          <w:color w:val="auto"/>
        </w:rPr>
        <w:t>At times, the Company may enter into agreements in which its Sustainable Sourcing &amp; Traceability segment will sell inventory to a third party, from whom the Company’s Beverage Solutions segment has an obligation to repurchase. Such transactions are accounted for as financing transactions in accordance with ASC 606. At September 30, 2022, the Company has $11.0 million of such repurchase agreement obligations, collateralized by the corresponding</w:t>
      </w:r>
    </w:p>
    <w:p>
      <w:pPr>
        <w:spacing w:after="0" w:line="38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40" w:right="379"/>
        <w:spacing w:after="0" w:line="255" w:lineRule="auto"/>
        <w:rPr>
          <w:sz w:val="20"/>
          <w:szCs w:val="20"/>
          <w:color w:val="auto"/>
        </w:rPr>
      </w:pPr>
      <w:r>
        <w:rPr>
          <w:rFonts w:ascii="Arial" w:cs="Arial" w:eastAsia="Arial" w:hAnsi="Arial"/>
          <w:sz w:val="18"/>
          <w:szCs w:val="18"/>
          <w:color w:val="auto"/>
        </w:rPr>
        <w:t>inventory, that are recorded within accrued expenses and other current liabilities on the Condensed Consolidated Balance Sheets. Net cash flows associated with these repurchase agreements are reported as financing activities in the Condensed Consolidated Statements of Cash Flows.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from Forward Contracts (ASC 815)</w:t>
      </w:r>
    </w:p>
    <w:p>
      <w:pPr>
        <w:spacing w:after="0" w:line="217" w:lineRule="exact"/>
        <w:rPr>
          <w:sz w:val="20"/>
          <w:szCs w:val="20"/>
          <w:color w:val="auto"/>
        </w:rPr>
      </w:pPr>
    </w:p>
    <w:p>
      <w:pPr>
        <w:ind w:left="40" w:right="79"/>
        <w:spacing w:after="0" w:line="250" w:lineRule="auto"/>
        <w:rPr>
          <w:sz w:val="20"/>
          <w:szCs w:val="20"/>
          <w:color w:val="auto"/>
        </w:rPr>
      </w:pPr>
      <w:r>
        <w:rPr>
          <w:rFonts w:ascii="Arial" w:cs="Arial" w:eastAsia="Arial" w:hAnsi="Arial"/>
          <w:sz w:val="18"/>
          <w:szCs w:val="18"/>
          <w:color w:val="auto"/>
        </w:rPr>
        <w:t>A portion of the Company’s revenues relate to the physical delivery and settlement of forward sales contracts for green coffee that are accounted for under ASC 815. These forward sales contracts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94" w:lineRule="exact"/>
        <w:rPr>
          <w:sz w:val="20"/>
          <w:szCs w:val="20"/>
          <w:color w:val="auto"/>
        </w:rPr>
      </w:pPr>
    </w:p>
    <w:p>
      <w:pPr>
        <w:ind w:left="40" w:right="79"/>
        <w:spacing w:after="0" w:line="265" w:lineRule="auto"/>
        <w:rPr>
          <w:sz w:val="20"/>
          <w:szCs w:val="20"/>
          <w:color w:val="auto"/>
        </w:rPr>
      </w:pPr>
      <w:r>
        <w:rPr>
          <w:rFonts w:ascii="Arial" w:cs="Arial" w:eastAsia="Arial" w:hAnsi="Arial"/>
          <w:sz w:val="17"/>
          <w:szCs w:val="17"/>
          <w:color w:val="auto"/>
        </w:rPr>
        <w:t>Revenues from forward sales contracts are recognized for the contractually stated amount when the contracts are settled. Settlement generally occurs upon shipment or delivery of the product when title and risks and rewards of ownership transfers to the customer. Prior to settlement, these forward sales contracts are recognized at fair value with the unrealized gains or losses recorded within costs of sales in our Condensed Consolidated Statements of Operations. For the three and nine months ended September 30, 2022, we recorded a nominal amount and $7.3 million of net unrealized gains, respectively, within costs of sales. For the three and nine months ended September 30, 2021, we recorded $3.3 million and $3.9 million of net unrealized losses, respectively, within costs of sales.</w:t>
      </w:r>
    </w:p>
    <w:p>
      <w:pPr>
        <w:spacing w:after="0" w:line="185" w:lineRule="exact"/>
        <w:rPr>
          <w:sz w:val="20"/>
          <w:szCs w:val="20"/>
          <w:color w:val="auto"/>
        </w:rPr>
      </w:pPr>
    </w:p>
    <w:p>
      <w:pPr>
        <w:ind w:left="40" w:right="519"/>
        <w:spacing w:after="0" w:line="252" w:lineRule="auto"/>
        <w:rPr>
          <w:sz w:val="20"/>
          <w:szCs w:val="20"/>
          <w:color w:val="auto"/>
        </w:rPr>
      </w:pPr>
      <w:r>
        <w:rPr>
          <w:rFonts w:ascii="Arial" w:cs="Arial" w:eastAsia="Arial" w:hAnsi="Arial"/>
          <w:sz w:val="18"/>
          <w:szCs w:val="18"/>
          <w:color w:val="auto"/>
        </w:rPr>
        <w:t>For the three and nine months ended September 30, 2022, the Company recognized $56.6 million and $147.0 million in revenues under ASC 815, respectively, and for the three and nine months ended September 30, 2021, the Company recognized $42.3 million and $106.2 million in revenues under ASC 815, respectively, which are reported within the Company’s Sustainable Sourcing &amp; Traceability segment.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Contract Estimates</w:t>
      </w:r>
    </w:p>
    <w:p>
      <w:pPr>
        <w:spacing w:after="0" w:line="217" w:lineRule="exact"/>
        <w:rPr>
          <w:sz w:val="20"/>
          <w:szCs w:val="20"/>
          <w:color w:val="auto"/>
        </w:rPr>
      </w:pPr>
    </w:p>
    <w:p>
      <w:pPr>
        <w:ind w:left="40" w:right="119"/>
        <w:spacing w:after="0" w:line="265" w:lineRule="auto"/>
        <w:rPr>
          <w:sz w:val="20"/>
          <w:szCs w:val="20"/>
          <w:color w:val="auto"/>
        </w:rPr>
      </w:pPr>
      <w:r>
        <w:rPr>
          <w:rFonts w:ascii="Arial" w:cs="Arial" w:eastAsia="Arial" w:hAnsi="Arial"/>
          <w:sz w:val="17"/>
          <w:szCs w:val="17"/>
          <w:color w:val="auto"/>
        </w:rPr>
        <w:t>The nature of the Company’s contracts give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 These estimated rebates or discounts are included in the transaction price of the Company’s contracts with customers as a reduction to net revenues and are included as accrued sales incentives in accrued expenses and other current liabilities in the Condensed Consolidated Balance Sheets. Accrued sales incentives were $1.3 million and $1.9 million at September 30, 2022 and December 31, 2021.</w:t>
      </w:r>
    </w:p>
    <w:p>
      <w:pPr>
        <w:spacing w:after="0" w:line="185" w:lineRule="exact"/>
        <w:rPr>
          <w:sz w:val="20"/>
          <w:szCs w:val="20"/>
          <w:color w:val="auto"/>
        </w:rPr>
      </w:pPr>
    </w:p>
    <w:p>
      <w:pPr>
        <w:ind w:left="40" w:right="379"/>
        <w:spacing w:after="0" w:line="255" w:lineRule="auto"/>
        <w:rPr>
          <w:sz w:val="20"/>
          <w:szCs w:val="20"/>
          <w:color w:val="auto"/>
        </w:rPr>
      </w:pPr>
      <w:r>
        <w:rPr>
          <w:rFonts w:ascii="Arial" w:cs="Arial" w:eastAsia="Arial" w:hAnsi="Arial"/>
          <w:sz w:val="18"/>
          <w:szCs w:val="18"/>
          <w:color w:val="auto"/>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Contract Balances</w:t>
      </w:r>
    </w:p>
    <w:p>
      <w:pPr>
        <w:spacing w:after="0" w:line="217" w:lineRule="exact"/>
        <w:rPr>
          <w:sz w:val="20"/>
          <w:szCs w:val="20"/>
          <w:color w:val="auto"/>
        </w:rPr>
      </w:pPr>
    </w:p>
    <w:p>
      <w:pPr>
        <w:ind w:left="40" w:right="79"/>
        <w:spacing w:after="0" w:line="268" w:lineRule="auto"/>
        <w:rPr>
          <w:sz w:val="20"/>
          <w:szCs w:val="20"/>
          <w:color w:val="auto"/>
        </w:rPr>
      </w:pPr>
      <w:r>
        <w:rPr>
          <w:rFonts w:ascii="Arial" w:cs="Arial" w:eastAsia="Arial" w:hAnsi="Arial"/>
          <w:sz w:val="17"/>
          <w:szCs w:val="17"/>
          <w:color w:val="auto"/>
        </w:rPr>
        <w:t>Contract balances relate primarily to advances received from the Company’s customers before revenue is recognized. The Company does not have any material contract liabilities as of September 30, 2022 or December 31, 2021. Receivables from contracts with customers are included in accounts receivable, net on the Company’s Condensed Consolidated Balance Sheets. At September 30, 2022 and December 31, 2021, accounts receivable, net included $101.0 million and $89.0 million in receivables from contracts with customers, respectively.</w:t>
      </w:r>
    </w:p>
    <w:p>
      <w:pPr>
        <w:spacing w:after="0" w:line="181" w:lineRule="exact"/>
        <w:rPr>
          <w:sz w:val="20"/>
          <w:szCs w:val="20"/>
          <w:color w:val="auto"/>
        </w:rPr>
      </w:pPr>
    </w:p>
    <w:p>
      <w:pPr>
        <w:ind w:left="40" w:right="359"/>
        <w:spacing w:after="0" w:line="277" w:lineRule="auto"/>
        <w:rPr>
          <w:sz w:val="20"/>
          <w:szCs w:val="20"/>
          <w:color w:val="auto"/>
        </w:rPr>
      </w:pPr>
      <w:r>
        <w:rPr>
          <w:rFonts w:ascii="Arial" w:cs="Arial" w:eastAsia="Arial" w:hAnsi="Arial"/>
          <w:sz w:val="17"/>
          <w:szCs w:val="17"/>
          <w:color w:val="auto"/>
        </w:rPr>
        <w:t>Contract acquisition costs for obtaining contracts that are deemed recoverable are capitalized as contract costs. Such costs result from the payment of sales incentives and are amortized over the contract life. As of September 30, 2022 and December 31, 2021, no costs were capitalized as all arrangements were less than a year.</w:t>
      </w:r>
    </w:p>
    <w:p>
      <w:pPr>
        <w:spacing w:after="0" w:line="38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Disaggregated Revenue</w:t>
      </w:r>
    </w:p>
    <w:p>
      <w:pPr>
        <w:spacing w:after="0" w:line="217" w:lineRule="exact"/>
        <w:rPr>
          <w:sz w:val="20"/>
          <w:szCs w:val="20"/>
          <w:color w:val="auto"/>
        </w:rPr>
      </w:pPr>
    </w:p>
    <w:p>
      <w:pPr>
        <w:ind w:left="40" w:right="59"/>
        <w:spacing w:after="0" w:line="365" w:lineRule="auto"/>
        <w:rPr>
          <w:sz w:val="20"/>
          <w:szCs w:val="20"/>
          <w:color w:val="auto"/>
        </w:rPr>
      </w:pPr>
      <w:r>
        <w:rPr>
          <w:rFonts w:ascii="Arial" w:cs="Arial" w:eastAsia="Arial" w:hAnsi="Arial"/>
          <w:sz w:val="15"/>
          <w:szCs w:val="15"/>
          <w:color w:val="auto"/>
        </w:rPr>
        <w:t>In general, the Company’s business segmentation is aligned according to the nature and economic characteristics of its products and customer relationships and provides meaningful disaggregation of each business segment’s results of operations.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Further disaggregation of revenues from sales to external customers by type are presented below:</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410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39"/>
        </w:trPr>
        <w:tc>
          <w:tcPr>
            <w:tcW w:w="41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39"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39"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39"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3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Coffee &amp; tea</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line="205"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146,618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111,900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408,914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323,509</w:t>
            </w:r>
          </w:p>
        </w:tc>
        <w:tc>
          <w:tcPr>
            <w:tcW w:w="0" w:type="dxa"/>
            <w:vAlign w:val="bottom"/>
          </w:tcPr>
          <w:p>
            <w:pPr>
              <w:spacing w:after="0"/>
              <w:rPr>
                <w:sz w:val="1"/>
                <w:szCs w:val="1"/>
                <w:color w:val="auto"/>
              </w:rPr>
            </w:pPr>
          </w:p>
        </w:tc>
      </w:tr>
      <w:tr>
        <w:trPr>
          <w:trHeight w:val="212"/>
        </w:trPr>
        <w:tc>
          <w:tcPr>
            <w:tcW w:w="4100" w:type="dxa"/>
            <w:vAlign w:val="bottom"/>
          </w:tcPr>
          <w:p>
            <w:pPr>
              <w:spacing w:after="0"/>
              <w:rPr>
                <w:sz w:val="20"/>
                <w:szCs w:val="20"/>
                <w:color w:val="auto"/>
              </w:rPr>
            </w:pPr>
            <w:r>
              <w:rPr>
                <w:rFonts w:ascii="Arial" w:cs="Arial" w:eastAsia="Arial" w:hAnsi="Arial"/>
                <w:sz w:val="18"/>
                <w:szCs w:val="18"/>
                <w:color w:val="auto"/>
              </w:rPr>
              <w:t>Flavors, extracts &amp; ingredients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26,385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25,077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72,412</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12"/>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Green coffee</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42,439</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147,437</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107,246</w:t>
            </w:r>
          </w:p>
        </w:tc>
        <w:tc>
          <w:tcPr>
            <w:tcW w:w="0" w:type="dxa"/>
            <w:vAlign w:val="bottom"/>
          </w:tcPr>
          <w:p>
            <w:pPr>
              <w:spacing w:after="0"/>
              <w:rPr>
                <w:sz w:val="1"/>
                <w:szCs w:val="1"/>
                <w:color w:val="auto"/>
              </w:rPr>
            </w:pPr>
          </w:p>
        </w:tc>
      </w:tr>
      <w:tr>
        <w:trPr>
          <w:trHeight w:val="205"/>
        </w:trPr>
        <w:tc>
          <w:tcPr>
            <w:tcW w:w="4100" w:type="dxa"/>
            <w:vAlign w:val="bottom"/>
            <w:tcBorders>
              <w:bottom w:val="single" w:sz="8" w:color="CCEEFF"/>
            </w:tcBorders>
            <w:shd w:val="clear" w:color="auto" w:fill="CCEEFF"/>
          </w:tcPr>
          <w:p>
            <w:pPr>
              <w:ind w:left="100"/>
              <w:spacing w:after="0" w:line="205" w:lineRule="exact"/>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8"/>
              <w:spacing w:after="0" w:line="205"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230,308</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181,277</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640,149</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507,752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Inventories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inventories as of September 30, 2022 and December 31, 2021:</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6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15"/>
              <w:spacing w:after="0"/>
              <w:rPr>
                <w:sz w:val="20"/>
                <w:szCs w:val="20"/>
                <w:color w:val="auto"/>
              </w:rPr>
            </w:pPr>
            <w:r>
              <w:rPr>
                <w:rFonts w:ascii="Arial" w:cs="Arial" w:eastAsia="Arial" w:hAnsi="Arial"/>
                <w:sz w:val="14"/>
                <w:szCs w:val="14"/>
                <w:b w:val="1"/>
                <w:bCs w:val="1"/>
                <w:color w:val="auto"/>
                <w:w w:val="87"/>
              </w:rPr>
              <w:t>December 31, 2021</w:t>
            </w:r>
          </w:p>
        </w:tc>
      </w:tr>
      <w:tr>
        <w:trPr>
          <w:trHeight w:val="205"/>
        </w:trPr>
        <w:tc>
          <w:tcPr>
            <w:tcW w:w="588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8"/>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68,959</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45,079</w:t>
            </w:r>
          </w:p>
        </w:tc>
      </w:tr>
      <w:tr>
        <w:trPr>
          <w:trHeight w:val="212"/>
        </w:trPr>
        <w:tc>
          <w:tcPr>
            <w:tcW w:w="608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14,895</w:t>
            </w:r>
          </w:p>
        </w:tc>
      </w:tr>
      <w:tr>
        <w:trPr>
          <w:trHeight w:val="212"/>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 coffee</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49,192</w:t>
            </w:r>
          </w:p>
        </w:tc>
      </w:tr>
      <w:tr>
        <w:trPr>
          <w:trHeight w:val="205"/>
        </w:trPr>
        <w:tc>
          <w:tcPr>
            <w:tcW w:w="6080" w:type="dxa"/>
            <w:vAlign w:val="bottom"/>
            <w:gridSpan w:val="2"/>
          </w:tcPr>
          <w:p>
            <w:pPr>
              <w:spacing w:after="0" w:line="205" w:lineRule="exact"/>
              <w:rPr>
                <w:sz w:val="20"/>
                <w:szCs w:val="20"/>
                <w:color w:val="auto"/>
              </w:rPr>
            </w:pPr>
            <w:r>
              <w:rPr>
                <w:rFonts w:ascii="Arial" w:cs="Arial" w:eastAsia="Arial" w:hAnsi="Arial"/>
                <w:sz w:val="18"/>
                <w:szCs w:val="18"/>
                <w:color w:val="auto"/>
              </w:rPr>
              <w:t>Total inventories</w:t>
            </w:r>
          </w:p>
        </w:tc>
        <w:tc>
          <w:tcPr>
            <w:tcW w:w="380" w:type="dxa"/>
            <w:vAlign w:val="bottom"/>
            <w:tcBorders>
              <w:bottom w:val="single" w:sz="8" w:color="auto"/>
            </w:tcBorders>
          </w:tcPr>
          <w:p>
            <w:pPr>
              <w:jc w:val="right"/>
              <w:ind w:right="198"/>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162,245</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109,166</w:t>
            </w:r>
          </w:p>
        </w:tc>
      </w:tr>
      <w:tr>
        <w:trPr>
          <w:trHeight w:val="20"/>
        </w:trPr>
        <w:tc>
          <w:tcPr>
            <w:tcW w:w="5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40" w:right="299"/>
        <w:spacing w:after="0" w:line="264" w:lineRule="auto"/>
        <w:rPr>
          <w:sz w:val="20"/>
          <w:szCs w:val="20"/>
          <w:color w:val="auto"/>
        </w:rPr>
      </w:pPr>
      <w:r>
        <w:rPr>
          <w:rFonts w:ascii="Arial" w:cs="Arial" w:eastAsia="Arial" w:hAnsi="Arial"/>
          <w:sz w:val="18"/>
          <w:szCs w:val="18"/>
          <w:color w:val="auto"/>
        </w:rPr>
        <w:t>Green coffee inventories represent green coffee held for re-sale. At September 30, 2022 and December 31, 2021, all green coffee held for resale was included within our Sustainable Sourcing &amp; Traceability segment.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18" w:name="page19"/>
    <w:bookmarkEnd w:id="1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Property, Plant and Equipment, Net</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property, plant and equipment, net:</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480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Depreciable Lives</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September 30, 2022</w:t>
            </w:r>
          </w:p>
        </w:tc>
        <w:tc>
          <w:tcPr>
            <w:tcW w:w="1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r>
      <w:tr>
        <w:trPr>
          <w:trHeight w:val="205"/>
        </w:trPr>
        <w:tc>
          <w:tcPr>
            <w:tcW w:w="4620" w:type="dxa"/>
            <w:vAlign w:val="bottom"/>
            <w:tcBorders>
              <w:top w:val="single" w:sz="8" w:color="auto"/>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rPr>
              <w:t>Land</w:t>
            </w:r>
          </w:p>
        </w:tc>
        <w:tc>
          <w:tcPr>
            <w:tcW w:w="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9,092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9,150</w:t>
            </w:r>
          </w:p>
        </w:tc>
      </w:tr>
      <w:tr>
        <w:trPr>
          <w:trHeight w:val="212"/>
        </w:trPr>
        <w:tc>
          <w:tcPr>
            <w:tcW w:w="4800" w:type="dxa"/>
            <w:vAlign w:val="bottom"/>
            <w:gridSpan w:val="3"/>
          </w:tcPr>
          <w:p>
            <w:pPr>
              <w:spacing w:after="0"/>
              <w:rPr>
                <w:sz w:val="20"/>
                <w:szCs w:val="20"/>
                <w:color w:val="auto"/>
              </w:rPr>
            </w:pPr>
            <w:r>
              <w:rPr>
                <w:rFonts w:ascii="Arial" w:cs="Arial" w:eastAsia="Arial" w:hAnsi="Arial"/>
                <w:sz w:val="18"/>
                <w:szCs w:val="18"/>
                <w:color w:val="auto"/>
              </w:rPr>
              <w:t>Buildings</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10-40 years</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43,895</w:t>
            </w:r>
          </w:p>
        </w:tc>
      </w:tr>
      <w:tr>
        <w:trPr>
          <w:trHeight w:val="212"/>
        </w:trPr>
        <w:tc>
          <w:tcPr>
            <w:tcW w:w="4800" w:type="dxa"/>
            <w:vAlign w:val="bottom"/>
            <w:gridSpan w:val="3"/>
            <w:shd w:val="clear" w:color="auto" w:fill="CCEEFF"/>
          </w:tcPr>
          <w:p>
            <w:pPr>
              <w:spacing w:after="0" w:line="212" w:lineRule="exact"/>
              <w:rPr>
                <w:sz w:val="20"/>
                <w:szCs w:val="20"/>
                <w:color w:val="auto"/>
              </w:rPr>
            </w:pPr>
            <w:r>
              <w:rPr>
                <w:rFonts w:ascii="Arial" w:cs="Arial" w:eastAsia="Arial" w:hAnsi="Arial"/>
                <w:sz w:val="16"/>
                <w:szCs w:val="16"/>
                <w:color w:val="auto"/>
              </w:rPr>
              <w:t>Leasehold improvements</w:t>
            </w:r>
            <w:r>
              <w:rPr>
                <w:rFonts w:ascii="Arial" w:cs="Arial" w:eastAsia="Arial" w:hAnsi="Arial"/>
                <w:sz w:val="24"/>
                <w:szCs w:val="24"/>
                <w:color w:val="auto"/>
                <w:vertAlign w:val="superscript"/>
              </w:rPr>
              <w:t>1</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12"/>
        </w:trPr>
        <w:tc>
          <w:tcPr>
            <w:tcW w:w="4800" w:type="dxa"/>
            <w:vAlign w:val="bottom"/>
            <w:gridSpan w:val="3"/>
          </w:tcPr>
          <w:p>
            <w:pPr>
              <w:spacing w:after="0"/>
              <w:rPr>
                <w:sz w:val="20"/>
                <w:szCs w:val="20"/>
                <w:color w:val="auto"/>
              </w:rPr>
            </w:pPr>
            <w:r>
              <w:rPr>
                <w:rFonts w:ascii="Arial" w:cs="Arial" w:eastAsia="Arial" w:hAnsi="Arial"/>
                <w:sz w:val="18"/>
                <w:szCs w:val="18"/>
                <w:color w:val="auto"/>
              </w:rPr>
              <w:t>Plant equipment</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3-15 years</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88,155</w:t>
            </w:r>
          </w:p>
        </w:tc>
      </w:tr>
      <w:tr>
        <w:trPr>
          <w:trHeight w:val="212"/>
        </w:trPr>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Vehicles and transportation equipment</w:t>
            </w:r>
          </w:p>
        </w:tc>
        <w:tc>
          <w:tcPr>
            <w:tcW w:w="14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3-5 years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12"/>
        </w:trPr>
        <w:tc>
          <w:tcPr>
            <w:tcW w:w="4800" w:type="dxa"/>
            <w:vAlign w:val="bottom"/>
            <w:gridSpan w:val="3"/>
          </w:tcPr>
          <w:p>
            <w:pPr>
              <w:spacing w:after="0"/>
              <w:rPr>
                <w:sz w:val="20"/>
                <w:szCs w:val="20"/>
                <w:color w:val="auto"/>
              </w:rPr>
            </w:pPr>
            <w:r>
              <w:rPr>
                <w:rFonts w:ascii="Arial" w:cs="Arial" w:eastAsia="Arial" w:hAnsi="Arial"/>
                <w:sz w:val="18"/>
                <w:szCs w:val="18"/>
                <w:color w:val="auto"/>
              </w:rPr>
              <w:t>IT systems</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3-7 years</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2,453</w:t>
            </w:r>
          </w:p>
        </w:tc>
      </w:tr>
      <w:tr>
        <w:trPr>
          <w:trHeight w:val="212"/>
        </w:trPr>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4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3-10 years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r>
      <w:tr>
        <w:trPr>
          <w:trHeight w:val="212"/>
        </w:trPr>
        <w:tc>
          <w:tcPr>
            <w:tcW w:w="4800" w:type="dxa"/>
            <w:vAlign w:val="bottom"/>
            <w:gridSpan w:val="3"/>
          </w:tcPr>
          <w:p>
            <w:pPr>
              <w:spacing w:after="0" w:line="212" w:lineRule="exact"/>
              <w:rPr>
                <w:sz w:val="20"/>
                <w:szCs w:val="20"/>
                <w:color w:val="auto"/>
              </w:rPr>
            </w:pPr>
            <w:r>
              <w:rPr>
                <w:rFonts w:ascii="Arial" w:cs="Arial" w:eastAsia="Arial" w:hAnsi="Arial"/>
                <w:sz w:val="16"/>
                <w:szCs w:val="16"/>
                <w:color w:val="auto"/>
              </w:rPr>
              <w:t>Customer beverage equipment</w:t>
            </w:r>
            <w:r>
              <w:rPr>
                <w:rFonts w:ascii="Arial" w:cs="Arial" w:eastAsia="Arial" w:hAnsi="Arial"/>
                <w:sz w:val="24"/>
                <w:szCs w:val="24"/>
                <w:color w:val="auto"/>
                <w:vertAlign w:val="superscript"/>
              </w:rPr>
              <w:t>2</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3-5 years</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24,341</w:t>
            </w:r>
          </w:p>
        </w:tc>
      </w:tr>
      <w:tr>
        <w:trPr>
          <w:trHeight w:val="212"/>
        </w:trPr>
        <w:tc>
          <w:tcPr>
            <w:tcW w:w="4800" w:type="dxa"/>
            <w:vAlign w:val="bottom"/>
            <w:gridSpan w:val="3"/>
            <w:shd w:val="clear" w:color="auto" w:fill="CCEEFF"/>
          </w:tcPr>
          <w:p>
            <w:pPr>
              <w:spacing w:after="0" w:line="212" w:lineRule="exact"/>
              <w:rPr>
                <w:sz w:val="20"/>
                <w:szCs w:val="20"/>
                <w:color w:val="auto"/>
              </w:rPr>
            </w:pPr>
            <w:r>
              <w:rPr>
                <w:rFonts w:ascii="Arial" w:cs="Arial" w:eastAsia="Arial" w:hAnsi="Arial"/>
                <w:sz w:val="16"/>
                <w:szCs w:val="16"/>
                <w:color w:val="auto"/>
              </w:rPr>
              <w:t>Lease right-of-use assets</w:t>
            </w:r>
            <w:r>
              <w:rPr>
                <w:rFonts w:ascii="Arial" w:cs="Arial" w:eastAsia="Arial" w:hAnsi="Arial"/>
                <w:sz w:val="24"/>
                <w:szCs w:val="24"/>
                <w:color w:val="auto"/>
                <w:vertAlign w:val="superscript"/>
              </w:rPr>
              <w:t>3</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48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Construction in progress and equipment deposits</w:t>
            </w:r>
          </w:p>
        </w:tc>
        <w:tc>
          <w:tcPr>
            <w:tcW w:w="1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8,025</w:t>
            </w:r>
          </w:p>
        </w:tc>
      </w:tr>
      <w:tr>
        <w:trPr>
          <w:trHeight w:val="205"/>
        </w:trPr>
        <w:tc>
          <w:tcPr>
            <w:tcW w:w="22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196,983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180,254</w:t>
            </w:r>
          </w:p>
        </w:tc>
      </w:tr>
      <w:tr>
        <w:trPr>
          <w:trHeight w:val="212"/>
        </w:trPr>
        <w:tc>
          <w:tcPr>
            <w:tcW w:w="480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(62,852)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(52,641)</w:t>
            </w:r>
          </w:p>
        </w:tc>
      </w:tr>
      <w:tr>
        <w:trPr>
          <w:trHeight w:val="205"/>
        </w:trPr>
        <w:tc>
          <w:tcPr>
            <w:tcW w:w="4800" w:type="dxa"/>
            <w:vAlign w:val="bottom"/>
            <w:tcBorders>
              <w:top w:val="single" w:sz="8" w:color="CCEEFF"/>
              <w:bottom w:val="single" w:sz="8" w:color="CCEEFF"/>
            </w:tcBorders>
            <w:gridSpan w:val="3"/>
            <w:shd w:val="clear" w:color="auto" w:fill="CCEEFF"/>
          </w:tcPr>
          <w:p>
            <w:pPr>
              <w:spacing w:after="0" w:line="205" w:lineRule="exact"/>
              <w:rPr>
                <w:sz w:val="20"/>
                <w:szCs w:val="20"/>
                <w:color w:val="auto"/>
              </w:rPr>
            </w:pPr>
            <w:r>
              <w:rPr>
                <w:rFonts w:ascii="Arial" w:cs="Arial" w:eastAsia="Arial" w:hAnsi="Arial"/>
                <w:sz w:val="18"/>
                <w:szCs w:val="18"/>
                <w:color w:val="auto"/>
              </w:rPr>
              <w:t>Property, plant and equipment, net</w:t>
            </w: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134,131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127,613</w:t>
            </w:r>
          </w:p>
        </w:tc>
      </w:tr>
      <w:tr>
        <w:trPr>
          <w:trHeight w:val="20"/>
        </w:trPr>
        <w:tc>
          <w:tcPr>
            <w:tcW w:w="2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92"/>
        </w:trPr>
        <w:tc>
          <w:tcPr>
            <w:tcW w:w="222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r>
    </w:tbl>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 Leasehold improvements are amortized over the shorter of their estimated useful lives or the related lease life.</w:t>
      </w:r>
    </w:p>
    <w:p>
      <w:pPr>
        <w:ind w:left="40"/>
        <w:spacing w:after="0" w:line="217" w:lineRule="auto"/>
        <w:rPr>
          <w:sz w:val="20"/>
          <w:szCs w:val="20"/>
          <w:color w:val="auto"/>
        </w:rPr>
      </w:pPr>
      <w:r>
        <w:rPr>
          <w:rFonts w:ascii="Arial" w:cs="Arial" w:eastAsia="Arial" w:hAnsi="Arial"/>
          <w:sz w:val="14"/>
          <w:szCs w:val="14"/>
          <w:color w:val="auto"/>
        </w:rPr>
        <w:t>2 - Customer beverage equipment consists of brewers held on site at customer locations.</w:t>
      </w:r>
    </w:p>
    <w:p>
      <w:pPr>
        <w:ind w:left="40"/>
        <w:spacing w:after="0"/>
        <w:rPr>
          <w:sz w:val="20"/>
          <w:szCs w:val="20"/>
          <w:color w:val="auto"/>
        </w:rPr>
      </w:pPr>
      <w:r>
        <w:rPr>
          <w:rFonts w:ascii="Arial" w:cs="Arial" w:eastAsia="Arial" w:hAnsi="Arial"/>
          <w:sz w:val="14"/>
          <w:szCs w:val="14"/>
          <w:color w:val="auto"/>
        </w:rPr>
        <w:t>3 - Lease right-of-use assets are amortized over the shorter of the useful life of the asset or the lease term.</w:t>
      </w:r>
    </w:p>
    <w:p>
      <w:pPr>
        <w:spacing w:after="0" w:line="125" w:lineRule="exact"/>
        <w:rPr>
          <w:sz w:val="20"/>
          <w:szCs w:val="20"/>
          <w:color w:val="auto"/>
        </w:rPr>
      </w:pPr>
    </w:p>
    <w:p>
      <w:pPr>
        <w:ind w:left="40" w:right="79"/>
        <w:spacing w:after="0" w:line="250" w:lineRule="auto"/>
        <w:rPr>
          <w:sz w:val="20"/>
          <w:szCs w:val="20"/>
          <w:color w:val="auto"/>
        </w:rPr>
      </w:pPr>
      <w:r>
        <w:rPr>
          <w:rFonts w:ascii="Arial" w:cs="Arial" w:eastAsia="Arial" w:hAnsi="Arial"/>
          <w:sz w:val="18"/>
          <w:szCs w:val="18"/>
          <w:color w:val="auto"/>
        </w:rPr>
        <w:t>Depreciation expense for the three and nine months ended September 30, 2022 was $4.1 million and $12.7 million, respectively, and depreciation expense for the three and nine months ended September 30, 2021 was $4.4 million and $13.4 million, respectively. Assets classified as construction in progress and equipment deposits are not depreciated, as they are not ready for production use. All assets classified as construction in progress and equipment deposits at September 30, 2022 are expected to be in production use.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Goodwill</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reflects the carrying amount of goodwill:</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Beverage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8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4"/>
                <w:szCs w:val="14"/>
                <w:color w:val="auto"/>
              </w:rPr>
            </w:pPr>
          </w:p>
        </w:tc>
        <w:tc>
          <w:tcPr>
            <w:tcW w:w="96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05"/>
        </w:trPr>
        <w:tc>
          <w:tcPr>
            <w:tcW w:w="6080" w:type="dxa"/>
            <w:vAlign w:val="bottom"/>
            <w:tcBorders>
              <w:top w:val="single" w:sz="8" w:color="auto"/>
            </w:tcBorders>
            <w:shd w:val="clear" w:color="auto" w:fill="CCEEFF"/>
          </w:tcPr>
          <w:p>
            <w:pPr>
              <w:ind w:left="100"/>
              <w:spacing w:after="0" w:line="205" w:lineRule="exact"/>
              <w:rPr>
                <w:sz w:val="20"/>
                <w:szCs w:val="20"/>
                <w:color w:val="auto"/>
              </w:rPr>
            </w:pPr>
            <w:r>
              <w:rPr>
                <w:rFonts w:ascii="Arial" w:cs="Arial" w:eastAsia="Arial" w:hAnsi="Arial"/>
                <w:sz w:val="18"/>
                <w:szCs w:val="18"/>
                <w:color w:val="auto"/>
              </w:rPr>
              <w:t>Goodwill</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173,936</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173,936</w:t>
            </w:r>
          </w:p>
        </w:tc>
      </w:tr>
      <w:tr>
        <w:trPr>
          <w:trHeight w:val="212"/>
        </w:trPr>
        <w:tc>
          <w:tcPr>
            <w:tcW w:w="6080" w:type="dxa"/>
            <w:vAlign w:val="bottom"/>
          </w:tcPr>
          <w:p>
            <w:pPr>
              <w:ind w:left="100"/>
              <w:spacing w:after="0"/>
              <w:rPr>
                <w:sz w:val="20"/>
                <w:szCs w:val="20"/>
                <w:color w:val="auto"/>
              </w:rPr>
            </w:pPr>
            <w:r>
              <w:rPr>
                <w:rFonts w:ascii="Arial" w:cs="Arial" w:eastAsia="Arial" w:hAnsi="Arial"/>
                <w:sz w:val="18"/>
                <w:szCs w:val="18"/>
                <w:color w:val="auto"/>
              </w:rPr>
              <w:t>Accumulated impairment loss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(76,883)</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(76,883)</w:t>
            </w:r>
          </w:p>
        </w:tc>
      </w:tr>
      <w:tr>
        <w:trPr>
          <w:trHeight w:val="205"/>
        </w:trPr>
        <w:tc>
          <w:tcPr>
            <w:tcW w:w="608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Balance at September 30, 2022, net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97,053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97,053</w:t>
            </w: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40"/>
        </w:trPr>
        <w:tc>
          <w:tcPr>
            <w:tcW w:w="6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51"/>
        </w:trPr>
        <w:tc>
          <w:tcPr>
            <w:tcW w:w="6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1" w:right="1440" w:bottom="1440" w:gutter="0" w:footer="0" w:header="0"/>
        </w:sectPr>
      </w:pPr>
    </w:p>
    <w:bookmarkStart w:id="19" w:name="page20"/>
    <w:bookmarkEnd w:id="1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Intangible Assets, Net</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intangible assets, net as of September 30, 2022 and December 31, 2021: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right"/>
              <w:ind w:right="63"/>
              <w:spacing w:after="0"/>
              <w:rPr>
                <w:sz w:val="20"/>
                <w:szCs w:val="20"/>
                <w:color w:val="auto"/>
              </w:rPr>
            </w:pPr>
            <w:r>
              <w:rPr>
                <w:rFonts w:ascii="Arial" w:cs="Arial" w:eastAsia="Arial" w:hAnsi="Arial"/>
                <w:sz w:val="14"/>
                <w:szCs w:val="14"/>
                <w:b w:val="1"/>
                <w:bCs w:val="1"/>
                <w:color w:val="auto"/>
                <w:w w:val="90"/>
              </w:rPr>
              <w:t>September 30, 2022</w:t>
            </w:r>
          </w:p>
        </w:tc>
        <w:tc>
          <w:tcPr>
            <w:tcW w:w="700" w:type="dxa"/>
            <w:vAlign w:val="bottom"/>
            <w:tcBorders>
              <w:bottom w:val="single" w:sz="8" w:color="auto"/>
            </w:tcBorders>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20"/>
              <w:spacing w:after="0" w:line="130"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58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55"/>
              <w:spacing w:after="0"/>
              <w:rPr>
                <w:sz w:val="20"/>
                <w:szCs w:val="20"/>
                <w:color w:val="auto"/>
              </w:rPr>
            </w:pPr>
            <w:r>
              <w:rPr>
                <w:rFonts w:ascii="Arial" w:cs="Arial" w:eastAsia="Arial" w:hAnsi="Arial"/>
                <w:sz w:val="14"/>
                <w:szCs w:val="14"/>
                <w:b w:val="1"/>
                <w:bCs w:val="1"/>
                <w:color w:val="auto"/>
              </w:rPr>
              <w:t>Net</w:t>
            </w:r>
          </w:p>
        </w:tc>
      </w:tr>
      <w:tr>
        <w:trPr>
          <w:trHeight w:val="205"/>
        </w:trPr>
        <w:tc>
          <w:tcPr>
            <w:tcW w:w="20" w:type="dxa"/>
            <w:vAlign w:val="bottom"/>
          </w:tcPr>
          <w:p>
            <w:pPr>
              <w:spacing w:after="0"/>
              <w:rPr>
                <w:sz w:val="17"/>
                <w:szCs w:val="17"/>
                <w:color w:val="auto"/>
              </w:rPr>
            </w:pPr>
          </w:p>
        </w:tc>
        <w:tc>
          <w:tcPr>
            <w:tcW w:w="58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Customer relationships</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2"/>
              </w:rPr>
              <w:t>137,500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8"/>
              </w:rPr>
              <w:t>(17,036)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5"/>
              </w:rPr>
              <w:t>120,464</w:t>
            </w:r>
          </w:p>
        </w:tc>
      </w:tr>
      <w:tr>
        <w:trPr>
          <w:trHeight w:val="212"/>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Favorable lease asset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2"/>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05"/>
        </w:trPr>
        <w:tc>
          <w:tcPr>
            <w:tcW w:w="5880" w:type="dxa"/>
            <w:vAlign w:val="bottom"/>
            <w:gridSpan w:val="2"/>
          </w:tcPr>
          <w:p>
            <w:pPr>
              <w:spacing w:after="0" w:line="205" w:lineRule="exact"/>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2"/>
              </w:rPr>
              <w:t>138,610</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8"/>
              </w:rPr>
              <w:t>(17,661)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5"/>
              </w:rPr>
              <w:t>120,949</w:t>
            </w: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right"/>
              <w:ind w:right="83"/>
              <w:spacing w:after="0"/>
              <w:rPr>
                <w:sz w:val="20"/>
                <w:szCs w:val="20"/>
                <w:color w:val="auto"/>
              </w:rPr>
            </w:pPr>
            <w:r>
              <w:rPr>
                <w:rFonts w:ascii="Arial" w:cs="Arial" w:eastAsia="Arial" w:hAnsi="Arial"/>
                <w:sz w:val="14"/>
                <w:szCs w:val="14"/>
                <w:b w:val="1"/>
                <w:bCs w:val="1"/>
                <w:color w:val="auto"/>
                <w:w w:val="91"/>
              </w:rPr>
              <w:t>December 31, 2021</w:t>
            </w:r>
          </w:p>
        </w:tc>
        <w:tc>
          <w:tcPr>
            <w:tcW w:w="700" w:type="dxa"/>
            <w:vAlign w:val="bottom"/>
            <w:tcBorders>
              <w:bottom w:val="single" w:sz="8" w:color="auto"/>
            </w:tcBorders>
          </w:tcPr>
          <w:p>
            <w:pPr>
              <w:spacing w:after="0"/>
              <w:rPr>
                <w:sz w:val="24"/>
                <w:szCs w:val="24"/>
                <w:color w:val="auto"/>
              </w:rPr>
            </w:pPr>
          </w:p>
        </w:tc>
      </w:tr>
      <w:tr>
        <w:trPr>
          <w:trHeight w:val="130"/>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ind w:left="20"/>
              <w:spacing w:after="0" w:line="130"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586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Net</w:t>
            </w:r>
          </w:p>
        </w:tc>
      </w:tr>
      <w:tr>
        <w:trPr>
          <w:trHeight w:val="205"/>
        </w:trPr>
        <w:tc>
          <w:tcPr>
            <w:tcW w:w="20" w:type="dxa"/>
            <w:vAlign w:val="bottom"/>
          </w:tcPr>
          <w:p>
            <w:pPr>
              <w:spacing w:after="0"/>
              <w:rPr>
                <w:sz w:val="17"/>
                <w:szCs w:val="17"/>
                <w:color w:val="auto"/>
              </w:rPr>
            </w:pPr>
          </w:p>
        </w:tc>
        <w:tc>
          <w:tcPr>
            <w:tcW w:w="58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Customer relationships</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2"/>
              </w:rPr>
              <w:t>137,500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8"/>
              </w:rPr>
              <w:t>(12,091)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5"/>
              </w:rPr>
              <w:t>125,409</w:t>
            </w:r>
          </w:p>
        </w:tc>
      </w:tr>
      <w:tr>
        <w:trPr>
          <w:trHeight w:val="212"/>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Favorable lease asset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2"/>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05"/>
        </w:trPr>
        <w:tc>
          <w:tcPr>
            <w:tcW w:w="20" w:type="dxa"/>
            <w:vAlign w:val="bottom"/>
          </w:tcPr>
          <w:p>
            <w:pPr>
              <w:spacing w:after="0"/>
              <w:rPr>
                <w:sz w:val="17"/>
                <w:szCs w:val="17"/>
                <w:color w:val="auto"/>
              </w:rPr>
            </w:pPr>
          </w:p>
        </w:tc>
        <w:tc>
          <w:tcPr>
            <w:tcW w:w="5860" w:type="dxa"/>
            <w:vAlign w:val="bottom"/>
          </w:tcPr>
          <w:p>
            <w:pPr>
              <w:spacing w:after="0" w:line="205" w:lineRule="exact"/>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2"/>
              </w:rPr>
              <w:t>138,478</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8"/>
              </w:rPr>
              <w:t>(12,564)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5"/>
              </w:rPr>
              <w:t>125,914</w:t>
            </w: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40" w:right="219"/>
        <w:spacing w:after="0" w:line="252" w:lineRule="auto"/>
        <w:rPr>
          <w:sz w:val="20"/>
          <w:szCs w:val="20"/>
          <w:color w:val="auto"/>
        </w:rPr>
      </w:pPr>
      <w:r>
        <w:rPr>
          <w:rFonts w:ascii="Arial" w:cs="Arial" w:eastAsia="Arial" w:hAnsi="Arial"/>
          <w:sz w:val="18"/>
          <w:szCs w:val="18"/>
          <w:color w:val="auto"/>
        </w:rPr>
        <w:t>Amortization expense of intangible assets was $1.7 million and $5.0 million for the three and nine months ended September 30, 2022, respectively, and amortization expense of intangible assets was $1.7 million and $5.0 million for the three and nine months ended September 30, 2021, respectively. As of September 30, 2022, the weighted average useful life for definite-lived intangibles is approximately 20 years.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Leases</w:t>
      </w:r>
    </w:p>
    <w:p>
      <w:pPr>
        <w:spacing w:after="0" w:line="223" w:lineRule="exact"/>
        <w:rPr>
          <w:sz w:val="20"/>
          <w:szCs w:val="20"/>
          <w:color w:val="auto"/>
        </w:rPr>
      </w:pPr>
    </w:p>
    <w:p>
      <w:pPr>
        <w:ind w:left="40" w:right="99"/>
        <w:spacing w:after="0" w:line="318" w:lineRule="auto"/>
        <w:rPr>
          <w:sz w:val="20"/>
          <w:szCs w:val="20"/>
          <w:color w:val="auto"/>
        </w:rPr>
      </w:pPr>
      <w:r>
        <w:rPr>
          <w:rFonts w:ascii="Arial" w:cs="Arial" w:eastAsia="Arial" w:hAnsi="Arial"/>
          <w:sz w:val="15"/>
          <w:szCs w:val="15"/>
          <w:color w:val="auto"/>
        </w:rPr>
        <w:t>We have operating leases for manufacturing and production facilities, warehouse facilities, vehicles and machinery and equipment. The remaining non-cancelable terms on our leases range from 1 year to 22 years, some of which may include options to extend the leases generally between 1 and 10 years, and some of which may include options to terminate the leases within 1 year. We do not have any leases with material residual value guarantees or restrictive covenants.</w:t>
      </w:r>
    </w:p>
    <w:p>
      <w:pPr>
        <w:spacing w:after="0" w:line="146" w:lineRule="exact"/>
        <w:rPr>
          <w:sz w:val="20"/>
          <w:szCs w:val="20"/>
          <w:color w:val="auto"/>
        </w:rPr>
      </w:pPr>
    </w:p>
    <w:p>
      <w:pPr>
        <w:ind w:left="40" w:right="259"/>
        <w:spacing w:after="0" w:line="264" w:lineRule="auto"/>
        <w:rPr>
          <w:sz w:val="20"/>
          <w:szCs w:val="20"/>
          <w:color w:val="auto"/>
        </w:rPr>
      </w:pPr>
      <w:r>
        <w:rPr>
          <w:rFonts w:ascii="Arial" w:cs="Arial" w:eastAsia="Arial" w:hAnsi="Arial"/>
          <w:sz w:val="18"/>
          <w:szCs w:val="18"/>
          <w:color w:val="auto"/>
        </w:rPr>
        <w:t>The following table summarizes the amount of right-of-use lease assets and lease liabilities included in each respective line item on the Company’s Condensed Consolidated Balance Sheets: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382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89"/>
              </w:rPr>
              <w:t>Balance Sheet Location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136"/>
              <w:spacing w:after="0"/>
              <w:rPr>
                <w:sz w:val="20"/>
                <w:szCs w:val="20"/>
                <w:color w:val="auto"/>
              </w:rPr>
            </w:pPr>
            <w:r>
              <w:rPr>
                <w:rFonts w:ascii="Arial" w:cs="Arial" w:eastAsia="Arial" w:hAnsi="Arial"/>
                <w:sz w:val="14"/>
                <w:szCs w:val="14"/>
                <w:b w:val="1"/>
                <w:bCs w:val="1"/>
                <w:color w:val="auto"/>
                <w:w w:val="91"/>
              </w:rPr>
              <w:t>September 30, 2022</w:t>
            </w:r>
          </w:p>
        </w:tc>
      </w:tr>
      <w:tr>
        <w:trPr>
          <w:trHeight w:val="205"/>
        </w:trPr>
        <w:tc>
          <w:tcPr>
            <w:tcW w:w="20" w:type="dxa"/>
            <w:vAlign w:val="bottom"/>
          </w:tcPr>
          <w:p>
            <w:pPr>
              <w:spacing w:after="0"/>
              <w:rPr>
                <w:sz w:val="17"/>
                <w:szCs w:val="17"/>
                <w:color w:val="auto"/>
              </w:rPr>
            </w:pPr>
          </w:p>
        </w:tc>
        <w:tc>
          <w:tcPr>
            <w:tcW w:w="36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Right-of-use operating lease assets</w:t>
            </w:r>
          </w:p>
        </w:tc>
        <w:tc>
          <w:tcPr>
            <w:tcW w:w="16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auto"/>
            </w:tcBorders>
            <w:shd w:val="clear" w:color="auto" w:fill="CCEEFF"/>
          </w:tcPr>
          <w:p>
            <w:pPr>
              <w:jc w:val="center"/>
              <w:spacing w:after="0" w:line="205" w:lineRule="exact"/>
              <w:rPr>
                <w:sz w:val="20"/>
                <w:szCs w:val="20"/>
                <w:color w:val="auto"/>
              </w:rPr>
            </w:pPr>
            <w:r>
              <w:rPr>
                <w:rFonts w:ascii="Arial" w:cs="Arial" w:eastAsia="Arial" w:hAnsi="Arial"/>
                <w:sz w:val="18"/>
                <w:szCs w:val="18"/>
                <w:color w:val="auto"/>
                <w:w w:val="87"/>
              </w:rPr>
              <w:t>Other long-term assets</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10,886</w:t>
            </w:r>
          </w:p>
        </w:tc>
      </w:tr>
      <w:tr>
        <w:trPr>
          <w:trHeight w:val="212"/>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Operating lease liabilities - current</w:t>
            </w:r>
          </w:p>
        </w:tc>
        <w:tc>
          <w:tcPr>
            <w:tcW w:w="3340" w:type="dxa"/>
            <w:vAlign w:val="bottom"/>
          </w:tcPr>
          <w:p>
            <w:pPr>
              <w:jc w:val="center"/>
              <w:spacing w:after="0"/>
              <w:rPr>
                <w:sz w:val="20"/>
                <w:szCs w:val="20"/>
                <w:color w:val="auto"/>
              </w:rPr>
            </w:pPr>
            <w:r>
              <w:rPr>
                <w:rFonts w:ascii="Arial" w:cs="Arial" w:eastAsia="Arial" w:hAnsi="Arial"/>
                <w:sz w:val="18"/>
                <w:szCs w:val="18"/>
                <w:color w:val="auto"/>
                <w:w w:val="88"/>
              </w:rPr>
              <w:t>Accrued expenses and other current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2,488</w:t>
            </w:r>
          </w:p>
        </w:tc>
      </w:tr>
      <w:tr>
        <w:trPr>
          <w:trHeight w:val="212"/>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 noncurrent</w:t>
            </w:r>
          </w:p>
        </w:tc>
        <w:tc>
          <w:tcPr>
            <w:tcW w:w="3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Other long-term 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w:t>
            </w:r>
          </w:p>
        </w:tc>
      </w:tr>
    </w:tbl>
    <w:p>
      <w:pPr>
        <w:spacing w:after="0" w:line="200" w:lineRule="exact"/>
        <w:rPr>
          <w:sz w:val="20"/>
          <w:szCs w:val="20"/>
          <w:color w:val="auto"/>
        </w:rPr>
      </w:pPr>
    </w:p>
    <w:p>
      <w:pPr>
        <w:jc w:val="both"/>
        <w:ind w:left="40" w:right="79"/>
        <w:spacing w:after="0" w:line="365" w:lineRule="auto"/>
        <w:rPr>
          <w:sz w:val="20"/>
          <w:szCs w:val="20"/>
          <w:color w:val="auto"/>
        </w:rPr>
      </w:pPr>
      <w:r>
        <w:rPr>
          <w:rFonts w:ascii="Arial" w:cs="Arial" w:eastAsia="Arial" w:hAnsi="Arial"/>
          <w:sz w:val="15"/>
          <w:szCs w:val="15"/>
          <w:color w:val="auto"/>
        </w:rPr>
        <w:t>Depending on the nature of the lease, lease costs are classified within costs of sales or selling, general and administrative expense on the Company’s Condensed Consolidated Statements of Operations. The components of lease costs are as follows: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58"/>
              <w:spacing w:after="0"/>
              <w:rPr>
                <w:sz w:val="20"/>
                <w:szCs w:val="20"/>
                <w:color w:val="auto"/>
              </w:rPr>
            </w:pPr>
            <w:r>
              <w:rPr>
                <w:rFonts w:ascii="Arial" w:cs="Arial" w:eastAsia="Arial" w:hAnsi="Arial"/>
                <w:sz w:val="14"/>
                <w:szCs w:val="14"/>
                <w:b w:val="1"/>
                <w:bCs w:val="1"/>
                <w:color w:val="auto"/>
                <w:w w:val="93"/>
              </w:rPr>
              <w:t>Nine Months Ended</w:t>
            </w:r>
          </w:p>
        </w:tc>
      </w:tr>
      <w:tr>
        <w:trPr>
          <w:trHeight w:val="168"/>
        </w:trPr>
        <w:tc>
          <w:tcPr>
            <w:tcW w:w="55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ind w:right="59"/>
              <w:spacing w:after="0"/>
              <w:rPr>
                <w:sz w:val="20"/>
                <w:szCs w:val="20"/>
                <w:color w:val="auto"/>
              </w:rPr>
            </w:pPr>
            <w:r>
              <w:rPr>
                <w:rFonts w:ascii="Arial" w:cs="Arial" w:eastAsia="Arial" w:hAnsi="Arial"/>
                <w:sz w:val="14"/>
                <w:szCs w:val="14"/>
                <w:b w:val="1"/>
                <w:bCs w:val="1"/>
                <w:color w:val="auto"/>
                <w:w w:val="93"/>
              </w:rPr>
              <w:t>September 30, 2022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78"/>
              <w:spacing w:after="0"/>
              <w:rPr>
                <w:sz w:val="20"/>
                <w:szCs w:val="20"/>
                <w:color w:val="auto"/>
              </w:rPr>
            </w:pPr>
            <w:r>
              <w:rPr>
                <w:rFonts w:ascii="Arial" w:cs="Arial" w:eastAsia="Arial" w:hAnsi="Arial"/>
                <w:sz w:val="14"/>
                <w:szCs w:val="14"/>
                <w:b w:val="1"/>
                <w:bCs w:val="1"/>
                <w:color w:val="auto"/>
                <w:w w:val="91"/>
              </w:rPr>
              <w:t>September 30, 2022</w:t>
            </w:r>
          </w:p>
        </w:tc>
      </w:tr>
      <w:tr>
        <w:trPr>
          <w:trHeight w:val="205"/>
        </w:trPr>
        <w:tc>
          <w:tcPr>
            <w:tcW w:w="20" w:type="dxa"/>
            <w:vAlign w:val="bottom"/>
          </w:tcPr>
          <w:p>
            <w:pPr>
              <w:spacing w:after="0"/>
              <w:rPr>
                <w:sz w:val="17"/>
                <w:szCs w:val="17"/>
                <w:color w:val="auto"/>
              </w:rPr>
            </w:pPr>
          </w:p>
        </w:tc>
        <w:tc>
          <w:tcPr>
            <w:tcW w:w="55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878</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1,720</w:t>
            </w:r>
          </w:p>
        </w:tc>
      </w:tr>
      <w:tr>
        <w:trPr>
          <w:trHeight w:val="212"/>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Short-term lease cost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r>
      <w:tr>
        <w:trPr>
          <w:trHeight w:val="205"/>
        </w:trPr>
        <w:tc>
          <w:tcPr>
            <w:tcW w:w="20" w:type="dxa"/>
            <w:vAlign w:val="bottom"/>
          </w:tcPr>
          <w:p>
            <w:pPr>
              <w:spacing w:after="0"/>
              <w:rPr>
                <w:sz w:val="17"/>
                <w:szCs w:val="17"/>
                <w:color w:val="auto"/>
              </w:rPr>
            </w:pPr>
          </w:p>
        </w:tc>
        <w:tc>
          <w:tcPr>
            <w:tcW w:w="556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1,097</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2,163</w:t>
            </w: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551"/>
        </w:trPr>
        <w:tc>
          <w:tcPr>
            <w:tcW w:w="2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1" w:right="1440"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presents information about the Company’s weighted average discount rate and remaining lease term:</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r>
      <w:tr>
        <w:trPr>
          <w:trHeight w:val="205"/>
        </w:trPr>
        <w:tc>
          <w:tcPr>
            <w:tcW w:w="20" w:type="dxa"/>
            <w:vAlign w:val="bottom"/>
          </w:tcPr>
          <w:p>
            <w:pPr>
              <w:spacing w:after="0"/>
              <w:rPr>
                <w:sz w:val="17"/>
                <w:szCs w:val="17"/>
                <w:color w:val="auto"/>
              </w:rPr>
            </w:pPr>
          </w:p>
        </w:tc>
        <w:tc>
          <w:tcPr>
            <w:tcW w:w="66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Weighted-average discount rate</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8.5%</w:t>
            </w:r>
          </w:p>
        </w:tc>
        <w:tc>
          <w:tcPr>
            <w:tcW w:w="24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ind w:left="880"/>
              <w:spacing w:after="0"/>
              <w:rPr>
                <w:sz w:val="20"/>
                <w:szCs w:val="20"/>
                <w:color w:val="auto"/>
              </w:rPr>
            </w:pPr>
            <w:r>
              <w:rPr>
                <w:rFonts w:ascii="Arial" w:cs="Arial" w:eastAsia="Arial" w:hAnsi="Arial"/>
                <w:sz w:val="18"/>
                <w:szCs w:val="18"/>
                <w:color w:val="auto"/>
              </w:rPr>
              <w:t>5.0 years</w:t>
            </w:r>
          </w:p>
        </w:tc>
      </w:tr>
      <w:tr>
        <w:trPr>
          <w:trHeight w:val="412"/>
        </w:trPr>
        <w:tc>
          <w:tcPr>
            <w:tcW w:w="6680" w:type="dxa"/>
            <w:vAlign w:val="bottom"/>
            <w:gridSpan w:val="2"/>
          </w:tcPr>
          <w:p>
            <w:pPr>
              <w:spacing w:after="0"/>
              <w:rPr>
                <w:sz w:val="20"/>
                <w:szCs w:val="20"/>
                <w:color w:val="auto"/>
              </w:rPr>
            </w:pPr>
            <w:r>
              <w:rPr>
                <w:rFonts w:ascii="Arial" w:cs="Arial" w:eastAsia="Arial" w:hAnsi="Arial"/>
                <w:sz w:val="18"/>
                <w:szCs w:val="18"/>
                <w:color w:val="auto"/>
              </w:rPr>
              <w:t>Supplemental cash flow information about the Company’s leases is as follows: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9"/>
        </w:trPr>
        <w:tc>
          <w:tcPr>
            <w:tcW w:w="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168"/>
        </w:trPr>
        <w:tc>
          <w:tcPr>
            <w:tcW w:w="66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r>
      <w:tr>
        <w:trPr>
          <w:trHeight w:val="205"/>
        </w:trPr>
        <w:tc>
          <w:tcPr>
            <w:tcW w:w="20" w:type="dxa"/>
            <w:vAlign w:val="bottom"/>
          </w:tcPr>
          <w:p>
            <w:pPr>
              <w:spacing w:after="0"/>
              <w:rPr>
                <w:sz w:val="17"/>
                <w:szCs w:val="17"/>
                <w:color w:val="auto"/>
              </w:rPr>
            </w:pPr>
          </w:p>
        </w:tc>
        <w:tc>
          <w:tcPr>
            <w:tcW w:w="66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Operating cash flows from operating leases</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844</w:t>
            </w:r>
          </w:p>
        </w:tc>
        <w:tc>
          <w:tcPr>
            <w:tcW w:w="240" w:type="dxa"/>
            <w:vAlign w:val="bottom"/>
            <w:tcBorders>
              <w:top w:val="single" w:sz="8" w:color="CCEEFF"/>
            </w:tcBorders>
            <w:shd w:val="clear" w:color="auto" w:fill="CCEEFF"/>
          </w:tcPr>
          <w:p>
            <w:pPr>
              <w:spacing w:after="0"/>
              <w:rPr>
                <w:sz w:val="17"/>
                <w:szCs w:val="17"/>
                <w:color w:val="auto"/>
              </w:rPr>
            </w:pPr>
          </w:p>
        </w:tc>
      </w:tr>
    </w:tbl>
    <w:p>
      <w:pPr>
        <w:spacing w:after="0" w:line="200" w:lineRule="exact"/>
        <w:rPr>
          <w:sz w:val="20"/>
          <w:szCs w:val="20"/>
          <w:color w:val="auto"/>
        </w:rPr>
      </w:pPr>
    </w:p>
    <w:p>
      <w:pPr>
        <w:ind w:left="40" w:right="139"/>
        <w:spacing w:after="0" w:line="255" w:lineRule="auto"/>
        <w:rPr>
          <w:sz w:val="20"/>
          <w:szCs w:val="20"/>
          <w:color w:val="auto"/>
        </w:rPr>
      </w:pPr>
      <w:r>
        <w:rPr>
          <w:rFonts w:ascii="Arial" w:cs="Arial" w:eastAsia="Arial" w:hAnsi="Arial"/>
          <w:sz w:val="18"/>
          <w:szCs w:val="18"/>
          <w:color w:val="auto"/>
        </w:rPr>
        <w:t>Finance lease assets are recorded in property, plant and equipment, net with the corresponding lease liabilities included in accrued expenses and other current liabilities and long-term debt, net on the Condensed Consolidated Balance Sheets. There were no material finance leases as of September 30, 2022.</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7"/>
          <w:szCs w:val="17"/>
          <w:color w:val="auto"/>
        </w:rPr>
        <w:t>Future minimum lease payments under non-cancellable operating leases as of September 30, 2022 are as follows: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68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5"/>
        </w:trPr>
        <w:tc>
          <w:tcPr>
            <w:tcW w:w="20" w:type="dxa"/>
            <w:vAlign w:val="bottom"/>
          </w:tcPr>
          <w:p>
            <w:pPr>
              <w:spacing w:after="0"/>
              <w:rPr>
                <w:sz w:val="17"/>
                <w:szCs w:val="17"/>
                <w:color w:val="auto"/>
              </w:rPr>
            </w:pPr>
          </w:p>
        </w:tc>
        <w:tc>
          <w:tcPr>
            <w:tcW w:w="68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Remainder of 2022</w:t>
            </w:r>
          </w:p>
        </w:tc>
        <w:tc>
          <w:tcPr>
            <w:tcW w:w="900" w:type="dxa"/>
            <w:vAlign w:val="bottom"/>
            <w:tcBorders>
              <w:top w:val="single" w:sz="8" w:color="CCEEFF"/>
            </w:tcBorders>
            <w:gridSpan w:val="2"/>
            <w:shd w:val="clear" w:color="auto" w:fill="CCEEFF"/>
          </w:tcPr>
          <w:p>
            <w:pPr>
              <w:jc w:val="right"/>
              <w:ind w:right="523"/>
              <w:spacing w:after="0" w:line="204"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842</w:t>
            </w:r>
          </w:p>
        </w:tc>
      </w:tr>
      <w:tr>
        <w:trPr>
          <w:trHeight w:val="212"/>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3,283</w:t>
            </w:r>
          </w:p>
        </w:tc>
      </w:tr>
      <w:tr>
        <w:trPr>
          <w:trHeight w:val="212"/>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r>
      <w:tr>
        <w:trPr>
          <w:trHeight w:val="212"/>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2,048</w:t>
            </w:r>
          </w:p>
        </w:tc>
      </w:tr>
      <w:tr>
        <w:trPr>
          <w:trHeight w:val="212"/>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r>
      <w:tr>
        <w:trPr>
          <w:trHeight w:val="212"/>
        </w:trPr>
        <w:tc>
          <w:tcPr>
            <w:tcW w:w="20" w:type="dxa"/>
            <w:vAlign w:val="bottom"/>
          </w:tcPr>
          <w:p>
            <w:pPr>
              <w:spacing w:after="0"/>
              <w:rPr>
                <w:sz w:val="18"/>
                <w:szCs w:val="18"/>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r>
      <w:tr>
        <w:trPr>
          <w:trHeight w:val="205"/>
        </w:trPr>
        <w:tc>
          <w:tcPr>
            <w:tcW w:w="20" w:type="dxa"/>
            <w:vAlign w:val="bottom"/>
          </w:tcPr>
          <w:p>
            <w:pPr>
              <w:spacing w:after="0"/>
              <w:rPr>
                <w:sz w:val="17"/>
                <w:szCs w:val="17"/>
                <w:color w:val="auto"/>
              </w:rPr>
            </w:pPr>
          </w:p>
        </w:tc>
        <w:tc>
          <w:tcPr>
            <w:tcW w:w="6860" w:type="dxa"/>
            <w:vAlign w:val="bottom"/>
            <w:shd w:val="clear" w:color="auto" w:fill="CCEEFF"/>
          </w:tcPr>
          <w:p>
            <w:pPr>
              <w:ind w:left="100"/>
              <w:spacing w:after="0" w:line="204" w:lineRule="exact"/>
              <w:rPr>
                <w:sz w:val="20"/>
                <w:szCs w:val="20"/>
                <w:color w:val="auto"/>
              </w:rPr>
            </w:pPr>
            <w:r>
              <w:rPr>
                <w:rFonts w:ascii="Arial" w:cs="Arial" w:eastAsia="Arial" w:hAnsi="Arial"/>
                <w:sz w:val="18"/>
                <w:szCs w:val="18"/>
                <w:color w:val="auto"/>
              </w:rPr>
              <w:t>Total future minimum lease payments</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13,561</w:t>
            </w:r>
          </w:p>
        </w:tc>
      </w:tr>
      <w:tr>
        <w:trPr>
          <w:trHeight w:val="212"/>
        </w:trPr>
        <w:tc>
          <w:tcPr>
            <w:tcW w:w="20" w:type="dxa"/>
            <w:vAlign w:val="bottom"/>
          </w:tcPr>
          <w:p>
            <w:pPr>
              <w:spacing w:after="0"/>
              <w:rPr>
                <w:sz w:val="18"/>
                <w:szCs w:val="18"/>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w:t>
            </w:r>
          </w:p>
        </w:tc>
      </w:tr>
      <w:tr>
        <w:trPr>
          <w:trHeight w:val="205"/>
        </w:trPr>
        <w:tc>
          <w:tcPr>
            <w:tcW w:w="20" w:type="dxa"/>
            <w:vAlign w:val="bottom"/>
          </w:tcPr>
          <w:p>
            <w:pPr>
              <w:spacing w:after="0"/>
              <w:rPr>
                <w:sz w:val="17"/>
                <w:szCs w:val="17"/>
                <w:color w:val="auto"/>
              </w:rPr>
            </w:pPr>
          </w:p>
        </w:tc>
        <w:tc>
          <w:tcPr>
            <w:tcW w:w="6860" w:type="dxa"/>
            <w:vAlign w:val="bottom"/>
            <w:tcBorders>
              <w:bottom w:val="single" w:sz="8" w:color="CCEEFF"/>
            </w:tcBorders>
            <w:shd w:val="clear" w:color="auto" w:fill="CCEEFF"/>
          </w:tcPr>
          <w:p>
            <w:pPr>
              <w:ind w:left="100"/>
              <w:spacing w:after="0" w:line="205" w:lineRule="exact"/>
              <w:rPr>
                <w:sz w:val="20"/>
                <w:szCs w:val="20"/>
                <w:color w:val="auto"/>
              </w:rPr>
            </w:pPr>
            <w:r>
              <w:rPr>
                <w:rFonts w:ascii="Arial" w:cs="Arial" w:eastAsia="Arial" w:hAnsi="Arial"/>
                <w:sz w:val="18"/>
                <w:szCs w:val="18"/>
                <w:color w:val="auto"/>
              </w:rPr>
              <w:t>Present value of minimum lease payments</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11,003</w:t>
            </w: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Disclosures related to periods prior to adoption of ASC 842</w:t>
      </w:r>
    </w:p>
    <w:p>
      <w:pPr>
        <w:spacing w:after="0" w:line="217" w:lineRule="exact"/>
        <w:rPr>
          <w:sz w:val="20"/>
          <w:szCs w:val="20"/>
          <w:color w:val="auto"/>
        </w:rPr>
      </w:pPr>
    </w:p>
    <w:p>
      <w:pPr>
        <w:ind w:left="40" w:right="439"/>
        <w:spacing w:after="0" w:line="264" w:lineRule="auto"/>
        <w:rPr>
          <w:sz w:val="20"/>
          <w:szCs w:val="20"/>
          <w:color w:val="auto"/>
        </w:rPr>
      </w:pPr>
      <w:r>
        <w:rPr>
          <w:rFonts w:ascii="Arial" w:cs="Arial" w:eastAsia="Arial" w:hAnsi="Arial"/>
          <w:sz w:val="18"/>
          <w:szCs w:val="18"/>
          <w:color w:val="auto"/>
        </w:rPr>
        <w:t>Rent expense for operating lease agreements under the previous lease guidance was $1.0 million and $3.2 million for the three and nine months ended September 30, 2021, respectively.</w:t>
      </w:r>
    </w:p>
    <w:p>
      <w:pPr>
        <w:spacing w:after="0" w:line="181" w:lineRule="exact"/>
        <w:rPr>
          <w:sz w:val="20"/>
          <w:szCs w:val="20"/>
          <w:color w:val="auto"/>
        </w:rPr>
      </w:pPr>
    </w:p>
    <w:p>
      <w:pPr>
        <w:ind w:left="40" w:right="299"/>
        <w:spacing w:after="0" w:line="294" w:lineRule="auto"/>
        <w:rPr>
          <w:sz w:val="20"/>
          <w:szCs w:val="20"/>
          <w:color w:val="auto"/>
        </w:rPr>
      </w:pPr>
      <w:r>
        <w:rPr>
          <w:rFonts w:ascii="Arial" w:cs="Arial" w:eastAsia="Arial" w:hAnsi="Arial"/>
          <w:sz w:val="17"/>
          <w:szCs w:val="17"/>
          <w:color w:val="auto"/>
        </w:rPr>
        <w:t>As previously reported in our audited Consolidated Financial Statements for year ended December 31, 2021, the minimum future lease payments under the previous lease guidance as of December 31, 2021 were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68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5"/>
        </w:trPr>
        <w:tc>
          <w:tcPr>
            <w:tcW w:w="20" w:type="dxa"/>
            <w:vAlign w:val="bottom"/>
          </w:tcPr>
          <w:p>
            <w:pPr>
              <w:spacing w:after="0"/>
              <w:rPr>
                <w:sz w:val="17"/>
                <w:szCs w:val="17"/>
                <w:color w:val="auto"/>
              </w:rPr>
            </w:pPr>
          </w:p>
        </w:tc>
        <w:tc>
          <w:tcPr>
            <w:tcW w:w="68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2022</w:t>
            </w:r>
          </w:p>
        </w:tc>
        <w:tc>
          <w:tcPr>
            <w:tcW w:w="900" w:type="dxa"/>
            <w:vAlign w:val="bottom"/>
            <w:tcBorders>
              <w:top w:val="single" w:sz="8" w:color="CCEEFF"/>
            </w:tcBorders>
            <w:gridSpan w:val="2"/>
            <w:shd w:val="clear" w:color="auto" w:fill="CCEEFF"/>
          </w:tcPr>
          <w:p>
            <w:pPr>
              <w:jc w:val="right"/>
              <w:ind w:right="523"/>
              <w:spacing w:after="0" w:line="204"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4,334</w:t>
            </w:r>
          </w:p>
        </w:tc>
      </w:tr>
      <w:tr>
        <w:trPr>
          <w:trHeight w:val="212"/>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4,332</w:t>
            </w:r>
          </w:p>
        </w:tc>
      </w:tr>
      <w:tr>
        <w:trPr>
          <w:trHeight w:val="212"/>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r>
      <w:tr>
        <w:trPr>
          <w:trHeight w:val="212"/>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3,286</w:t>
            </w:r>
          </w:p>
        </w:tc>
      </w:tr>
      <w:tr>
        <w:trPr>
          <w:trHeight w:val="212"/>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r>
      <w:tr>
        <w:trPr>
          <w:trHeight w:val="212"/>
        </w:trPr>
        <w:tc>
          <w:tcPr>
            <w:tcW w:w="20" w:type="dxa"/>
            <w:vAlign w:val="bottom"/>
          </w:tcPr>
          <w:p>
            <w:pPr>
              <w:spacing w:after="0"/>
              <w:rPr>
                <w:sz w:val="18"/>
                <w:szCs w:val="18"/>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w:t>
            </w:r>
          </w:p>
        </w:tc>
      </w:tr>
      <w:tr>
        <w:trPr>
          <w:trHeight w:val="205"/>
        </w:trPr>
        <w:tc>
          <w:tcPr>
            <w:tcW w:w="20" w:type="dxa"/>
            <w:vAlign w:val="bottom"/>
          </w:tcPr>
          <w:p>
            <w:pPr>
              <w:spacing w:after="0"/>
              <w:rPr>
                <w:sz w:val="17"/>
                <w:szCs w:val="17"/>
                <w:color w:val="auto"/>
              </w:rPr>
            </w:pPr>
          </w:p>
        </w:tc>
        <w:tc>
          <w:tcPr>
            <w:tcW w:w="686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22,876</w:t>
            </w: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40"/>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551"/>
        </w:trPr>
        <w:tc>
          <w:tcPr>
            <w:tcW w:w="20" w:type="dxa"/>
            <w:vAlign w:val="bottom"/>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1"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Debt</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long-term debt was as follows: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608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2021</w:t>
            </w:r>
          </w:p>
        </w:tc>
      </w:tr>
      <w:tr>
        <w:trPr>
          <w:trHeight w:val="205"/>
        </w:trPr>
        <w:tc>
          <w:tcPr>
            <w:tcW w:w="608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Term loan facility</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175,000</w:t>
            </w: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r>
      <w:tr>
        <w:trPr>
          <w:trHeight w:val="212"/>
        </w:trPr>
        <w:tc>
          <w:tcPr>
            <w:tcW w:w="6080" w:type="dxa"/>
            <w:vAlign w:val="bottom"/>
          </w:tcPr>
          <w:p>
            <w:pPr>
              <w:spacing w:after="0"/>
              <w:rPr>
                <w:sz w:val="20"/>
                <w:szCs w:val="20"/>
                <w:color w:val="auto"/>
              </w:rPr>
            </w:pPr>
            <w:r>
              <w:rPr>
                <w:rFonts w:ascii="Arial" w:cs="Arial" w:eastAsia="Arial" w:hAnsi="Arial"/>
                <w:sz w:val="18"/>
                <w:szCs w:val="18"/>
                <w:color w:val="auto"/>
              </w:rPr>
              <w:t>Prior term loan facility</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235,668</w:t>
            </w:r>
          </w:p>
        </w:tc>
      </w:tr>
      <w:tr>
        <w:trPr>
          <w:trHeight w:val="212"/>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Prior ABL facility</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51,890</w:t>
            </w:r>
          </w:p>
        </w:tc>
      </w:tr>
      <w:tr>
        <w:trPr>
          <w:trHeight w:val="212"/>
        </w:trPr>
        <w:tc>
          <w:tcPr>
            <w:tcW w:w="6080" w:type="dxa"/>
            <w:vAlign w:val="bottom"/>
          </w:tcPr>
          <w:p>
            <w:pPr>
              <w:spacing w:after="0"/>
              <w:rPr>
                <w:sz w:val="20"/>
                <w:szCs w:val="20"/>
                <w:color w:val="auto"/>
              </w:rPr>
            </w:pPr>
            <w:r>
              <w:rPr>
                <w:rFonts w:ascii="Arial" w:cs="Arial" w:eastAsia="Arial" w:hAnsi="Arial"/>
                <w:sz w:val="18"/>
                <w:szCs w:val="18"/>
                <w:color w:val="auto"/>
              </w:rPr>
              <w:t>International trade finance lines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61,806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4,510</w:t>
            </w:r>
          </w:p>
        </w:tc>
      </w:tr>
      <w:tr>
        <w:trPr>
          <w:trHeight w:val="212"/>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notes payable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r>
      <w:tr>
        <w:trPr>
          <w:trHeight w:val="212"/>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loans</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5"/>
        </w:trPr>
        <w:tc>
          <w:tcPr>
            <w:tcW w:w="60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241,430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295,219</w:t>
            </w:r>
          </w:p>
        </w:tc>
      </w:tr>
      <w:tr>
        <w:trPr>
          <w:trHeight w:val="212"/>
        </w:trPr>
        <w:tc>
          <w:tcPr>
            <w:tcW w:w="6080" w:type="dxa"/>
            <w:vAlign w:val="bottom"/>
          </w:tcPr>
          <w:p>
            <w:pPr>
              <w:spacing w:after="0"/>
              <w:rPr>
                <w:sz w:val="20"/>
                <w:szCs w:val="20"/>
                <w:color w:val="auto"/>
              </w:rPr>
            </w:pPr>
            <w:r>
              <w:rPr>
                <w:rFonts w:ascii="Arial" w:cs="Arial" w:eastAsia="Arial" w:hAnsi="Arial"/>
                <w:sz w:val="18"/>
                <w:szCs w:val="18"/>
                <w:color w:val="auto"/>
              </w:rPr>
              <w:t>Unamortized debt costs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(2,942)</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(4,910)</w:t>
            </w:r>
          </w:p>
        </w:tc>
      </w:tr>
      <w:tr>
        <w:trPr>
          <w:trHeight w:val="212"/>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(12,011)</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w:t>
            </w:r>
          </w:p>
        </w:tc>
      </w:tr>
      <w:tr>
        <w:trPr>
          <w:trHeight w:val="212"/>
        </w:trPr>
        <w:tc>
          <w:tcPr>
            <w:tcW w:w="6080" w:type="dxa"/>
            <w:vAlign w:val="bottom"/>
          </w:tcPr>
          <w:p>
            <w:pPr>
              <w:spacing w:after="0"/>
              <w:rPr>
                <w:sz w:val="20"/>
                <w:szCs w:val="20"/>
                <w:color w:val="auto"/>
              </w:rPr>
            </w:pPr>
            <w:r>
              <w:rPr>
                <w:rFonts w:ascii="Arial" w:cs="Arial" w:eastAsia="Arial" w:hAnsi="Arial"/>
                <w:sz w:val="18"/>
                <w:szCs w:val="18"/>
                <w:color w:val="auto"/>
              </w:rPr>
              <w:t>Short-term debt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(61,806)</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(4,510)</w:t>
            </w:r>
          </w:p>
        </w:tc>
      </w:tr>
      <w:tr>
        <w:trPr>
          <w:trHeight w:val="205"/>
        </w:trPr>
        <w:tc>
          <w:tcPr>
            <w:tcW w:w="608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Long-term debt, net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164,671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277,064</w:t>
            </w: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Credit Agreement</w:t>
      </w:r>
    </w:p>
    <w:p>
      <w:pPr>
        <w:spacing w:after="0" w:line="217" w:lineRule="exact"/>
        <w:rPr>
          <w:sz w:val="20"/>
          <w:szCs w:val="20"/>
          <w:color w:val="auto"/>
        </w:rPr>
      </w:pPr>
    </w:p>
    <w:p>
      <w:pPr>
        <w:ind w:left="40" w:right="59"/>
        <w:spacing w:after="0" w:line="264" w:lineRule="auto"/>
        <w:rPr>
          <w:sz w:val="20"/>
          <w:szCs w:val="20"/>
          <w:color w:val="auto"/>
        </w:rPr>
      </w:pPr>
      <w:r>
        <w:rPr>
          <w:rFonts w:ascii="Arial" w:cs="Arial" w:eastAsia="Arial" w:hAnsi="Arial"/>
          <w:sz w:val="17"/>
          <w:szCs w:val="17"/>
          <w:color w:val="auto"/>
        </w:rPr>
        <w:t>On August 29, 2022, the Company entered into a credit agreement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and (b) a senior secured first lien term loan facility in an initial aggregate principal amount of $175.0 million (the “Term Loan Facility”). Proceeds from the Term Loan Facility were used for paying off existing indebtedness. The Revolving Credit Facility and the Term Loan Facility will mature on August 29, 2027. All obligations under the Credit Agreement are guaranteed by the Company and each of the Borrower’s domestic subsidiaries, which comprise our Beverage Solutions segment, and are secured by substantially all of the assets of the Company’s assets.</w:t>
      </w:r>
    </w:p>
    <w:p>
      <w:pPr>
        <w:spacing w:after="0" w:line="182" w:lineRule="exact"/>
        <w:rPr>
          <w:sz w:val="20"/>
          <w:szCs w:val="20"/>
          <w:color w:val="auto"/>
        </w:rPr>
      </w:pPr>
    </w:p>
    <w:p>
      <w:pPr>
        <w:ind w:left="40" w:right="79"/>
        <w:spacing w:after="0" w:line="302" w:lineRule="auto"/>
        <w:rPr>
          <w:sz w:val="20"/>
          <w:szCs w:val="20"/>
          <w:color w:val="auto"/>
        </w:rPr>
      </w:pPr>
      <w:r>
        <w:rPr>
          <w:rFonts w:ascii="Arial" w:cs="Arial" w:eastAsia="Arial" w:hAnsi="Arial"/>
          <w:sz w:val="15"/>
          <w:szCs w:val="15"/>
          <w:color w:val="auto"/>
        </w:rPr>
        <w:t>Borrowings under the Revolving Credit Facility and the Term Loan Facility will bear interest, at the Borrower’s option, initially at an annual rate equal to (i) Term SOFR plus a credit spread adjustment of 0.10% for loans with an interest period of one month, 0.15% for loans with an interest period of three months and 0.25% for loans with an interest period of six months, as applicable, (the “Adjusted Term SOFR Rate”) or (ii) the base rate (determined by reference to the greatest of (i) the rate of interest last quoted by The Wall Street Journal in the U.S. as the prime rate in effect, (ii) the NYFRB Rate from time to time plus 0.50% and (iii) the Adjusted Term SOFR Rate for a one month interest period plus 1.00%, (the “Base Rate”)), in each case plus the Applicable Margin. The Applicable Margin ranges from 1.50% to 2.50% for Adjusted Term SOFR loans and from 0.50% to 1.50% for Base Rate loans, in each case depending on the total net leverage ratio. Commitment fees on the daily unused amount of commitments under the Revolving Credit Facility range from 0.20% to 0.35% depending on the total net leverage ratio. At September 30, 2022, the Revolving Credit Facility was undrawn (other than the standby letters of credit outstanding described below) and the interest rate applicable to our Term Loan Facility was 5.7%.</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Term Loan Facility requires quarterly principal payments during the first three years of approximately $2.2 million</w:t>
      </w:r>
    </w:p>
    <w:p>
      <w:pPr>
        <w:spacing w:after="0" w:line="28" w:lineRule="exact"/>
        <w:rPr>
          <w:sz w:val="20"/>
          <w:szCs w:val="20"/>
          <w:color w:val="auto"/>
        </w:rPr>
      </w:pPr>
    </w:p>
    <w:p>
      <w:pPr>
        <w:jc w:val="both"/>
        <w:ind w:left="40" w:right="199"/>
        <w:spacing w:after="0" w:line="349" w:lineRule="auto"/>
        <w:rPr>
          <w:sz w:val="20"/>
          <w:szCs w:val="20"/>
          <w:color w:val="auto"/>
        </w:rPr>
      </w:pPr>
      <w:r>
        <w:rPr>
          <w:rFonts w:ascii="Arial" w:cs="Arial" w:eastAsia="Arial" w:hAnsi="Arial"/>
          <w:sz w:val="15"/>
          <w:szCs w:val="15"/>
          <w:color w:val="auto"/>
        </w:rPr>
        <w:t>(1.25% of the original principal balance beginning December 31, 2022). Quarterly payments increase to approximately $3.3 million and $4.4 million (1.875% and 2.5% of the original principal balance) during the fourth and fifth years, respectively.</w:t>
      </w:r>
    </w:p>
    <w:p>
      <w:pPr>
        <w:spacing w:after="0" w:line="123" w:lineRule="exact"/>
        <w:rPr>
          <w:sz w:val="20"/>
          <w:szCs w:val="20"/>
          <w:color w:val="auto"/>
        </w:rPr>
      </w:pPr>
    </w:p>
    <w:p>
      <w:pPr>
        <w:ind w:left="40" w:right="199"/>
        <w:spacing w:after="0" w:line="250" w:lineRule="auto"/>
        <w:rPr>
          <w:sz w:val="20"/>
          <w:szCs w:val="20"/>
          <w:color w:val="auto"/>
        </w:rPr>
      </w:pPr>
      <w:r>
        <w:rPr>
          <w:rFonts w:ascii="Arial" w:cs="Arial" w:eastAsia="Arial" w:hAnsi="Arial"/>
          <w:sz w:val="18"/>
          <w:szCs w:val="18"/>
          <w:color w:val="auto"/>
        </w:rPr>
        <w:t>We incurred $6.0 million of financing fees in connection with the Credit Agreement. $3.0 million of the fees were allocated to the Term Loan Facility and are being amortized utilizing the frozen effective yield method based on the interest rate in place at the issuance of the Term Loan Facility. $3.0 million of the fees were allocated to the Revolving Credit Facility, are reported within other long-term assets on the Condensed Consolidated Balance Sheets and are being amortized ratably over the term of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22" w:name="page23"/>
    <w:bookmarkEnd w:id="2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had $2.6 million of standby letters of credit outstanding at September 30, 2022.</w:t>
      </w:r>
    </w:p>
    <w:p>
      <w:pPr>
        <w:spacing w:after="0" w:line="217" w:lineRule="exact"/>
        <w:rPr>
          <w:sz w:val="20"/>
          <w:szCs w:val="20"/>
          <w:color w:val="auto"/>
        </w:rPr>
      </w:pPr>
    </w:p>
    <w:p>
      <w:pPr>
        <w:jc w:val="both"/>
        <w:ind w:left="40" w:right="119"/>
        <w:spacing w:after="0" w:line="318" w:lineRule="auto"/>
        <w:rPr>
          <w:sz w:val="20"/>
          <w:szCs w:val="20"/>
          <w:color w:val="auto"/>
        </w:rPr>
      </w:pPr>
      <w:r>
        <w:rPr>
          <w:rFonts w:ascii="Arial" w:cs="Arial" w:eastAsia="Arial" w:hAnsi="Arial"/>
          <w:sz w:val="15"/>
          <w:szCs w:val="15"/>
          <w:color w:val="auto"/>
        </w:rPr>
        <w:t>The Credit Agreement contains two financial covenants requiring maintenance of a total net leverage ratio not to exceed 4.50 to 1.00, with a stepdown to 4.00 to 1.00 on the 18-month anniversary of the closing date of Credit Agreement (with an option to increase to 4.50 to 1.00 following certain permitted acquisitions), and an interest coverage ratio of at least 1.50 to 1.00 (the “Financial Covenants”). As of September 30, 2022, the Company was in compliance with the Financial Covenants.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Prior Term Loan Facility</w:t>
      </w:r>
    </w:p>
    <w:p>
      <w:pPr>
        <w:spacing w:after="0" w:line="217" w:lineRule="exact"/>
        <w:rPr>
          <w:sz w:val="20"/>
          <w:szCs w:val="20"/>
          <w:color w:val="auto"/>
        </w:rPr>
      </w:pPr>
    </w:p>
    <w:p>
      <w:pPr>
        <w:ind w:left="40" w:right="99"/>
        <w:spacing w:after="0" w:line="309" w:lineRule="auto"/>
        <w:rPr>
          <w:sz w:val="20"/>
          <w:szCs w:val="20"/>
          <w:color w:val="auto"/>
        </w:rPr>
      </w:pPr>
      <w:r>
        <w:rPr>
          <w:rFonts w:ascii="Arial" w:cs="Arial" w:eastAsia="Arial" w:hAnsi="Arial"/>
          <w:sz w:val="15"/>
          <w:szCs w:val="15"/>
          <w:color w:val="auto"/>
        </w:rPr>
        <w:t>On February 28, 2020, Westrock Beverage Solutions, LLC, as borrower, borrowed $240.0 million of term loans from various financial institutions pursuant to a loan and security agreement (the “Prior Term Loan Agreement”) (such term loans, the “Prior Term Loan Facility”). In connection with the Closing, all outstanding Prior Term Loan Facility balances were repaid, and the associated Prior Term Loan Agreement was terminated. The Company paid a $1.6 million early termination fee, and wrote off $4.0 million of unamortized deferred financing fees associated with the termination of the Prior Term Loan Facility, which are recorded within interest expense on the Condensed Consolidated Statement of Operations.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Prior ABL Facility</w:t>
      </w:r>
    </w:p>
    <w:p>
      <w:pPr>
        <w:spacing w:after="0" w:line="217" w:lineRule="exact"/>
        <w:rPr>
          <w:sz w:val="20"/>
          <w:szCs w:val="20"/>
          <w:color w:val="auto"/>
        </w:rPr>
      </w:pPr>
    </w:p>
    <w:p>
      <w:pPr>
        <w:ind w:left="40" w:right="159"/>
        <w:spacing w:after="0" w:line="305" w:lineRule="auto"/>
        <w:rPr>
          <w:sz w:val="20"/>
          <w:szCs w:val="20"/>
          <w:color w:val="auto"/>
        </w:rPr>
      </w:pPr>
      <w:r>
        <w:rPr>
          <w:rFonts w:ascii="Arial" w:cs="Arial" w:eastAsia="Arial" w:hAnsi="Arial"/>
          <w:sz w:val="15"/>
          <w:szCs w:val="15"/>
          <w:color w:val="auto"/>
        </w:rPr>
        <w:t>On February 28, 2020, Westrock Beverage Solutions, LLC, as borrower, entered into a loan and security agreement with Bank of America as administrative agent (the “Prior ABL Credit Agreement”) that created an asset-based loan of $90.0 million (the “Prior ABL Facility”). In connection with the Closing, all outstanding Prior ABL Facility balances were repaid, and the associated Prior ABL Credit Agreement was terminated. Upon termination, we wrote off $0.3 million of the $1.3 million unamortized deferred financing fees associated with the Prior ABL Facility, which are recorded within interest expense on the Condensed Consolidated Statement of Operations. The remaining unamortized deferred financing fees were allocated to the new Revolving Credit Facility and will be amortized over the life of the Revolving Credit Facility. Outstanding letters of credit under the Prior ABL Facility were replaced by letters of credit under the Credit Agreement.</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International Debt and Lending Facilities</w:t>
      </w:r>
    </w:p>
    <w:p>
      <w:pPr>
        <w:spacing w:after="0" w:line="217" w:lineRule="exact"/>
        <w:rPr>
          <w:sz w:val="20"/>
          <w:szCs w:val="20"/>
          <w:color w:val="auto"/>
        </w:rPr>
      </w:pPr>
    </w:p>
    <w:p>
      <w:pPr>
        <w:ind w:left="40" w:right="239"/>
        <w:spacing w:after="0" w:line="305" w:lineRule="auto"/>
        <w:rPr>
          <w:sz w:val="20"/>
          <w:szCs w:val="20"/>
          <w:color w:val="auto"/>
        </w:rPr>
      </w:pPr>
      <w:r>
        <w:rPr>
          <w:rFonts w:ascii="Arial" w:cs="Arial" w:eastAsia="Arial" w:hAnsi="Arial"/>
          <w:sz w:val="15"/>
          <w:szCs w:val="15"/>
          <w:color w:val="auto"/>
        </w:rPr>
        <w:t>At September 30, 2022, Westrock Coffee International, LLC, an Arkansas limited liability company and wholly owned subsidiary of the Company, through its subsidiary Falcon Coffees Limited (“Falcon”) had a $0.7 million promissory note payable with responsAbility SICAV (Lux). Proceeds from the note are restricted for the sole purpose of financing Falcon’s trading activities. Borrowings on the note bear interest at a fixed rate of 9.5% and mature on December 31, 2022. Westrock Coffee International, LLC, through its subsidiary Rwanda Trading Company, maintains two mortgage-backed lending facilities with a local bank in Rwanda: a short-term trade finance facility with a balance of $9.1 million at September 30, 2022 and a long-term note payable with a balance of $1.9 million at September 30, 2022. The short-term trade finance facility and the long-term note payable bear interest at a rate of 6.5% and 7.0%, respectively.</w:t>
      </w:r>
    </w:p>
    <w:p>
      <w:pPr>
        <w:spacing w:after="0" w:line="154" w:lineRule="exact"/>
        <w:rPr>
          <w:sz w:val="20"/>
          <w:szCs w:val="20"/>
          <w:color w:val="auto"/>
        </w:rPr>
      </w:pPr>
    </w:p>
    <w:p>
      <w:pPr>
        <w:ind w:left="40" w:right="59"/>
        <w:spacing w:after="0" w:line="301" w:lineRule="auto"/>
        <w:rPr>
          <w:sz w:val="20"/>
          <w:szCs w:val="20"/>
          <w:color w:val="auto"/>
        </w:rPr>
      </w:pPr>
      <w:r>
        <w:rPr>
          <w:rFonts w:ascii="Arial" w:cs="Arial" w:eastAsia="Arial" w:hAnsi="Arial"/>
          <w:sz w:val="15"/>
          <w:szCs w:val="15"/>
          <w:color w:val="auto"/>
        </w:rPr>
        <w:t>Falcon maintains a working capital trade finance facility with multiple financial institutions, which prior to March 16, 2022, was agented by Brown Brothers Harriman (“BBH”), a related party of the Company through its equity interests in the Company, and was reported as short-term related party debt on the Condensed Consolidated Balance Sheets. On March 16, 2022, Falcon refinanced its working capital trade finance facility, and the facility was transferred to different lenders with the same terms as the previous facility. At the time of refinance, there was $49.3 million outstanding under the facility. The new facility is uncommitted, repayable on demand and secured by Falcon’s assets. The facility is renewable on an annual basis beginning in March 2023. On April 29, 2022, the facility size increased from $50 million to $55 million and subsequently, on June 16, 2022, the facility size increased to $62.5 million. At September 30, 2022, there was $49.6 million outstanding under the facility, which is recorded in short-term debt in the Condensed Consolidated Balance Sheets. Interest is payable monthly at the U.S. Prime Rate plus 1.50%, subject to a minimum rate of 5.00%. The facility carries an agent fee of 0.25% of total available capital. Availability under the facility is subject to a borrowing base calculation. The credit facility is secured by substantially all liquid assets of Falcon. Falcon’s facility</w:t>
      </w:r>
    </w:p>
    <w:p>
      <w:pPr>
        <w:spacing w:after="0" w:line="200" w:lineRule="exact"/>
        <w:rPr>
          <w:sz w:val="20"/>
          <w:szCs w:val="20"/>
          <w:color w:val="auto"/>
        </w:rPr>
      </w:pPr>
    </w:p>
    <w:p>
      <w:pPr>
        <w:spacing w:after="0" w:line="38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23" w:name="page24"/>
    <w:bookmarkEnd w:id="2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259"/>
        <w:spacing w:after="0" w:line="294" w:lineRule="auto"/>
        <w:rPr>
          <w:sz w:val="20"/>
          <w:szCs w:val="20"/>
          <w:color w:val="auto"/>
        </w:rPr>
      </w:pPr>
      <w:r>
        <w:rPr>
          <w:rFonts w:ascii="Arial" w:cs="Arial" w:eastAsia="Arial" w:hAnsi="Arial"/>
          <w:sz w:val="17"/>
          <w:szCs w:val="17"/>
          <w:color w:val="auto"/>
        </w:rPr>
        <w:t>contains certain restrictive financial covenants which require Falcon to maintain certain levels of working capital, debt, and net worth. Falcon was in compliance with these financial covenants as of September 30, 2022.</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Subordinated Related Party Debt</w:t>
      </w:r>
    </w:p>
    <w:p>
      <w:pPr>
        <w:spacing w:after="0" w:line="217" w:lineRule="exact"/>
        <w:rPr>
          <w:sz w:val="20"/>
          <w:szCs w:val="20"/>
          <w:color w:val="auto"/>
        </w:rPr>
      </w:pPr>
    </w:p>
    <w:p>
      <w:pPr>
        <w:ind w:left="40" w:right="119"/>
        <w:spacing w:after="0" w:line="268" w:lineRule="auto"/>
        <w:rPr>
          <w:sz w:val="20"/>
          <w:szCs w:val="20"/>
          <w:color w:val="auto"/>
        </w:rPr>
      </w:pPr>
      <w:r>
        <w:rPr>
          <w:rFonts w:ascii="Arial" w:cs="Arial" w:eastAsia="Arial" w:hAnsi="Arial"/>
          <w:sz w:val="17"/>
          <w:szCs w:val="17"/>
          <w:color w:val="auto"/>
        </w:rPr>
        <w:t>On February 28, 2020, we issued $13.3 million of subordinated debt (the “Subordinated Notes”) to Wooster Capital, LLC (“Wooster”) and Jo Ellen Ford, related parties of the Company through their equity ownership and relation with Joe Ford, the chairman of our board of directors. The Subordinated Notes provided for maturity on the earlier of (i) six months after the Prior Term Loan Facility due in 2025 was paid in full or (ii) 10 years from the date of issuance (February 2030). Interest was payable quarterly at the end of each calendar quarter at a rate of 6% per annum.</w:t>
      </w:r>
    </w:p>
    <w:p>
      <w:pPr>
        <w:spacing w:after="0" w:line="181" w:lineRule="exact"/>
        <w:rPr>
          <w:sz w:val="20"/>
          <w:szCs w:val="20"/>
          <w:color w:val="auto"/>
        </w:rPr>
      </w:pPr>
    </w:p>
    <w:p>
      <w:pPr>
        <w:ind w:left="40" w:right="299"/>
        <w:spacing w:after="0" w:line="250" w:lineRule="auto"/>
        <w:rPr>
          <w:sz w:val="20"/>
          <w:szCs w:val="20"/>
          <w:color w:val="auto"/>
        </w:rPr>
      </w:pPr>
      <w:r>
        <w:rPr>
          <w:rFonts w:ascii="Arial" w:cs="Arial" w:eastAsia="Arial" w:hAnsi="Arial"/>
          <w:sz w:val="18"/>
          <w:szCs w:val="18"/>
          <w:color w:val="auto"/>
        </w:rPr>
        <w:t>Substantially concurrently with the Closing and pursuant to the terms of their respective subscription agreements with the Company, Wooster and Jo Ellen Ford contributed their respective Subordinated Notes to the Company and in exchange for such contribution, the Company issued Common Shares, par value $0.01 per share, to Wooster and Jo Ellen Ford. The Company issued a total of 1,330,000 Common Shares in exchange for the contribution of the Subordinated Notes, which were subsequently extinguished.</w:t>
      </w:r>
    </w:p>
    <w:p>
      <w:pPr>
        <w:spacing w:after="0" w:line="194" w:lineRule="exact"/>
        <w:rPr>
          <w:sz w:val="20"/>
          <w:szCs w:val="20"/>
          <w:color w:val="auto"/>
        </w:rPr>
      </w:pPr>
    </w:p>
    <w:p>
      <w:pPr>
        <w:ind w:left="40" w:right="79"/>
        <w:spacing w:after="0" w:line="264" w:lineRule="auto"/>
        <w:rPr>
          <w:sz w:val="20"/>
          <w:szCs w:val="20"/>
          <w:color w:val="auto"/>
        </w:rPr>
      </w:pPr>
      <w:r>
        <w:rPr>
          <w:rFonts w:ascii="Arial" w:cs="Arial" w:eastAsia="Arial" w:hAnsi="Arial"/>
          <w:sz w:val="17"/>
          <w:szCs w:val="17"/>
          <w:color w:val="auto"/>
        </w:rPr>
        <w:t>In connection with the Transaction, on July 14, 2022, pursuant to the terms of the subscription agreement entered into between the Company and Wooster, in which Wooster agreed to subscribe for and purchase, and the Company agreed to issue and sell to Wooster, prior to and substantially concurrently with the Closing, an aggregate of 2,150,000 Common Shares at a purchase price of $10.00 per share, for aggregate gross proceeds of $21,500,000 to the Company, Wooster pre-funded $11.7 million of its commitment (the “Wooster Pre-fund”) and in exchange thereof was issued a subordinated convertible note by the Company (the “Convertible Note”). The Convertible Note had a principal amount of $11.7 million, a maturity of one year and an interest rate of 8% per annum which was payable quarterly on the last business day of each quarter. On August 26, 2022, in connection with the Closing, the Convertible Note automatically converted, in accordance with its terms, into 1,170,000 Common Shares.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Series A Preferred Shares</w:t>
      </w:r>
    </w:p>
    <w:p>
      <w:pPr>
        <w:spacing w:after="0" w:line="223" w:lineRule="exact"/>
        <w:rPr>
          <w:sz w:val="20"/>
          <w:szCs w:val="20"/>
          <w:color w:val="auto"/>
        </w:rPr>
      </w:pPr>
    </w:p>
    <w:p>
      <w:pPr>
        <w:ind w:left="40" w:right="99"/>
        <w:spacing w:after="0" w:line="249" w:lineRule="auto"/>
        <w:rPr>
          <w:sz w:val="20"/>
          <w:szCs w:val="20"/>
          <w:color w:val="auto"/>
        </w:rPr>
      </w:pPr>
      <w:r>
        <w:rPr>
          <w:rFonts w:ascii="Arial" w:cs="Arial" w:eastAsia="Arial" w:hAnsi="Arial"/>
          <w:sz w:val="18"/>
          <w:szCs w:val="18"/>
          <w:color w:val="auto"/>
        </w:rPr>
        <w:t>In connection with the Transaction, the Company issued 23,587,952 Westrock Series A Preferred Shares, which rank senior to the Common Shares with respect to dividend rights and/or distribution rights upon the liquidation, winding up or dissolution, as applicable, of Westrock. Each holder of Westrock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spacing w:after="0" w:line="196" w:lineRule="exact"/>
        <w:rPr>
          <w:sz w:val="20"/>
          <w:szCs w:val="20"/>
          <w:color w:val="auto"/>
        </w:rPr>
      </w:pPr>
    </w:p>
    <w:p>
      <w:pPr>
        <w:ind w:left="40" w:right="279"/>
        <w:spacing w:after="0" w:line="300" w:lineRule="auto"/>
        <w:rPr>
          <w:sz w:val="20"/>
          <w:szCs w:val="20"/>
          <w:color w:val="auto"/>
        </w:rPr>
      </w:pPr>
      <w:r>
        <w:rPr>
          <w:rFonts w:ascii="Arial" w:cs="Arial" w:eastAsia="Arial" w:hAnsi="Arial"/>
          <w:sz w:val="15"/>
          <w:szCs w:val="15"/>
          <w:color w:val="auto"/>
        </w:rPr>
        <w:t>The initial liquidation preference of Westrock Series A Preferred Shares is $11.50 per share, plus any declared but unpaid dividends and subject to accretion under certain circumstances. In the event of our liquidation, dissolution or winding up, holders of Westrock Series A Preferred Shares are entitled to receive, per Westrock Series A Preferred Share, the greater of</w:t>
      </w:r>
    </w:p>
    <w:p>
      <w:pPr>
        <w:spacing w:after="0" w:line="1" w:lineRule="exact"/>
        <w:rPr>
          <w:sz w:val="20"/>
          <w:szCs w:val="20"/>
          <w:color w:val="auto"/>
        </w:rPr>
      </w:pPr>
    </w:p>
    <w:p>
      <w:pPr>
        <w:ind w:left="40" w:right="219" w:firstLine="9"/>
        <w:spacing w:after="0" w:line="251"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liquidation preference and (b) the amount such holder would have received had they converted their Westrock Series A Preferred Shares into Common Shares immediately prior to such liquidation event.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5"/>
          <w:szCs w:val="15"/>
          <w:color w:val="auto"/>
        </w:rPr>
        <w:t>Holders of Westrock Series A Preferred Shares may voluntarily convert their Westrock Series A Preferred Shares into a</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7"/>
          <w:szCs w:val="17"/>
          <w:color w:val="auto"/>
        </w:rPr>
        <w:t>whole number of Common Shares at any time at a rate equal to the quotient of (a) the liquidation preference as of the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applicable conversion date, divided by (b) the conversion price as of the applicable conversion date, which is currently</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$11.50 per Westrock Series A Preferred Share, plus cash in lieu of fractional shares. The initial conversion price of $11.50</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per Westrock Series A Preferred Share is subject to customary adjustments for the issuance of Common Shares as a dividend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or distribution to the holders of Common Shares, a subdivision or combination of the Common Shares, reclassification of the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Common Shares into a greater or lesser number of Common Shares, certain tender or exchange offers for the Common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and issuances of Common Shares below a specified price.</w:t>
      </w:r>
    </w:p>
    <w:p>
      <w:pPr>
        <w:spacing w:after="0" w:line="206" w:lineRule="exact"/>
        <w:rPr>
          <w:sz w:val="20"/>
          <w:szCs w:val="20"/>
          <w:color w:val="auto"/>
        </w:rPr>
      </w:pPr>
    </w:p>
    <w:p>
      <w:pPr>
        <w:ind w:left="40" w:right="159"/>
        <w:spacing w:after="0" w:line="330" w:lineRule="auto"/>
        <w:rPr>
          <w:sz w:val="20"/>
          <w:szCs w:val="20"/>
          <w:color w:val="auto"/>
        </w:rPr>
      </w:pPr>
      <w:r>
        <w:rPr>
          <w:rFonts w:ascii="Arial" w:cs="Arial" w:eastAsia="Arial" w:hAnsi="Arial"/>
          <w:sz w:val="15"/>
          <w:szCs w:val="15"/>
          <w:color w:val="auto"/>
        </w:rPr>
        <w:t>After February 26, 2028 (i.e., the five and a half year anniversary of the Closing), any holder of Westrock Series A Preferred Shares may require Westrock to redeem all or any whole number of such holder’s Westrock Series A Preferred Shares in cash, subject to applicable law and the terms of any credit agreement or similar arrangement pursuant to which</w:t>
      </w:r>
    </w:p>
    <w:p>
      <w:pPr>
        <w:sectPr>
          <w:pgSz w:w="11900" w:h="16838" w:orient="portrait"/>
          <w:cols w:equalWidth="0" w:num="1">
            <w:col w:w="9019"/>
          </w:cols>
          <w:pgMar w:left="1440" w:top="511" w:right="1440" w:bottom="1440" w:gutter="0" w:footer="0" w:header="0"/>
        </w:sectPr>
      </w:pPr>
    </w:p>
    <w:p>
      <w:pPr>
        <w:spacing w:after="0" w:line="349" w:lineRule="exact"/>
        <w:rPr>
          <w:sz w:val="20"/>
          <w:szCs w:val="20"/>
          <w:color w:val="auto"/>
        </w:rPr>
      </w:pPr>
    </w:p>
    <w:p>
      <w:pPr>
        <w:ind w:left="878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369570</wp:posOffset>
            </wp:positionV>
            <wp:extent cx="565404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119"/>
        <w:spacing w:after="0" w:line="250" w:lineRule="auto"/>
        <w:rPr>
          <w:sz w:val="20"/>
          <w:szCs w:val="20"/>
          <w:color w:val="auto"/>
        </w:rPr>
      </w:pPr>
      <w:r>
        <w:rPr>
          <w:rFonts w:ascii="Arial" w:cs="Arial" w:eastAsia="Arial" w:hAnsi="Arial"/>
          <w:sz w:val="18"/>
          <w:szCs w:val="18"/>
          <w:color w:val="auto"/>
        </w:rPr>
        <w:t>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 weighted average price per Common Share for the ten trading days ending on and including the trading day immediately preceding the redemption notice date.</w:t>
      </w:r>
    </w:p>
    <w:p>
      <w:pPr>
        <w:spacing w:after="0" w:line="194" w:lineRule="exact"/>
        <w:rPr>
          <w:sz w:val="20"/>
          <w:szCs w:val="20"/>
          <w:color w:val="auto"/>
        </w:rPr>
      </w:pPr>
    </w:p>
    <w:p>
      <w:pPr>
        <w:ind w:left="40" w:right="119"/>
        <w:spacing w:after="0" w:line="302" w:lineRule="auto"/>
        <w:rPr>
          <w:sz w:val="20"/>
          <w:szCs w:val="20"/>
          <w:color w:val="auto"/>
        </w:rPr>
      </w:pPr>
      <w:r>
        <w:rPr>
          <w:rFonts w:ascii="Arial" w:cs="Arial" w:eastAsia="Arial" w:hAnsi="Arial"/>
          <w:sz w:val="15"/>
          <w:szCs w:val="15"/>
          <w:color w:val="auto"/>
        </w:rPr>
        <w:t>At any time after February 26, 2028 (i.e., the five and a half year anniversary of the date of Closing), Westrock may redeem, ratably, in whole or, from time to time in part, the Westrock Series A Preferred Shares of any holder then outstanding at the redemption price in cash, equal to the greater of (i) the liquidation preference and (ii) the product of (x) the number of Common Shares that would have been obtained from converting one Westrock Series A Preferred Share on the date of the exercise of such call is notified by Westrock (including fractional shares for this purpose) and (y) the simple average of the daily volume weighted average price per Common Share for the ten 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 per Westrock Series A Preferred Share (subject to adjustments); provided that, Westrock may redeem such shares in such a case if it pays an incremental price per share on the redemption date to the BBH Investors equal to the difference between $18.50 (subject to adjustments) and the redemption price otherwise.</w:t>
      </w:r>
    </w:p>
    <w:p>
      <w:pPr>
        <w:spacing w:after="0" w:line="200" w:lineRule="exact"/>
        <w:rPr>
          <w:sz w:val="20"/>
          <w:szCs w:val="20"/>
          <w:color w:val="auto"/>
        </w:rPr>
      </w:pPr>
    </w:p>
    <w:p>
      <w:pPr>
        <w:spacing w:after="0" w:line="213" w:lineRule="exact"/>
        <w:rPr>
          <w:sz w:val="20"/>
          <w:szCs w:val="20"/>
          <w:color w:val="auto"/>
        </w:rPr>
      </w:pPr>
    </w:p>
    <w:p>
      <w:pPr>
        <w:ind w:left="40" w:right="99"/>
        <w:spacing w:after="0" w:line="305" w:lineRule="auto"/>
        <w:rPr>
          <w:sz w:val="20"/>
          <w:szCs w:val="20"/>
          <w:color w:val="auto"/>
        </w:rPr>
      </w:pPr>
      <w:r>
        <w:rPr>
          <w:rFonts w:ascii="Arial" w:cs="Arial" w:eastAsia="Arial" w:hAnsi="Arial"/>
          <w:sz w:val="15"/>
          <w:szCs w:val="15"/>
          <w:color w:val="auto"/>
        </w:rPr>
        <w:t>Upon issuance, the Westrock Series A Preferred Shares were recorded on our Condensed Consolidated Balance Sheets at fair value. Subsequently, the Company will accrete changes in the redemption value from the date of issuance to the earliest redemption date (i.e., the five and a half year anniversary of the date of Closing)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At September 30, 2022 the redemption value of the Westrock Series A Preferred Shares was less than its initial carrying value, as a result, no accretion was recorded for the three months ended September 30, 2022.</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Derivatives</w:t>
      </w:r>
    </w:p>
    <w:p>
      <w:pPr>
        <w:spacing w:after="0" w:line="223" w:lineRule="exact"/>
        <w:rPr>
          <w:sz w:val="20"/>
          <w:szCs w:val="20"/>
          <w:color w:val="auto"/>
        </w:rPr>
      </w:pPr>
    </w:p>
    <w:p>
      <w:pPr>
        <w:ind w:left="40" w:right="159"/>
        <w:spacing w:after="0" w:line="267" w:lineRule="auto"/>
        <w:rPr>
          <w:sz w:val="20"/>
          <w:szCs w:val="20"/>
          <w:color w:val="auto"/>
        </w:rPr>
      </w:pPr>
      <w:r>
        <w:rPr>
          <w:rFonts w:ascii="Arial" w:cs="Arial" w:eastAsia="Arial" w:hAnsi="Arial"/>
          <w:sz w:val="17"/>
          <w:szCs w:val="17"/>
          <w:color w:val="auto"/>
        </w:rPr>
        <w:t>We record all derivatives, whether designated in a hedging relationship or not, at fair value on the Condensed Consolidated Balance Sheets. We use various types of derivative instruments including, but not limited to, forward contracts, futures contracts, and options contracts for certain commodities. Forward and futures contracts are agreements to buy or sell a quantity of a commodity at a predetermined future date, and at a predetermined rate or price. Forward contracts are traded over the counter whereas future contracts are traded on an exchange. Option contracts are agreements to facilitate a potential transaction involving the commodity at a preset price and date.</w:t>
      </w:r>
    </w:p>
    <w:p>
      <w:pPr>
        <w:spacing w:after="0" w:line="179" w:lineRule="exact"/>
        <w:rPr>
          <w:sz w:val="20"/>
          <w:szCs w:val="20"/>
          <w:color w:val="auto"/>
        </w:rPr>
      </w:pPr>
    </w:p>
    <w:p>
      <w:pPr>
        <w:ind w:left="40" w:right="119"/>
        <w:spacing w:after="0" w:line="304" w:lineRule="auto"/>
        <w:rPr>
          <w:sz w:val="20"/>
          <w:szCs w:val="20"/>
          <w:color w:val="auto"/>
        </w:rPr>
      </w:pPr>
      <w:r>
        <w:rPr>
          <w:rFonts w:ascii="Arial" w:cs="Arial" w:eastAsia="Arial" w:hAnsi="Arial"/>
          <w:sz w:val="15"/>
          <w:szCs w:val="15"/>
          <w:color w:val="auto"/>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Condensed Consolidated Statements of Operations as the changes in the fair value of the hedged items attributable to the risk being hedged. The changes in fair values of derivatives that have been designated and qualify as cash flow hedges are recorded in accumulated other comprehensive income (“AOCI”) and are reclassified into the line item in the Condensed Consolidated Statements of Operations in which the hedged items are recorded in the same period the hedged items affect earnings.</w:t>
      </w:r>
    </w:p>
    <w:p>
      <w:pPr>
        <w:spacing w:after="0" w:line="372" w:lineRule="exact"/>
        <w:rPr>
          <w:sz w:val="20"/>
          <w:szCs w:val="20"/>
          <w:color w:val="auto"/>
        </w:rPr>
      </w:pPr>
    </w:p>
    <w:p>
      <w:pPr>
        <w:ind w:left="40" w:right="459"/>
        <w:spacing w:after="0" w:line="268" w:lineRule="auto"/>
        <w:rPr>
          <w:sz w:val="20"/>
          <w:szCs w:val="20"/>
          <w:color w:val="auto"/>
        </w:rPr>
      </w:pPr>
      <w:r>
        <w:rPr>
          <w:rFonts w:ascii="Arial" w:cs="Arial" w:eastAsia="Arial" w:hAnsi="Arial"/>
          <w:sz w:val="17"/>
          <w:szCs w:val="17"/>
          <w:color w:val="auto"/>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spacing w:after="0" w:line="39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25" w:name="page26"/>
    <w:bookmarkEnd w:id="2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159"/>
        <w:spacing w:after="0" w:line="252" w:lineRule="auto"/>
        <w:rPr>
          <w:sz w:val="20"/>
          <w:szCs w:val="20"/>
          <w:color w:val="auto"/>
        </w:rPr>
      </w:pPr>
      <w:r>
        <w:rPr>
          <w:rFonts w:ascii="Arial" w:cs="Arial" w:eastAsia="Arial" w:hAnsi="Arial"/>
          <w:sz w:val="18"/>
          <w:szCs w:val="18"/>
          <w:color w:val="auto"/>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nine months ended September 30, 2022 or 2021.</w:t>
      </w:r>
    </w:p>
    <w:p>
      <w:pPr>
        <w:spacing w:after="0" w:line="191" w:lineRule="exact"/>
        <w:rPr>
          <w:sz w:val="20"/>
          <w:szCs w:val="20"/>
          <w:color w:val="auto"/>
        </w:rPr>
      </w:pPr>
    </w:p>
    <w:p>
      <w:pPr>
        <w:ind w:left="40" w:right="79"/>
        <w:spacing w:after="0" w:line="250" w:lineRule="auto"/>
        <w:rPr>
          <w:sz w:val="20"/>
          <w:szCs w:val="20"/>
          <w:color w:val="auto"/>
        </w:rPr>
      </w:pPr>
      <w:r>
        <w:rPr>
          <w:rFonts w:ascii="Arial" w:cs="Arial" w:eastAsia="Arial" w:hAnsi="Arial"/>
          <w:sz w:val="18"/>
          <w:szCs w:val="18"/>
          <w:color w:val="auto"/>
        </w:rPr>
        <w:t>Within our Beverage Solutions segment, we have entered into coffee futures and options contracts to hedge our exposure to price fluctuations on green coffee associated with certain price-to-be-fixed purchase contracts, which generally range from three to twelve months in length. These derivative instruments have been designated and qualified as a part of our commodity cash flow hedging program. The objective of this hedging program is to reduce the variability of cash flows associated with future purchases of green coffee.</w:t>
      </w:r>
    </w:p>
    <w:p>
      <w:pPr>
        <w:spacing w:after="0" w:line="194" w:lineRule="exact"/>
        <w:rPr>
          <w:sz w:val="20"/>
          <w:szCs w:val="20"/>
          <w:color w:val="auto"/>
        </w:rPr>
      </w:pPr>
    </w:p>
    <w:p>
      <w:pPr>
        <w:ind w:left="40" w:right="99"/>
        <w:spacing w:after="0" w:line="265" w:lineRule="auto"/>
        <w:rPr>
          <w:sz w:val="20"/>
          <w:szCs w:val="20"/>
          <w:color w:val="auto"/>
        </w:rPr>
      </w:pPr>
      <w:r>
        <w:rPr>
          <w:rFonts w:ascii="Arial" w:cs="Arial" w:eastAsia="Arial" w:hAnsi="Arial"/>
          <w:sz w:val="17"/>
          <w:szCs w:val="17"/>
          <w:color w:val="auto"/>
        </w:rPr>
        <w:t>The notional amount for the coffee futures contracts that were designated and qualified for our commodity cash flow hedging program was 11.4 million pounds and 7.9 million pounds as of September 30, 2022 and December 31, 2021, respectively. During the three and nine months ended September 30, 2022, the Company purchased coffee futures contracts and coffee options contracts under our cash flow hedging program with aggregate notional amounts of 8.8 million pounds and 57.0 million pounds, respectively. During the three and nine months ended September 30, 2021, the Company purchased coffee futures contracts and coffee options contracts under our cash flow hedging program with aggregate notional amounts of 26.5 million pounds and 75.1 million pounds, respectively.</w:t>
      </w:r>
    </w:p>
    <w:p>
      <w:pPr>
        <w:spacing w:after="0" w:line="185" w:lineRule="exact"/>
        <w:rPr>
          <w:sz w:val="20"/>
          <w:szCs w:val="20"/>
          <w:color w:val="auto"/>
        </w:rPr>
      </w:pPr>
    </w:p>
    <w:p>
      <w:pPr>
        <w:ind w:left="40" w:right="99"/>
        <w:spacing w:after="0" w:line="265" w:lineRule="auto"/>
        <w:rPr>
          <w:sz w:val="20"/>
          <w:szCs w:val="20"/>
          <w:color w:val="auto"/>
        </w:rPr>
      </w:pPr>
      <w:r>
        <w:rPr>
          <w:rFonts w:ascii="Arial" w:cs="Arial" w:eastAsia="Arial" w:hAnsi="Arial"/>
          <w:sz w:val="17"/>
          <w:szCs w:val="17"/>
          <w:color w:val="auto"/>
        </w:rPr>
        <w:t>Approximately $4.3 million and $11.1 million of net realized gains, representing the effective portion of the cash flow hedge, were subsequently reclassified from AOCI to earnings and recognized in costs of sales in the Condensed Consolidated Statements of Operations for the three and nine months ended September 30, 2022, respectively. Approximately $1.7 million and $3.6 million of net realized gains, representing the effective portion of the cash flow hedge, were subsequently reclassified from AOCI to earnings and recognized in costs of sales in the Condensed Consolidated Statements of Operations for the three and nine months ended September 30, 2021, respectively. As of September 30, 2022, the estimated amount of net losses reported in AOCI that is expected to be reclassified to the Condensed Consolidated Statements of Operations within the next twelve months is $1.6 million.</w:t>
      </w:r>
    </w:p>
    <w:p>
      <w:pPr>
        <w:spacing w:after="0" w:line="181"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Within our Sustainable Sourcing &amp; Traceability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5 for a description of the treatment of realized and unrealized gains and losses on forward sales and forward purchase contracts.</w:t>
      </w:r>
    </w:p>
    <w:p>
      <w:pPr>
        <w:spacing w:after="0" w:line="39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26" w:name="page27"/>
    <w:bookmarkEnd w:id="2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700"/>
        <w:spacing w:after="0" w:line="264" w:lineRule="auto"/>
        <w:rPr>
          <w:sz w:val="20"/>
          <w:szCs w:val="20"/>
          <w:color w:val="auto"/>
        </w:rPr>
      </w:pPr>
      <w:r>
        <w:rPr>
          <w:rFonts w:ascii="Arial" w:cs="Arial" w:eastAsia="Arial" w:hAnsi="Arial"/>
          <w:sz w:val="18"/>
          <w:szCs w:val="18"/>
          <w:color w:val="auto"/>
        </w:rPr>
        <w:t>The fair value of our derivative assets and liabilities included in the Condensed Consolidated Balance Sheets are set forth below:</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360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Balance Sheet Location</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September 30, 2022</w:t>
            </w:r>
          </w:p>
        </w:tc>
        <w:tc>
          <w:tcPr>
            <w:tcW w:w="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r>
      <w:tr>
        <w:trPr>
          <w:trHeight w:val="187"/>
        </w:trPr>
        <w:tc>
          <w:tcPr>
            <w:tcW w:w="3420" w:type="dxa"/>
            <w:vAlign w:val="bottom"/>
            <w:tcBorders>
              <w:top w:val="single" w:sz="8" w:color="auto"/>
            </w:tcBorders>
            <w:gridSpan w:val="2"/>
            <w:shd w:val="clear" w:color="auto" w:fill="CCEEFF"/>
          </w:tcPr>
          <w:p>
            <w:pPr>
              <w:spacing w:after="0" w:line="187" w:lineRule="exact"/>
              <w:rPr>
                <w:sz w:val="20"/>
                <w:szCs w:val="20"/>
                <w:color w:val="auto"/>
              </w:rPr>
            </w:pPr>
            <w:r>
              <w:rPr>
                <w:rFonts w:ascii="Arial" w:cs="Arial" w:eastAsia="Arial" w:hAnsi="Arial"/>
                <w:sz w:val="18"/>
                <w:szCs w:val="18"/>
                <w:b w:val="1"/>
                <w:bCs w:val="1"/>
                <w:color w:val="auto"/>
                <w:w w:val="94"/>
              </w:rPr>
              <w:t>Derivative assets designated as cash flow</w:t>
            </w:r>
          </w:p>
        </w:tc>
        <w:tc>
          <w:tcPr>
            <w:tcW w:w="18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230"/>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hedging instruments:</w:t>
            </w:r>
          </w:p>
        </w:tc>
        <w:tc>
          <w:tcPr>
            <w:tcW w:w="2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2"/>
        </w:trPr>
        <w:tc>
          <w:tcPr>
            <w:tcW w:w="3600" w:type="dxa"/>
            <w:vAlign w:val="bottom"/>
            <w:gridSpan w:val="3"/>
          </w:tcPr>
          <w:p>
            <w:pPr>
              <w:ind w:left="100"/>
              <w:spacing w:after="0" w:line="212" w:lineRule="exact"/>
              <w:rPr>
                <w:sz w:val="20"/>
                <w:szCs w:val="20"/>
                <w:color w:val="auto"/>
              </w:rPr>
            </w:pPr>
            <w:r>
              <w:rPr>
                <w:rFonts w:ascii="Arial" w:cs="Arial" w:eastAsia="Arial" w:hAnsi="Arial"/>
                <w:sz w:val="16"/>
                <w:szCs w:val="16"/>
                <w:color w:val="auto"/>
              </w:rPr>
              <w:t>Coffee futures contracts</w:t>
            </w:r>
            <w:r>
              <w:rPr>
                <w:rFonts w:ascii="Arial" w:cs="Arial" w:eastAsia="Arial" w:hAnsi="Arial"/>
                <w:sz w:val="24"/>
                <w:szCs w:val="24"/>
                <w:color w:val="auto"/>
                <w:vertAlign w:val="superscript"/>
              </w:rPr>
              <w:t>1</w:t>
            </w:r>
          </w:p>
        </w:tc>
        <w:tc>
          <w:tcPr>
            <w:tcW w:w="26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Derivative assets</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2"/>
        </w:trPr>
        <w:tc>
          <w:tcPr>
            <w:tcW w:w="3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Coffee options</w:t>
            </w:r>
          </w:p>
        </w:tc>
        <w:tc>
          <w:tcPr>
            <w:tcW w:w="2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Derivative assets</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360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Total</w:t>
            </w: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303</w:t>
            </w:r>
          </w:p>
        </w:tc>
        <w:tc>
          <w:tcPr>
            <w:tcW w:w="18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172</w:t>
            </w:r>
          </w:p>
        </w:tc>
      </w:tr>
      <w:tr>
        <w:trPr>
          <w:trHeight w:val="212"/>
        </w:trPr>
        <w:tc>
          <w:tcPr>
            <w:tcW w:w="2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4"/>
        </w:trPr>
        <w:tc>
          <w:tcPr>
            <w:tcW w:w="36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w w:val="91"/>
              </w:rPr>
              <w:t>Derivative assets not designated as cash flow</w:t>
            </w:r>
          </w:p>
        </w:tc>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hedging instruments:</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3"/>
        </w:trPr>
        <w:tc>
          <w:tcPr>
            <w:tcW w:w="3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Forward purchase and sales contracts</w:t>
            </w:r>
          </w:p>
        </w:tc>
        <w:tc>
          <w:tcPr>
            <w:tcW w:w="2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Derivative assets</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w:t>
            </w:r>
          </w:p>
        </w:tc>
        <w:tc>
          <w:tcPr>
            <w:tcW w:w="5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r>
      <w:tr>
        <w:trPr>
          <w:trHeight w:val="205"/>
        </w:trPr>
        <w:tc>
          <w:tcPr>
            <w:tcW w:w="3600" w:type="dxa"/>
            <w:vAlign w:val="bottom"/>
            <w:tcBorders>
              <w:bottom w:val="single" w:sz="8" w:color="CCEEFF"/>
            </w:tcBorders>
            <w:gridSpan w:val="3"/>
          </w:tcPr>
          <w:p>
            <w:pPr>
              <w:ind w:left="200"/>
              <w:spacing w:after="0" w:line="204" w:lineRule="exact"/>
              <w:rPr>
                <w:sz w:val="20"/>
                <w:szCs w:val="20"/>
                <w:color w:val="auto"/>
              </w:rPr>
            </w:pPr>
            <w:r>
              <w:rPr>
                <w:rFonts w:ascii="Arial" w:cs="Arial" w:eastAsia="Arial" w:hAnsi="Arial"/>
                <w:sz w:val="18"/>
                <w:szCs w:val="18"/>
                <w:color w:val="auto"/>
              </w:rPr>
              <w:t>Total</w:t>
            </w:r>
          </w:p>
        </w:tc>
        <w:tc>
          <w:tcPr>
            <w:tcW w:w="24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13,393</w:t>
            </w:r>
          </w:p>
        </w:tc>
        <w:tc>
          <w:tcPr>
            <w:tcW w:w="1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13,593</w:t>
            </w:r>
          </w:p>
        </w:tc>
      </w:tr>
      <w:tr>
        <w:trPr>
          <w:trHeight w:val="205"/>
        </w:trPr>
        <w:tc>
          <w:tcPr>
            <w:tcW w:w="3600" w:type="dxa"/>
            <w:vAlign w:val="bottom"/>
            <w:tcBorders>
              <w:bottom w:val="single" w:sz="8" w:color="CCEEFF"/>
            </w:tcBorders>
            <w:gridSpan w:val="3"/>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derivative assets</w:t>
            </w:r>
          </w:p>
        </w:tc>
        <w:tc>
          <w:tcPr>
            <w:tcW w:w="2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13,696</w:t>
            </w: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13,765</w:t>
            </w:r>
          </w:p>
        </w:tc>
      </w:tr>
      <w:tr>
        <w:trPr>
          <w:trHeight w:val="20"/>
        </w:trPr>
        <w:tc>
          <w:tcPr>
            <w:tcW w:w="2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2"/>
        </w:trPr>
        <w:tc>
          <w:tcPr>
            <w:tcW w:w="2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4"/>
        </w:trPr>
        <w:tc>
          <w:tcPr>
            <w:tcW w:w="3600" w:type="dxa"/>
            <w:vAlign w:val="bottom"/>
            <w:gridSpan w:val="3"/>
            <w:shd w:val="clear" w:color="auto" w:fill="CCEEFF"/>
          </w:tcPr>
          <w:p>
            <w:pPr>
              <w:spacing w:after="0" w:line="194" w:lineRule="exact"/>
              <w:rPr>
                <w:sz w:val="20"/>
                <w:szCs w:val="20"/>
                <w:color w:val="auto"/>
              </w:rPr>
            </w:pPr>
            <w:r>
              <w:rPr>
                <w:rFonts w:ascii="Arial" w:cs="Arial" w:eastAsia="Arial" w:hAnsi="Arial"/>
                <w:sz w:val="18"/>
                <w:szCs w:val="18"/>
                <w:b w:val="1"/>
                <w:bCs w:val="1"/>
                <w:color w:val="auto"/>
                <w:w w:val="94"/>
              </w:rPr>
              <w:t>Derivative liabilities designated as cash flow</w:t>
            </w:r>
          </w:p>
        </w:tc>
        <w:tc>
          <w:tcPr>
            <w:tcW w:w="2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30"/>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hedging instruments:</w:t>
            </w:r>
          </w:p>
        </w:tc>
        <w:tc>
          <w:tcPr>
            <w:tcW w:w="2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2"/>
        </w:trPr>
        <w:tc>
          <w:tcPr>
            <w:tcW w:w="3600" w:type="dxa"/>
            <w:vAlign w:val="bottom"/>
            <w:gridSpan w:val="3"/>
          </w:tcPr>
          <w:p>
            <w:pPr>
              <w:ind w:left="100"/>
              <w:spacing w:after="0" w:line="212" w:lineRule="exact"/>
              <w:rPr>
                <w:sz w:val="20"/>
                <w:szCs w:val="20"/>
                <w:color w:val="auto"/>
              </w:rPr>
            </w:pPr>
            <w:r>
              <w:rPr>
                <w:rFonts w:ascii="Arial" w:cs="Arial" w:eastAsia="Arial" w:hAnsi="Arial"/>
                <w:sz w:val="16"/>
                <w:szCs w:val="16"/>
                <w:color w:val="auto"/>
              </w:rPr>
              <w:t>Coffee futures contracts</w:t>
            </w:r>
            <w:r>
              <w:rPr>
                <w:rFonts w:ascii="Arial" w:cs="Arial" w:eastAsia="Arial" w:hAnsi="Arial"/>
                <w:sz w:val="24"/>
                <w:szCs w:val="24"/>
                <w:color w:val="auto"/>
                <w:vertAlign w:val="superscript"/>
              </w:rPr>
              <w:t>1</w:t>
            </w:r>
          </w:p>
        </w:tc>
        <w:tc>
          <w:tcPr>
            <w:tcW w:w="26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Derivative liabilities</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703</w:t>
            </w:r>
          </w:p>
        </w:tc>
        <w:tc>
          <w:tcPr>
            <w:tcW w:w="580" w:type="dxa"/>
            <w:vAlign w:val="bottom"/>
            <w:gridSpan w:val="2"/>
          </w:tcPr>
          <w:p>
            <w:pPr>
              <w:jc w:val="right"/>
              <w:ind w:right="24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3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Coffee options</w:t>
            </w:r>
          </w:p>
        </w:tc>
        <w:tc>
          <w:tcPr>
            <w:tcW w:w="2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Derivative liabilities</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3600" w:type="dxa"/>
            <w:vAlign w:val="bottom"/>
            <w:gridSpan w:val="3"/>
          </w:tcPr>
          <w:p>
            <w:pPr>
              <w:ind w:left="200"/>
              <w:spacing w:after="0" w:line="204" w:lineRule="exact"/>
              <w:rPr>
                <w:sz w:val="20"/>
                <w:szCs w:val="20"/>
                <w:color w:val="auto"/>
              </w:rPr>
            </w:pPr>
            <w:r>
              <w:rPr>
                <w:rFonts w:ascii="Arial" w:cs="Arial" w:eastAsia="Arial" w:hAnsi="Arial"/>
                <w:sz w:val="18"/>
                <w:szCs w:val="18"/>
                <w:color w:val="auto"/>
              </w:rPr>
              <w:t>Total</w:t>
            </w: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703</w:t>
            </w:r>
          </w:p>
        </w:tc>
        <w:tc>
          <w:tcPr>
            <w:tcW w:w="18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r>
      <w:tr>
        <w:trPr>
          <w:trHeight w:val="212"/>
        </w:trPr>
        <w:tc>
          <w:tcPr>
            <w:tcW w:w="2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4"/>
        </w:trPr>
        <w:tc>
          <w:tcPr>
            <w:tcW w:w="36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w w:val="96"/>
              </w:rPr>
              <w:t>Derivative liabilities not designated as cash</w:t>
            </w:r>
          </w:p>
        </w:tc>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flow hedging instruments:</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2"/>
        </w:trPr>
        <w:tc>
          <w:tcPr>
            <w:tcW w:w="3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Forward purchase and sales contracts</w:t>
            </w:r>
          </w:p>
        </w:tc>
        <w:tc>
          <w:tcPr>
            <w:tcW w:w="2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Derivative liabilities</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5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14,021</w:t>
            </w:r>
          </w:p>
        </w:tc>
      </w:tr>
      <w:tr>
        <w:trPr>
          <w:trHeight w:val="205"/>
        </w:trPr>
        <w:tc>
          <w:tcPr>
            <w:tcW w:w="3600" w:type="dxa"/>
            <w:vAlign w:val="bottom"/>
            <w:tcBorders>
              <w:bottom w:val="single" w:sz="8" w:color="CCEEFF"/>
            </w:tcBorders>
            <w:gridSpan w:val="3"/>
          </w:tcPr>
          <w:p>
            <w:pPr>
              <w:ind w:left="200"/>
              <w:spacing w:after="0" w:line="204" w:lineRule="exact"/>
              <w:rPr>
                <w:sz w:val="20"/>
                <w:szCs w:val="20"/>
                <w:color w:val="auto"/>
              </w:rPr>
            </w:pPr>
            <w:r>
              <w:rPr>
                <w:rFonts w:ascii="Arial" w:cs="Arial" w:eastAsia="Arial" w:hAnsi="Arial"/>
                <w:sz w:val="18"/>
                <w:szCs w:val="18"/>
                <w:color w:val="auto"/>
              </w:rPr>
              <w:t>Total</w:t>
            </w:r>
          </w:p>
        </w:tc>
        <w:tc>
          <w:tcPr>
            <w:tcW w:w="24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4,654</w:t>
            </w:r>
          </w:p>
        </w:tc>
        <w:tc>
          <w:tcPr>
            <w:tcW w:w="1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14,021</w:t>
            </w:r>
          </w:p>
        </w:tc>
      </w:tr>
      <w:tr>
        <w:trPr>
          <w:trHeight w:val="205"/>
        </w:trPr>
        <w:tc>
          <w:tcPr>
            <w:tcW w:w="3600" w:type="dxa"/>
            <w:vAlign w:val="bottom"/>
            <w:tcBorders>
              <w:bottom w:val="single" w:sz="8" w:color="CCEEFF"/>
            </w:tcBorders>
            <w:gridSpan w:val="3"/>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derivative liabilities</w:t>
            </w:r>
          </w:p>
        </w:tc>
        <w:tc>
          <w:tcPr>
            <w:tcW w:w="2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5,357</w:t>
            </w: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14,021</w:t>
            </w:r>
          </w:p>
        </w:tc>
      </w:tr>
      <w:tr>
        <w:trPr>
          <w:trHeight w:val="20"/>
        </w:trPr>
        <w:tc>
          <w:tcPr>
            <w:tcW w:w="2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92"/>
        </w:trPr>
        <w:tc>
          <w:tcPr>
            <w:tcW w:w="222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6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 The fair value of coffee futures excludes amounts related to margin accounts.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pre-tax net gains and losses for our derivative instruments: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Statement of</w:t>
            </w:r>
          </w:p>
        </w:tc>
        <w:tc>
          <w:tcPr>
            <w:tcW w:w="2360" w:type="dxa"/>
            <w:vAlign w:val="bottom"/>
            <w:gridSpan w:val="6"/>
          </w:tcPr>
          <w:p>
            <w:pPr>
              <w:ind w:left="160"/>
              <w:spacing w:after="0"/>
              <w:rPr>
                <w:sz w:val="20"/>
                <w:szCs w:val="20"/>
                <w:color w:val="auto"/>
              </w:rPr>
            </w:pPr>
            <w:r>
              <w:rPr>
                <w:rFonts w:ascii="Arial" w:cs="Arial" w:eastAsia="Arial" w:hAnsi="Arial"/>
                <w:sz w:val="14"/>
                <w:szCs w:val="14"/>
                <w:b w:val="1"/>
                <w:bCs w:val="1"/>
                <w:color w:val="auto"/>
                <w:w w:val="91"/>
              </w:rPr>
              <w:t>Three Months Ended September 30,</w:t>
            </w:r>
          </w:p>
        </w:tc>
        <w:tc>
          <w:tcPr>
            <w:tcW w:w="2280" w:type="dxa"/>
            <w:vAlign w:val="bottom"/>
            <w:gridSpan w:val="6"/>
          </w:tcPr>
          <w:p>
            <w:pPr>
              <w:ind w:left="16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1"/>
              </w:rPr>
              <w:t>Operations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8"/>
        </w:trPr>
        <w:tc>
          <w:tcPr>
            <w:tcW w:w="36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tcBorders>
              <w:top w:val="single" w:sz="8" w:color="auto"/>
            </w:tcBorders>
            <w:shd w:val="clear" w:color="auto" w:fill="CCEEFF"/>
          </w:tcPr>
          <w:p>
            <w:pPr>
              <w:spacing w:after="0" w:line="187" w:lineRule="exact"/>
              <w:rPr>
                <w:sz w:val="20"/>
                <w:szCs w:val="20"/>
                <w:color w:val="auto"/>
              </w:rPr>
            </w:pPr>
            <w:r>
              <w:rPr>
                <w:rFonts w:ascii="Arial" w:cs="Arial" w:eastAsia="Arial" w:hAnsi="Arial"/>
                <w:sz w:val="18"/>
                <w:szCs w:val="18"/>
                <w:b w:val="1"/>
                <w:bCs w:val="1"/>
                <w:color w:val="auto"/>
                <w:w w:val="96"/>
              </w:rPr>
              <w:t>Derivative assets designated as cash flow</w:t>
            </w: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hedging instruments:</w:t>
            </w: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w w:val="92"/>
              </w:rPr>
              <w:t>Net realized gains (losses) on coffee derivatives</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Costs of sales</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4,267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1,680</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11,098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w w:val="90"/>
              </w:rPr>
              <w:t>Derivative assets and liabilities not designated</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as cash flow hedging instruments:</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Net unrealized gains (losses) on forward sales</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and purchase contracts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Costs of sales</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14. Fair Value Measurements</w:t>
      </w:r>
    </w:p>
    <w:p>
      <w:pPr>
        <w:spacing w:after="0" w:line="223" w:lineRule="exact"/>
        <w:rPr>
          <w:sz w:val="20"/>
          <w:szCs w:val="20"/>
          <w:color w:val="auto"/>
        </w:rPr>
      </w:pPr>
    </w:p>
    <w:p>
      <w:pPr>
        <w:ind w:left="40" w:right="640"/>
        <w:spacing w:after="0" w:line="330" w:lineRule="auto"/>
        <w:rPr>
          <w:sz w:val="20"/>
          <w:szCs w:val="20"/>
          <w:color w:val="auto"/>
        </w:rPr>
      </w:pPr>
      <w:r>
        <w:rPr>
          <w:rFonts w:ascii="Arial" w:cs="Arial" w:eastAsia="Arial" w:hAnsi="Arial"/>
          <w:sz w:val="15"/>
          <w:szCs w:val="15"/>
          <w:color w:val="auto"/>
        </w:rPr>
        <w:t xml:space="preserve">ASC 820, </w:t>
      </w:r>
      <w:r>
        <w:rPr>
          <w:rFonts w:ascii="Arial" w:cs="Arial" w:eastAsia="Arial" w:hAnsi="Arial"/>
          <w:sz w:val="15"/>
          <w:szCs w:val="15"/>
          <w:i w:val="1"/>
          <w:iCs w:val="1"/>
          <w:color w:val="auto"/>
        </w:rPr>
        <w:t>Fair Value Measurements</w:t>
      </w:r>
      <w:r>
        <w:rPr>
          <w:rFonts w:ascii="Arial" w:cs="Arial" w:eastAsia="Arial" w:hAnsi="Arial"/>
          <w:sz w:val="15"/>
          <w:szCs w:val="15"/>
          <w:color w:val="auto"/>
        </w:rPr>
        <w:t>, defines fair value at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w:t>
      </w:r>
    </w:p>
    <w:p>
      <w:pPr>
        <w:spacing w:after="0" w:line="349"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320"/>
          </w:cols>
          <w:pgMar w:left="1440" w:top="511" w:right="11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439"/>
        <w:spacing w:after="0" w:line="264" w:lineRule="auto"/>
        <w:rPr>
          <w:sz w:val="20"/>
          <w:szCs w:val="20"/>
          <w:color w:val="auto"/>
        </w:rPr>
      </w:pPr>
      <w:r>
        <w:rPr>
          <w:rFonts w:ascii="Arial" w:cs="Arial" w:eastAsia="Arial" w:hAnsi="Arial"/>
          <w:sz w:val="18"/>
          <w:szCs w:val="18"/>
          <w:color w:val="auto"/>
        </w:rPr>
        <w:t>prioritized based on a three-level hierarchy. This hierarchy requires entities to maximize the use of observable inputs and minimize the use of unobservable inputs.</w:t>
      </w:r>
    </w:p>
    <w:p>
      <w:pPr>
        <w:spacing w:after="0" w:line="181" w:lineRule="exact"/>
        <w:rPr>
          <w:sz w:val="20"/>
          <w:szCs w:val="20"/>
          <w:color w:val="auto"/>
        </w:rPr>
      </w:pPr>
    </w:p>
    <w:p>
      <w:pPr>
        <w:ind w:left="40" w:right="599"/>
        <w:spacing w:after="0" w:line="365" w:lineRule="auto"/>
        <w:rPr>
          <w:sz w:val="20"/>
          <w:szCs w:val="20"/>
          <w:color w:val="auto"/>
        </w:rPr>
      </w:pPr>
      <w:r>
        <w:rPr>
          <w:rFonts w:ascii="Arial" w:cs="Arial" w:eastAsia="Arial" w:hAnsi="Arial"/>
          <w:sz w:val="15"/>
          <w:szCs w:val="15"/>
          <w:color w:val="auto"/>
        </w:rPr>
        <w:t>The Company groups its assets and liabilities at fair value in three levels, based on the markets in which the assets and liabilities are traded, and the reliability of the assumptions used to determine fair value. These levels are:</w:t>
      </w:r>
    </w:p>
    <w:p>
      <w:pPr>
        <w:spacing w:after="0" w:line="111" w:lineRule="exact"/>
        <w:rPr>
          <w:sz w:val="20"/>
          <w:szCs w:val="20"/>
          <w:color w:val="auto"/>
        </w:rPr>
      </w:pPr>
    </w:p>
    <w:p>
      <w:pPr>
        <w:ind w:left="720" w:hanging="32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1—Valuation is based upon quoted prices for identical instruments traded in active markets.</w:t>
      </w:r>
    </w:p>
    <w:p>
      <w:pPr>
        <w:spacing w:after="0" w:line="217" w:lineRule="exact"/>
        <w:rPr>
          <w:rFonts w:ascii="Arial" w:cs="Arial" w:eastAsia="Arial" w:hAnsi="Arial"/>
          <w:sz w:val="18"/>
          <w:szCs w:val="18"/>
          <w:color w:val="auto"/>
        </w:rPr>
      </w:pPr>
    </w:p>
    <w:p>
      <w:pPr>
        <w:ind w:left="720" w:right="79" w:hanging="327"/>
        <w:spacing w:after="0" w:line="265"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 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p>
      <w:pPr>
        <w:spacing w:after="0" w:line="185" w:lineRule="exact"/>
        <w:rPr>
          <w:rFonts w:ascii="Arial" w:cs="Arial" w:eastAsia="Arial" w:hAnsi="Arial"/>
          <w:sz w:val="17"/>
          <w:szCs w:val="17"/>
          <w:color w:val="auto"/>
        </w:rPr>
      </w:pPr>
    </w:p>
    <w:p>
      <w:pPr>
        <w:ind w:left="720" w:right="299" w:hanging="327"/>
        <w:spacing w:after="0" w:line="271"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the fair value of financial instruments at September 30, 2022:</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434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355"/>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53"/>
              <w:spacing w:after="0" w:line="15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74"/>
              <w:spacing w:after="0" w:line="15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tcPr>
          <w:p>
            <w:pPr>
              <w:jc w:val="right"/>
              <w:ind w:right="155"/>
              <w:spacing w:after="0" w:line="15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33"/>
              <w:spacing w:after="0" w:line="15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Green coffee associated with forward contracts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51,323</w:t>
            </w:r>
          </w:p>
        </w:tc>
        <w:tc>
          <w:tcPr>
            <w:tcW w:w="3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Coffee futures contracts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Forward purchase and sales contracts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Coffee options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200"/>
              <w:spacing w:after="0" w:line="205"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303</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64,716</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2"/>
              <w:spacing w:after="0" w:line="205"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65,019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Coffee futures contracts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Forward purchase and sales contracts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Coffee options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Westrock Public Warrants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Westrock Private Warrants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Pr>
          <w:p>
            <w:pPr>
              <w:ind w:left="200"/>
              <w:spacing w:after="0" w:line="205"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18,828</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4,654</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14,208</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205"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37,690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gridSpan w:val="3"/>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760" w:type="dxa"/>
            <w:vAlign w:val="bottom"/>
            <w:gridSpan w:val="13"/>
          </w:tcPr>
          <w:p>
            <w:pPr>
              <w:spacing w:after="0"/>
              <w:rPr>
                <w:sz w:val="20"/>
                <w:szCs w:val="20"/>
                <w:color w:val="auto"/>
              </w:rPr>
            </w:pPr>
            <w:r>
              <w:rPr>
                <w:rFonts w:ascii="Arial" w:cs="Arial" w:eastAsia="Arial" w:hAnsi="Arial"/>
                <w:sz w:val="18"/>
                <w:szCs w:val="18"/>
                <w:color w:val="auto"/>
                <w:w w:val="94"/>
              </w:rPr>
              <w:t>The following table presents the change in the fair value of Level 3 Westrock Private Warrant liabilities: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Westrock Private</w:t>
            </w:r>
          </w:p>
        </w:tc>
        <w:tc>
          <w:tcPr>
            <w:tcW w:w="0" w:type="dxa"/>
            <w:vAlign w:val="bottom"/>
          </w:tcPr>
          <w:p>
            <w:pPr>
              <w:spacing w:after="0"/>
              <w:rPr>
                <w:sz w:val="1"/>
                <w:szCs w:val="1"/>
                <w:color w:val="auto"/>
              </w:rPr>
            </w:pPr>
          </w:p>
        </w:tc>
      </w:tr>
      <w:tr>
        <w:trPr>
          <w:trHeight w:val="168"/>
        </w:trPr>
        <w:tc>
          <w:tcPr>
            <w:tcW w:w="43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Fair value as of January 1, 2022</w:t>
            </w: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Assumption of warrants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40" w:type="dxa"/>
            <w:vAlign w:val="bottom"/>
            <w:gridSpan w:val="2"/>
          </w:tcPr>
          <w:p>
            <w:pPr>
              <w:spacing w:after="0" w:line="205" w:lineRule="exact"/>
              <w:rPr>
                <w:sz w:val="20"/>
                <w:szCs w:val="20"/>
                <w:color w:val="auto"/>
              </w:rPr>
            </w:pPr>
            <w:r>
              <w:rPr>
                <w:rFonts w:ascii="Arial" w:cs="Arial" w:eastAsia="Arial" w:hAnsi="Arial"/>
                <w:sz w:val="18"/>
                <w:szCs w:val="18"/>
                <w:color w:val="auto"/>
              </w:rPr>
              <w:t>Fair value as of September 30, 2022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14,208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1" w:right="1440"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the fair value of financial instruments at December 31, 2021: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430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38"/>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54"/>
              <w:spacing w:after="0" w:line="15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76"/>
              <w:spacing w:after="0" w:line="15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680" w:type="dxa"/>
            <w:vAlign w:val="bottom"/>
          </w:tcPr>
          <w:p>
            <w:pPr>
              <w:jc w:val="right"/>
              <w:spacing w:after="0" w:line="15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234"/>
              <w:spacing w:after="0" w:line="15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Green coffee associated with forward contracts</w:t>
            </w:r>
          </w:p>
        </w:tc>
        <w:tc>
          <w:tcPr>
            <w:tcW w:w="4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47,845</w:t>
            </w:r>
          </w:p>
        </w:tc>
        <w:tc>
          <w:tcPr>
            <w:tcW w:w="900" w:type="dxa"/>
            <w:vAlign w:val="bottom"/>
            <w:gridSpan w:val="2"/>
          </w:tcPr>
          <w:p>
            <w:pPr>
              <w:jc w:val="right"/>
              <w:ind w:right="498"/>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47,845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Coffee futures contracts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Forward purchase and sales contracts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13,593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Coffee options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80" w:type="dxa"/>
            <w:vAlign w:val="bottom"/>
            <w:tcBorders>
              <w:bottom w:val="single" w:sz="8" w:color="CCEEFF"/>
            </w:tcBorders>
          </w:tcPr>
          <w:p>
            <w:pPr>
              <w:ind w:left="20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172</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61,438</w:t>
            </w:r>
          </w:p>
        </w:tc>
        <w:tc>
          <w:tcPr>
            <w:tcW w:w="2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98"/>
              <w:spacing w:after="0" w:line="205"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61,610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Forward purchase and sales contracts</w:t>
            </w:r>
          </w:p>
        </w:tc>
        <w:tc>
          <w:tcPr>
            <w:tcW w:w="4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14,021</w:t>
            </w:r>
          </w:p>
        </w:tc>
        <w:tc>
          <w:tcPr>
            <w:tcW w:w="900" w:type="dxa"/>
            <w:vAlign w:val="bottom"/>
            <w:gridSpan w:val="2"/>
            <w:shd w:val="clear" w:color="auto" w:fill="CCEEFF"/>
          </w:tcPr>
          <w:p>
            <w:pPr>
              <w:jc w:val="right"/>
              <w:ind w:right="49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Pr>
          <w:p>
            <w:pPr>
              <w:ind w:left="200"/>
              <w:spacing w:after="0" w:line="205" w:lineRule="exact"/>
              <w:rPr>
                <w:sz w:val="20"/>
                <w:szCs w:val="20"/>
                <w:color w:val="auto"/>
              </w:rPr>
            </w:pPr>
            <w:r>
              <w:rPr>
                <w:rFonts w:ascii="Arial" w:cs="Arial" w:eastAsia="Arial" w:hAnsi="Arial"/>
                <w:sz w:val="18"/>
                <w:szCs w:val="18"/>
                <w:color w:val="auto"/>
              </w:rPr>
              <w:t>Total</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14,021</w:t>
            </w:r>
          </w:p>
        </w:tc>
        <w:tc>
          <w:tcPr>
            <w:tcW w:w="2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498"/>
              <w:spacing w:after="0" w:line="205"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14,021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0" w:right="119"/>
        <w:spacing w:after="0" w:line="309" w:lineRule="auto"/>
        <w:rPr>
          <w:sz w:val="20"/>
          <w:szCs w:val="20"/>
          <w:color w:val="auto"/>
        </w:rPr>
      </w:pPr>
      <w:r>
        <w:rPr>
          <w:rFonts w:ascii="Arial" w:cs="Arial" w:eastAsia="Arial" w:hAnsi="Arial"/>
          <w:sz w:val="15"/>
          <w:szCs w:val="15"/>
          <w:color w:val="auto"/>
        </w:rPr>
        <w:t>Coffee futures contracts and coffee options are valued based on quoted market prices. The estimated fair value for green coffee inventories associated with forward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and forward sales and purchase contracts are classified within Level 2 of the fair value hierarchy.</w:t>
      </w:r>
    </w:p>
    <w:p>
      <w:pPr>
        <w:spacing w:after="0" w:line="152" w:lineRule="exact"/>
        <w:rPr>
          <w:sz w:val="20"/>
          <w:szCs w:val="20"/>
          <w:color w:val="auto"/>
        </w:rPr>
      </w:pPr>
    </w:p>
    <w:p>
      <w:pPr>
        <w:ind w:left="40" w:right="499"/>
        <w:spacing w:after="0" w:line="330" w:lineRule="auto"/>
        <w:rPr>
          <w:sz w:val="20"/>
          <w:szCs w:val="20"/>
          <w:color w:val="auto"/>
        </w:rPr>
      </w:pPr>
      <w:r>
        <w:rPr>
          <w:rFonts w:ascii="Arial" w:cs="Arial" w:eastAsia="Arial" w:hAnsi="Arial"/>
          <w:sz w:val="15"/>
          <w:szCs w:val="15"/>
          <w:color w:val="auto"/>
        </w:rPr>
        <w:t>Westrock Public Warrants are valued based on their quoted market price of $1.45 per warrant as of September 30, 2022. Westrock Private Warrants price of $1.92 per warrant are valued using a binomial lattice valuation model, which is considered to be a Level 3 fair value measurement. The primary unobservable inputs were as follows:</w:t>
      </w: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2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September 30, 2022</w:t>
            </w:r>
          </w:p>
        </w:tc>
      </w:tr>
      <w:tr>
        <w:trPr>
          <w:trHeight w:val="205"/>
        </w:trPr>
        <w:tc>
          <w:tcPr>
            <w:tcW w:w="20" w:type="dxa"/>
            <w:vAlign w:val="bottom"/>
          </w:tcPr>
          <w:p>
            <w:pPr>
              <w:spacing w:after="0"/>
              <w:rPr>
                <w:sz w:val="17"/>
                <w:szCs w:val="17"/>
                <w:color w:val="auto"/>
              </w:rPr>
            </w:pPr>
          </w:p>
        </w:tc>
        <w:tc>
          <w:tcPr>
            <w:tcW w:w="72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Stock price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10.33</w:t>
            </w:r>
          </w:p>
        </w:tc>
      </w:tr>
      <w:tr>
        <w:trPr>
          <w:trHeight w:val="212"/>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Exercise price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12"/>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2"/>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12"/>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return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Dividend yield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188" w:lineRule="exact"/>
        <w:rPr>
          <w:sz w:val="20"/>
          <w:szCs w:val="20"/>
          <w:color w:val="auto"/>
        </w:rPr>
      </w:pPr>
    </w:p>
    <w:p>
      <w:pPr>
        <w:ind w:left="40" w:right="99"/>
        <w:spacing w:after="0" w:line="302" w:lineRule="auto"/>
        <w:rPr>
          <w:sz w:val="20"/>
          <w:szCs w:val="20"/>
          <w:color w:val="auto"/>
        </w:rPr>
      </w:pPr>
      <w:r>
        <w:rPr>
          <w:rFonts w:ascii="Arial" w:cs="Arial" w:eastAsia="Arial" w:hAnsi="Arial"/>
          <w:sz w:val="15"/>
          <w:szCs w:val="15"/>
          <w:color w:val="auto"/>
        </w:rPr>
        <w:t>Financial instruments consist primarily of cash, accounts receivable, accounts payable, and long-term debt. The carrying amount of cash, accounts receivable and accounts payable was estimated by management to approximate fair value due to the relatively short period of time to maturity for those instruments. On August 29, 2022, the Company entered into the Credit Agreement, which includes the Term Loan Facility and the Revolving Credit Facility. The Term Loan Facility and the Revolving Credit Facility are carried on the Condensed Consolidated Balance Sheets at amortized cost. In November 2021, we amended our Prior Term Loan Agreement and our Prior ABL Credit Agreement, which comprised our material long-term debt obligations at December 31, 2021. As there was no re-pricing of those obligations in connection with the amendments, the carrying amount of these obligations was estimated by management to approximate fair value as of December 31, 2021. The Prior Term Loan Facility and the Prior ABL Facility were carried on the Condensed Consolidated Balance Sheets at amortized cost. The fair value of the Term Loan Facility, Revolving Credit Facility, Prior Term Loan Facility and the Prior ABL Facility was determined based on Level 2 inputs under the fair value hierarchy.</w:t>
      </w:r>
    </w:p>
    <w:p>
      <w:pPr>
        <w:spacing w:after="0" w:line="374" w:lineRule="exact"/>
        <w:rPr>
          <w:sz w:val="20"/>
          <w:szCs w:val="20"/>
          <w:color w:val="auto"/>
        </w:rPr>
      </w:pPr>
    </w:p>
    <w:p>
      <w:pPr>
        <w:jc w:val="both"/>
        <w:ind w:left="40" w:right="139"/>
        <w:spacing w:after="0" w:line="330" w:lineRule="auto"/>
        <w:rPr>
          <w:sz w:val="20"/>
          <w:szCs w:val="20"/>
          <w:color w:val="auto"/>
        </w:rPr>
      </w:pPr>
      <w:r>
        <w:rPr>
          <w:rFonts w:ascii="Arial" w:cs="Arial" w:eastAsia="Arial" w:hAnsi="Arial"/>
          <w:sz w:val="15"/>
          <w:szCs w:val="15"/>
          <w:color w:val="auto"/>
        </w:rPr>
        <w:t>Non-financial assets and liabilities, including property, plant and equipment, goodwill, and intangible assets are measured at fair value on a non-recurring basis. No events occurred during the three or nine months ended September 30, 2022 and 2021, requiring these non-financial assets and liabilities to be subsequently recognized at fair value.</w:t>
      </w:r>
    </w:p>
    <w:p>
      <w:pPr>
        <w:spacing w:after="0" w:line="34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15. Accumulated Other Comprehensive Income</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Changes in accumulated other comprehensive loss, net of tax by component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22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Three Months Ended September 30,</w:t>
            </w:r>
          </w:p>
        </w:tc>
        <w:tc>
          <w:tcPr>
            <w:tcW w:w="220" w:type="dxa"/>
            <w:vAlign w:val="bottom"/>
          </w:tcPr>
          <w:p>
            <w:pPr>
              <w:spacing w:after="0"/>
              <w:rPr>
                <w:sz w:val="14"/>
                <w:szCs w:val="14"/>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52"/>
        </w:trPr>
        <w:tc>
          <w:tcPr>
            <w:tcW w:w="5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3"/>
              <w:spacing w:after="0" w:line="15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73"/>
              <w:spacing w:after="0" w:line="15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73"/>
              <w:spacing w:after="0" w:line="15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233"/>
              <w:spacing w:after="0" w:line="15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Cash flow hedge changes in fair value gain (loss):</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Balance at beginning of period</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7,091</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Amounts reclassified from accumulated comprehensive income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effect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ind w:left="100"/>
              <w:spacing w:after="0" w:line="204" w:lineRule="exact"/>
              <w:rPr>
                <w:sz w:val="20"/>
                <w:szCs w:val="20"/>
                <w:color w:val="auto"/>
              </w:rPr>
            </w:pPr>
            <w:r>
              <w:rPr>
                <w:rFonts w:ascii="Arial" w:cs="Arial" w:eastAsia="Arial" w:hAnsi="Arial"/>
                <w:sz w:val="18"/>
                <w:szCs w:val="18"/>
                <w:color w:val="auto"/>
              </w:rPr>
              <w:t>Net other comprehensive income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Arial" w:cs="Arial" w:eastAsia="Arial" w:hAnsi="Arial"/>
                <w:sz w:val="18"/>
                <w:szCs w:val="18"/>
                <w:color w:val="auto"/>
              </w:rPr>
              <w:t>1,672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9,463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5" w:lineRule="exact"/>
              <w:rPr>
                <w:sz w:val="20"/>
                <w:szCs w:val="20"/>
                <w:color w:val="auto"/>
              </w:rPr>
            </w:pPr>
            <w:r>
              <w:rPr>
                <w:rFonts w:ascii="Arial" w:cs="Arial" w:eastAsia="Arial" w:hAnsi="Arial"/>
                <w:sz w:val="18"/>
                <w:szCs w:val="18"/>
                <w:color w:val="auto"/>
              </w:rPr>
              <w:t>1,672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Less: Other comprehensive income attributable to noncontrolling interests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Borders>
              <w:bottom w:val="single" w:sz="8" w:color="CCEEFF"/>
            </w:tcBorders>
          </w:tcPr>
          <w:p>
            <w:pPr>
              <w:ind w:left="100"/>
              <w:spacing w:after="0" w:line="204" w:lineRule="exact"/>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1,672</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9,463</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1,672</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Foreign currency translation gain</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Amounts reclassified from accumulated comprehensive income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effect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ind w:left="100"/>
              <w:spacing w:after="0" w:line="204" w:lineRule="exact"/>
              <w:rPr>
                <w:sz w:val="20"/>
                <w:szCs w:val="20"/>
                <w:color w:val="auto"/>
              </w:rPr>
            </w:pPr>
            <w:r>
              <w:rPr>
                <w:rFonts w:ascii="Arial" w:cs="Arial" w:eastAsia="Arial" w:hAnsi="Arial"/>
                <w:sz w:val="18"/>
                <w:szCs w:val="18"/>
                <w:color w:val="auto"/>
              </w:rPr>
              <w:t>Net other comprehensive income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Arial" w:cs="Arial" w:eastAsia="Arial" w:hAnsi="Arial"/>
                <w:sz w:val="18"/>
                <w:szCs w:val="18"/>
                <w:color w:val="auto"/>
              </w:rPr>
              <w:t>251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241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5" w:lineRule="exact"/>
              <w:rPr>
                <w:sz w:val="20"/>
                <w:szCs w:val="20"/>
                <w:color w:val="auto"/>
              </w:rPr>
            </w:pPr>
            <w:r>
              <w:rPr>
                <w:rFonts w:ascii="Arial" w:cs="Arial" w:eastAsia="Arial" w:hAnsi="Arial"/>
                <w:sz w:val="18"/>
                <w:szCs w:val="18"/>
                <w:color w:val="auto"/>
              </w:rPr>
              <w:t>251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Less: Other comprehensive income attributable to noncontrolling interests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Borders>
              <w:bottom w:val="single" w:sz="8" w:color="CCEEFF"/>
            </w:tcBorders>
          </w:tcPr>
          <w:p>
            <w:pPr>
              <w:ind w:left="100"/>
              <w:spacing w:after="0" w:line="204" w:lineRule="exact"/>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241</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251</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Accumulated other comprehensive income at end of period</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1,923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9,704</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1,923</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Equity-Based Compensation</w:t>
      </w:r>
    </w:p>
    <w:p>
      <w:pPr>
        <w:spacing w:after="0" w:line="223" w:lineRule="exact"/>
        <w:rPr>
          <w:sz w:val="20"/>
          <w:szCs w:val="20"/>
          <w:color w:val="auto"/>
        </w:rPr>
      </w:pPr>
    </w:p>
    <w:p>
      <w:pPr>
        <w:ind w:left="40" w:right="1600"/>
        <w:spacing w:after="0" w:line="252" w:lineRule="auto"/>
        <w:rPr>
          <w:sz w:val="20"/>
          <w:szCs w:val="20"/>
          <w:color w:val="auto"/>
        </w:rPr>
      </w:pPr>
      <w:r>
        <w:rPr>
          <w:rFonts w:ascii="Arial" w:cs="Arial" w:eastAsia="Arial" w:hAnsi="Arial"/>
          <w:sz w:val="18"/>
          <w:szCs w:val="18"/>
          <w:color w:val="auto"/>
        </w:rPr>
        <w:t>In August 2022, the Company’s Board of Directors adopted the Westrock Coffee Company 2022 Equity Incentive Plan (“2022 Equity Plan”), which is administered by the Compensation Committee of the Board of Directors. Awards issuable under the 2022 Equity Plan include restricted stock, restricted stock units, incentive stock options, “non-qualified” stock options, stock appreciation rights and performance shares.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Restricted Stock Unit Awards</w:t>
      </w:r>
    </w:p>
    <w:p>
      <w:pPr>
        <w:spacing w:after="0" w:line="217" w:lineRule="exact"/>
        <w:rPr>
          <w:sz w:val="20"/>
          <w:szCs w:val="20"/>
          <w:color w:val="auto"/>
        </w:rPr>
      </w:pPr>
    </w:p>
    <w:p>
      <w:pPr>
        <w:ind w:left="40" w:right="1300"/>
        <w:spacing w:after="0" w:line="250" w:lineRule="auto"/>
        <w:rPr>
          <w:sz w:val="20"/>
          <w:szCs w:val="20"/>
          <w:color w:val="auto"/>
        </w:rPr>
      </w:pPr>
      <w:r>
        <w:rPr>
          <w:rFonts w:ascii="Arial" w:cs="Arial" w:eastAsia="Arial" w:hAnsi="Arial"/>
          <w:sz w:val="18"/>
          <w:szCs w:val="18"/>
          <w:color w:val="auto"/>
        </w:rPr>
        <w:t>During the quarter ended September 30, 2022, the Company granted 1.1 million restricted stock units (“RSUs”) to employees, which had a grant date fair value of $12.8 million. We calculate the grant date fair value of non-vested RSUs using the closing price of the Company’s Common Shares on the day of the grant. The RSUs are amortized on a straight-line basis to expense over the vesting period, which is generally three years. As of September 30, 2022, there were 3.5 million shares available for future issuance under the 2022 Equity Plan.</w:t>
      </w:r>
    </w:p>
    <w:p>
      <w:pPr>
        <w:spacing w:after="0" w:line="194" w:lineRule="exact"/>
        <w:rPr>
          <w:sz w:val="20"/>
          <w:szCs w:val="20"/>
          <w:color w:val="auto"/>
        </w:rPr>
      </w:pPr>
    </w:p>
    <w:p>
      <w:pPr>
        <w:ind w:left="40" w:right="1440"/>
        <w:spacing w:after="0" w:line="252" w:lineRule="auto"/>
        <w:rPr>
          <w:sz w:val="20"/>
          <w:szCs w:val="20"/>
          <w:color w:val="auto"/>
        </w:rPr>
      </w:pPr>
      <w:r>
        <w:rPr>
          <w:rFonts w:ascii="Arial" w:cs="Arial" w:eastAsia="Arial" w:hAnsi="Arial"/>
          <w:sz w:val="18"/>
          <w:szCs w:val="18"/>
          <w:color w:val="auto"/>
        </w:rPr>
        <w:t>The following table sets forth the number of unvested RSUs and the weighted-average fair value of these awards at the date of grant.</w:t>
      </w:r>
    </w:p>
    <w:tbl>
      <w:tblPr>
        <w:tblLayout w:type="fixed"/>
        <w:tblInd w:w="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54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ind w:left="180"/>
              <w:spacing w:after="0" w:line="138" w:lineRule="exact"/>
              <w:rPr>
                <w:sz w:val="20"/>
                <w:szCs w:val="20"/>
                <w:color w:val="auto"/>
              </w:rPr>
            </w:pPr>
            <w:r>
              <w:rPr>
                <w:rFonts w:ascii="Arial" w:cs="Arial" w:eastAsia="Arial" w:hAnsi="Arial"/>
                <w:sz w:val="14"/>
                <w:szCs w:val="14"/>
                <w:b w:val="1"/>
                <w:bCs w:val="1"/>
                <w:color w:val="auto"/>
              </w:rPr>
              <w:t>Average Fair</w:t>
            </w:r>
          </w:p>
        </w:tc>
        <w:tc>
          <w:tcPr>
            <w:tcW w:w="0" w:type="dxa"/>
            <w:vAlign w:val="bottom"/>
          </w:tcPr>
          <w:p>
            <w:pPr>
              <w:spacing w:after="0"/>
              <w:rPr>
                <w:sz w:val="1"/>
                <w:szCs w:val="1"/>
                <w:color w:val="auto"/>
              </w:rPr>
            </w:pPr>
          </w:p>
        </w:tc>
      </w:tr>
      <w:tr>
        <w:trPr>
          <w:trHeight w:val="168"/>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2021</w:t>
            </w:r>
          </w:p>
        </w:tc>
        <w:tc>
          <w:tcPr>
            <w:tcW w:w="15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05"/>
        </w:trPr>
        <w:tc>
          <w:tcPr>
            <w:tcW w:w="5320" w:type="dxa"/>
            <w:vAlign w:val="bottom"/>
            <w:gridSpan w:val="2"/>
            <w:vMerge w:val="continue"/>
          </w:tcPr>
          <w:p>
            <w:pPr>
              <w:spacing w:after="0"/>
              <w:rPr>
                <w:sz w:val="17"/>
                <w:szCs w:val="17"/>
                <w:color w:val="auto"/>
              </w:rPr>
            </w:pPr>
          </w:p>
        </w:tc>
        <w:tc>
          <w:tcPr>
            <w:tcW w:w="15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60" w:type="dxa"/>
            <w:vAlign w:val="bottom"/>
            <w:tcBorders>
              <w:top w:val="single" w:sz="8" w:color="auto"/>
            </w:tcBorders>
          </w:tcPr>
          <w:p>
            <w:pPr>
              <w:jc w:val="right"/>
              <w:ind w:right="72"/>
              <w:spacing w:after="0" w:line="205"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1,109,000</w:t>
            </w:r>
          </w:p>
        </w:tc>
        <w:tc>
          <w:tcPr>
            <w:tcW w:w="6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(4,000)</w:t>
            </w:r>
          </w:p>
        </w:tc>
        <w:tc>
          <w:tcPr>
            <w:tcW w:w="6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320" w:type="dxa"/>
            <w:vAlign w:val="bottom"/>
            <w:gridSpan w:val="2"/>
          </w:tcPr>
          <w:p>
            <w:pPr>
              <w:spacing w:after="0" w:line="205" w:lineRule="exact"/>
              <w:rPr>
                <w:sz w:val="20"/>
                <w:szCs w:val="20"/>
                <w:color w:val="auto"/>
              </w:rPr>
            </w:pPr>
            <w:r>
              <w:rPr>
                <w:rFonts w:ascii="Arial" w:cs="Arial" w:eastAsia="Arial" w:hAnsi="Arial"/>
                <w:sz w:val="18"/>
                <w:szCs w:val="18"/>
                <w:color w:val="auto"/>
              </w:rPr>
              <w:t>Outstanding at September 30, 2022</w:t>
            </w:r>
          </w:p>
        </w:tc>
        <w:tc>
          <w:tcPr>
            <w:tcW w:w="154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1,105,000</w:t>
            </w:r>
          </w:p>
        </w:tc>
        <w:tc>
          <w:tcPr>
            <w:tcW w:w="3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2"/>
              <w:spacing w:after="0" w:line="205"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11.51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511"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99"/>
        <w:spacing w:after="0" w:line="302" w:lineRule="auto"/>
        <w:rPr>
          <w:sz w:val="20"/>
          <w:szCs w:val="20"/>
          <w:color w:val="auto"/>
        </w:rPr>
      </w:pPr>
      <w:r>
        <w:rPr>
          <w:rFonts w:ascii="Arial" w:cs="Arial" w:eastAsia="Arial" w:hAnsi="Arial"/>
          <w:sz w:val="15"/>
          <w:szCs w:val="15"/>
          <w:color w:val="auto"/>
        </w:rPr>
        <w:t xml:space="preserve">Furthermore, in August 2022, in connection with the Transaction, unit option awards issued under the Company’s 2020 Unit Option Incentive Plan, were equitably converted in accordance with the terms of the 2020 Unit Option Incentive Plan and the Transaction Agreement. Each outstanding option to purchase units of Westrock Coffee Holdings, LLC, whether vested or unvested, was converted into an option to purchase Common Shares based on an exchange ratio (the “Exchange Ratio”) defined in the Transaction Agreement. The per unit exercise price of unit options was converted to a per share exercise price based on the Exchange Ratio, and with respect to performance-based options, such options converted into performance-based options to purchase Common Shares that vest once the simple average of the daily volume weighted average price per share of Common Shares for 10 trading days in any consecutive 30-day period is $18.50 per share. These changes were deemed to be Type I modifications under ASC 718,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however, these modifications did not result in any additional compensation expense to be recognized by the Company.</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17. Earnings per Share</w:t>
      </w:r>
    </w:p>
    <w:p>
      <w:pPr>
        <w:spacing w:after="0" w:line="223"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Prior to the Conversion, the Company’s ownership interests consisted of two classes of equity units, referred to as Common Units and Common Equivalent Preferred Units (“CEP Units”), which have been retroactively restated as shares reflecting the conversion ratios discussed in Note 4.</w:t>
      </w:r>
    </w:p>
    <w:p>
      <w:pPr>
        <w:spacing w:after="0" w:line="188" w:lineRule="exact"/>
        <w:rPr>
          <w:sz w:val="20"/>
          <w:szCs w:val="20"/>
          <w:color w:val="auto"/>
        </w:rPr>
      </w:pPr>
    </w:p>
    <w:p>
      <w:pPr>
        <w:ind w:left="40" w:right="79"/>
        <w:spacing w:after="0" w:line="252" w:lineRule="auto"/>
        <w:rPr>
          <w:sz w:val="20"/>
          <w:szCs w:val="20"/>
          <w:color w:val="auto"/>
        </w:rPr>
      </w:pPr>
      <w:r>
        <w:rPr>
          <w:rFonts w:ascii="Arial" w:cs="Arial" w:eastAsia="Arial" w:hAnsi="Arial"/>
          <w:sz w:val="18"/>
          <w:szCs w:val="18"/>
          <w:color w:val="auto"/>
        </w:rPr>
        <w:t xml:space="preserve">Our Series A Preferred Shares and RSUs issued under our 2022 Equity Incentive Plan are considered participating securities as they receive non-forfeitable rights to dividends at the same rate as Common Shares. As participating securities, we include these instruments in the computation of earnings per share under the two-class method described in ASC 260, </w:t>
      </w:r>
      <w:r>
        <w:rPr>
          <w:rFonts w:ascii="Arial" w:cs="Arial" w:eastAsia="Arial" w:hAnsi="Arial"/>
          <w:sz w:val="18"/>
          <w:szCs w:val="18"/>
          <w:i w:val="1"/>
          <w:iCs w:val="1"/>
          <w:color w:val="auto"/>
        </w:rPr>
        <w:t>Earnings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w:t>
      </w:r>
    </w:p>
    <w:p>
      <w:pPr>
        <w:spacing w:after="0" w:line="191" w:lineRule="exact"/>
        <w:rPr>
          <w:sz w:val="20"/>
          <w:szCs w:val="20"/>
          <w:color w:val="auto"/>
        </w:rPr>
      </w:pPr>
    </w:p>
    <w:p>
      <w:pPr>
        <w:ind w:left="40" w:right="139"/>
        <w:spacing w:after="0" w:line="271" w:lineRule="auto"/>
        <w:rPr>
          <w:sz w:val="20"/>
          <w:szCs w:val="20"/>
          <w:color w:val="auto"/>
        </w:rPr>
      </w:pPr>
      <w:r>
        <w:rPr>
          <w:rFonts w:ascii="Arial" w:cs="Arial" w:eastAsia="Arial" w:hAnsi="Arial"/>
          <w:sz w:val="17"/>
          <w:szCs w:val="17"/>
          <w:color w:val="auto"/>
        </w:rPr>
        <w:t>Prior to the Conversion, the dilutive effect of CEP Units is calculated by using the “if-converted” method. This assumes an add-back of dividends on the CEP Units to net income attributable to unitholders as if the securities were converted to common shares at the beginning of the reporting period (or at the time of issuance, if later), and the resulting common shares are included in the number of weighted-average units outstanding.</w:t>
      </w:r>
    </w:p>
    <w:p>
      <w:pPr>
        <w:spacing w:after="0" w:line="177" w:lineRule="exact"/>
        <w:rPr>
          <w:sz w:val="20"/>
          <w:szCs w:val="20"/>
          <w:color w:val="auto"/>
        </w:rPr>
      </w:pPr>
    </w:p>
    <w:p>
      <w:pPr>
        <w:ind w:left="40" w:right="179"/>
        <w:spacing w:after="0" w:line="264" w:lineRule="auto"/>
        <w:rPr>
          <w:sz w:val="20"/>
          <w:szCs w:val="20"/>
          <w:color w:val="auto"/>
        </w:rPr>
      </w:pPr>
      <w:r>
        <w:rPr>
          <w:rFonts w:ascii="Arial" w:cs="Arial" w:eastAsia="Arial" w:hAnsi="Arial"/>
          <w:sz w:val="18"/>
          <w:szCs w:val="18"/>
          <w:color w:val="auto"/>
        </w:rPr>
        <w:t>The dilutive effect of time-based option awards and RSUs is calculated using the treasury stock method, while performance-based awards are treated as contingently issuable.</w:t>
      </w:r>
    </w:p>
    <w:p>
      <w:pPr>
        <w:spacing w:after="0" w:line="181" w:lineRule="exact"/>
        <w:rPr>
          <w:sz w:val="20"/>
          <w:szCs w:val="20"/>
          <w:color w:val="auto"/>
        </w:rPr>
      </w:pPr>
    </w:p>
    <w:p>
      <w:pPr>
        <w:ind w:left="40" w:right="239"/>
        <w:spacing w:after="0" w:line="312" w:lineRule="auto"/>
        <w:rPr>
          <w:sz w:val="20"/>
          <w:szCs w:val="20"/>
          <w:color w:val="auto"/>
        </w:rPr>
      </w:pPr>
      <w:r>
        <w:rPr>
          <w:rFonts w:ascii="Arial" w:cs="Arial" w:eastAsia="Arial" w:hAnsi="Arial"/>
          <w:sz w:val="15"/>
          <w:szCs w:val="15"/>
          <w:color w:val="auto"/>
        </w:rPr>
        <w:t>We have excluded from the computation of diluted shares the effect of Warrants, time-based options awards and RSUs because their inclusion would have an anti-dilutive effect due to our reported net loss. We had 19.9 million warrants, 1.6 million time-based options awards, and 1.1 million RSUs outstanding at September 30, 2022, and 15.3 million, 9.1 million and 222.2 million unit options, restricted Common Units, and CEP Units outstanding, respectively, at September 30, 2021, which if converted into common shares would yield 1.6 million, 1.0 million, and 23.3 million common shares, respectively.</w:t>
      </w:r>
    </w:p>
    <w:p>
      <w:pPr>
        <w:spacing w:after="0" w:line="36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sets forth the computation of basic and diluted earnings per share under the two-class method.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472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unit data)</w:t>
            </w:r>
          </w:p>
        </w:tc>
        <w:tc>
          <w:tcPr>
            <w:tcW w:w="200" w:type="dxa"/>
            <w:vAlign w:val="bottom"/>
          </w:tcPr>
          <w:p>
            <w:pPr>
              <w:spacing w:after="0"/>
              <w:rPr>
                <w:sz w:val="14"/>
                <w:szCs w:val="14"/>
                <w:color w:val="auto"/>
              </w:rPr>
            </w:pPr>
          </w:p>
        </w:tc>
        <w:tc>
          <w:tcPr>
            <w:tcW w:w="22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52"/>
        </w:trPr>
        <w:tc>
          <w:tcPr>
            <w:tcW w:w="47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273"/>
              <w:spacing w:after="0" w:line="15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3"/>
              <w:spacing w:after="0" w:line="15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73"/>
              <w:spacing w:after="0" w:line="15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53"/>
              <w:spacing w:after="0" w:line="15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Basic Earnings per Common Share</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attributable to common shareholders</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(20,246)</w:t>
            </w:r>
          </w:p>
        </w:tc>
        <w:tc>
          <w:tcPr>
            <w:tcW w:w="4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4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(44,717)</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weighted-average common shares outstanding</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34,455</w:t>
            </w:r>
          </w:p>
        </w:tc>
        <w:tc>
          <w:tcPr>
            <w:tcW w:w="0" w:type="dxa"/>
            <w:vAlign w:val="bottom"/>
          </w:tcPr>
          <w:p>
            <w:pPr>
              <w:spacing w:after="0"/>
              <w:rPr>
                <w:sz w:val="1"/>
                <w:szCs w:val="1"/>
                <w:color w:val="auto"/>
              </w:rPr>
            </w:pPr>
          </w:p>
        </w:tc>
      </w:tr>
      <w:tr>
        <w:trPr>
          <w:trHeight w:val="245"/>
        </w:trPr>
        <w:tc>
          <w:tcPr>
            <w:tcW w:w="4720" w:type="dxa"/>
            <w:vAlign w:val="bottom"/>
            <w:gridSpan w:val="2"/>
          </w:tcPr>
          <w:p>
            <w:pPr>
              <w:spacing w:after="0" w:line="205" w:lineRule="exact"/>
              <w:rPr>
                <w:sz w:val="20"/>
                <w:szCs w:val="20"/>
                <w:color w:val="auto"/>
              </w:rPr>
            </w:pPr>
            <w:r>
              <w:rPr>
                <w:rFonts w:ascii="Arial" w:cs="Arial" w:eastAsia="Arial" w:hAnsi="Arial"/>
                <w:sz w:val="18"/>
                <w:szCs w:val="18"/>
                <w:color w:val="auto"/>
              </w:rPr>
              <w:t>Basic Loss per common share</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(0.41)</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(0.29)</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(1.12)</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47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Net loss attributable to common shareholders</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(20,246)</w:t>
            </w:r>
          </w:p>
        </w:tc>
        <w:tc>
          <w:tcPr>
            <w:tcW w:w="4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(10,096)</w:t>
            </w:r>
          </w:p>
        </w:tc>
        <w:tc>
          <w:tcPr>
            <w:tcW w:w="42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(44,717)</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(34,472)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Impact of non-participating securities</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4720" w:type="dxa"/>
            <w:vAlign w:val="bottom"/>
            <w:gridSpan w:val="2"/>
          </w:tcPr>
          <w:p>
            <w:pPr>
              <w:spacing w:after="0" w:line="205" w:lineRule="exact"/>
              <w:rPr>
                <w:sz w:val="20"/>
                <w:szCs w:val="20"/>
                <w:color w:val="auto"/>
              </w:rPr>
            </w:pPr>
            <w:r>
              <w:rPr>
                <w:rFonts w:ascii="Arial" w:cs="Arial" w:eastAsia="Arial" w:hAnsi="Arial"/>
                <w:sz w:val="18"/>
                <w:szCs w:val="18"/>
                <w:color w:val="auto"/>
              </w:rPr>
              <w:t>Net loss attributable to common shareholders - diluted</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(20,246)</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(10,096)</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(44,717)</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(34,472)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7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weighted-average common shares outstanding</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Impact of dilutive non-participating securities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Impact of if-converted securities</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00" w:type="dxa"/>
            <w:vAlign w:val="bottom"/>
            <w:tcBorders>
              <w:bottom w:val="single" w:sz="8" w:color="CCEEFF"/>
            </w:tcBorders>
          </w:tcPr>
          <w:p>
            <w:pPr>
              <w:ind w:left="100"/>
              <w:spacing w:after="0" w:line="205" w:lineRule="exact"/>
              <w:rPr>
                <w:sz w:val="20"/>
                <w:szCs w:val="20"/>
                <w:color w:val="auto"/>
              </w:rPr>
            </w:pPr>
            <w:r>
              <w:rPr>
                <w:rFonts w:ascii="Arial" w:cs="Arial" w:eastAsia="Arial" w:hAnsi="Arial"/>
                <w:sz w:val="18"/>
                <w:szCs w:val="18"/>
                <w:color w:val="auto"/>
                <w:w w:val="87"/>
              </w:rPr>
              <w:t>Weighted-average shares for dilutive earnings per common share</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49,795</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34,523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39,819</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34,455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00" w:type="dxa"/>
            <w:vAlign w:val="bottom"/>
            <w:tcBorders>
              <w:bottom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Dilutive loss per common share</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line="19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(0.41)</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(0.29)</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2"/>
              <w:spacing w:after="0" w:line="19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18. Segment Information</w:t>
      </w:r>
    </w:p>
    <w:p>
      <w:pPr>
        <w:spacing w:after="0" w:line="223" w:lineRule="exact"/>
        <w:rPr>
          <w:sz w:val="20"/>
          <w:szCs w:val="20"/>
          <w:color w:val="auto"/>
        </w:rPr>
      </w:pPr>
    </w:p>
    <w:p>
      <w:pPr>
        <w:ind w:left="40" w:right="800"/>
        <w:spacing w:after="0" w:line="264" w:lineRule="auto"/>
        <w:rPr>
          <w:sz w:val="20"/>
          <w:szCs w:val="20"/>
          <w:color w:val="auto"/>
        </w:rPr>
      </w:pPr>
      <w:r>
        <w:rPr>
          <w:rFonts w:ascii="Arial" w:cs="Arial" w:eastAsia="Arial" w:hAnsi="Arial"/>
          <w:sz w:val="18"/>
          <w:szCs w:val="18"/>
          <w:color w:val="auto"/>
        </w:rPr>
        <w:t>Management, including our chief executive officer, who is our chief operating decision maker, manages our business in two operating segments.</w:t>
      </w:r>
    </w:p>
    <w:p>
      <w:pPr>
        <w:spacing w:after="0" w:line="181" w:lineRule="exact"/>
        <w:rPr>
          <w:sz w:val="20"/>
          <w:szCs w:val="20"/>
          <w:color w:val="auto"/>
        </w:rPr>
      </w:pPr>
    </w:p>
    <w:p>
      <w:pPr>
        <w:ind w:left="40" w:right="680"/>
        <w:spacing w:after="0" w:line="249" w:lineRule="auto"/>
        <w:rPr>
          <w:sz w:val="20"/>
          <w:szCs w:val="20"/>
          <w:color w:val="auto"/>
        </w:rPr>
      </w:pPr>
      <w:r>
        <w:rPr>
          <w:rFonts w:ascii="Arial" w:cs="Arial" w:eastAsia="Arial" w:hAnsi="Arial"/>
          <w:sz w:val="18"/>
          <w:szCs w:val="18"/>
          <w:u w:val="single" w:color="auto"/>
          <w:color w:val="auto"/>
        </w:rPr>
        <w:t>Beverage Solutions:</w:t>
      </w:r>
      <w:r>
        <w:rPr>
          <w:rFonts w:ascii="Arial" w:cs="Arial" w:eastAsia="Arial" w:hAnsi="Arial"/>
          <w:sz w:val="18"/>
          <w:szCs w:val="18"/>
          <w:color w:val="auto"/>
        </w:rPr>
        <w:t xml:space="preserve"> Through this segment, we combine our product innovation and customer insights to provide value-added beverage solutions, including coffee, tea, juices,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96" w:lineRule="exact"/>
        <w:rPr>
          <w:sz w:val="20"/>
          <w:szCs w:val="20"/>
          <w:color w:val="auto"/>
        </w:rPr>
      </w:pPr>
    </w:p>
    <w:p>
      <w:pPr>
        <w:ind w:left="40" w:right="980"/>
        <w:spacing w:after="0" w:line="252" w:lineRule="auto"/>
        <w:rPr>
          <w:sz w:val="20"/>
          <w:szCs w:val="20"/>
          <w:color w:val="auto"/>
        </w:rPr>
      </w:pPr>
      <w:r>
        <w:rPr>
          <w:rFonts w:ascii="Arial" w:cs="Arial" w:eastAsia="Arial" w:hAnsi="Arial"/>
          <w:sz w:val="18"/>
          <w:szCs w:val="18"/>
          <w:u w:val="single" w:color="auto"/>
          <w:color w:val="auto"/>
        </w:rPr>
        <w:t>Sustainable Sourcing &amp; Traceability:</w:t>
      </w:r>
      <w:r>
        <w:rPr>
          <w:rFonts w:ascii="Arial" w:cs="Arial" w:eastAsia="Arial" w:hAnsi="Arial"/>
          <w:sz w:val="18"/>
          <w:szCs w:val="18"/>
          <w:color w:val="auto"/>
        </w:rPr>
        <w:t xml:space="preserve"> Through this segment, we utilize our proprietary technology and digitally traceable supply chain to directly impact and improve the lives of our farming partners, tangible economic empowerment and an emphasis on environmental accountability and farmer literacy. Revenues primarily relate to the physical delivery and settlement of forward sales contracts for green coffee.</w:t>
      </w:r>
    </w:p>
    <w:p>
      <w:pPr>
        <w:spacing w:after="0" w:line="191" w:lineRule="exact"/>
        <w:rPr>
          <w:sz w:val="20"/>
          <w:szCs w:val="20"/>
          <w:color w:val="auto"/>
        </w:rPr>
      </w:pPr>
    </w:p>
    <w:p>
      <w:pPr>
        <w:ind w:left="40" w:right="720"/>
        <w:spacing w:after="0" w:line="265" w:lineRule="auto"/>
        <w:rPr>
          <w:sz w:val="20"/>
          <w:szCs w:val="20"/>
          <w:color w:val="auto"/>
        </w:rPr>
      </w:pPr>
      <w:r>
        <w:rPr>
          <w:rFonts w:ascii="Arial" w:cs="Arial" w:eastAsia="Arial" w:hAnsi="Arial"/>
          <w:sz w:val="17"/>
          <w:szCs w:val="17"/>
          <w:color w:val="auto"/>
        </w:rPr>
        <w:t>Management evaluates the performance of each segment using Adjusted EBITDA, which is a segment performance measure we define as net income determined in accordance with GAAP, before interest expense, provision for income taxes, depreciation and amortization, equity-based compensation expense and the impact, which may be recurring in nature, of acquisition, transaction and integrations costs, including management services and consulting agreements entered into in connection with the acquisition of S&amp;D Coffee, Inc. (“S&amp;D”), impairment charges, changes in the fair value of warrant liabilities, non-cash mark-to-market adjustments, certain costs specifically excluded from the calculation of EBITDA under our material debt agreements, such as facility start-up costs, and other similar or infrequent items (although we may not have had such charges in the periods presented).</w:t>
      </w:r>
    </w:p>
    <w:p>
      <w:pPr>
        <w:spacing w:after="0" w:line="393"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600"/>
          </w:cols>
          <w:pgMar w:left="1440" w:top="511" w:right="859"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Selected financial data related to our segments is presented below:</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10"/>
          </w:tcPr>
          <w:p>
            <w:pPr>
              <w:jc w:val="right"/>
              <w:ind w:right="635"/>
              <w:spacing w:after="0"/>
              <w:rPr>
                <w:sz w:val="20"/>
                <w:szCs w:val="20"/>
                <w:color w:val="auto"/>
              </w:rPr>
            </w:pPr>
            <w:r>
              <w:rPr>
                <w:rFonts w:ascii="Arial" w:cs="Arial" w:eastAsia="Arial" w:hAnsi="Arial"/>
                <w:sz w:val="14"/>
                <w:szCs w:val="14"/>
                <w:b w:val="1"/>
                <w:bCs w:val="1"/>
                <w:color w:val="auto"/>
              </w:rPr>
              <w:t>Three Months Ended September 30, 2022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w w:val="96"/>
              </w:rPr>
              <w:t>Sustainable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5"/>
              <w:spacing w:after="0" w:line="143" w:lineRule="exact"/>
              <w:rPr>
                <w:sz w:val="20"/>
                <w:szCs w:val="20"/>
                <w:color w:val="auto"/>
              </w:rPr>
            </w:pPr>
            <w:r>
              <w:rPr>
                <w:rFonts w:ascii="Arial" w:cs="Arial" w:eastAsia="Arial" w:hAnsi="Arial"/>
                <w:sz w:val="14"/>
                <w:szCs w:val="14"/>
                <w:b w:val="1"/>
                <w:bCs w:val="1"/>
                <w:color w:val="auto"/>
                <w:w w:val="90"/>
              </w:rPr>
              <w:t>Total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81"/>
              <w:spacing w:after="0" w:line="159" w:lineRule="exact"/>
              <w:rPr>
                <w:sz w:val="20"/>
                <w:szCs w:val="20"/>
                <w:color w:val="auto"/>
              </w:rPr>
            </w:pPr>
            <w:r>
              <w:rPr>
                <w:rFonts w:ascii="Arial" w:cs="Arial" w:eastAsia="Arial" w:hAnsi="Arial"/>
                <w:sz w:val="14"/>
                <w:szCs w:val="14"/>
                <w:b w:val="1"/>
                <w:bCs w:val="1"/>
                <w:color w:val="auto"/>
                <w:w w:val="88"/>
              </w:rPr>
              <w:t>Beverage</w:t>
            </w:r>
          </w:p>
        </w:tc>
        <w:tc>
          <w:tcPr>
            <w:tcW w:w="160" w:type="dxa"/>
            <w:vAlign w:val="bottom"/>
          </w:tcPr>
          <w:p>
            <w:pPr>
              <w:spacing w:after="0"/>
              <w:rPr>
                <w:sz w:val="13"/>
                <w:szCs w:val="13"/>
                <w:color w:val="auto"/>
              </w:rPr>
            </w:pPr>
          </w:p>
        </w:tc>
        <w:tc>
          <w:tcPr>
            <w:tcW w:w="86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Sourcing &amp;</w:t>
            </w:r>
          </w:p>
        </w:tc>
        <w:tc>
          <w:tcPr>
            <w:tcW w:w="160" w:type="dxa"/>
            <w:vAlign w:val="bottom"/>
          </w:tcPr>
          <w:p>
            <w:pPr>
              <w:spacing w:after="0"/>
              <w:rPr>
                <w:sz w:val="13"/>
                <w:szCs w:val="13"/>
                <w:color w:val="auto"/>
              </w:rPr>
            </w:pPr>
          </w:p>
        </w:tc>
        <w:tc>
          <w:tcPr>
            <w:tcW w:w="8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0"/>
              </w:rPr>
              <w:t>Intersegment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5"/>
              <w:spacing w:after="0" w:line="15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81"/>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Traceability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173,486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62,809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220"/>
              <w:spacing w:after="0" w:line="205" w:lineRule="exact"/>
              <w:rPr>
                <w:sz w:val="20"/>
                <w:szCs w:val="20"/>
                <w:color w:val="auto"/>
              </w:rPr>
            </w:pPr>
            <w:r>
              <w:rPr>
                <w:rFonts w:ascii="Arial" w:cs="Arial" w:eastAsia="Arial" w:hAnsi="Arial"/>
                <w:sz w:val="18"/>
                <w:szCs w:val="18"/>
                <w:color w:val="auto"/>
                <w:w w:val="87"/>
              </w:rPr>
              <w:t>(5,987)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230,308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Acquisition, restructuring and integration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w w:val="92"/>
              </w:rPr>
              <w:t>Management and consulting fees (S&amp;D Coffee, Inc. acquisition)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Equity-based compensation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Mark-to-market adjustments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disposal of property, plant and equipment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111,928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750,088</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0"/>
          </w:tcPr>
          <w:p>
            <w:pPr>
              <w:jc w:val="right"/>
              <w:ind w:right="635"/>
              <w:spacing w:after="0"/>
              <w:rPr>
                <w:sz w:val="20"/>
                <w:szCs w:val="20"/>
                <w:color w:val="auto"/>
              </w:rPr>
            </w:pPr>
            <w:r>
              <w:rPr>
                <w:rFonts w:ascii="Arial" w:cs="Arial" w:eastAsia="Arial" w:hAnsi="Arial"/>
                <w:sz w:val="14"/>
                <w:szCs w:val="14"/>
                <w:b w:val="1"/>
                <w:bCs w:val="1"/>
                <w:color w:val="auto"/>
              </w:rPr>
              <w:t>Three Months Ended September 30, 2021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w w:val="96"/>
              </w:rPr>
              <w:t>Sustainable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5"/>
              <w:spacing w:after="0" w:line="143" w:lineRule="exact"/>
              <w:rPr>
                <w:sz w:val="20"/>
                <w:szCs w:val="20"/>
                <w:color w:val="auto"/>
              </w:rPr>
            </w:pPr>
            <w:r>
              <w:rPr>
                <w:rFonts w:ascii="Arial" w:cs="Arial" w:eastAsia="Arial" w:hAnsi="Arial"/>
                <w:sz w:val="14"/>
                <w:szCs w:val="14"/>
                <w:b w:val="1"/>
                <w:bCs w:val="1"/>
                <w:color w:val="auto"/>
                <w:w w:val="90"/>
              </w:rPr>
              <w:t>Total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81"/>
              <w:spacing w:after="0" w:line="159" w:lineRule="exact"/>
              <w:rPr>
                <w:sz w:val="20"/>
                <w:szCs w:val="20"/>
                <w:color w:val="auto"/>
              </w:rPr>
            </w:pPr>
            <w:r>
              <w:rPr>
                <w:rFonts w:ascii="Arial" w:cs="Arial" w:eastAsia="Arial" w:hAnsi="Arial"/>
                <w:sz w:val="14"/>
                <w:szCs w:val="14"/>
                <w:b w:val="1"/>
                <w:bCs w:val="1"/>
                <w:color w:val="auto"/>
                <w:w w:val="88"/>
              </w:rPr>
              <w:t>Beverage</w:t>
            </w:r>
          </w:p>
        </w:tc>
        <w:tc>
          <w:tcPr>
            <w:tcW w:w="160" w:type="dxa"/>
            <w:vAlign w:val="bottom"/>
          </w:tcPr>
          <w:p>
            <w:pPr>
              <w:spacing w:after="0"/>
              <w:rPr>
                <w:sz w:val="13"/>
                <w:szCs w:val="13"/>
                <w:color w:val="auto"/>
              </w:rPr>
            </w:pPr>
          </w:p>
        </w:tc>
        <w:tc>
          <w:tcPr>
            <w:tcW w:w="86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Sourcing &amp;</w:t>
            </w:r>
          </w:p>
        </w:tc>
        <w:tc>
          <w:tcPr>
            <w:tcW w:w="160" w:type="dxa"/>
            <w:vAlign w:val="bottom"/>
          </w:tcPr>
          <w:p>
            <w:pPr>
              <w:spacing w:after="0"/>
              <w:rPr>
                <w:sz w:val="13"/>
                <w:szCs w:val="13"/>
                <w:color w:val="auto"/>
              </w:rPr>
            </w:pPr>
          </w:p>
        </w:tc>
        <w:tc>
          <w:tcPr>
            <w:tcW w:w="8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0"/>
              </w:rPr>
              <w:t>Intersegment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5"/>
              <w:spacing w:after="0" w:line="15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81"/>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Traceability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138,838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47,529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220"/>
              <w:spacing w:after="0" w:line="205" w:lineRule="exact"/>
              <w:rPr>
                <w:sz w:val="20"/>
                <w:szCs w:val="20"/>
                <w:color w:val="auto"/>
              </w:rPr>
            </w:pPr>
            <w:r>
              <w:rPr>
                <w:rFonts w:ascii="Arial" w:cs="Arial" w:eastAsia="Arial" w:hAnsi="Arial"/>
                <w:sz w:val="18"/>
                <w:szCs w:val="18"/>
                <w:color w:val="auto"/>
                <w:w w:val="87"/>
              </w:rPr>
              <w:t>(5,090)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181,277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Acquisition, restructuring and integration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Management and consulting fees (S&amp;D Coffee, Inc. acquisition)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Equity-based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Mark-to-market adjustments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Gain on disposal of property, plant and equipment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5"/>
        </w:trPr>
        <w:tc>
          <w:tcPr>
            <w:tcW w:w="4820" w:type="dxa"/>
            <w:vAlign w:val="bottom"/>
            <w:gridSpan w:val="2"/>
          </w:tcPr>
          <w:p>
            <w:pPr>
              <w:spacing w:after="0" w:line="205" w:lineRule="exact"/>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497,219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85,275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582,494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10"/>
          </w:tcPr>
          <w:p>
            <w:pPr>
              <w:jc w:val="right"/>
              <w:ind w:right="675"/>
              <w:spacing w:after="0"/>
              <w:rPr>
                <w:sz w:val="20"/>
                <w:szCs w:val="20"/>
                <w:color w:val="auto"/>
              </w:rPr>
            </w:pPr>
            <w:r>
              <w:rPr>
                <w:rFonts w:ascii="Arial" w:cs="Arial" w:eastAsia="Arial" w:hAnsi="Arial"/>
                <w:sz w:val="14"/>
                <w:szCs w:val="14"/>
                <w:b w:val="1"/>
                <w:bCs w:val="1"/>
                <w:color w:val="auto"/>
              </w:rPr>
              <w:t>Nine Months Ended September 30, 2022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w w:val="96"/>
              </w:rPr>
              <w:t>Sustainable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5"/>
              <w:spacing w:after="0" w:line="143" w:lineRule="exact"/>
              <w:rPr>
                <w:sz w:val="20"/>
                <w:szCs w:val="20"/>
                <w:color w:val="auto"/>
              </w:rPr>
            </w:pPr>
            <w:r>
              <w:rPr>
                <w:rFonts w:ascii="Arial" w:cs="Arial" w:eastAsia="Arial" w:hAnsi="Arial"/>
                <w:sz w:val="14"/>
                <w:szCs w:val="14"/>
                <w:b w:val="1"/>
                <w:bCs w:val="1"/>
                <w:color w:val="auto"/>
                <w:w w:val="90"/>
              </w:rPr>
              <w:t>Total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81"/>
              <w:spacing w:after="0" w:line="159" w:lineRule="exact"/>
              <w:rPr>
                <w:sz w:val="20"/>
                <w:szCs w:val="20"/>
                <w:color w:val="auto"/>
              </w:rPr>
            </w:pPr>
            <w:r>
              <w:rPr>
                <w:rFonts w:ascii="Arial" w:cs="Arial" w:eastAsia="Arial" w:hAnsi="Arial"/>
                <w:sz w:val="14"/>
                <w:szCs w:val="14"/>
                <w:b w:val="1"/>
                <w:bCs w:val="1"/>
                <w:color w:val="auto"/>
                <w:w w:val="88"/>
              </w:rPr>
              <w:t>Beverage</w:t>
            </w:r>
          </w:p>
        </w:tc>
        <w:tc>
          <w:tcPr>
            <w:tcW w:w="160" w:type="dxa"/>
            <w:vAlign w:val="bottom"/>
          </w:tcPr>
          <w:p>
            <w:pPr>
              <w:spacing w:after="0"/>
              <w:rPr>
                <w:sz w:val="13"/>
                <w:szCs w:val="13"/>
                <w:color w:val="auto"/>
              </w:rPr>
            </w:pPr>
          </w:p>
        </w:tc>
        <w:tc>
          <w:tcPr>
            <w:tcW w:w="86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Sourcing &amp;</w:t>
            </w:r>
          </w:p>
        </w:tc>
        <w:tc>
          <w:tcPr>
            <w:tcW w:w="160" w:type="dxa"/>
            <w:vAlign w:val="bottom"/>
          </w:tcPr>
          <w:p>
            <w:pPr>
              <w:spacing w:after="0"/>
              <w:rPr>
                <w:sz w:val="13"/>
                <w:szCs w:val="13"/>
                <w:color w:val="auto"/>
              </w:rPr>
            </w:pPr>
          </w:p>
        </w:tc>
        <w:tc>
          <w:tcPr>
            <w:tcW w:w="8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0"/>
              </w:rPr>
              <w:t>Intersegment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5"/>
              <w:spacing w:after="0" w:line="15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81"/>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Traceability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492,712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5"/>
              </w:rPr>
              <w:t>169,041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140"/>
              <w:spacing w:after="0" w:line="205" w:lineRule="exact"/>
              <w:rPr>
                <w:sz w:val="20"/>
                <w:szCs w:val="20"/>
                <w:color w:val="auto"/>
              </w:rPr>
            </w:pPr>
            <w:r>
              <w:rPr>
                <w:rFonts w:ascii="Arial" w:cs="Arial" w:eastAsia="Arial" w:hAnsi="Arial"/>
                <w:sz w:val="18"/>
                <w:szCs w:val="18"/>
                <w:color w:val="auto"/>
                <w:w w:val="86"/>
              </w:rPr>
              <w:t>(21,604)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640,149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Acquisition, restructuring and integration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w w:val="92"/>
              </w:rPr>
              <w:t>Management and consulting fees (S&amp;D Coffee, Inc. acquisition)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Equity-based compensation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Mark-to-market adjustments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disposal of property, plant and equipment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(23,542)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111,928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750,088</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0"/>
          </w:tcPr>
          <w:p>
            <w:pPr>
              <w:jc w:val="right"/>
              <w:ind w:right="675"/>
              <w:spacing w:after="0"/>
              <w:rPr>
                <w:sz w:val="20"/>
                <w:szCs w:val="20"/>
                <w:color w:val="auto"/>
              </w:rPr>
            </w:pPr>
            <w:r>
              <w:rPr>
                <w:rFonts w:ascii="Arial" w:cs="Arial" w:eastAsia="Arial" w:hAnsi="Arial"/>
                <w:sz w:val="14"/>
                <w:szCs w:val="14"/>
                <w:b w:val="1"/>
                <w:bCs w:val="1"/>
                <w:color w:val="auto"/>
              </w:rPr>
              <w:t>Nine Months Ended September 30, 2021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w w:val="96"/>
              </w:rPr>
              <w:t>Sustainable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5"/>
              <w:spacing w:after="0" w:line="143" w:lineRule="exact"/>
              <w:rPr>
                <w:sz w:val="20"/>
                <w:szCs w:val="20"/>
                <w:color w:val="auto"/>
              </w:rPr>
            </w:pPr>
            <w:r>
              <w:rPr>
                <w:rFonts w:ascii="Arial" w:cs="Arial" w:eastAsia="Arial" w:hAnsi="Arial"/>
                <w:sz w:val="14"/>
                <w:szCs w:val="14"/>
                <w:b w:val="1"/>
                <w:bCs w:val="1"/>
                <w:color w:val="auto"/>
                <w:w w:val="90"/>
              </w:rPr>
              <w:t>Total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81"/>
              <w:spacing w:after="0" w:line="159" w:lineRule="exact"/>
              <w:rPr>
                <w:sz w:val="20"/>
                <w:szCs w:val="20"/>
                <w:color w:val="auto"/>
              </w:rPr>
            </w:pPr>
            <w:r>
              <w:rPr>
                <w:rFonts w:ascii="Arial" w:cs="Arial" w:eastAsia="Arial" w:hAnsi="Arial"/>
                <w:sz w:val="14"/>
                <w:szCs w:val="14"/>
                <w:b w:val="1"/>
                <w:bCs w:val="1"/>
                <w:color w:val="auto"/>
                <w:w w:val="88"/>
              </w:rPr>
              <w:t>Beverage</w:t>
            </w:r>
          </w:p>
        </w:tc>
        <w:tc>
          <w:tcPr>
            <w:tcW w:w="160" w:type="dxa"/>
            <w:vAlign w:val="bottom"/>
          </w:tcPr>
          <w:p>
            <w:pPr>
              <w:spacing w:after="0"/>
              <w:rPr>
                <w:sz w:val="13"/>
                <w:szCs w:val="13"/>
                <w:color w:val="auto"/>
              </w:rPr>
            </w:pPr>
          </w:p>
        </w:tc>
        <w:tc>
          <w:tcPr>
            <w:tcW w:w="86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Sourcing &amp;</w:t>
            </w:r>
          </w:p>
        </w:tc>
        <w:tc>
          <w:tcPr>
            <w:tcW w:w="160" w:type="dxa"/>
            <w:vAlign w:val="bottom"/>
          </w:tcPr>
          <w:p>
            <w:pPr>
              <w:spacing w:after="0"/>
              <w:rPr>
                <w:sz w:val="13"/>
                <w:szCs w:val="13"/>
                <w:color w:val="auto"/>
              </w:rPr>
            </w:pPr>
          </w:p>
        </w:tc>
        <w:tc>
          <w:tcPr>
            <w:tcW w:w="8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0"/>
              </w:rPr>
              <w:t>Intersegment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5"/>
              <w:spacing w:after="0" w:line="15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81"/>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Traceability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400,506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5"/>
              </w:rPr>
              <w:t>121,550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140"/>
              <w:spacing w:after="0" w:line="205" w:lineRule="exact"/>
              <w:rPr>
                <w:sz w:val="20"/>
                <w:szCs w:val="20"/>
                <w:color w:val="auto"/>
              </w:rPr>
            </w:pPr>
            <w:r>
              <w:rPr>
                <w:rFonts w:ascii="Arial" w:cs="Arial" w:eastAsia="Arial" w:hAnsi="Arial"/>
                <w:sz w:val="18"/>
                <w:szCs w:val="18"/>
                <w:color w:val="auto"/>
                <w:w w:val="86"/>
              </w:rPr>
              <w:t>(14,304)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507,752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Acquisition, restructuring and integration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Management and consulting fees (S&amp;D Coffee, Inc. acquisition)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Equity-based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Mark-to-market adjustments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Gain on disposal of property, plant and equipment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45"/>
        </w:trPr>
        <w:tc>
          <w:tcPr>
            <w:tcW w:w="4820" w:type="dxa"/>
            <w:vAlign w:val="bottom"/>
            <w:gridSpan w:val="2"/>
          </w:tcPr>
          <w:p>
            <w:pPr>
              <w:spacing w:after="0" w:line="205" w:lineRule="exact"/>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(16,082)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497,219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85,275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582,494</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40" w:right="479"/>
        <w:spacing w:after="0" w:line="264" w:lineRule="auto"/>
        <w:rPr>
          <w:sz w:val="20"/>
          <w:szCs w:val="20"/>
          <w:color w:val="auto"/>
        </w:rPr>
      </w:pPr>
      <w:r>
        <w:rPr>
          <w:rFonts w:ascii="Arial" w:cs="Arial" w:eastAsia="Arial" w:hAnsi="Arial"/>
          <w:sz w:val="18"/>
          <w:szCs w:val="18"/>
          <w:color w:val="auto"/>
        </w:rPr>
        <w:t>The following table presents net sales information by geographic area. Net sales are attributed to countries based on the customer invoice location.</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394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34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Pr>
          <w:p>
            <w:pPr>
              <w:spacing w:after="0"/>
              <w:rPr>
                <w:sz w:val="14"/>
                <w:szCs w:val="1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39"/>
        </w:trPr>
        <w:tc>
          <w:tcPr>
            <w:tcW w:w="3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6"/>
              <w:spacing w:after="0" w:line="139"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16"/>
              <w:spacing w:after="0" w:line="139"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ind w:left="120"/>
              <w:spacing w:after="0" w:line="139"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5"/>
              <w:spacing w:after="0" w:line="13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2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United States</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8"/>
              <w:spacing w:after="0" w:line="20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181,789</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146,642</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140"/>
              <w:spacing w:after="0" w:line="205" w:lineRule="exact"/>
              <w:rPr>
                <w:sz w:val="20"/>
                <w:szCs w:val="20"/>
                <w:color w:val="auto"/>
              </w:rPr>
            </w:pPr>
            <w:r>
              <w:rPr>
                <w:rFonts w:ascii="Arial" w:cs="Arial" w:eastAsia="Arial" w:hAnsi="Arial"/>
                <w:sz w:val="18"/>
                <w:szCs w:val="18"/>
                <w:color w:val="auto"/>
                <w:w w:val="95"/>
              </w:rPr>
              <w:t>515,742</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423,524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countries</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5"/>
              </w:rPr>
              <w:t>124,407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84,228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ind w:left="100"/>
              <w:spacing w:after="0" w:line="205" w:lineRule="exact"/>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8"/>
              <w:spacing w:after="0" w:line="205"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230,308</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181,277</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8"/>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140"/>
              <w:spacing w:after="0" w:line="205" w:lineRule="exact"/>
              <w:rPr>
                <w:sz w:val="20"/>
                <w:szCs w:val="20"/>
                <w:color w:val="auto"/>
              </w:rPr>
            </w:pPr>
            <w:r>
              <w:rPr>
                <w:rFonts w:ascii="Arial" w:cs="Arial" w:eastAsia="Arial" w:hAnsi="Arial"/>
                <w:sz w:val="18"/>
                <w:szCs w:val="18"/>
                <w:color w:val="auto"/>
                <w:w w:val="95"/>
              </w:rPr>
              <w:t>640,149</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507,752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1" w:right="1440" w:bottom="1440" w:gutter="0" w:footer="0" w:header="0"/>
        </w:sectPr>
      </w:pPr>
    </w:p>
    <w:bookmarkStart w:id="34" w:name="page35"/>
    <w:bookmarkEnd w:id="3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19. Commitments and Contingencies</w:t>
      </w:r>
    </w:p>
    <w:p>
      <w:pPr>
        <w:spacing w:after="0" w:line="223" w:lineRule="exact"/>
        <w:rPr>
          <w:sz w:val="20"/>
          <w:szCs w:val="20"/>
          <w:color w:val="auto"/>
        </w:rPr>
      </w:pPr>
    </w:p>
    <w:p>
      <w:pPr>
        <w:ind w:left="40" w:right="159"/>
        <w:spacing w:after="0" w:line="277" w:lineRule="auto"/>
        <w:rPr>
          <w:sz w:val="20"/>
          <w:szCs w:val="20"/>
          <w:color w:val="auto"/>
        </w:rPr>
      </w:pPr>
      <w:r>
        <w:rPr>
          <w:rFonts w:ascii="Arial" w:cs="Arial" w:eastAsia="Arial" w:hAnsi="Arial"/>
          <w:sz w:val="17"/>
          <w:szCs w:val="17"/>
          <w:color w:val="auto"/>
        </w:rPr>
        <w:t>We are subject to various claims and legal proceedings with respect to matters such as governmental regulations, and other actions arising out of the ordinary course of business. Management believes that the resolution of these matters will not have a material adverse effect on our financial position, results of operations, or cash flow.</w:t>
      </w:r>
    </w:p>
    <w:p>
      <w:pPr>
        <w:spacing w:after="0" w:line="171" w:lineRule="exact"/>
        <w:rPr>
          <w:sz w:val="20"/>
          <w:szCs w:val="20"/>
          <w:color w:val="auto"/>
        </w:rPr>
      </w:pPr>
    </w:p>
    <w:p>
      <w:pPr>
        <w:ind w:left="40" w:right="319"/>
        <w:spacing w:after="0" w:line="255" w:lineRule="auto"/>
        <w:rPr>
          <w:sz w:val="20"/>
          <w:szCs w:val="20"/>
          <w:color w:val="auto"/>
        </w:rPr>
      </w:pPr>
      <w:r>
        <w:rPr>
          <w:rFonts w:ascii="Arial" w:cs="Arial" w:eastAsia="Arial" w:hAnsi="Arial"/>
          <w:sz w:val="18"/>
          <w:szCs w:val="18"/>
          <w:color w:val="auto"/>
        </w:rPr>
        <w:t>We have future purchase obligations of $284.6 million as of September 30, 2022 that consist of commitments for the purchase of inventory over the next 12 months. These obligations represent the minimum contractual obligations expected under the normal course of business.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20. Related Party Transactions</w:t>
      </w:r>
    </w:p>
    <w:p>
      <w:pPr>
        <w:spacing w:after="0" w:line="223" w:lineRule="exact"/>
        <w:rPr>
          <w:sz w:val="20"/>
          <w:szCs w:val="20"/>
          <w:color w:val="auto"/>
        </w:rPr>
      </w:pPr>
    </w:p>
    <w:p>
      <w:pPr>
        <w:jc w:val="both"/>
        <w:ind w:left="40" w:right="99"/>
        <w:spacing w:after="0" w:line="277" w:lineRule="auto"/>
        <w:rPr>
          <w:sz w:val="20"/>
          <w:szCs w:val="20"/>
          <w:color w:val="auto"/>
        </w:rPr>
      </w:pPr>
      <w:r>
        <w:rPr>
          <w:rFonts w:ascii="Arial" w:cs="Arial" w:eastAsia="Arial" w:hAnsi="Arial"/>
          <w:sz w:val="17"/>
          <w:szCs w:val="17"/>
          <w:color w:val="auto"/>
        </w:rPr>
        <w:t>The Company transacts with certain entities or persons that have ownership in the Company, and/or for which our co-founder and Chief Executive Officer Scott Ford, our co-founder and Chairman, Joe Ford, or close family members of the Fords, have ownership interests in. As such, these persons and entities are deemed related parties.</w:t>
      </w:r>
    </w:p>
    <w:p>
      <w:pPr>
        <w:spacing w:after="0" w:line="171" w:lineRule="exact"/>
        <w:rPr>
          <w:sz w:val="20"/>
          <w:szCs w:val="20"/>
          <w:color w:val="auto"/>
        </w:rPr>
      </w:pPr>
    </w:p>
    <w:p>
      <w:pPr>
        <w:ind w:left="40" w:right="759"/>
        <w:spacing w:after="0" w:line="264" w:lineRule="auto"/>
        <w:rPr>
          <w:sz w:val="20"/>
          <w:szCs w:val="20"/>
          <w:color w:val="auto"/>
        </w:rPr>
      </w:pPr>
      <w:r>
        <w:rPr>
          <w:rFonts w:ascii="Arial" w:cs="Arial" w:eastAsia="Arial" w:hAnsi="Arial"/>
          <w:sz w:val="18"/>
          <w:szCs w:val="18"/>
          <w:color w:val="auto"/>
        </w:rPr>
        <w:t>In connection with the acquisition of S&amp;D on February 28, 2020, certain affiliates of BBH were issued equity of the Company at which time BBH became a related party.</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consolidated financial statements reflect the following transactions with related parties: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(Thousands)</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September 30, 2022</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4"/>
                <w:szCs w:val="14"/>
                <w:b w:val="1"/>
                <w:bCs w:val="1"/>
                <w:color w:val="auto"/>
                <w:w w:val="87"/>
              </w:rPr>
              <w:t>December 31, 2021</w:t>
            </w: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Short-term related party debt: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00" w:type="dxa"/>
            <w:vAlign w:val="bottom"/>
            <w:gridSpan w:val="2"/>
          </w:tcPr>
          <w:p>
            <w:pPr>
              <w:ind w:left="100"/>
              <w:spacing w:after="0" w:line="212" w:lineRule="exact"/>
              <w:rPr>
                <w:sz w:val="20"/>
                <w:szCs w:val="20"/>
                <w:color w:val="auto"/>
              </w:rPr>
            </w:pPr>
            <w:r>
              <w:rPr>
                <w:rFonts w:ascii="Arial" w:cs="Arial" w:eastAsia="Arial" w:hAnsi="Arial"/>
                <w:sz w:val="16"/>
                <w:szCs w:val="16"/>
                <w:color w:val="auto"/>
              </w:rPr>
              <w:t>Brown Brothers Harriman</w:t>
            </w:r>
            <w:r>
              <w:rPr>
                <w:rFonts w:ascii="Arial" w:cs="Arial" w:eastAsia="Arial" w:hAnsi="Arial"/>
                <w:sz w:val="24"/>
                <w:szCs w:val="24"/>
                <w:color w:val="auto"/>
                <w:vertAlign w:val="superscript"/>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ind w:right="26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34,199</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Subordinated related party debt: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gridSpan w:val="2"/>
            <w:shd w:val="clear" w:color="auto" w:fill="CCEEFF"/>
          </w:tcPr>
          <w:p>
            <w:pPr>
              <w:ind w:left="100"/>
              <w:spacing w:after="0" w:line="212" w:lineRule="exact"/>
              <w:rPr>
                <w:sz w:val="20"/>
                <w:szCs w:val="20"/>
                <w:color w:val="auto"/>
              </w:rPr>
            </w:pPr>
            <w:r>
              <w:rPr>
                <w:rFonts w:ascii="Arial" w:cs="Arial" w:eastAsia="Arial" w:hAnsi="Arial"/>
                <w:sz w:val="16"/>
                <w:szCs w:val="16"/>
                <w:color w:val="auto"/>
              </w:rPr>
              <w:t>Wooster Capital</w:t>
            </w:r>
            <w:r>
              <w:rPr>
                <w:rFonts w:ascii="Arial" w:cs="Arial" w:eastAsia="Arial" w:hAnsi="Arial"/>
                <w:sz w:val="24"/>
                <w:szCs w:val="24"/>
                <w:color w:val="auto"/>
                <w:vertAlign w:val="superscript"/>
              </w:rPr>
              <w:t>(2)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12"/>
        </w:trPr>
        <w:tc>
          <w:tcPr>
            <w:tcW w:w="4100" w:type="dxa"/>
            <w:vAlign w:val="bottom"/>
            <w:tcBorders>
              <w:bottom w:val="single" w:sz="8" w:color="CCEEFF"/>
            </w:tcBorders>
            <w:gridSpan w:val="2"/>
          </w:tcPr>
          <w:p>
            <w:pPr>
              <w:ind w:left="100"/>
              <w:spacing w:after="0" w:line="212" w:lineRule="exact"/>
              <w:rPr>
                <w:sz w:val="20"/>
                <w:szCs w:val="20"/>
                <w:color w:val="auto"/>
              </w:rPr>
            </w:pPr>
            <w:r>
              <w:rPr>
                <w:rFonts w:ascii="Arial" w:cs="Arial" w:eastAsia="Arial" w:hAnsi="Arial"/>
                <w:sz w:val="16"/>
                <w:szCs w:val="16"/>
                <w:color w:val="auto"/>
              </w:rPr>
              <w:t>Jo Ellen Ford</w:t>
            </w:r>
            <w:r>
              <w:rPr>
                <w:rFonts w:ascii="Arial" w:cs="Arial" w:eastAsia="Arial" w:hAnsi="Arial"/>
                <w:sz w:val="24"/>
                <w:szCs w:val="24"/>
                <w:color w:val="auto"/>
                <w:vertAlign w:val="superscript"/>
              </w:rPr>
              <w:t>(1)</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5"/>
        </w:trPr>
        <w:tc>
          <w:tcPr>
            <w:tcW w:w="4100" w:type="dxa"/>
            <w:vAlign w:val="bottom"/>
            <w:tcBorders>
              <w:bottom w:val="single" w:sz="8" w:color="CCEEFF"/>
            </w:tcBorders>
            <w:gridSpan w:val="2"/>
            <w:shd w:val="clear" w:color="auto" w:fill="CCEEFF"/>
          </w:tcPr>
          <w:p>
            <w:pPr>
              <w:ind w:left="200"/>
              <w:spacing w:after="0" w:line="205"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10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24"/>
                <w:szCs w:val="24"/>
                <w:color w:val="auto"/>
              </w:rPr>
            </w:pPr>
          </w:p>
        </w:tc>
        <w:tc>
          <w:tcPr>
            <w:tcW w:w="2400" w:type="dxa"/>
            <w:vAlign w:val="bottom"/>
            <w:gridSpan w:val="8"/>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2240" w:type="dxa"/>
            <w:vAlign w:val="bottom"/>
            <w:gridSpan w:val="10"/>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52"/>
        </w:trPr>
        <w:tc>
          <w:tcPr>
            <w:tcW w:w="410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3"/>
          </w:tcPr>
          <w:p>
            <w:pPr>
              <w:jc w:val="right"/>
              <w:ind w:right="326"/>
              <w:spacing w:after="0" w:line="15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Interest expense, net: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00" w:type="dxa"/>
            <w:vAlign w:val="bottom"/>
            <w:gridSpan w:val="2"/>
          </w:tcPr>
          <w:p>
            <w:pPr>
              <w:ind w:left="100"/>
              <w:spacing w:after="0" w:line="212" w:lineRule="exact"/>
              <w:rPr>
                <w:sz w:val="20"/>
                <w:szCs w:val="20"/>
                <w:color w:val="auto"/>
              </w:rPr>
            </w:pPr>
            <w:r>
              <w:rPr>
                <w:rFonts w:ascii="Arial" w:cs="Arial" w:eastAsia="Arial" w:hAnsi="Arial"/>
                <w:sz w:val="16"/>
                <w:szCs w:val="16"/>
                <w:color w:val="auto"/>
              </w:rPr>
              <w:t>Brown Brothers Harriman</w:t>
            </w:r>
            <w:r>
              <w:rPr>
                <w:rFonts w:ascii="Arial" w:cs="Arial" w:eastAsia="Arial" w:hAnsi="Arial"/>
                <w:sz w:val="24"/>
                <w:szCs w:val="24"/>
                <w:color w:val="auto"/>
                <w:vertAlign w:val="superscript"/>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6"/>
              </w:rPr>
              <w:t>541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2"/>
        </w:trPr>
        <w:tc>
          <w:tcPr>
            <w:tcW w:w="4100" w:type="dxa"/>
            <w:vAlign w:val="bottom"/>
            <w:gridSpan w:val="2"/>
            <w:shd w:val="clear" w:color="auto" w:fill="CCEEFF"/>
          </w:tcPr>
          <w:p>
            <w:pPr>
              <w:ind w:left="100"/>
              <w:spacing w:after="0" w:line="212" w:lineRule="exact"/>
              <w:rPr>
                <w:sz w:val="20"/>
                <w:szCs w:val="20"/>
                <w:color w:val="auto"/>
              </w:rPr>
            </w:pPr>
            <w:r>
              <w:rPr>
                <w:rFonts w:ascii="Arial" w:cs="Arial" w:eastAsia="Arial" w:hAnsi="Arial"/>
                <w:sz w:val="16"/>
                <w:szCs w:val="16"/>
                <w:color w:val="auto"/>
              </w:rPr>
              <w:t>Wooster Capital</w:t>
            </w:r>
            <w:r>
              <w:rPr>
                <w:rFonts w:ascii="Arial" w:cs="Arial" w:eastAsia="Arial" w:hAnsi="Arial"/>
                <w:sz w:val="24"/>
                <w:szCs w:val="24"/>
                <w:color w:val="auto"/>
                <w:vertAlign w:val="superscript"/>
              </w:rPr>
              <w:t>(2)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503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2"/>
        </w:trPr>
        <w:tc>
          <w:tcPr>
            <w:tcW w:w="4100" w:type="dxa"/>
            <w:vAlign w:val="bottom"/>
            <w:gridSpan w:val="2"/>
          </w:tcPr>
          <w:p>
            <w:pPr>
              <w:ind w:left="100"/>
              <w:spacing w:after="0" w:line="212" w:lineRule="exact"/>
              <w:rPr>
                <w:sz w:val="20"/>
                <w:szCs w:val="20"/>
                <w:color w:val="auto"/>
              </w:rPr>
            </w:pPr>
            <w:r>
              <w:rPr>
                <w:rFonts w:ascii="Arial" w:cs="Arial" w:eastAsia="Arial" w:hAnsi="Arial"/>
                <w:sz w:val="16"/>
                <w:szCs w:val="16"/>
                <w:color w:val="auto"/>
              </w:rPr>
              <w:t>Jo Ellen Ford</w:t>
            </w:r>
            <w:r>
              <w:rPr>
                <w:rFonts w:ascii="Arial" w:cs="Arial" w:eastAsia="Arial" w:hAnsi="Arial"/>
                <w:sz w:val="24"/>
                <w:szCs w:val="24"/>
                <w:color w:val="auto"/>
                <w:vertAlign w:val="superscript"/>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6"/>
              </w:rPr>
              <w:t>139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2"/>
        </w:trPr>
        <w:tc>
          <w:tcPr>
            <w:tcW w:w="4100" w:type="dxa"/>
            <w:vAlign w:val="bottom"/>
            <w:gridSpan w:val="2"/>
            <w:shd w:val="clear" w:color="auto" w:fill="CCEEFF"/>
          </w:tcPr>
          <w:p>
            <w:pPr>
              <w:ind w:left="100"/>
              <w:spacing w:after="0" w:line="212" w:lineRule="exact"/>
              <w:rPr>
                <w:sz w:val="20"/>
                <w:szCs w:val="20"/>
                <w:color w:val="auto"/>
              </w:rPr>
            </w:pPr>
            <w:r>
              <w:rPr>
                <w:rFonts w:ascii="Arial" w:cs="Arial" w:eastAsia="Arial" w:hAnsi="Arial"/>
                <w:sz w:val="16"/>
                <w:szCs w:val="16"/>
                <w:color w:val="auto"/>
              </w:rPr>
              <w:t>Westrock Finance, LLC</w:t>
            </w:r>
            <w:r>
              <w:rPr>
                <w:rFonts w:ascii="Arial" w:cs="Arial" w:eastAsia="Arial" w:hAnsi="Arial"/>
                <w:sz w:val="24"/>
                <w:szCs w:val="24"/>
                <w:color w:val="auto"/>
                <w:vertAlign w:val="superscript"/>
              </w:rPr>
              <w:t>(2)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5"/>
        </w:trPr>
        <w:tc>
          <w:tcPr>
            <w:tcW w:w="4100" w:type="dxa"/>
            <w:vAlign w:val="bottom"/>
            <w:gridSpan w:val="2"/>
          </w:tcPr>
          <w:p>
            <w:pPr>
              <w:ind w:left="200"/>
              <w:spacing w:after="0" w:line="205"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7"/>
                <w:szCs w:val="17"/>
                <w:color w:val="auto"/>
              </w:rPr>
            </w:pPr>
          </w:p>
        </w:tc>
        <w:tc>
          <w:tcPr>
            <w:tcW w:w="24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5" w:lineRule="exact"/>
              <w:rPr>
                <w:sz w:val="20"/>
                <w:szCs w:val="20"/>
                <w:color w:val="auto"/>
              </w:rPr>
            </w:pPr>
            <w:r>
              <w:rPr>
                <w:rFonts w:ascii="Arial" w:cs="Arial" w:eastAsia="Arial" w:hAnsi="Arial"/>
                <w:sz w:val="18"/>
                <w:szCs w:val="18"/>
                <w:color w:val="auto"/>
              </w:rPr>
              <w:t>240</w:t>
            </w:r>
          </w:p>
        </w:tc>
        <w:tc>
          <w:tcPr>
            <w:tcW w:w="160" w:type="dxa"/>
            <w:vAlign w:val="bottom"/>
          </w:tcPr>
          <w:p>
            <w:pPr>
              <w:spacing w:after="0"/>
              <w:rPr>
                <w:sz w:val="17"/>
                <w:szCs w:val="17"/>
                <w:color w:val="auto"/>
              </w:rPr>
            </w:pPr>
          </w:p>
        </w:tc>
        <w:tc>
          <w:tcPr>
            <w:tcW w:w="240" w:type="dxa"/>
            <w:vAlign w:val="bottom"/>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662</w:t>
            </w:r>
          </w:p>
        </w:tc>
        <w:tc>
          <w:tcPr>
            <w:tcW w:w="140" w:type="dxa"/>
            <w:vAlign w:val="bottom"/>
          </w:tcPr>
          <w:p>
            <w:pPr>
              <w:spacing w:after="0"/>
              <w:rPr>
                <w:sz w:val="17"/>
                <w:szCs w:val="17"/>
                <w:color w:val="auto"/>
              </w:rPr>
            </w:pPr>
          </w:p>
        </w:tc>
        <w:tc>
          <w:tcPr>
            <w:tcW w:w="240" w:type="dxa"/>
            <w:vAlign w:val="bottom"/>
          </w:tcPr>
          <w:p>
            <w:pPr>
              <w:jc w:val="right"/>
              <w:ind w:right="61"/>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1,183</w:t>
            </w:r>
          </w:p>
        </w:tc>
        <w:tc>
          <w:tcPr>
            <w:tcW w:w="2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205" w:lineRule="exact"/>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22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 Related through common ownership</w:t>
      </w:r>
    </w:p>
    <w:p>
      <w:pPr>
        <w:ind w:left="40"/>
        <w:spacing w:after="0"/>
        <w:rPr>
          <w:sz w:val="20"/>
          <w:szCs w:val="20"/>
          <w:color w:val="auto"/>
        </w:rPr>
      </w:pPr>
      <w:r>
        <w:rPr>
          <w:rFonts w:ascii="Arial" w:cs="Arial" w:eastAsia="Arial" w:hAnsi="Arial"/>
          <w:sz w:val="14"/>
          <w:szCs w:val="14"/>
          <w:color w:val="auto"/>
        </w:rPr>
        <w:t>2 – Related through common ownership and management</w:t>
      </w:r>
    </w:p>
    <w:p>
      <w:pPr>
        <w:spacing w:after="0" w:line="191" w:lineRule="exact"/>
        <w:rPr>
          <w:sz w:val="20"/>
          <w:szCs w:val="20"/>
          <w:color w:val="auto"/>
        </w:rPr>
      </w:pPr>
    </w:p>
    <w:p>
      <w:pPr>
        <w:ind w:left="40" w:right="119"/>
        <w:spacing w:after="0" w:line="302" w:lineRule="auto"/>
        <w:rPr>
          <w:sz w:val="20"/>
          <w:szCs w:val="20"/>
          <w:color w:val="auto"/>
        </w:rPr>
      </w:pPr>
      <w:r>
        <w:rPr>
          <w:rFonts w:ascii="Arial" w:cs="Arial" w:eastAsia="Arial" w:hAnsi="Arial"/>
          <w:sz w:val="15"/>
          <w:szCs w:val="15"/>
          <w:color w:val="auto"/>
        </w:rPr>
        <w:t>In connection with the acquisition of S&amp;D in February 2020, the Company entered into a Management Services Agreement with Westrock Group, LLC (“Westrock Group”), which expires February 2023. Under the terms of the agreement Westrock Group will be paid $10.0 million in return for financial, managerial, operational, and strategic services. The associated expense is recorded within selling, general and administrative expense in our Condensed Consolidated Statements of Operations. The Company recognized $0.8 million and $2.5 million of such expenses during the three and nine months ended, respectively, for both September 30, 2022 and 2021. In addition, the Company reimburses Westrock Group for the usage of a corporate aircraft, and its portion of shared office space. For the three and nine months ended September 30, 2022, the Company incurred expenses of $0.3 million and $1.0 million, respectively, for such items, which are recorded in selling, general and administrative expenses on our Condensed Consolidated Statements of Operations. For the three and nine months ended September 30, 2021, the Company incurred expenses of $0.2 million and $0.5 million, respectively, for such items. At September 30, 2022 and December 31, 2021, we had</w:t>
      </w:r>
    </w:p>
    <w:p>
      <w:pPr>
        <w:sectPr>
          <w:pgSz w:w="11900" w:h="16838" w:orient="portrait"/>
          <w:cols w:equalWidth="0" w:num="1">
            <w:col w:w="9019"/>
          </w:cols>
          <w:pgMar w:left="1440" w:top="511"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8780"/>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369570</wp:posOffset>
            </wp:positionV>
            <wp:extent cx="565404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type w:val="continuous"/>
        </w:sectPr>
      </w:pPr>
    </w:p>
    <w:bookmarkStart w:id="35" w:name="page36"/>
    <w:bookmarkEnd w:id="3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579"/>
        <w:spacing w:after="0" w:line="264" w:lineRule="auto"/>
        <w:rPr>
          <w:sz w:val="20"/>
          <w:szCs w:val="20"/>
          <w:color w:val="auto"/>
        </w:rPr>
      </w:pPr>
      <w:r>
        <w:rPr>
          <w:rFonts w:ascii="Arial" w:cs="Arial" w:eastAsia="Arial" w:hAnsi="Arial"/>
          <w:sz w:val="18"/>
          <w:szCs w:val="18"/>
          <w:color w:val="auto"/>
        </w:rPr>
        <w:t>payables to Westrock Group of $0.1 million and $0.2 million, respectively, reported within accrued expenses and other current liabilities on our Condensed Consolidated Balance Sheets.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21. Subsequent Events</w:t>
      </w:r>
    </w:p>
    <w:p>
      <w:pPr>
        <w:spacing w:after="0" w:line="223" w:lineRule="exact"/>
        <w:rPr>
          <w:sz w:val="20"/>
          <w:szCs w:val="20"/>
          <w:color w:val="auto"/>
        </w:rPr>
      </w:pPr>
    </w:p>
    <w:p>
      <w:pPr>
        <w:ind w:left="40" w:right="219"/>
        <w:spacing w:after="0" w:line="267" w:lineRule="auto"/>
        <w:rPr>
          <w:sz w:val="20"/>
          <w:szCs w:val="20"/>
          <w:color w:val="auto"/>
        </w:rPr>
      </w:pPr>
      <w:r>
        <w:rPr>
          <w:rFonts w:ascii="Arial" w:cs="Arial" w:eastAsia="Arial" w:hAnsi="Arial"/>
          <w:sz w:val="17"/>
          <w:szCs w:val="17"/>
          <w:color w:val="auto"/>
        </w:rPr>
        <w:t>On November 14, 2022, Westrock Beverage Solutions, LLC, a Delaware limited liability company and wholly-owned subsidiary of the Company, acquired one hundred percent (100%) of the equity securities of Kohana Coffee, LLC (“Kohana Coffee”), a Texas limited liability company. Kohana Coffee is an extract and ready-to-drink focused business, based in Richmond, California, serving customers in the retail and CPG industries. Aggregate consideration paid for Kohana Coffee included 1,852,608 shares of common stock of the Company, par value $0.01 per share, and approximately $15.5 million in cash, subject to customary adjustments.</w:t>
      </w:r>
    </w:p>
    <w:p>
      <w:pPr>
        <w:spacing w:after="0" w:line="179" w:lineRule="exact"/>
        <w:rPr>
          <w:sz w:val="20"/>
          <w:szCs w:val="20"/>
          <w:color w:val="auto"/>
        </w:rPr>
      </w:pPr>
    </w:p>
    <w:p>
      <w:pPr>
        <w:ind w:left="40" w:right="199"/>
        <w:spacing w:after="0" w:line="318" w:lineRule="auto"/>
        <w:rPr>
          <w:sz w:val="20"/>
          <w:szCs w:val="20"/>
          <w:color w:val="auto"/>
        </w:rPr>
      </w:pPr>
      <w:r>
        <w:rPr>
          <w:rFonts w:ascii="Arial" w:cs="Arial" w:eastAsia="Arial" w:hAnsi="Arial"/>
          <w:sz w:val="15"/>
          <w:szCs w:val="15"/>
          <w:color w:val="auto"/>
        </w:rPr>
        <w:t>We expect the business combination to be accounted for using the acquisition method of accounting under ASC 805. However, due to the timing of the acquisitions subsequent to our September 30, 2022 reporting date, the initial accounting, including the allocation of purchase price and related supplemental pro form information, is incomplete as of the filing date. As a result, applicable disclosures related to the acquisition of Kohana Coffee are not included herein.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36" w:name="page37"/>
    <w:bookmarkEnd w:id="3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3" w:lineRule="exact"/>
        <w:rPr>
          <w:sz w:val="20"/>
          <w:szCs w:val="20"/>
          <w:color w:val="auto"/>
        </w:rPr>
      </w:pPr>
    </w:p>
    <w:p>
      <w:pPr>
        <w:ind w:left="40" w:right="179"/>
        <w:spacing w:after="0" w:line="309" w:lineRule="auto"/>
        <w:rPr>
          <w:sz w:val="20"/>
          <w:szCs w:val="20"/>
          <w:color w:val="auto"/>
        </w:rPr>
      </w:pPr>
      <w:r>
        <w:rPr>
          <w:rFonts w:ascii="Arial" w:cs="Arial" w:eastAsia="Arial" w:hAnsi="Arial"/>
          <w:sz w:val="15"/>
          <w:szCs w:val="15"/>
          <w:i w:val="1"/>
          <w:iCs w:val="1"/>
          <w:color w:val="auto"/>
        </w:rPr>
        <w:t>The following Management’s Discussion and Analysis of Financial Condition and Results of Operations describes the principal factors affecting the results of operations, financial condition, and changes in financial condition for the three and nine months ended September 30, 2022. This discussion should be read in conjunction with the accompanying Condensed Consolidated Financial Statements, and the notes thereto set forth in Part I, Item 1 of this Quarterly Report on Form 10-Q and our December 31, 2021 Audited Consolidated Financial Statements and notes thereto included in our Registration Statement on Form S-1 filed with the U.S. Securities and Exchange Commission (“SEC”) on September 20, 2022.</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ind w:left="40" w:right="139"/>
        <w:spacing w:after="0" w:line="312" w:lineRule="auto"/>
        <w:rPr>
          <w:sz w:val="20"/>
          <w:szCs w:val="20"/>
          <w:color w:val="auto"/>
        </w:rPr>
      </w:pPr>
      <w:r>
        <w:rPr>
          <w:rFonts w:ascii="Arial" w:cs="Arial" w:eastAsia="Arial" w:hAnsi="Arial"/>
          <w:sz w:val="15"/>
          <w:szCs w:val="15"/>
          <w:color w:val="auto"/>
        </w:rPr>
        <w:t>Westrock Coffee Company (the “Company,” “Westrock,” “we,” “us,” or “our”) is a leading integrated coffee, tea, flavors, extracts, and ingredients solutions provider in the United States, providing coffee sourcing, supply chain management, product development, roasting, packaging, and distribution to the retail, food service and restaurant, convenience store and travel center, non-commercial account, CPG, and hospitality industries around the world. We supply the world’s most iconic brands with the world’s most innovative coffee, tea, flavors, extracts, and ingredients products.</w:t>
      </w:r>
    </w:p>
    <w:p>
      <w:pPr>
        <w:spacing w:after="0" w:line="151" w:lineRule="exact"/>
        <w:rPr>
          <w:sz w:val="20"/>
          <w:szCs w:val="20"/>
          <w:color w:val="auto"/>
        </w:rPr>
      </w:pPr>
    </w:p>
    <w:p>
      <w:pPr>
        <w:ind w:left="40" w:right="119"/>
        <w:spacing w:after="0" w:line="252" w:lineRule="auto"/>
        <w:rPr>
          <w:sz w:val="20"/>
          <w:szCs w:val="20"/>
          <w:color w:val="auto"/>
        </w:rPr>
      </w:pPr>
      <w:r>
        <w:rPr>
          <w:rFonts w:ascii="Arial" w:cs="Arial" w:eastAsia="Arial" w:hAnsi="Arial"/>
          <w:sz w:val="18"/>
          <w:szCs w:val="18"/>
          <w:color w:val="auto"/>
        </w:rPr>
        <w:t>In connection with the closing of our previously announced de-SPAC merger transaction (the “Transaction”) with Riverview Acquisition Corp. (“Riverview”), the Company converted (the “Conversion”) from a Delaware limited liability company to a Delaware corporation and changed its name from “Westrock Coffee Holdings, LLC” (the “Converting Company”) to “Westrock Coffee Company.”</w:t>
      </w:r>
    </w:p>
    <w:p>
      <w:pPr>
        <w:spacing w:after="0" w:line="191" w:lineRule="exact"/>
        <w:rPr>
          <w:sz w:val="20"/>
          <w:szCs w:val="20"/>
          <w:color w:val="auto"/>
        </w:rPr>
      </w:pPr>
    </w:p>
    <w:p>
      <w:pPr>
        <w:ind w:left="40" w:right="99"/>
        <w:spacing w:after="0" w:line="304" w:lineRule="auto"/>
        <w:rPr>
          <w:sz w:val="20"/>
          <w:szCs w:val="20"/>
          <w:color w:val="auto"/>
        </w:rPr>
      </w:pPr>
      <w:r>
        <w:rPr>
          <w:rFonts w:ascii="Arial" w:cs="Arial" w:eastAsia="Arial" w:hAnsi="Arial"/>
          <w:sz w:val="15"/>
          <w:szCs w:val="15"/>
          <w:color w:val="auto"/>
        </w:rPr>
        <w:t>Our platform is built upon four fundamental pillars that enable us to positively impact the coffee, tea, flavors, extracts, and ingredients ecosystems from crop to cup: (i) we operate a fully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 operate our business in two segments: Beverage Solutions and Sustainable Sourcing &amp; Traceability (“SS&amp;T”).</w:t>
      </w:r>
    </w:p>
    <w:p>
      <w:pPr>
        <w:spacing w:after="0" w:line="229" w:lineRule="exact"/>
        <w:rPr>
          <w:sz w:val="20"/>
          <w:szCs w:val="20"/>
          <w:color w:val="auto"/>
        </w:rPr>
      </w:pPr>
    </w:p>
    <w:p>
      <w:pPr>
        <w:ind w:left="40" w:right="139"/>
        <w:spacing w:after="0" w:line="249" w:lineRule="auto"/>
        <w:rPr>
          <w:sz w:val="20"/>
          <w:szCs w:val="20"/>
          <w:color w:val="auto"/>
        </w:rPr>
      </w:pPr>
      <w:r>
        <w:rPr>
          <w:rFonts w:ascii="Arial" w:cs="Arial" w:eastAsia="Arial" w:hAnsi="Arial"/>
          <w:sz w:val="18"/>
          <w:szCs w:val="18"/>
          <w:u w:val="single" w:color="auto"/>
          <w:color w:val="auto"/>
        </w:rPr>
        <w:t>Beverage Solutions</w:t>
      </w:r>
      <w:r>
        <w:rPr>
          <w:rFonts w:ascii="Arial" w:cs="Arial" w:eastAsia="Arial" w:hAnsi="Arial"/>
          <w:sz w:val="18"/>
          <w:szCs w:val="18"/>
          <w:color w:val="auto"/>
        </w:rPr>
        <w:t>: Through this segment, we combine our product innovation and customer insights to provide value-added beverage solutions, including coffee, tea, juices,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96" w:lineRule="exact"/>
        <w:rPr>
          <w:sz w:val="20"/>
          <w:szCs w:val="20"/>
          <w:color w:val="auto"/>
        </w:rPr>
      </w:pPr>
    </w:p>
    <w:p>
      <w:pPr>
        <w:ind w:left="40" w:right="399"/>
        <w:spacing w:after="0" w:line="252" w:lineRule="auto"/>
        <w:rPr>
          <w:sz w:val="20"/>
          <w:szCs w:val="20"/>
          <w:color w:val="auto"/>
        </w:rPr>
      </w:pPr>
      <w:r>
        <w:rPr>
          <w:rFonts w:ascii="Arial" w:cs="Arial" w:eastAsia="Arial" w:hAnsi="Arial"/>
          <w:sz w:val="18"/>
          <w:szCs w:val="18"/>
          <w:u w:val="single" w:color="auto"/>
          <w:color w:val="auto"/>
        </w:rPr>
        <w:t>Sustainable Sourcing &amp; Traceability</w:t>
      </w:r>
      <w:r>
        <w:rPr>
          <w:rFonts w:ascii="Arial" w:cs="Arial" w:eastAsia="Arial" w:hAnsi="Arial"/>
          <w:sz w:val="18"/>
          <w:szCs w:val="18"/>
          <w:color w:val="auto"/>
        </w:rPr>
        <w:t>: Through this segment, we utilize our proprietary technology and digitally traceable supply chain to directly impact and improve the lives of our farming partners, tangible economic empowerment and an emphasis on environmental accountability and farmer literacy. Revenues primarily relate to the physical delivery and settlement of forward sales contracts for green coffee.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Business Metrics</w:t>
      </w:r>
    </w:p>
    <w:p>
      <w:pPr>
        <w:spacing w:after="0" w:line="223" w:lineRule="exact"/>
        <w:rPr>
          <w:sz w:val="20"/>
          <w:szCs w:val="20"/>
          <w:color w:val="auto"/>
        </w:rPr>
      </w:pPr>
    </w:p>
    <w:p>
      <w:pPr>
        <w:ind w:left="40" w:right="79"/>
        <w:spacing w:after="0" w:line="264" w:lineRule="auto"/>
        <w:rPr>
          <w:sz w:val="20"/>
          <w:szCs w:val="20"/>
          <w:color w:val="auto"/>
        </w:rPr>
      </w:pPr>
      <w:r>
        <w:rPr>
          <w:rFonts w:ascii="Arial" w:cs="Arial" w:eastAsia="Arial" w:hAnsi="Arial"/>
          <w:sz w:val="18"/>
          <w:szCs w:val="18"/>
          <w:color w:val="auto"/>
        </w:rPr>
        <w:t>We use Adjusted EBITDA to evaluate our performance, identify trends, formulate financial projections, and to make strategic decisions.</w:t>
      </w:r>
    </w:p>
    <w:p>
      <w:pPr>
        <w:spacing w:after="0" w:line="39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37" w:name="page38"/>
    <w:bookmarkEnd w:id="3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7" w:lineRule="exact"/>
        <w:rPr>
          <w:sz w:val="20"/>
          <w:szCs w:val="20"/>
          <w:color w:val="auto"/>
        </w:rPr>
      </w:pPr>
    </w:p>
    <w:p>
      <w:pPr>
        <w:ind w:left="40" w:right="119"/>
        <w:spacing w:after="0" w:line="303" w:lineRule="auto"/>
        <w:rPr>
          <w:sz w:val="20"/>
          <w:szCs w:val="20"/>
          <w:color w:val="auto"/>
        </w:rPr>
      </w:pPr>
      <w:r>
        <w:rPr>
          <w:rFonts w:ascii="Arial" w:cs="Arial" w:eastAsia="Arial" w:hAnsi="Arial"/>
          <w:sz w:val="15"/>
          <w:szCs w:val="15"/>
          <w:color w:val="auto"/>
        </w:rPr>
        <w:t>We refer to EBITDA and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Adjusted EBITDA are important non-GAAP supplemental measures of operating performance as they contribute to a meaningful evaluation of the Company’s future operating performance and comparisons to the Company’s past operating performance. Additionally, we use these non-GAAP financial measures in evaluating the performance of our segments, to make operational and financial decisions and in our budgeting and planning process. The Company believes that providing these non-GAAP financial measures to investors helps investors evaluate the Company’s operating performance, profitability and business trends in a way that is consistent with how management evaluates such performance.</w:t>
      </w:r>
    </w:p>
    <w:p>
      <w:pPr>
        <w:spacing w:after="0" w:line="160" w:lineRule="exact"/>
        <w:rPr>
          <w:sz w:val="20"/>
          <w:szCs w:val="20"/>
          <w:color w:val="auto"/>
        </w:rPr>
      </w:pPr>
    </w:p>
    <w:p>
      <w:pPr>
        <w:ind w:left="40" w:right="99"/>
        <w:spacing w:after="0" w:line="263" w:lineRule="auto"/>
        <w:rPr>
          <w:sz w:val="20"/>
          <w:szCs w:val="20"/>
          <w:color w:val="auto"/>
        </w:rPr>
      </w:pPr>
      <w:r>
        <w:rPr>
          <w:rFonts w:ascii="Arial" w:cs="Arial" w:eastAsia="Arial" w:hAnsi="Arial"/>
          <w:sz w:val="17"/>
          <w:szCs w:val="17"/>
          <w:color w:val="auto"/>
        </w:rPr>
        <w:t>We define “EBITDA” as net (loss) income, as defined by GAAP, before interest expense, provision for income taxes and depreciation and amortization. We define “Adjusted EBITDA” as EBITDA before equity-based compensation expense and the impact, which may be recurring in nature, of acquisition, restructuring and integration related costs, including management services and consulting agreements entered into in connection with the acquisition of S&amp;D Coffee, Inc., impairment charges, changes in the fair value of warrant liabilities, non-cash mark-to-market adjustments, certain costs specifically excluded from the calculation of EBITDA under our material debt agreements, such as facility start-up costs, the write off of unamortized deferred financing costs, costs incurred as a result of the early repayment of debt, gains or losses on dispositions, and other similar or infrequent items (although we may not have had such charges in the periods presented). We believe EBITDA and Adjusted EBITDA are important supplemental measures to net (loss) income because they provide additional information to evaluate our operating performance on an unleveraged basis. In addition, Adjusted EBITDA is calculated similar to defined terms in our material debt agreements used to determine compliance with specific financial covenants.</w:t>
      </w:r>
    </w:p>
    <w:p>
      <w:pPr>
        <w:spacing w:after="0" w:line="186" w:lineRule="exact"/>
        <w:rPr>
          <w:sz w:val="20"/>
          <w:szCs w:val="20"/>
          <w:color w:val="auto"/>
        </w:rPr>
      </w:pPr>
    </w:p>
    <w:p>
      <w:pPr>
        <w:ind w:left="40" w:right="299"/>
        <w:spacing w:after="0" w:line="252" w:lineRule="auto"/>
        <w:rPr>
          <w:sz w:val="20"/>
          <w:szCs w:val="20"/>
          <w:color w:val="auto"/>
        </w:rPr>
      </w:pPr>
      <w:r>
        <w:rPr>
          <w:rFonts w:ascii="Arial" w:cs="Arial" w:eastAsia="Arial" w:hAnsi="Arial"/>
          <w:sz w:val="18"/>
          <w:szCs w:val="18"/>
          <w:color w:val="auto"/>
        </w:rPr>
        <w:t>Since EBITDA and Adjusted EBITDA are not measures calculated in accordance with GAAP, they should be viewed in addition to, and not be considered as alternatives for, net (loss) income determined in accordance with GAAP. Further, our computations of EBITDA and Adjusted EBITDA may not be comparable to that reported by other companies that define EBITDA and Adjusted EBITDA differently than we do.</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38" w:name="page39"/>
    <w:bookmarkEnd w:id="3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439"/>
        <w:spacing w:after="0" w:line="264" w:lineRule="auto"/>
        <w:rPr>
          <w:sz w:val="20"/>
          <w:szCs w:val="20"/>
          <w:color w:val="auto"/>
        </w:rPr>
      </w:pPr>
      <w:r>
        <w:rPr>
          <w:rFonts w:ascii="Arial" w:cs="Arial" w:eastAsia="Arial" w:hAnsi="Arial"/>
          <w:sz w:val="18"/>
          <w:szCs w:val="18"/>
          <w:color w:val="auto"/>
        </w:rPr>
        <w:t>The reconciliation of our net loss to EBITDA and Adjusted EBITDA for the three and nine months ended September 30, 2022 and 2021 is as follows:</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0"/>
              </w:rPr>
              <w:t>Three Months Ended September 30,</w:t>
            </w:r>
          </w:p>
        </w:tc>
        <w:tc>
          <w:tcPr>
            <w:tcW w:w="2780" w:type="dxa"/>
            <w:vAlign w:val="bottom"/>
            <w:gridSpan w:val="6"/>
          </w:tcPr>
          <w:p>
            <w:pPr>
              <w:jc w:val="right"/>
              <w:ind w:right="12"/>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06"/>
        </w:trPr>
        <w:tc>
          <w:tcPr>
            <w:tcW w:w="290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(Thousands)</w:t>
            </w:r>
          </w:p>
        </w:tc>
        <w:tc>
          <w:tcPr>
            <w:tcW w:w="1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r>
      <w:tr>
        <w:trPr>
          <w:trHeight w:val="205"/>
        </w:trPr>
        <w:tc>
          <w:tcPr>
            <w:tcW w:w="2900" w:type="dxa"/>
            <w:vAlign w:val="bottom"/>
            <w:shd w:val="clear" w:color="auto" w:fill="CCEEFF"/>
          </w:tcPr>
          <w:p>
            <w:pPr>
              <w:ind w:left="100"/>
              <w:spacing w:after="0" w:line="205" w:lineRule="exact"/>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(13,018)</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2"/>
              <w:spacing w:after="0" w:line="205"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(3,890)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2"/>
              <w:spacing w:after="0" w:line="205"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(23,542)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(16,082)</w:t>
            </w:r>
          </w:p>
        </w:tc>
      </w:tr>
      <w:tr>
        <w:trPr>
          <w:trHeight w:val="212"/>
        </w:trPr>
        <w:tc>
          <w:tcPr>
            <w:tcW w:w="290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13,404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8,614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24,283</w:t>
            </w:r>
          </w:p>
        </w:tc>
      </w:tr>
      <w:tr>
        <w:trPr>
          <w:trHeight w:val="212"/>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(796)</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r>
      <w:tr>
        <w:trPr>
          <w:trHeight w:val="212"/>
        </w:trPr>
        <w:tc>
          <w:tcPr>
            <w:tcW w:w="29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18,386</w:t>
            </w:r>
          </w:p>
        </w:tc>
      </w:tr>
      <w:tr>
        <w:trPr>
          <w:trHeight w:val="205"/>
        </w:trPr>
        <w:tc>
          <w:tcPr>
            <w:tcW w:w="290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EBITDA</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5,774</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20,994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24,348</w:t>
            </w:r>
          </w:p>
        </w:tc>
      </w:tr>
      <w:tr>
        <w:trPr>
          <w:trHeight w:val="200"/>
        </w:trPr>
        <w:tc>
          <w:tcPr>
            <w:tcW w:w="2900" w:type="dxa"/>
            <w:vAlign w:val="bottom"/>
          </w:tcPr>
          <w:p>
            <w:pPr>
              <w:ind w:left="100"/>
              <w:spacing w:after="0" w:line="200" w:lineRule="exact"/>
              <w:rPr>
                <w:sz w:val="20"/>
                <w:szCs w:val="20"/>
                <w:color w:val="auto"/>
              </w:rPr>
            </w:pPr>
            <w:r>
              <w:rPr>
                <w:rFonts w:ascii="Arial" w:cs="Arial" w:eastAsia="Arial" w:hAnsi="Arial"/>
                <w:sz w:val="18"/>
                <w:szCs w:val="18"/>
                <w:color w:val="auto"/>
              </w:rPr>
              <w:t>Acquisition, restructuring and</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4"/>
        </w:trPr>
        <w:tc>
          <w:tcPr>
            <w:tcW w:w="2900" w:type="dxa"/>
            <w:vAlign w:val="bottom"/>
          </w:tcPr>
          <w:p>
            <w:pPr>
              <w:ind w:left="100"/>
              <w:spacing w:after="0"/>
              <w:rPr>
                <w:sz w:val="20"/>
                <w:szCs w:val="20"/>
                <w:color w:val="auto"/>
              </w:rPr>
            </w:pPr>
            <w:r>
              <w:rPr>
                <w:rFonts w:ascii="Arial" w:cs="Arial" w:eastAsia="Arial" w:hAnsi="Arial"/>
                <w:sz w:val="18"/>
                <w:szCs w:val="18"/>
                <w:color w:val="auto"/>
              </w:rPr>
              <w:t>integration expense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3,772</w:t>
            </w:r>
          </w:p>
        </w:tc>
      </w:tr>
      <w:tr>
        <w:trPr>
          <w:trHeight w:val="200"/>
        </w:trPr>
        <w:tc>
          <w:tcPr>
            <w:tcW w:w="29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Change in fair value of warrant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4"/>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0"/>
        </w:trPr>
        <w:tc>
          <w:tcPr>
            <w:tcW w:w="2900" w:type="dxa"/>
            <w:vAlign w:val="bottom"/>
          </w:tcPr>
          <w:p>
            <w:pPr>
              <w:ind w:left="100"/>
              <w:spacing w:after="0" w:line="200" w:lineRule="exact"/>
              <w:rPr>
                <w:sz w:val="20"/>
                <w:szCs w:val="20"/>
                <w:color w:val="auto"/>
              </w:rPr>
            </w:pPr>
            <w:r>
              <w:rPr>
                <w:rFonts w:ascii="Arial" w:cs="Arial" w:eastAsia="Arial" w:hAnsi="Arial"/>
                <w:sz w:val="18"/>
                <w:szCs w:val="18"/>
                <w:color w:val="auto"/>
                <w:w w:val="88"/>
              </w:rPr>
              <w:t>Management and consulting fees (S&amp;D</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4"/>
        </w:trPr>
        <w:tc>
          <w:tcPr>
            <w:tcW w:w="2900" w:type="dxa"/>
            <w:vAlign w:val="bottom"/>
          </w:tcPr>
          <w:p>
            <w:pPr>
              <w:ind w:left="100"/>
              <w:spacing w:after="0"/>
              <w:rPr>
                <w:sz w:val="20"/>
                <w:szCs w:val="20"/>
                <w:color w:val="auto"/>
              </w:rPr>
            </w:pPr>
            <w:r>
              <w:rPr>
                <w:rFonts w:ascii="Arial" w:cs="Arial" w:eastAsia="Arial" w:hAnsi="Arial"/>
                <w:sz w:val="18"/>
                <w:szCs w:val="18"/>
                <w:color w:val="auto"/>
              </w:rPr>
              <w:t>Coffee, Inc. acquisition)</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4,791</w:t>
            </w:r>
          </w:p>
        </w:tc>
      </w:tr>
      <w:tr>
        <w:trPr>
          <w:trHeight w:val="213"/>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Equity-based compensation</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12"/>
        </w:trPr>
        <w:tc>
          <w:tcPr>
            <w:tcW w:w="2900" w:type="dxa"/>
            <w:vAlign w:val="bottom"/>
          </w:tcPr>
          <w:p>
            <w:pPr>
              <w:ind w:left="100"/>
              <w:spacing w:after="0"/>
              <w:rPr>
                <w:sz w:val="20"/>
                <w:szCs w:val="20"/>
                <w:color w:val="auto"/>
              </w:rPr>
            </w:pPr>
            <w:r>
              <w:rPr>
                <w:rFonts w:ascii="Arial" w:cs="Arial" w:eastAsia="Arial" w:hAnsi="Arial"/>
                <w:sz w:val="18"/>
                <w:szCs w:val="18"/>
                <w:color w:val="auto"/>
              </w:rPr>
              <w:t>Mark-to-market adjustments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(1,979)</w:t>
            </w:r>
          </w:p>
        </w:tc>
      </w:tr>
      <w:tr>
        <w:trPr>
          <w:trHeight w:val="200"/>
        </w:trPr>
        <w:tc>
          <w:tcPr>
            <w:tcW w:w="290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w w:val="98"/>
              </w:rPr>
              <w:t>Loss (gain) on disposal of property,</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4"/>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plant and equipment</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2"/>
        </w:trPr>
        <w:tc>
          <w:tcPr>
            <w:tcW w:w="29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r>
      <w:tr>
        <w:trPr>
          <w:trHeight w:val="205"/>
        </w:trPr>
        <w:tc>
          <w:tcPr>
            <w:tcW w:w="290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17,913</w:t>
            </w: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2"/>
              <w:spacing w:after="0" w:line="205"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13,479</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2"/>
              <w:spacing w:after="0" w:line="205"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42,600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32,971</w:t>
            </w:r>
          </w:p>
        </w:tc>
      </w:tr>
      <w:tr>
        <w:trPr>
          <w:trHeight w:val="20"/>
        </w:trPr>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2"/>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Beverage Solutions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29,924</w:t>
            </w:r>
          </w:p>
        </w:tc>
      </w:tr>
      <w:tr>
        <w:trPr>
          <w:trHeight w:val="212"/>
        </w:trPr>
        <w:tc>
          <w:tcPr>
            <w:tcW w:w="29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7"/>
              </w:rPr>
              <w:t>Sustainable Sourcing &amp; Traceability</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w:t>
            </w:r>
          </w:p>
        </w:tc>
      </w:tr>
      <w:tr>
        <w:trPr>
          <w:trHeight w:val="205"/>
        </w:trPr>
        <w:tc>
          <w:tcPr>
            <w:tcW w:w="290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Total of Reportable Segments</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17,913</w:t>
            </w: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2"/>
              <w:spacing w:after="0" w:line="205"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13,479</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2"/>
              <w:spacing w:after="0" w:line="205"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42,600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32,971</w:t>
            </w:r>
          </w:p>
        </w:tc>
      </w:tr>
      <w:tr>
        <w:trPr>
          <w:trHeight w:val="20"/>
        </w:trPr>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27"/>
        </w:trPr>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551"/>
        </w:trPr>
        <w:tc>
          <w:tcPr>
            <w:tcW w:w="2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1" w:right="1440" w:bottom="1440" w:gutter="0" w:footer="0" w:header="0"/>
        </w:sectPr>
      </w:pPr>
    </w:p>
    <w:bookmarkStart w:id="39" w:name="page40"/>
    <w:bookmarkEnd w:id="3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Developments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Merger with Riverview Acquisition Corp.</w:t>
      </w:r>
    </w:p>
    <w:p>
      <w:pPr>
        <w:spacing w:after="0" w:line="217" w:lineRule="exact"/>
        <w:rPr>
          <w:sz w:val="20"/>
          <w:szCs w:val="20"/>
          <w:color w:val="auto"/>
        </w:rPr>
      </w:pPr>
    </w:p>
    <w:p>
      <w:pPr>
        <w:ind w:left="40" w:right="79"/>
        <w:spacing w:after="0" w:line="309" w:lineRule="auto"/>
        <w:rPr>
          <w:sz w:val="20"/>
          <w:szCs w:val="20"/>
          <w:color w:val="auto"/>
        </w:rPr>
      </w:pPr>
      <w:r>
        <w:rPr>
          <w:rFonts w:ascii="Arial" w:cs="Arial" w:eastAsia="Arial" w:hAnsi="Arial"/>
          <w:sz w:val="15"/>
          <w:szCs w:val="15"/>
          <w:color w:val="auto"/>
        </w:rPr>
        <w:t>On August 26, 2022 (the “Closing Date”), the Company completed the Transaction with Riverview (“Closing”). At Closing, the Company issued 12,868,151 shares of common stock of the Company (“Common Shares”) to public and class B shareholders of Riverview, receiving $49.8 million of the cash held in the trust account of Riverview, which is net of $17.1 million of Riverview transaction expenses offset against proceeds received by the Company at Closing. The 12,868,151 shares include 1,910,000 shares issued to PIPE investors who elected to satisfy their PIPE commitments through the purchase of Riverview Class A Shares on the public market, pursuant to the terms of their respective subscription agreements.</w:t>
      </w:r>
    </w:p>
    <w:p>
      <w:pPr>
        <w:spacing w:after="0" w:line="152" w:lineRule="exact"/>
        <w:rPr>
          <w:sz w:val="20"/>
          <w:szCs w:val="20"/>
          <w:color w:val="auto"/>
        </w:rPr>
      </w:pPr>
    </w:p>
    <w:p>
      <w:pPr>
        <w:ind w:left="40" w:right="159"/>
        <w:spacing w:after="0" w:line="264" w:lineRule="auto"/>
        <w:rPr>
          <w:sz w:val="20"/>
          <w:szCs w:val="20"/>
          <w:color w:val="auto"/>
        </w:rPr>
      </w:pPr>
      <w:r>
        <w:rPr>
          <w:rFonts w:ascii="Arial" w:cs="Arial" w:eastAsia="Arial" w:hAnsi="Arial"/>
          <w:sz w:val="17"/>
          <w:szCs w:val="17"/>
          <w:color w:val="auto"/>
        </w:rPr>
        <w:t>Substantially concurrently with the Closing, the Company received $205.9 million in cash proceeds (which amount excludes contribution to the Company of certain related party notes as described in Note 11 to our Condensed Consolidated Financial Statements) from common stock PIPE investments (the “PIPE Financing”), issued 20,590,000 Common Shares to the PIPE investors (which share amount excludes the conversion of the related party notes as described in Note 11 to our Condensed Consolidated Financial Statements), and entered into a credit agreement (the “Credit Agreement”) that includes (a) a senior secured first lien revolving credit facility in an initial aggregate principal amount of $175.0 million (the “Revolving Credit Facility”) and (b) a senior secured first lien term loan facility in an initial aggregate principal amount of $175.0 million (the “Term Loan Facility”). Proceeds from the Transaction and the Term Loan Facility were used to pay off and terminate our then existing term loan and asset-based lending agreements, and to pay expenses related to the Transaction and new credit agreement.</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PIPE Pre-Funding</w:t>
      </w:r>
    </w:p>
    <w:p>
      <w:pPr>
        <w:spacing w:after="0" w:line="217" w:lineRule="exact"/>
        <w:rPr>
          <w:sz w:val="20"/>
          <w:szCs w:val="20"/>
          <w:color w:val="auto"/>
        </w:rPr>
      </w:pPr>
    </w:p>
    <w:p>
      <w:pPr>
        <w:ind w:left="40" w:right="119"/>
        <w:spacing w:after="0" w:line="304" w:lineRule="auto"/>
        <w:rPr>
          <w:sz w:val="20"/>
          <w:szCs w:val="20"/>
          <w:color w:val="auto"/>
        </w:rPr>
      </w:pPr>
      <w:r>
        <w:rPr>
          <w:rFonts w:ascii="Arial" w:cs="Arial" w:eastAsia="Arial" w:hAnsi="Arial"/>
          <w:sz w:val="15"/>
          <w:szCs w:val="15"/>
          <w:color w:val="auto"/>
        </w:rPr>
        <w:t>In connection with the Transaction, on July 14, 2022, pursuant to the terms of the subscription agreement entered into between the Company and Wooster Capital, LLC (“Wooster”), in which Wooster agreed to subscribe for and purchase, and the Company agreed to issue and sell to Wooster, prior to and substantially concurrently with the Closing, an aggregate of 2,150,000 Common Shares at a purchase price of $10.00 per share, for aggregate gross proceeds of $21,500,000 to the Company, Wooster pre-funded $11.7 million of its commitment (the “Wooster Pre-fund”) and in exchange thereof was issued a subordinated convertible note by the Company (the “Convertible Note”). The Convertible Note had a principal amount of $11.7 million, a maturity of one year and an interest rate of 8% per annum that was payable quarterly on the last business day of each quarter. On August 26, 2022, in connection with the Closing, the Convertible Note automatically converted, in accordance with its terms, into 1,170,000 Common Shares.</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Acquisition of Kohana Coffee, LLC</w:t>
      </w:r>
    </w:p>
    <w:p>
      <w:pPr>
        <w:spacing w:after="0" w:line="217" w:lineRule="exact"/>
        <w:rPr>
          <w:sz w:val="20"/>
          <w:szCs w:val="20"/>
          <w:color w:val="auto"/>
        </w:rPr>
      </w:pPr>
    </w:p>
    <w:p>
      <w:pPr>
        <w:ind w:left="40" w:right="439"/>
        <w:spacing w:after="0" w:line="312" w:lineRule="auto"/>
        <w:rPr>
          <w:sz w:val="20"/>
          <w:szCs w:val="20"/>
          <w:color w:val="auto"/>
        </w:rPr>
      </w:pPr>
      <w:r>
        <w:rPr>
          <w:rFonts w:ascii="Arial" w:cs="Arial" w:eastAsia="Arial" w:hAnsi="Arial"/>
          <w:sz w:val="15"/>
          <w:szCs w:val="15"/>
          <w:color w:val="auto"/>
        </w:rPr>
        <w:t>On November 14, 2022, Westrock Beverage Solutions, LLC, a Delaware limited liability company and wholly owned subsidiary of the Company, acquired one hundred percent (100%) of the equity securities of Richmond, California-based Kohana Coffee, LLC (“Kohana Coffee”), a Texas limited liability company. The acquisition of Kohana Coffee allows Westrock to accelerate the development, production and distribution of ready-to-drink products in cans and multi-serve bottles to meet increasing customer demand and expands the Company’s extraction and packaging capabilities.</w:t>
      </w:r>
    </w:p>
    <w:p>
      <w:pPr>
        <w:spacing w:after="0" w:line="200" w:lineRule="exact"/>
        <w:rPr>
          <w:sz w:val="20"/>
          <w:szCs w:val="20"/>
          <w:color w:val="auto"/>
        </w:rPr>
      </w:pPr>
    </w:p>
    <w:p>
      <w:pPr>
        <w:spacing w:after="0" w:line="37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40" w:name="page41"/>
    <w:bookmarkEnd w:id="4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Comparison of the Three Months Ended September 30, 2022 and 2021</w:t>
      </w:r>
    </w:p>
    <w:p>
      <w:pPr>
        <w:spacing w:after="0" w:line="223" w:lineRule="exact"/>
        <w:rPr>
          <w:sz w:val="20"/>
          <w:szCs w:val="20"/>
          <w:color w:val="auto"/>
        </w:rPr>
      </w:pPr>
    </w:p>
    <w:p>
      <w:pPr>
        <w:ind w:left="40" w:right="519"/>
        <w:spacing w:after="0" w:line="264" w:lineRule="auto"/>
        <w:rPr>
          <w:sz w:val="20"/>
          <w:szCs w:val="20"/>
          <w:color w:val="auto"/>
        </w:rPr>
      </w:pPr>
      <w:r>
        <w:rPr>
          <w:rFonts w:ascii="Arial" w:cs="Arial" w:eastAsia="Arial" w:hAnsi="Arial"/>
          <w:sz w:val="18"/>
          <w:szCs w:val="18"/>
          <w:color w:val="auto"/>
        </w:rPr>
        <w:t>The following table sets forth our results of operations expressed as dollars and as a percentage of total revenues for the periods indicated:</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w:t>
            </w:r>
          </w:p>
        </w:tc>
        <w:tc>
          <w:tcPr>
            <w:tcW w:w="740" w:type="dxa"/>
            <w:vAlign w:val="bottom"/>
            <w:gridSpan w:val="2"/>
            <w:vMerge w:val="restart"/>
          </w:tcPr>
          <w:p>
            <w:pPr>
              <w:jc w:val="right"/>
              <w:ind w:right="212"/>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Three Months</w:t>
            </w:r>
          </w:p>
        </w:tc>
        <w:tc>
          <w:tcPr>
            <w:tcW w:w="780" w:type="dxa"/>
            <w:vAlign w:val="bottom"/>
            <w:gridSpan w:val="2"/>
            <w:vMerge w:val="restart"/>
          </w:tcPr>
          <w:p>
            <w:pPr>
              <w:jc w:val="right"/>
              <w:ind w:right="232"/>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88"/>
              </w:rPr>
              <w:t>Ended</w:t>
            </w: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560"/>
              <w:spacing w:after="0" w:line="146" w:lineRule="exact"/>
              <w:rPr>
                <w:sz w:val="20"/>
                <w:szCs w:val="20"/>
                <w:color w:val="auto"/>
              </w:rPr>
            </w:pPr>
            <w:r>
              <w:rPr>
                <w:rFonts w:ascii="Arial" w:cs="Arial" w:eastAsia="Arial" w:hAnsi="Arial"/>
                <w:sz w:val="14"/>
                <w:szCs w:val="14"/>
                <w:b w:val="1"/>
                <w:bCs w:val="1"/>
                <w:color w:val="auto"/>
              </w:rPr>
              <w:t>Ended</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2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7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84"/>
              </w:rPr>
              <w:t>Revenues</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7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05"/>
        </w:trPr>
        <w:tc>
          <w:tcPr>
            <w:tcW w:w="4520" w:type="dxa"/>
            <w:vAlign w:val="bottom"/>
            <w:tcBorders>
              <w:top w:val="single" w:sz="8" w:color="auto"/>
            </w:tcBorders>
            <w:shd w:val="clear" w:color="auto" w:fill="CCEEFF"/>
          </w:tcPr>
          <w:p>
            <w:pPr>
              <w:ind w:left="100"/>
              <w:spacing w:after="0" w:line="205" w:lineRule="exact"/>
              <w:rPr>
                <w:sz w:val="20"/>
                <w:szCs w:val="20"/>
                <w:color w:val="auto"/>
              </w:rPr>
            </w:pPr>
            <w:r>
              <w:rPr>
                <w:rFonts w:ascii="Arial" w:cs="Arial" w:eastAsia="Arial" w:hAnsi="Arial"/>
                <w:sz w:val="18"/>
                <w:szCs w:val="18"/>
                <w:color w:val="auto"/>
              </w:rPr>
              <w:t>Net sales</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230,308</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181,277</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2"/>
        </w:trPr>
        <w:tc>
          <w:tcPr>
            <w:tcW w:w="4520" w:type="dxa"/>
            <w:vAlign w:val="bottom"/>
          </w:tcPr>
          <w:p>
            <w:pPr>
              <w:ind w:left="100"/>
              <w:spacing w:after="0"/>
              <w:rPr>
                <w:sz w:val="20"/>
                <w:szCs w:val="20"/>
                <w:color w:val="auto"/>
              </w:rPr>
            </w:pPr>
            <w:r>
              <w:rPr>
                <w:rFonts w:ascii="Arial" w:cs="Arial" w:eastAsia="Arial" w:hAnsi="Arial"/>
                <w:sz w:val="18"/>
                <w:szCs w:val="18"/>
                <w:color w:val="auto"/>
              </w:rPr>
              <w:t>Costs of sales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189,169</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82.1 %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142,993</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78.9 %</w:t>
            </w:r>
          </w:p>
        </w:tc>
        <w:tc>
          <w:tcPr>
            <w:tcW w:w="0" w:type="dxa"/>
            <w:vAlign w:val="bottom"/>
          </w:tcPr>
          <w:p>
            <w:pPr>
              <w:spacing w:after="0"/>
              <w:rPr>
                <w:sz w:val="1"/>
                <w:szCs w:val="1"/>
                <w:color w:val="auto"/>
              </w:rPr>
            </w:pPr>
          </w:p>
        </w:tc>
      </w:tr>
      <w:tr>
        <w:trPr>
          <w:trHeight w:val="205"/>
        </w:trPr>
        <w:tc>
          <w:tcPr>
            <w:tcW w:w="4520" w:type="dxa"/>
            <w:vAlign w:val="bottom"/>
            <w:tcBorders>
              <w:top w:val="single" w:sz="8" w:color="CCEEFF"/>
            </w:tcBorders>
            <w:shd w:val="clear" w:color="auto" w:fill="CCEEFF"/>
          </w:tcPr>
          <w:p>
            <w:pPr>
              <w:ind w:left="200"/>
              <w:spacing w:after="0" w:line="204" w:lineRule="exact"/>
              <w:rPr>
                <w:sz w:val="20"/>
                <w:szCs w:val="20"/>
                <w:color w:val="auto"/>
              </w:rPr>
            </w:pPr>
            <w:r>
              <w:rPr>
                <w:rFonts w:ascii="Arial" w:cs="Arial" w:eastAsia="Arial" w:hAnsi="Arial"/>
                <w:sz w:val="18"/>
                <w:szCs w:val="18"/>
                <w:color w:val="auto"/>
              </w:rPr>
              <w:t>Gross profit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41,139</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17.9</w:t>
            </w:r>
          </w:p>
        </w:tc>
        <w:tc>
          <w:tcPr>
            <w:tcW w:w="16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38,284</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21.1</w:t>
            </w:r>
          </w:p>
        </w:tc>
        <w:tc>
          <w:tcPr>
            <w:tcW w:w="18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2"/>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12"/>
        </w:trPr>
        <w:tc>
          <w:tcPr>
            <w:tcW w:w="4520" w:type="dxa"/>
            <w:vAlign w:val="bottom"/>
          </w:tcPr>
          <w:p>
            <w:pPr>
              <w:ind w:left="100"/>
              <w:spacing w:after="0"/>
              <w:rPr>
                <w:sz w:val="20"/>
                <w:szCs w:val="20"/>
                <w:color w:val="auto"/>
              </w:rPr>
            </w:pPr>
            <w:r>
              <w:rPr>
                <w:rFonts w:ascii="Arial" w:cs="Arial" w:eastAsia="Arial" w:hAnsi="Arial"/>
                <w:sz w:val="18"/>
                <w:szCs w:val="18"/>
                <w:color w:val="auto"/>
              </w:rPr>
              <w:t>Acquisition, restructuring and integration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3,959</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Loss (gain) on disposal of property, plant and equipment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5"/>
        </w:trPr>
        <w:tc>
          <w:tcPr>
            <w:tcW w:w="4520" w:type="dxa"/>
            <w:vAlign w:val="bottom"/>
          </w:tcPr>
          <w:p>
            <w:pPr>
              <w:ind w:left="200"/>
              <w:spacing w:after="0" w:line="204" w:lineRule="exact"/>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35,641</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15.5</w:t>
            </w:r>
          </w:p>
        </w:tc>
        <w:tc>
          <w:tcPr>
            <w:tcW w:w="160" w:type="dxa"/>
            <w:vAlign w:val="bottom"/>
          </w:tcPr>
          <w:p>
            <w:pPr>
              <w:jc w:val="right"/>
              <w:spacing w:after="0" w:line="204"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34,242</w:t>
            </w:r>
          </w:p>
        </w:tc>
        <w:tc>
          <w:tcPr>
            <w:tcW w:w="140" w:type="dxa"/>
            <w:vAlign w:val="bottom"/>
          </w:tcPr>
          <w:p>
            <w:pPr>
              <w:spacing w:after="0"/>
              <w:rPr>
                <w:sz w:val="17"/>
                <w:szCs w:val="17"/>
                <w:color w:val="auto"/>
              </w:rPr>
            </w:pPr>
          </w:p>
        </w:tc>
        <w:tc>
          <w:tcPr>
            <w:tcW w:w="6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18.9</w:t>
            </w:r>
          </w:p>
        </w:tc>
        <w:tc>
          <w:tcPr>
            <w:tcW w:w="180" w:type="dxa"/>
            <w:vAlign w:val="bottom"/>
          </w:tcPr>
          <w:p>
            <w:pPr>
              <w:jc w:val="right"/>
              <w:spacing w:after="0" w:line="204"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2"/>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13,404</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8,614</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2"/>
        </w:trPr>
        <w:tc>
          <w:tcPr>
            <w:tcW w:w="4520" w:type="dxa"/>
            <w:vAlign w:val="bottom"/>
          </w:tcPr>
          <w:p>
            <w:pPr>
              <w:ind w:left="10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(13,446)</w:t>
            </w:r>
          </w:p>
        </w:tc>
        <w:tc>
          <w:tcPr>
            <w:tcW w:w="1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(4,686)</w:t>
            </w:r>
          </w:p>
        </w:tc>
        <w:tc>
          <w:tcPr>
            <w:tcW w:w="1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4520" w:type="dxa"/>
            <w:vAlign w:val="bottom"/>
          </w:tcPr>
          <w:p>
            <w:pPr>
              <w:ind w:left="10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(796)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2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(13,018)</w:t>
            </w:r>
          </w:p>
        </w:tc>
        <w:tc>
          <w:tcPr>
            <w:tcW w:w="1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(3,890)</w:t>
            </w:r>
          </w:p>
        </w:tc>
        <w:tc>
          <w:tcPr>
            <w:tcW w:w="1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2"/>
        </w:trPr>
        <w:tc>
          <w:tcPr>
            <w:tcW w:w="4520" w:type="dxa"/>
            <w:vAlign w:val="bottom"/>
          </w:tcPr>
          <w:p>
            <w:pPr>
              <w:ind w:left="100"/>
              <w:spacing w:after="0"/>
              <w:rPr>
                <w:sz w:val="20"/>
                <w:szCs w:val="20"/>
                <w:color w:val="auto"/>
              </w:rPr>
            </w:pPr>
            <w:r>
              <w:rPr>
                <w:rFonts w:ascii="Arial" w:cs="Arial" w:eastAsia="Arial" w:hAnsi="Arial"/>
                <w:sz w:val="18"/>
                <w:szCs w:val="18"/>
                <w:color w:val="auto"/>
                <w:w w:val="99"/>
              </w:rPr>
              <w:t>Net (loss) income attributable to non-controlling interest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shareholders</w:t>
            </w: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(12,996)</w:t>
            </w:r>
          </w:p>
        </w:tc>
        <w:tc>
          <w:tcPr>
            <w:tcW w:w="1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(3,987)</w:t>
            </w:r>
          </w:p>
        </w:tc>
        <w:tc>
          <w:tcPr>
            <w:tcW w:w="1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0"/>
        </w:trPr>
        <w:tc>
          <w:tcPr>
            <w:tcW w:w="4520" w:type="dxa"/>
            <w:vAlign w:val="bottom"/>
          </w:tcPr>
          <w:p>
            <w:pPr>
              <w:ind w:left="100"/>
              <w:spacing w:after="0" w:line="200" w:lineRule="exact"/>
              <w:rPr>
                <w:sz w:val="20"/>
                <w:szCs w:val="20"/>
                <w:color w:val="auto"/>
              </w:rPr>
            </w:pPr>
            <w:r>
              <w:rPr>
                <w:rFonts w:ascii="Arial" w:cs="Arial" w:eastAsia="Arial" w:hAnsi="Arial"/>
                <w:sz w:val="18"/>
                <w:szCs w:val="18"/>
                <w:color w:val="auto"/>
                <w:w w:val="91"/>
              </w:rPr>
              <w:t>Loss on extinguishment of Redeemable Common Equivalent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20" w:type="dxa"/>
            <w:vAlign w:val="bottom"/>
          </w:tcPr>
          <w:p>
            <w:pPr>
              <w:ind w:left="100"/>
              <w:spacing w:after="0"/>
              <w:rPr>
                <w:sz w:val="20"/>
                <w:szCs w:val="20"/>
                <w:color w:val="auto"/>
              </w:rPr>
            </w:pPr>
            <w:r>
              <w:rPr>
                <w:rFonts w:ascii="Arial" w:cs="Arial" w:eastAsia="Arial" w:hAnsi="Arial"/>
                <w:sz w:val="18"/>
                <w:szCs w:val="18"/>
                <w:color w:val="auto"/>
              </w:rPr>
              <w:t>Preferred Units, net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(2,870)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equivalent preferred dividends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2"/>
        </w:trPr>
        <w:tc>
          <w:tcPr>
            <w:tcW w:w="4520" w:type="dxa"/>
            <w:vAlign w:val="bottom"/>
          </w:tcPr>
          <w:p>
            <w:pPr>
              <w:ind w:left="100"/>
              <w:spacing w:after="0"/>
              <w:rPr>
                <w:sz w:val="20"/>
                <w:szCs w:val="20"/>
                <w:color w:val="auto"/>
              </w:rPr>
            </w:pPr>
            <w:r>
              <w:rPr>
                <w:rFonts w:ascii="Arial" w:cs="Arial" w:eastAsia="Arial" w:hAnsi="Arial"/>
                <w:sz w:val="18"/>
                <w:szCs w:val="18"/>
                <w:color w:val="auto"/>
              </w:rPr>
              <w:t>Accumulating preferred dividends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(6,109)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5"/>
        </w:trPr>
        <w:tc>
          <w:tcPr>
            <w:tcW w:w="452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Net loss attributable to common shareholders</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(20,246)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(8.8)</w:t>
            </w:r>
          </w:p>
        </w:tc>
        <w:tc>
          <w:tcPr>
            <w:tcW w:w="160" w:type="dxa"/>
            <w:vAlign w:val="bottom"/>
            <w:tcBorders>
              <w:top w:val="single" w:sz="8" w:color="CCEEFF"/>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(10,096)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(5.6)</w:t>
            </w:r>
          </w:p>
        </w:tc>
        <w:tc>
          <w:tcPr>
            <w:tcW w:w="180" w:type="dxa"/>
            <w:vAlign w:val="bottom"/>
            <w:tcBorders>
              <w:top w:val="single" w:sz="8" w:color="CCEEFF"/>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551"/>
        </w:trPr>
        <w:tc>
          <w:tcPr>
            <w:tcW w:w="4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1" w:right="1440" w:bottom="1440" w:gutter="0" w:footer="0" w:header="0"/>
        </w:sectPr>
      </w:pPr>
    </w:p>
    <w:bookmarkStart w:id="41" w:name="page42"/>
    <w:bookmarkEnd w:id="4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sets forth selected financial information of our reportable segments for the three months ended</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30, 2022 and 2021:</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Beverage</w:t>
            </w: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89"/>
              </w:rPr>
              <w:t>Sustainable</w:t>
            </w:r>
          </w:p>
        </w:tc>
        <w:tc>
          <w:tcPr>
            <w:tcW w:w="24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Intersegment</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Total of</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Sourcing &amp;</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2"/>
        </w:trPr>
        <w:tc>
          <w:tcPr>
            <w:tcW w:w="49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Solutions</w:t>
            </w:r>
          </w:p>
        </w:tc>
        <w:tc>
          <w:tcPr>
            <w:tcW w:w="740" w:type="dxa"/>
            <w:vAlign w:val="bottom"/>
          </w:tcPr>
          <w:p>
            <w:pPr>
              <w:spacing w:after="0"/>
              <w:rPr>
                <w:sz w:val="20"/>
                <w:szCs w:val="20"/>
                <w:color w:val="auto"/>
              </w:rPr>
            </w:pPr>
            <w:r>
              <w:rPr>
                <w:rFonts w:ascii="Arial" w:cs="Arial" w:eastAsia="Arial" w:hAnsi="Arial"/>
                <w:sz w:val="14"/>
                <w:szCs w:val="14"/>
                <w:b w:val="1"/>
                <w:bCs w:val="1"/>
                <w:color w:val="auto"/>
                <w:w w:val="92"/>
              </w:rPr>
              <w:t>Traceability</w:t>
            </w:r>
          </w:p>
        </w:tc>
        <w:tc>
          <w:tcPr>
            <w:tcW w:w="240" w:type="dxa"/>
            <w:vAlign w:val="bottom"/>
          </w:tcPr>
          <w:p>
            <w:pPr>
              <w:spacing w:after="0"/>
              <w:rPr>
                <w:sz w:val="14"/>
                <w:szCs w:val="14"/>
                <w:color w:val="auto"/>
              </w:rPr>
            </w:pPr>
          </w:p>
        </w:tc>
        <w:tc>
          <w:tcPr>
            <w:tcW w:w="980" w:type="dxa"/>
            <w:vAlign w:val="bottom"/>
            <w:gridSpan w:val="2"/>
          </w:tcPr>
          <w:p>
            <w:pPr>
              <w:ind w:left="80"/>
              <w:spacing w:after="0" w:line="173" w:lineRule="exact"/>
              <w:rPr>
                <w:sz w:val="20"/>
                <w:szCs w:val="20"/>
                <w:color w:val="auto"/>
              </w:rPr>
            </w:pPr>
            <w:r>
              <w:rPr>
                <w:rFonts w:ascii="Arial" w:cs="Arial" w:eastAsia="Arial" w:hAnsi="Arial"/>
                <w:sz w:val="13"/>
                <w:szCs w:val="13"/>
                <w:b w:val="1"/>
                <w:bCs w:val="1"/>
                <w:color w:val="auto"/>
              </w:rPr>
              <w:t>Revenues</w:t>
            </w:r>
            <w:r>
              <w:rPr>
                <w:rFonts w:ascii="Arial" w:cs="Arial" w:eastAsia="Arial" w:hAnsi="Arial"/>
                <w:sz w:val="19"/>
                <w:szCs w:val="19"/>
                <w:b w:val="1"/>
                <w:bCs w:val="1"/>
                <w:color w:val="auto"/>
                <w:vertAlign w:val="superscript"/>
              </w:rPr>
              <w:t>(1)</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Segments</w:t>
            </w:r>
          </w:p>
        </w:tc>
        <w:tc>
          <w:tcPr>
            <w:tcW w:w="0" w:type="dxa"/>
            <w:vAlign w:val="bottom"/>
          </w:tcPr>
          <w:p>
            <w:pPr>
              <w:spacing w:after="0"/>
              <w:rPr>
                <w:sz w:val="1"/>
                <w:szCs w:val="1"/>
                <w:color w:val="auto"/>
              </w:rPr>
            </w:pPr>
          </w:p>
        </w:tc>
      </w:tr>
      <w:tr>
        <w:trPr>
          <w:trHeight w:val="205"/>
        </w:trPr>
        <w:tc>
          <w:tcPr>
            <w:tcW w:w="482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Segment Revenues:</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20" w:type="dxa"/>
            <w:vAlign w:val="bottom"/>
          </w:tcPr>
          <w:p>
            <w:pPr>
              <w:jc w:val="right"/>
              <w:ind w:right="4273"/>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$ 173,486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6"/>
              </w:rPr>
              <w:t>$ 62,809</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   (5,987)</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$ 230,308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jc w:val="right"/>
              <w:ind w:right="4273"/>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138,838</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47,529</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(5,090)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Segment Costs of Sales: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jc w:val="right"/>
              <w:ind w:right="4273"/>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136,366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tcPr>
          <w:p>
            <w:pPr>
              <w:jc w:val="right"/>
              <w:ind w:right="4273"/>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104,835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38,158</w:t>
            </w:r>
          </w:p>
        </w:tc>
        <w:tc>
          <w:tcPr>
            <w:tcW w:w="240" w:type="dxa"/>
            <w:vAlign w:val="bottom"/>
          </w:tcPr>
          <w:p>
            <w:pPr>
              <w:spacing w:after="0"/>
              <w:rPr>
                <w:sz w:val="18"/>
                <w:szCs w:val="18"/>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142,993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Gross Profit:</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tcPr>
          <w:p>
            <w:pPr>
              <w:jc w:val="right"/>
              <w:ind w:right="4273"/>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37,120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4,019</w:t>
            </w:r>
          </w:p>
        </w:tc>
        <w:tc>
          <w:tcPr>
            <w:tcW w:w="240" w:type="dxa"/>
            <w:vAlign w:val="bottom"/>
          </w:tcPr>
          <w:p>
            <w:pPr>
              <w:spacing w:after="0"/>
              <w:rPr>
                <w:sz w:val="18"/>
                <w:szCs w:val="18"/>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41,139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jc w:val="right"/>
              <w:ind w:right="4273"/>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34,003</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Segment Adjusted EBITDA:</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jc w:val="right"/>
              <w:ind w:right="4273"/>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tcPr>
          <w:p>
            <w:pPr>
              <w:jc w:val="right"/>
              <w:ind w:right="4273"/>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11,462</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8"/>
                <w:szCs w:val="18"/>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13,479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Adjusted EBITDA Margin:</w:t>
            </w:r>
          </w:p>
        </w:tc>
        <w:tc>
          <w:tcPr>
            <w:tcW w:w="2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2"/>
        </w:trPr>
        <w:tc>
          <w:tcPr>
            <w:tcW w:w="2220" w:type="dxa"/>
            <w:vAlign w:val="bottom"/>
          </w:tcPr>
          <w:p>
            <w:pPr>
              <w:jc w:val="right"/>
              <w:ind w:right="1672"/>
              <w:spacing w:after="0"/>
              <w:rPr>
                <w:sz w:val="20"/>
                <w:szCs w:val="20"/>
                <w:color w:val="auto"/>
              </w:rPr>
            </w:pPr>
            <w:r>
              <w:rPr>
                <w:rFonts w:ascii="Arial" w:cs="Arial" w:eastAsia="Arial" w:hAnsi="Arial"/>
                <w:sz w:val="18"/>
                <w:szCs w:val="18"/>
                <w:color w:val="auto"/>
              </w:rPr>
              <w:t>2022</w:t>
            </w:r>
          </w:p>
        </w:tc>
        <w:tc>
          <w:tcPr>
            <w:tcW w:w="1900" w:type="dxa"/>
            <w:vAlign w:val="bottom"/>
          </w:tcPr>
          <w:p>
            <w:pPr>
              <w:spacing w:after="0"/>
              <w:rPr>
                <w:sz w:val="18"/>
                <w:szCs w:val="18"/>
                <w:color w:val="auto"/>
              </w:rPr>
            </w:pPr>
          </w:p>
        </w:tc>
        <w:tc>
          <w:tcPr>
            <w:tcW w:w="2040" w:type="dxa"/>
            <w:vAlign w:val="bottom"/>
          </w:tcPr>
          <w:p>
            <w:pPr>
              <w:jc w:val="right"/>
              <w:ind w:right="192"/>
              <w:spacing w:after="0"/>
              <w:rPr>
                <w:sz w:val="20"/>
                <w:szCs w:val="20"/>
                <w:color w:val="auto"/>
              </w:rPr>
            </w:pPr>
            <w:r>
              <w:rPr>
                <w:rFonts w:ascii="Arial" w:cs="Arial" w:eastAsia="Arial" w:hAnsi="Arial"/>
                <w:sz w:val="18"/>
                <w:szCs w:val="18"/>
                <w:color w:val="auto"/>
              </w:rPr>
              <w:t>9.2 %</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3.6 %</w:t>
            </w:r>
          </w:p>
        </w:tc>
        <w:tc>
          <w:tcPr>
            <w:tcW w:w="900" w:type="dxa"/>
            <w:vAlign w:val="bottom"/>
          </w:tcPr>
          <w:p>
            <w:pPr>
              <w:ind w:left="3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12"/>
        </w:trPr>
        <w:tc>
          <w:tcPr>
            <w:tcW w:w="2220" w:type="dxa"/>
            <w:vAlign w:val="bottom"/>
            <w:shd w:val="clear" w:color="auto" w:fill="CCEEFF"/>
          </w:tcPr>
          <w:p>
            <w:pPr>
              <w:jc w:val="right"/>
              <w:ind w:right="1672"/>
              <w:spacing w:after="0"/>
              <w:rPr>
                <w:sz w:val="20"/>
                <w:szCs w:val="20"/>
                <w:color w:val="auto"/>
              </w:rPr>
            </w:pPr>
            <w:r>
              <w:rPr>
                <w:rFonts w:ascii="Arial" w:cs="Arial" w:eastAsia="Arial" w:hAnsi="Arial"/>
                <w:sz w:val="18"/>
                <w:szCs w:val="18"/>
                <w:color w:val="auto"/>
              </w:rPr>
              <w:t>2021</w:t>
            </w:r>
          </w:p>
        </w:tc>
        <w:tc>
          <w:tcPr>
            <w:tcW w:w="190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8.3 %</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4.8 %</w:t>
            </w:r>
          </w:p>
        </w:tc>
        <w:tc>
          <w:tcPr>
            <w:tcW w:w="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113"/>
        </w:trPr>
        <w:tc>
          <w:tcPr>
            <w:tcW w:w="222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r>
    </w:tbl>
    <w:p>
      <w:pPr>
        <w:spacing w:after="0" w:line="70"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Intersegment revenues represent sales of green coffee from our SS&amp;T segment to our Beverage Solutions Segment.</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Sales</w:t>
      </w:r>
    </w:p>
    <w:p>
      <w:pPr>
        <w:spacing w:after="0" w:line="217" w:lineRule="exact"/>
        <w:rPr>
          <w:sz w:val="20"/>
          <w:szCs w:val="20"/>
          <w:color w:val="auto"/>
        </w:rPr>
      </w:pPr>
    </w:p>
    <w:p>
      <w:pPr>
        <w:ind w:left="40" w:right="79"/>
        <w:spacing w:after="0" w:line="267" w:lineRule="auto"/>
        <w:rPr>
          <w:sz w:val="20"/>
          <w:szCs w:val="20"/>
          <w:color w:val="auto"/>
        </w:rPr>
      </w:pPr>
      <w:r>
        <w:rPr>
          <w:rFonts w:ascii="Arial" w:cs="Arial" w:eastAsia="Arial" w:hAnsi="Arial"/>
          <w:sz w:val="17"/>
          <w:szCs w:val="17"/>
          <w:color w:val="auto"/>
        </w:rPr>
        <w:t>Net Sales from our Beverage Solutions segment were $173.5 million for the three months ended September 30, 2022, compared to $138.8 million for the three months ended September 30, 2021, an increase of approximately 25%. The increase was due to a $34.7 million increase in the sale of coffee &amp; tea products, driven by a 59% increase in single serve cup volumes compared to the three months ended September 30, 2021, and an increase in underlying green coffee prices quarter over quarter. These increases were partially offset by a 9% decrease in roast and ground coffee products, driven in part by higher inflation impacting end-consumer demand.</w:t>
      </w:r>
    </w:p>
    <w:p>
      <w:pPr>
        <w:spacing w:after="0" w:line="179" w:lineRule="exact"/>
        <w:rPr>
          <w:sz w:val="20"/>
          <w:szCs w:val="20"/>
          <w:color w:val="auto"/>
        </w:rPr>
      </w:pPr>
    </w:p>
    <w:p>
      <w:pPr>
        <w:ind w:left="40" w:right="219"/>
        <w:spacing w:after="0" w:line="309" w:lineRule="auto"/>
        <w:rPr>
          <w:sz w:val="20"/>
          <w:szCs w:val="20"/>
          <w:color w:val="auto"/>
        </w:rPr>
      </w:pPr>
      <w:r>
        <w:rPr>
          <w:rFonts w:ascii="Arial" w:cs="Arial" w:eastAsia="Arial" w:hAnsi="Arial"/>
          <w:sz w:val="15"/>
          <w:szCs w:val="15"/>
          <w:color w:val="auto"/>
        </w:rPr>
        <w:t>Net Sales from our SS&amp;T segment totaled $56.8 million, net of intersegment revenues, during the three months ended September 30, 2022, increasing 34% compared to $42.4 million during the three months ended September 30, 2021. The increase is driven by an increase in the average sales price per pound, which increased 36% for the three months ended September 30, 2022 compared to the three months ended September 30, 2021. The increase in the average sales price per pound is directly correlated to the global commodities price. SS&amp;T sales volume decreased approximately 3% for the three months ended September 30, 2022 compared to the three months ended September 30, 2021.</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Costs of Sales</w:t>
      </w:r>
    </w:p>
    <w:p>
      <w:pPr>
        <w:spacing w:after="0" w:line="217" w:lineRule="exact"/>
        <w:rPr>
          <w:sz w:val="20"/>
          <w:szCs w:val="20"/>
          <w:color w:val="auto"/>
        </w:rPr>
      </w:pPr>
    </w:p>
    <w:p>
      <w:pPr>
        <w:ind w:left="40" w:right="99"/>
        <w:spacing w:after="0" w:line="267" w:lineRule="auto"/>
        <w:rPr>
          <w:sz w:val="20"/>
          <w:szCs w:val="20"/>
          <w:color w:val="auto"/>
        </w:rPr>
      </w:pPr>
      <w:r>
        <w:rPr>
          <w:rFonts w:ascii="Arial" w:cs="Arial" w:eastAsia="Arial" w:hAnsi="Arial"/>
          <w:sz w:val="17"/>
          <w:szCs w:val="17"/>
          <w:color w:val="auto"/>
        </w:rPr>
        <w:t>In our Beverage Solutions segment, costs of sales increased to $136.4 million for the three months ended September 30, 2022, from $104.8 million for the three months ended September 30, 2021. The increase in costs of sales was driven by an increase in materials costs of approximately $29.5 million driven by increased sales volume, specifically in single serve cups, an increase in underlying commodities pricing impacting the cost of green coffee, inflationary increases on other material costs, as well as a $2.0 million increases in manufacturing costs for the three months ended September 30, 2022 compared to the three months ended September 30, 2021, primarily due to wage inflation.</w:t>
      </w:r>
    </w:p>
    <w:p>
      <w:pPr>
        <w:spacing w:after="0" w:line="179" w:lineRule="exact"/>
        <w:rPr>
          <w:sz w:val="20"/>
          <w:szCs w:val="20"/>
          <w:color w:val="auto"/>
        </w:rPr>
      </w:pPr>
    </w:p>
    <w:p>
      <w:pPr>
        <w:ind w:left="40" w:right="119"/>
        <w:spacing w:after="0" w:line="312" w:lineRule="auto"/>
        <w:rPr>
          <w:sz w:val="20"/>
          <w:szCs w:val="20"/>
          <w:color w:val="auto"/>
        </w:rPr>
      </w:pPr>
      <w:r>
        <w:rPr>
          <w:rFonts w:ascii="Arial" w:cs="Arial" w:eastAsia="Arial" w:hAnsi="Arial"/>
          <w:sz w:val="15"/>
          <w:szCs w:val="15"/>
          <w:color w:val="auto"/>
        </w:rPr>
        <w:t>In our SS&amp;T segment, costs of sales increased $14.6 million to $52.8 million for the three months ended September 30, 2022 compared to the three months ended September 30, 2021. This increase is primarily due to an increase in green coffee costs driven by an increase in underlying commodities pricings. Costs of sales for the three months ended September 30, 2022 included $0.5 million of net unrealized losses on forward sales and purchase contracts and mark-to-market adjustment on green coffee inventory compared to no such costs for the three months ended September 30, 2021.</w:t>
      </w:r>
    </w:p>
    <w:p>
      <w:pPr>
        <w:sectPr>
          <w:pgSz w:w="11900" w:h="16838" w:orient="portrait"/>
          <w:cols w:equalWidth="0" w:num="1">
            <w:col w:w="9019"/>
          </w:cols>
          <w:pgMar w:left="1440" w:top="511" w:right="1440" w:bottom="1440" w:gutter="0" w:footer="0" w:header="0"/>
        </w:sectPr>
      </w:pPr>
    </w:p>
    <w:p>
      <w:pPr>
        <w:spacing w:after="0" w:line="363" w:lineRule="exact"/>
        <w:rPr>
          <w:sz w:val="20"/>
          <w:szCs w:val="20"/>
          <w:color w:val="auto"/>
        </w:rPr>
      </w:pPr>
    </w:p>
    <w:p>
      <w:pPr>
        <w:ind w:left="8780"/>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369570</wp:posOffset>
            </wp:positionV>
            <wp:extent cx="565404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type w:val="continuous"/>
        </w:sectPr>
      </w:pPr>
    </w:p>
    <w:bookmarkStart w:id="42" w:name="page43"/>
    <w:bookmarkEnd w:id="4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160" w:type="dxa"/>
            <w:vAlign w:val="bottom"/>
            <w:gridSpan w:val="8"/>
          </w:tcPr>
          <w:p>
            <w:pPr>
              <w:jc w:val="right"/>
              <w:ind w:right="852"/>
              <w:spacing w:after="0"/>
              <w:rPr>
                <w:sz w:val="20"/>
                <w:szCs w:val="20"/>
                <w:color w:val="auto"/>
              </w:rPr>
            </w:pPr>
            <w:r>
              <w:rPr>
                <w:rFonts w:ascii="Arial" w:cs="Arial" w:eastAsia="Arial" w:hAnsi="Arial"/>
                <w:sz w:val="14"/>
                <w:szCs w:val="14"/>
                <w:b w:val="1"/>
                <w:bCs w:val="1"/>
                <w:color w:val="auto"/>
                <w:w w:val="92"/>
              </w:rPr>
              <w:t>Three Months Ended September 30,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642"/>
              <w:spacing w:after="0" w:line="139" w:lineRule="exact"/>
              <w:rPr>
                <w:sz w:val="20"/>
                <w:szCs w:val="20"/>
                <w:color w:val="auto"/>
              </w:rPr>
            </w:pPr>
            <w:r>
              <w:rPr>
                <w:rFonts w:ascii="Arial" w:cs="Arial" w:eastAsia="Arial" w:hAnsi="Arial"/>
                <w:sz w:val="14"/>
                <w:szCs w:val="14"/>
                <w:b w:val="1"/>
                <w:bCs w:val="1"/>
                <w:color w:val="auto"/>
                <w:w w:val="89"/>
              </w:rPr>
              <w:t>2022</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642"/>
              <w:spacing w:after="0" w:line="139"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880" w:type="dxa"/>
            <w:vAlign w:val="bottom"/>
          </w:tcPr>
          <w:p>
            <w:pPr>
              <w:jc w:val="right"/>
              <w:spacing w:after="0" w:line="116" w:lineRule="exact"/>
              <w:rPr>
                <w:sz w:val="20"/>
                <w:szCs w:val="20"/>
                <w:color w:val="auto"/>
              </w:rPr>
            </w:pPr>
            <w:r>
              <w:rPr>
                <w:rFonts w:ascii="Arial" w:cs="Arial" w:eastAsia="Arial" w:hAnsi="Arial"/>
                <w:sz w:val="13"/>
                <w:szCs w:val="13"/>
                <w:b w:val="1"/>
                <w:bCs w:val="1"/>
                <w:color w:val="auto"/>
                <w:w w:val="97"/>
              </w:rPr>
              <w:t>% of Segment</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880" w:type="dxa"/>
            <w:vAlign w:val="bottom"/>
          </w:tcPr>
          <w:p>
            <w:pPr>
              <w:jc w:val="right"/>
              <w:spacing w:after="0" w:line="116" w:lineRule="exact"/>
              <w:rPr>
                <w:sz w:val="20"/>
                <w:szCs w:val="20"/>
                <w:color w:val="auto"/>
              </w:rPr>
            </w:pPr>
            <w:r>
              <w:rPr>
                <w:rFonts w:ascii="Arial" w:cs="Arial" w:eastAsia="Arial" w:hAnsi="Arial"/>
                <w:sz w:val="13"/>
                <w:szCs w:val="13"/>
                <w:b w:val="1"/>
                <w:bCs w:val="1"/>
                <w:color w:val="auto"/>
                <w:w w:val="97"/>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9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Revenues</w:t>
            </w: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tcBorders>
              <w:top w:val="single" w:sz="8" w:color="auto"/>
            </w:tcBorders>
            <w:shd w:val="clear" w:color="auto" w:fill="CCEEFF"/>
          </w:tcPr>
          <w:p>
            <w:pPr>
              <w:ind w:left="100"/>
              <w:spacing w:after="0" w:line="205" w:lineRule="exact"/>
              <w:rPr>
                <w:sz w:val="20"/>
                <w:szCs w:val="20"/>
                <w:color w:val="auto"/>
              </w:rPr>
            </w:pPr>
            <w:r>
              <w:rPr>
                <w:rFonts w:ascii="Arial" w:cs="Arial" w:eastAsia="Arial" w:hAnsi="Arial"/>
                <w:sz w:val="18"/>
                <w:szCs w:val="18"/>
                <w:color w:val="auto"/>
              </w:rPr>
              <w:t>Beverage Solutions</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5"/>
              </w:rPr>
              <w:t>$ 28,823</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16.6</w:t>
            </w:r>
          </w:p>
        </w:tc>
        <w:tc>
          <w:tcPr>
            <w:tcW w:w="20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8"/>
              </w:rPr>
              <w:t>$ 30,559</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22.0</w:t>
            </w:r>
          </w:p>
        </w:tc>
        <w:tc>
          <w:tcPr>
            <w:tcW w:w="18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Sustainable Sourcing &amp; Traceability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2,400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4.2 %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2,244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Total selling, general and administrative expense</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5"/>
              </w:rPr>
              <w:t>$ 31,223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13.6</w:t>
            </w:r>
          </w:p>
        </w:tc>
        <w:tc>
          <w:tcPr>
            <w:tcW w:w="240" w:type="dxa"/>
            <w:vAlign w:val="bottom"/>
            <w:tcBorders>
              <w:top w:val="single" w:sz="8" w:color="CCEEFF"/>
              <w:bottom w:val="single" w:sz="8" w:color="CCEEFF"/>
            </w:tcBorders>
            <w:gridSpan w:val="2"/>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8"/>
              </w:rPr>
              <w:t>$ 32,803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18.1</w:t>
            </w:r>
          </w:p>
        </w:tc>
        <w:tc>
          <w:tcPr>
            <w:tcW w:w="180" w:type="dxa"/>
            <w:vAlign w:val="bottom"/>
            <w:tcBorders>
              <w:top w:val="single" w:sz="8" w:color="CCEEFF"/>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0" w:right="119"/>
        <w:spacing w:after="0" w:line="265" w:lineRule="auto"/>
        <w:rPr>
          <w:sz w:val="20"/>
          <w:szCs w:val="20"/>
          <w:color w:val="auto"/>
        </w:rPr>
      </w:pPr>
      <w:r>
        <w:rPr>
          <w:rFonts w:ascii="Arial" w:cs="Arial" w:eastAsia="Arial" w:hAnsi="Arial"/>
          <w:sz w:val="17"/>
          <w:szCs w:val="17"/>
          <w:color w:val="auto"/>
        </w:rPr>
        <w:t>Total selling, general and administrative expenses in our Beverage Solutions segment decreased $1.7 million to $28.8 million for the three months ended September 30, 2022, compared to the three months ended September 30, 2021. The decrease is primarily due to an approximately $2.2 million decrease in personnel-related expenses, a $0.9 million decrease in equipment and service costs and a $0.5 million decrease in insurance costs, partially offset by a $1.0 million increase in depreciation expense and a $0.9 million increase in legal and professional fees for the three months ended September 30, 2022 compared to the three months ended September 30, 2021. In our SS&amp;T segment, selling, general and administrative costs increased $0.1 million due to increased personnel costs.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Acquisition, Restructuring and Integration Expense</w:t>
      </w:r>
    </w:p>
    <w:p>
      <w:pPr>
        <w:spacing w:after="0" w:line="217" w:lineRule="exact"/>
        <w:rPr>
          <w:sz w:val="20"/>
          <w:szCs w:val="20"/>
          <w:color w:val="auto"/>
        </w:rPr>
      </w:pPr>
    </w:p>
    <w:p>
      <w:pPr>
        <w:ind w:left="40" w:right="279"/>
        <w:spacing w:after="0" w:line="267" w:lineRule="auto"/>
        <w:rPr>
          <w:sz w:val="20"/>
          <w:szCs w:val="20"/>
          <w:color w:val="auto"/>
        </w:rPr>
      </w:pPr>
      <w:r>
        <w:rPr>
          <w:rFonts w:ascii="Arial" w:cs="Arial" w:eastAsia="Arial" w:hAnsi="Arial"/>
          <w:sz w:val="17"/>
          <w:szCs w:val="17"/>
          <w:color w:val="auto"/>
        </w:rPr>
        <w:t>Acquisition, restructuring and integration expenses for the three months ended September 30, 2022 were $4.0 million, $1.3 million of which related to the integration of our new enterprise resource planning system, $1.2 million of which related to public-company preparedness costs and $0.9 million of which related to startup costs for our Conway, Arkansas manufacturing facility. During the three months ended September 30, 2021, we incurred $1.8 million of acquisition, restructuring and integration expenses, approximately $1.2 million of which relates to salesforce restructuring and $0.5 million of which related to integration costs related to the acquired S&amp;D business.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652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2380" w:type="dxa"/>
            <w:vAlign w:val="bottom"/>
            <w:gridSpan w:val="7"/>
          </w:tcPr>
          <w:p>
            <w:pPr>
              <w:ind w:left="20"/>
              <w:spacing w:after="0"/>
              <w:rPr>
                <w:sz w:val="20"/>
                <w:szCs w:val="20"/>
                <w:color w:val="auto"/>
              </w:rPr>
            </w:pPr>
            <w:r>
              <w:rPr>
                <w:rFonts w:ascii="Arial" w:cs="Arial" w:eastAsia="Arial" w:hAnsi="Arial"/>
                <w:sz w:val="14"/>
                <w:szCs w:val="14"/>
                <w:b w:val="1"/>
                <w:bCs w:val="1"/>
                <w:color w:val="auto"/>
                <w:w w:val="98"/>
              </w:rPr>
              <w:t>Three Months Ended September 30,</w:t>
            </w:r>
          </w:p>
        </w:tc>
        <w:tc>
          <w:tcPr>
            <w:tcW w:w="0" w:type="dxa"/>
            <w:vAlign w:val="bottom"/>
          </w:tcPr>
          <w:p>
            <w:pPr>
              <w:spacing w:after="0"/>
              <w:rPr>
                <w:sz w:val="1"/>
                <w:szCs w:val="1"/>
                <w:color w:val="auto"/>
              </w:rPr>
            </w:pPr>
          </w:p>
        </w:tc>
      </w:tr>
      <w:tr>
        <w:trPr>
          <w:trHeight w:val="139"/>
        </w:trPr>
        <w:tc>
          <w:tcPr>
            <w:tcW w:w="652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3"/>
              <w:spacing w:after="0" w:line="139"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3"/>
              <w:spacing w:after="0" w:line="13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360" w:type="dxa"/>
            <w:vAlign w:val="bottom"/>
            <w:tcBorders>
              <w:top w:val="single" w:sz="8" w:color="auto"/>
            </w:tcBorders>
            <w:shd w:val="clear" w:color="auto" w:fill="CCEEFF"/>
          </w:tcPr>
          <w:p>
            <w:pPr>
              <w:ind w:left="100"/>
              <w:spacing w:after="0" w:line="205" w:lineRule="exact"/>
              <w:rPr>
                <w:sz w:val="20"/>
                <w:szCs w:val="20"/>
                <w:color w:val="auto"/>
              </w:rPr>
            </w:pPr>
            <w:r>
              <w:rPr>
                <w:rFonts w:ascii="Arial" w:cs="Arial" w:eastAsia="Arial" w:hAnsi="Arial"/>
                <w:sz w:val="18"/>
                <w:szCs w:val="18"/>
                <w:color w:val="auto"/>
              </w:rPr>
              <w:t>Interest expense, net</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520" w:type="dxa"/>
            <w:vAlign w:val="bottom"/>
            <w:gridSpan w:val="2"/>
          </w:tcPr>
          <w:p>
            <w:pPr>
              <w:ind w:left="100"/>
              <w:spacing w:after="0"/>
              <w:rPr>
                <w:sz w:val="20"/>
                <w:szCs w:val="20"/>
                <w:color w:val="auto"/>
              </w:rPr>
            </w:pPr>
            <w:r>
              <w:rPr>
                <w:rFonts w:ascii="Arial" w:cs="Arial" w:eastAsia="Arial" w:hAnsi="Arial"/>
                <w:sz w:val="18"/>
                <w:szCs w:val="18"/>
                <w:b w:val="1"/>
                <w:bCs w:val="1"/>
                <w:color w:val="auto"/>
              </w:rPr>
              <w:t>Cash:</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 loan facility</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6520" w:type="dxa"/>
            <w:vAlign w:val="bottom"/>
            <w:gridSpan w:val="2"/>
          </w:tcPr>
          <w:p>
            <w:pPr>
              <w:ind w:left="200"/>
              <w:spacing w:after="0"/>
              <w:rPr>
                <w:sz w:val="20"/>
                <w:szCs w:val="20"/>
                <w:color w:val="auto"/>
              </w:rPr>
            </w:pPr>
            <w:r>
              <w:rPr>
                <w:rFonts w:ascii="Arial" w:cs="Arial" w:eastAsia="Arial" w:hAnsi="Arial"/>
                <w:sz w:val="18"/>
                <w:szCs w:val="18"/>
                <w:color w:val="auto"/>
              </w:rPr>
              <w:t>Prior term loan facility</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Prior term loan facility early termination fee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6520" w:type="dxa"/>
            <w:vAlign w:val="bottom"/>
            <w:gridSpan w:val="2"/>
          </w:tcPr>
          <w:p>
            <w:pPr>
              <w:ind w:left="200"/>
              <w:spacing w:after="0"/>
              <w:rPr>
                <w:sz w:val="20"/>
                <w:szCs w:val="20"/>
                <w:color w:val="auto"/>
              </w:rPr>
            </w:pPr>
            <w:r>
              <w:rPr>
                <w:rFonts w:ascii="Arial" w:cs="Arial" w:eastAsia="Arial" w:hAnsi="Arial"/>
                <w:sz w:val="18"/>
                <w:szCs w:val="18"/>
                <w:color w:val="auto"/>
              </w:rPr>
              <w:t>Prior ABL facility</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Short-term related party debt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20" w:type="dxa"/>
            <w:vAlign w:val="bottom"/>
            <w:gridSpan w:val="2"/>
          </w:tcPr>
          <w:p>
            <w:pPr>
              <w:ind w:left="200"/>
              <w:spacing w:after="0"/>
              <w:rPr>
                <w:sz w:val="20"/>
                <w:szCs w:val="20"/>
                <w:color w:val="auto"/>
              </w:rPr>
            </w:pPr>
            <w:r>
              <w:rPr>
                <w:rFonts w:ascii="Arial" w:cs="Arial" w:eastAsia="Arial" w:hAnsi="Arial"/>
                <w:sz w:val="18"/>
                <w:szCs w:val="18"/>
                <w:color w:val="auto"/>
              </w:rPr>
              <w:t>Subordinated related party debt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International trade finance lines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20" w:type="dxa"/>
            <w:vAlign w:val="bottom"/>
            <w:gridSpan w:val="2"/>
          </w:tcPr>
          <w:p>
            <w:pPr>
              <w:ind w:left="200"/>
              <w:spacing w:after="0"/>
              <w:rPr>
                <w:sz w:val="20"/>
                <w:szCs w:val="20"/>
                <w:color w:val="auto"/>
              </w:rPr>
            </w:pPr>
            <w:r>
              <w:rPr>
                <w:rFonts w:ascii="Arial" w:cs="Arial" w:eastAsia="Arial" w:hAnsi="Arial"/>
                <w:sz w:val="18"/>
                <w:szCs w:val="18"/>
                <w:color w:val="auto"/>
              </w:rPr>
              <w:t>International notes payable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520" w:type="dxa"/>
            <w:vAlign w:val="bottom"/>
            <w:gridSpan w:val="2"/>
          </w:tcPr>
          <w:p>
            <w:pPr>
              <w:ind w:left="320"/>
              <w:spacing w:after="0" w:line="205" w:lineRule="exact"/>
              <w:rPr>
                <w:sz w:val="20"/>
                <w:szCs w:val="20"/>
                <w:color w:val="auto"/>
              </w:rPr>
            </w:pPr>
            <w:r>
              <w:rPr>
                <w:rFonts w:ascii="Arial" w:cs="Arial" w:eastAsia="Arial" w:hAnsi="Arial"/>
                <w:sz w:val="18"/>
                <w:szCs w:val="18"/>
                <w:b w:val="1"/>
                <w:bCs w:val="1"/>
                <w:color w:val="auto"/>
              </w:rPr>
              <w:t>Total cash interest</w:t>
            </w:r>
          </w:p>
        </w:tc>
        <w:tc>
          <w:tcPr>
            <w:tcW w:w="22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Arial" w:cs="Arial" w:eastAsia="Arial" w:hAnsi="Arial"/>
                <w:sz w:val="18"/>
                <w:szCs w:val="18"/>
                <w:color w:val="auto"/>
              </w:rPr>
              <w:t>8,802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Arial" w:cs="Arial" w:eastAsia="Arial" w:hAnsi="Arial"/>
                <w:sz w:val="18"/>
                <w:szCs w:val="18"/>
                <w:color w:val="auto"/>
              </w:rPr>
              <w:t>7,695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Non-cash:</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20" w:type="dxa"/>
            <w:vAlign w:val="bottom"/>
            <w:gridSpan w:val="2"/>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Write-off of deferred financing costs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65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Payments-in-kind interest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520" w:type="dxa"/>
            <w:vAlign w:val="bottom"/>
            <w:gridSpan w:val="2"/>
            <w:shd w:val="clear" w:color="auto" w:fill="CCEEFF"/>
          </w:tcPr>
          <w:p>
            <w:pPr>
              <w:ind w:left="320"/>
              <w:spacing w:after="0" w:line="205" w:lineRule="exact"/>
              <w:rPr>
                <w:sz w:val="20"/>
                <w:szCs w:val="20"/>
                <w:color w:val="auto"/>
              </w:rPr>
            </w:pPr>
            <w:r>
              <w:rPr>
                <w:rFonts w:ascii="Arial" w:cs="Arial" w:eastAsia="Arial" w:hAnsi="Arial"/>
                <w:sz w:val="18"/>
                <w:szCs w:val="18"/>
                <w:b w:val="1"/>
                <w:bCs w:val="1"/>
                <w:color w:val="auto"/>
              </w:rPr>
              <w:t>Total non-cash interest</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4,602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5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interest expense, net</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13,404</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8,614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left="40" w:right="359"/>
        <w:spacing w:after="0" w:line="318" w:lineRule="auto"/>
        <w:rPr>
          <w:sz w:val="20"/>
          <w:szCs w:val="20"/>
          <w:color w:val="auto"/>
        </w:rPr>
      </w:pPr>
      <w:r>
        <w:rPr>
          <w:rFonts w:ascii="Arial" w:cs="Arial" w:eastAsia="Arial" w:hAnsi="Arial"/>
          <w:sz w:val="15"/>
          <w:szCs w:val="15"/>
          <w:color w:val="auto"/>
        </w:rPr>
        <w:t>Interest expense for the three months ended September 30, 2022 was $13.4 million compared to $8.6 million for the three months ended September 30, 2021. The increase is primarily due to the write off of $4.3 million of unamortized deferred financing fees associated with the termination of the Prior Term Loan Facility and Prior ABL Facility compared, and $1.6 million of early termination payments associated with the Prior Term Loan Facility. No such costs</w:t>
      </w:r>
    </w:p>
    <w:p>
      <w:pPr>
        <w:sectPr>
          <w:pgSz w:w="11900" w:h="16838" w:orient="portrait"/>
          <w:cols w:equalWidth="0" w:num="1">
            <w:col w:w="9019"/>
          </w:cols>
          <w:pgMar w:left="1440" w:top="511" w:right="1440" w:bottom="1440" w:gutter="0" w:footer="0" w:header="0"/>
        </w:sectPr>
      </w:pPr>
    </w:p>
    <w:p>
      <w:pPr>
        <w:spacing w:after="0" w:line="358" w:lineRule="exact"/>
        <w:rPr>
          <w:sz w:val="20"/>
          <w:szCs w:val="20"/>
          <w:color w:val="auto"/>
        </w:rPr>
      </w:pPr>
    </w:p>
    <w:p>
      <w:pPr>
        <w:ind w:left="8780"/>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369570</wp:posOffset>
            </wp:positionV>
            <wp:extent cx="565404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type w:val="continuous"/>
        </w:sectPr>
      </w:pPr>
    </w:p>
    <w:bookmarkStart w:id="43" w:name="page44"/>
    <w:bookmarkEnd w:id="4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359"/>
        <w:spacing w:after="0" w:line="264" w:lineRule="auto"/>
        <w:rPr>
          <w:sz w:val="20"/>
          <w:szCs w:val="20"/>
          <w:color w:val="auto"/>
        </w:rPr>
      </w:pPr>
      <w:r>
        <w:rPr>
          <w:rFonts w:ascii="Arial" w:cs="Arial" w:eastAsia="Arial" w:hAnsi="Arial"/>
          <w:sz w:val="18"/>
          <w:szCs w:val="18"/>
          <w:color w:val="auto"/>
        </w:rPr>
        <w:t>were incurred in the three months ended September 30, 2021. These increases were partially offset by approximately $1.4 million of cash interest savings as a result of the entry into the Credit Agreement.</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17" w:lineRule="exact"/>
        <w:rPr>
          <w:sz w:val="20"/>
          <w:szCs w:val="20"/>
          <w:color w:val="auto"/>
        </w:rPr>
      </w:pPr>
    </w:p>
    <w:p>
      <w:pPr>
        <w:ind w:left="40" w:right="199"/>
        <w:spacing w:after="0" w:line="250" w:lineRule="auto"/>
        <w:rPr>
          <w:sz w:val="20"/>
          <w:szCs w:val="20"/>
          <w:color w:val="auto"/>
        </w:rPr>
      </w:pPr>
      <w:r>
        <w:rPr>
          <w:rFonts w:ascii="Arial" w:cs="Arial" w:eastAsia="Arial" w:hAnsi="Arial"/>
          <w:sz w:val="18"/>
          <w:szCs w:val="18"/>
          <w:color w:val="auto"/>
        </w:rPr>
        <w:t>Income tax benefit for the three months ended September 30, 2022 was $0.4 million, resulting in an effective tax rate of 3.2%, compared to an income tax benefit for the three months ended September 30, 2021 of $0.8 million, resulting in an effective tax rate of 17.0%. The effective tax rates differ primarily due to the increase in discrete items, namely the write-off of unamortized deferred financing costs associated with the termination of the Prior Term Loan Facility and Prior ABL Facility.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Comparison of the Nine Months Ended September 30, 2022 and 2021</w:t>
      </w:r>
    </w:p>
    <w:p>
      <w:pPr>
        <w:spacing w:after="0" w:line="223" w:lineRule="exact"/>
        <w:rPr>
          <w:sz w:val="20"/>
          <w:szCs w:val="20"/>
          <w:color w:val="auto"/>
        </w:rPr>
      </w:pPr>
    </w:p>
    <w:p>
      <w:pPr>
        <w:ind w:left="40" w:right="519"/>
        <w:spacing w:after="0" w:line="264" w:lineRule="auto"/>
        <w:rPr>
          <w:sz w:val="20"/>
          <w:szCs w:val="20"/>
          <w:color w:val="auto"/>
        </w:rPr>
      </w:pPr>
      <w:r>
        <w:rPr>
          <w:rFonts w:ascii="Arial" w:cs="Arial" w:eastAsia="Arial" w:hAnsi="Arial"/>
          <w:sz w:val="18"/>
          <w:szCs w:val="18"/>
          <w:color w:val="auto"/>
        </w:rPr>
        <w:t>The following table sets forth our results of operations expressed as dollars and as a percentage of total revenues for the periods indicated:</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 of</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8"/>
        </w:trPr>
        <w:tc>
          <w:tcPr>
            <w:tcW w:w="462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2022</w:t>
            </w:r>
          </w:p>
        </w:tc>
        <w:tc>
          <w:tcPr>
            <w:tcW w:w="7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84"/>
              </w:rPr>
              <w:t>Revenues</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2021</w:t>
            </w:r>
          </w:p>
        </w:tc>
        <w:tc>
          <w:tcPr>
            <w:tcW w:w="7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05"/>
        </w:trPr>
        <w:tc>
          <w:tcPr>
            <w:tcW w:w="20" w:type="dxa"/>
            <w:vAlign w:val="bottom"/>
            <w:tcBorders>
              <w:top w:val="single" w:sz="8" w:color="auto"/>
            </w:tcBorders>
            <w:shd w:val="clear" w:color="auto" w:fill="CCEEFF"/>
          </w:tcPr>
          <w:p>
            <w:pPr>
              <w:spacing w:after="0"/>
              <w:rPr>
                <w:sz w:val="17"/>
                <w:szCs w:val="17"/>
                <w:color w:val="auto"/>
              </w:rPr>
            </w:pPr>
          </w:p>
        </w:tc>
        <w:tc>
          <w:tcPr>
            <w:tcW w:w="4460" w:type="dxa"/>
            <w:vAlign w:val="bottom"/>
            <w:tcBorders>
              <w:top w:val="single" w:sz="8" w:color="auto"/>
            </w:tcBorders>
            <w:shd w:val="clear" w:color="auto" w:fill="CCEEFF"/>
          </w:tcPr>
          <w:p>
            <w:pPr>
              <w:ind w:left="80"/>
              <w:spacing w:after="0" w:line="205" w:lineRule="exact"/>
              <w:rPr>
                <w:sz w:val="20"/>
                <w:szCs w:val="20"/>
                <w:color w:val="auto"/>
              </w:rPr>
            </w:pPr>
            <w:r>
              <w:rPr>
                <w:rFonts w:ascii="Arial" w:cs="Arial" w:eastAsia="Arial" w:hAnsi="Arial"/>
                <w:sz w:val="18"/>
                <w:szCs w:val="18"/>
                <w:color w:val="auto"/>
              </w:rPr>
              <w:t>Net Sales</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640,149</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507,752</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Costs of sales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521,681</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81.5 %</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401,980</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4600" w:type="dxa"/>
            <w:vAlign w:val="bottom"/>
            <w:tcBorders>
              <w:top w:val="single" w:sz="8" w:color="CCEEFF"/>
            </w:tcBorders>
            <w:gridSpan w:val="2"/>
            <w:shd w:val="clear" w:color="auto" w:fill="CCEEFF"/>
          </w:tcPr>
          <w:p>
            <w:pPr>
              <w:ind w:left="200"/>
              <w:spacing w:after="0" w:line="204" w:lineRule="exact"/>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118,468</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18.5</w:t>
            </w:r>
          </w:p>
        </w:tc>
        <w:tc>
          <w:tcPr>
            <w:tcW w:w="16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105,772</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20.8</w:t>
            </w:r>
          </w:p>
        </w:tc>
        <w:tc>
          <w:tcPr>
            <w:tcW w:w="16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Acquisition, restructuring and integration expense</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8,746</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3,772</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Loss on disposal of property, plant and equipment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00" w:type="dxa"/>
            <w:vAlign w:val="bottom"/>
            <w:gridSpan w:val="2"/>
          </w:tcPr>
          <w:p>
            <w:pPr>
              <w:ind w:left="200"/>
              <w:spacing w:after="0" w:line="204" w:lineRule="exact"/>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110,826</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17.3</w:t>
            </w:r>
          </w:p>
        </w:tc>
        <w:tc>
          <w:tcPr>
            <w:tcW w:w="160" w:type="dxa"/>
            <w:vAlign w:val="bottom"/>
          </w:tcPr>
          <w:p>
            <w:pPr>
              <w:jc w:val="right"/>
              <w:spacing w:after="0" w:line="204" w:lineRule="exact"/>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99,934</w:t>
            </w:r>
          </w:p>
        </w:tc>
        <w:tc>
          <w:tcPr>
            <w:tcW w:w="160" w:type="dxa"/>
            <w:vAlign w:val="bottom"/>
          </w:tcPr>
          <w:p>
            <w:pPr>
              <w:spacing w:after="0"/>
              <w:rPr>
                <w:sz w:val="17"/>
                <w:szCs w:val="17"/>
                <w:color w:val="auto"/>
              </w:rPr>
            </w:pPr>
          </w:p>
        </w:tc>
        <w:tc>
          <w:tcPr>
            <w:tcW w:w="6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19.7</w:t>
            </w:r>
          </w:p>
        </w:tc>
        <w:tc>
          <w:tcPr>
            <w:tcW w:w="160" w:type="dxa"/>
            <w:vAlign w:val="bottom"/>
          </w:tcPr>
          <w:p>
            <w:pPr>
              <w:jc w:val="right"/>
              <w:spacing w:after="0" w:line="204" w:lineRule="exact"/>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30,265</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24,283</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Change in fair value of warrant liabilities</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(785)</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20" w:type="dxa"/>
            <w:vAlign w:val="bottom"/>
            <w:gridSpan w:val="3"/>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(27,053)</w:t>
            </w:r>
          </w:p>
        </w:tc>
        <w:tc>
          <w:tcPr>
            <w:tcW w:w="1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(18,321)</w:t>
            </w:r>
          </w:p>
        </w:tc>
        <w:tc>
          <w:tcPr>
            <w:tcW w:w="16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(3,511)</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(2,239)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20" w:type="dxa"/>
            <w:vAlign w:val="bottom"/>
            <w:gridSpan w:val="3"/>
            <w:vMerge w:val="continue"/>
            <w:shd w:val="clear" w:color="auto" w:fill="CCEEFF"/>
          </w:tcPr>
          <w:p>
            <w:pPr>
              <w:spacing w:after="0"/>
              <w:rPr>
                <w:sz w:val="17"/>
                <w:szCs w:val="17"/>
                <w:color w:val="auto"/>
              </w:rPr>
            </w:pPr>
          </w:p>
        </w:tc>
        <w:tc>
          <w:tcPr>
            <w:tcW w:w="3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(23,542)</w:t>
            </w:r>
          </w:p>
        </w:tc>
        <w:tc>
          <w:tcPr>
            <w:tcW w:w="1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(16,082)</w:t>
            </w:r>
          </w:p>
        </w:tc>
        <w:tc>
          <w:tcPr>
            <w:tcW w:w="16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Net (loss) income attributable to non-controlling interest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shareholders</w:t>
            </w: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20" w:type="dxa"/>
            <w:vAlign w:val="bottom"/>
            <w:gridSpan w:val="3"/>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(23,585)</w:t>
            </w:r>
          </w:p>
        </w:tc>
        <w:tc>
          <w:tcPr>
            <w:tcW w:w="1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(16,515)</w:t>
            </w:r>
          </w:p>
        </w:tc>
        <w:tc>
          <w:tcPr>
            <w:tcW w:w="16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gridSpan w:val="2"/>
          </w:tcPr>
          <w:p>
            <w:pPr>
              <w:ind w:left="80"/>
              <w:spacing w:after="0" w:line="200" w:lineRule="exact"/>
              <w:rPr>
                <w:sz w:val="20"/>
                <w:szCs w:val="20"/>
                <w:color w:val="auto"/>
              </w:rPr>
            </w:pPr>
            <w:r>
              <w:rPr>
                <w:rFonts w:ascii="Arial" w:cs="Arial" w:eastAsia="Arial" w:hAnsi="Arial"/>
                <w:sz w:val="18"/>
                <w:szCs w:val="18"/>
                <w:color w:val="auto"/>
                <w:w w:val="93"/>
              </w:rPr>
              <w:t>Loss on extinguishment of Redeemable Common Equivalent</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Preferred Units, net</w:t>
            </w:r>
          </w:p>
        </w:tc>
        <w:tc>
          <w:tcPr>
            <w:tcW w:w="3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(2,870)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Common equivalent preferred dividends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gridSpan w:val="2"/>
          </w:tcPr>
          <w:p>
            <w:pPr>
              <w:ind w:left="80"/>
              <w:spacing w:after="0"/>
              <w:rPr>
                <w:sz w:val="20"/>
                <w:szCs w:val="20"/>
                <w:color w:val="auto"/>
              </w:rPr>
            </w:pPr>
            <w:r>
              <w:rPr>
                <w:rFonts w:ascii="Arial" w:cs="Arial" w:eastAsia="Arial" w:hAnsi="Arial"/>
                <w:sz w:val="18"/>
                <w:szCs w:val="18"/>
                <w:color w:val="auto"/>
              </w:rPr>
              <w:t>Accumulating preferred dividends</w:t>
            </w:r>
          </w:p>
        </w:tc>
        <w:tc>
          <w:tcPr>
            <w:tcW w:w="3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(13,882)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(17,957)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20" w:type="dxa"/>
            <w:vAlign w:val="bottom"/>
            <w:tcBorders>
              <w:top w:val="single" w:sz="8" w:color="CCEEFF"/>
              <w:bottom w:val="single" w:sz="8" w:color="CCEEFF"/>
            </w:tcBorders>
            <w:gridSpan w:val="3"/>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Net loss attributable to common shareholders</w:t>
            </w:r>
          </w:p>
        </w:tc>
        <w:tc>
          <w:tcPr>
            <w:tcW w:w="360" w:type="dxa"/>
            <w:vAlign w:val="bottom"/>
            <w:tcBorders>
              <w:top w:val="single" w:sz="8" w:color="auto"/>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(44,717)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(7.0)</w:t>
            </w:r>
          </w:p>
        </w:tc>
        <w:tc>
          <w:tcPr>
            <w:tcW w:w="160" w:type="dxa"/>
            <w:vAlign w:val="bottom"/>
            <w:tcBorders>
              <w:top w:val="single" w:sz="8" w:color="CCEEFF"/>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(34,472)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(6.8)</w:t>
            </w:r>
          </w:p>
        </w:tc>
        <w:tc>
          <w:tcPr>
            <w:tcW w:w="160" w:type="dxa"/>
            <w:vAlign w:val="bottom"/>
            <w:tcBorders>
              <w:top w:val="single" w:sz="8" w:color="CCEEFF"/>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1" w:right="1440" w:bottom="1440" w:gutter="0" w:footer="0" w:header="0"/>
        </w:sectPr>
      </w:pPr>
    </w:p>
    <w:bookmarkStart w:id="44" w:name="page45"/>
    <w:bookmarkEnd w:id="4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899"/>
        <w:spacing w:after="0" w:line="264" w:lineRule="auto"/>
        <w:rPr>
          <w:sz w:val="20"/>
          <w:szCs w:val="20"/>
          <w:color w:val="auto"/>
        </w:rPr>
      </w:pPr>
      <w:r>
        <w:rPr>
          <w:rFonts w:ascii="Arial" w:cs="Arial" w:eastAsia="Arial" w:hAnsi="Arial"/>
          <w:sz w:val="18"/>
          <w:szCs w:val="18"/>
          <w:color w:val="auto"/>
        </w:rPr>
        <w:t>The following table sets forth selected financial information of our reportable segments for the nine months ended September 30, 2022 and 2021.</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Beverage</w:t>
            </w:r>
          </w:p>
        </w:tc>
        <w:tc>
          <w:tcPr>
            <w:tcW w:w="6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Sustainable</w:t>
            </w: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Intersegment</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Total of</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Sourcing &amp;</w:t>
            </w:r>
          </w:p>
        </w:tc>
        <w:tc>
          <w:tcPr>
            <w:tcW w:w="96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2"/>
        </w:trPr>
        <w:tc>
          <w:tcPr>
            <w:tcW w:w="47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Solutions</w:t>
            </w:r>
          </w:p>
        </w:tc>
        <w:tc>
          <w:tcPr>
            <w:tcW w:w="6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Traceability</w:t>
            </w:r>
          </w:p>
        </w:tc>
        <w:tc>
          <w:tcPr>
            <w:tcW w:w="960" w:type="dxa"/>
            <w:vAlign w:val="bottom"/>
            <w:gridSpan w:val="2"/>
          </w:tcPr>
          <w:p>
            <w:pPr>
              <w:ind w:left="60"/>
              <w:spacing w:after="0" w:line="173" w:lineRule="exact"/>
              <w:rPr>
                <w:sz w:val="20"/>
                <w:szCs w:val="20"/>
                <w:color w:val="auto"/>
              </w:rPr>
            </w:pPr>
            <w:r>
              <w:rPr>
                <w:rFonts w:ascii="Arial" w:cs="Arial" w:eastAsia="Arial" w:hAnsi="Arial"/>
                <w:sz w:val="13"/>
                <w:szCs w:val="13"/>
                <w:b w:val="1"/>
                <w:bCs w:val="1"/>
                <w:color w:val="auto"/>
              </w:rPr>
              <w:t>Revenues</w:t>
            </w:r>
            <w:r>
              <w:rPr>
                <w:rFonts w:ascii="Arial" w:cs="Arial" w:eastAsia="Arial" w:hAnsi="Arial"/>
                <w:sz w:val="19"/>
                <w:szCs w:val="19"/>
                <w:b w:val="1"/>
                <w:bCs w:val="1"/>
                <w:color w:val="auto"/>
                <w:vertAlign w:val="superscript"/>
              </w:rPr>
              <w:t>(1)</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Segments</w:t>
            </w:r>
          </w:p>
        </w:tc>
        <w:tc>
          <w:tcPr>
            <w:tcW w:w="0" w:type="dxa"/>
            <w:vAlign w:val="bottom"/>
          </w:tcPr>
          <w:p>
            <w:pPr>
              <w:spacing w:after="0"/>
              <w:rPr>
                <w:sz w:val="1"/>
                <w:szCs w:val="1"/>
                <w:color w:val="auto"/>
              </w:rPr>
            </w:pPr>
          </w:p>
        </w:tc>
      </w:tr>
      <w:tr>
        <w:trPr>
          <w:trHeight w:val="205"/>
        </w:trPr>
        <w:tc>
          <w:tcPr>
            <w:tcW w:w="4780" w:type="dxa"/>
            <w:vAlign w:val="bottom"/>
            <w:tcBorders>
              <w:top w:val="single" w:sz="8" w:color="auto"/>
            </w:tcBorders>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Segment Revenues:</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20" w:type="dxa"/>
            <w:vAlign w:val="bottom"/>
          </w:tcPr>
          <w:p>
            <w:pPr>
              <w:jc w:val="right"/>
              <w:ind w:right="1673"/>
              <w:spacing w:after="0"/>
              <w:rPr>
                <w:sz w:val="20"/>
                <w:szCs w:val="20"/>
                <w:color w:val="auto"/>
              </w:rPr>
            </w:pPr>
            <w:r>
              <w:rPr>
                <w:rFonts w:ascii="Arial" w:cs="Arial" w:eastAsia="Arial" w:hAnsi="Arial"/>
                <w:sz w:val="18"/>
                <w:szCs w:val="18"/>
                <w:color w:val="auto"/>
              </w:rPr>
              <w:t>2022</w:t>
            </w:r>
          </w:p>
        </w:tc>
        <w:tc>
          <w:tcPr>
            <w:tcW w:w="2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$ 492,712</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4"/>
              </w:rPr>
              <w:t>$ 169,041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1"/>
              </w:rPr>
              <w:t>$  (21,604)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$ 640,149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jc w:val="right"/>
              <w:ind w:right="1673"/>
              <w:spacing w:after="0"/>
              <w:rPr>
                <w:sz w:val="20"/>
                <w:szCs w:val="20"/>
                <w:color w:val="auto"/>
              </w:rPr>
            </w:pPr>
            <w:r>
              <w:rPr>
                <w:rFonts w:ascii="Arial" w:cs="Arial" w:eastAsia="Arial" w:hAnsi="Arial"/>
                <w:sz w:val="18"/>
                <w:szCs w:val="18"/>
                <w:color w:val="auto"/>
              </w:rPr>
              <w:t>2021</w:t>
            </w:r>
          </w:p>
        </w:tc>
        <w:tc>
          <w:tcPr>
            <w:tcW w:w="2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400,506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121,550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Segment Costs of Sales: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jc w:val="right"/>
              <w:ind w:right="1673"/>
              <w:spacing w:after="0"/>
              <w:rPr>
                <w:sz w:val="20"/>
                <w:szCs w:val="20"/>
                <w:color w:val="auto"/>
              </w:rPr>
            </w:pPr>
            <w:r>
              <w:rPr>
                <w:rFonts w:ascii="Arial" w:cs="Arial" w:eastAsia="Arial" w:hAnsi="Arial"/>
                <w:sz w:val="18"/>
                <w:szCs w:val="18"/>
                <w:color w:val="auto"/>
              </w:rPr>
              <w:t>2022</w:t>
            </w:r>
          </w:p>
        </w:tc>
        <w:tc>
          <w:tcPr>
            <w:tcW w:w="2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384,317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137,364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tcPr>
          <w:p>
            <w:pPr>
              <w:jc w:val="right"/>
              <w:ind w:right="1673"/>
              <w:spacing w:after="0"/>
              <w:rPr>
                <w:sz w:val="20"/>
                <w:szCs w:val="20"/>
                <w:color w:val="auto"/>
              </w:rPr>
            </w:pPr>
            <w:r>
              <w:rPr>
                <w:rFonts w:ascii="Arial" w:cs="Arial" w:eastAsia="Arial" w:hAnsi="Arial"/>
                <w:sz w:val="18"/>
                <w:szCs w:val="18"/>
                <w:color w:val="auto"/>
              </w:rPr>
              <w:t>2021</w:t>
            </w:r>
          </w:p>
        </w:tc>
        <w:tc>
          <w:tcPr>
            <w:tcW w:w="2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305,978</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96,002</w:t>
            </w:r>
          </w:p>
        </w:tc>
        <w:tc>
          <w:tcPr>
            <w:tcW w:w="24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401,980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Gross Profit: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tcPr>
          <w:p>
            <w:pPr>
              <w:jc w:val="right"/>
              <w:ind w:right="1673"/>
              <w:spacing w:after="0"/>
              <w:rPr>
                <w:sz w:val="20"/>
                <w:szCs w:val="20"/>
                <w:color w:val="auto"/>
              </w:rPr>
            </w:pPr>
            <w:r>
              <w:rPr>
                <w:rFonts w:ascii="Arial" w:cs="Arial" w:eastAsia="Arial" w:hAnsi="Arial"/>
                <w:sz w:val="18"/>
                <w:szCs w:val="18"/>
                <w:color w:val="auto"/>
              </w:rPr>
              <w:t>2022</w:t>
            </w:r>
          </w:p>
        </w:tc>
        <w:tc>
          <w:tcPr>
            <w:tcW w:w="2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108,395</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10,073</w:t>
            </w:r>
          </w:p>
        </w:tc>
        <w:tc>
          <w:tcPr>
            <w:tcW w:w="24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118,468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jc w:val="right"/>
              <w:ind w:right="1673"/>
              <w:spacing w:after="0"/>
              <w:rPr>
                <w:sz w:val="20"/>
                <w:szCs w:val="20"/>
                <w:color w:val="auto"/>
              </w:rPr>
            </w:pPr>
            <w:r>
              <w:rPr>
                <w:rFonts w:ascii="Arial" w:cs="Arial" w:eastAsia="Arial" w:hAnsi="Arial"/>
                <w:sz w:val="18"/>
                <w:szCs w:val="18"/>
                <w:color w:val="auto"/>
              </w:rPr>
              <w:t>2021</w:t>
            </w:r>
          </w:p>
        </w:tc>
        <w:tc>
          <w:tcPr>
            <w:tcW w:w="2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94,528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Segment Adjusted EBITDA:</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jc w:val="right"/>
              <w:ind w:right="1673"/>
              <w:spacing w:after="0"/>
              <w:rPr>
                <w:sz w:val="20"/>
                <w:szCs w:val="20"/>
                <w:color w:val="auto"/>
              </w:rPr>
            </w:pPr>
            <w:r>
              <w:rPr>
                <w:rFonts w:ascii="Arial" w:cs="Arial" w:eastAsia="Arial" w:hAnsi="Arial"/>
                <w:sz w:val="18"/>
                <w:szCs w:val="18"/>
                <w:color w:val="auto"/>
              </w:rPr>
              <w:t>2022</w:t>
            </w:r>
          </w:p>
        </w:tc>
        <w:tc>
          <w:tcPr>
            <w:tcW w:w="2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38,776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tcPr>
          <w:p>
            <w:pPr>
              <w:jc w:val="right"/>
              <w:ind w:right="1673"/>
              <w:spacing w:after="0"/>
              <w:rPr>
                <w:sz w:val="20"/>
                <w:szCs w:val="20"/>
                <w:color w:val="auto"/>
              </w:rPr>
            </w:pPr>
            <w:r>
              <w:rPr>
                <w:rFonts w:ascii="Arial" w:cs="Arial" w:eastAsia="Arial" w:hAnsi="Arial"/>
                <w:sz w:val="18"/>
                <w:szCs w:val="18"/>
                <w:color w:val="auto"/>
              </w:rPr>
              <w:t>2021</w:t>
            </w:r>
          </w:p>
        </w:tc>
        <w:tc>
          <w:tcPr>
            <w:tcW w:w="2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29,924</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3,047</w:t>
            </w:r>
          </w:p>
        </w:tc>
        <w:tc>
          <w:tcPr>
            <w:tcW w:w="24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32,971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Adjusted EBITDA Margin:</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tcPr>
          <w:p>
            <w:pPr>
              <w:jc w:val="right"/>
              <w:ind w:right="1673"/>
              <w:spacing w:after="0"/>
              <w:rPr>
                <w:sz w:val="20"/>
                <w:szCs w:val="20"/>
                <w:color w:val="auto"/>
              </w:rPr>
            </w:pPr>
            <w:r>
              <w:rPr>
                <w:rFonts w:ascii="Arial" w:cs="Arial" w:eastAsia="Arial" w:hAnsi="Arial"/>
                <w:sz w:val="18"/>
                <w:szCs w:val="18"/>
                <w:color w:val="auto"/>
              </w:rPr>
              <w:t>2022</w:t>
            </w:r>
          </w:p>
        </w:tc>
        <w:tc>
          <w:tcPr>
            <w:tcW w:w="25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7.9 %</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2.6 %</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jc w:val="right"/>
              <w:ind w:right="1673"/>
              <w:spacing w:after="0"/>
              <w:rPr>
                <w:sz w:val="20"/>
                <w:szCs w:val="20"/>
                <w:color w:val="auto"/>
              </w:rPr>
            </w:pPr>
            <w:r>
              <w:rPr>
                <w:rFonts w:ascii="Arial" w:cs="Arial" w:eastAsia="Arial" w:hAnsi="Arial"/>
                <w:sz w:val="18"/>
                <w:szCs w:val="18"/>
                <w:color w:val="auto"/>
              </w:rPr>
              <w:t>2021</w:t>
            </w:r>
          </w:p>
        </w:tc>
        <w:tc>
          <w:tcPr>
            <w:tcW w:w="25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7.5 %</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2.8 %</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113"/>
        </w:trPr>
        <w:tc>
          <w:tcPr>
            <w:tcW w:w="2220" w:type="dxa"/>
            <w:vAlign w:val="bottom"/>
            <w:tcBorders>
              <w:bottom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Intersegment revenues represent sales of green coffee from our SS&amp;T segment to our Beverage Solutions segment.</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Sales</w:t>
      </w:r>
    </w:p>
    <w:p>
      <w:pPr>
        <w:spacing w:after="0" w:line="217" w:lineRule="exact"/>
        <w:rPr>
          <w:sz w:val="20"/>
          <w:szCs w:val="20"/>
          <w:color w:val="auto"/>
        </w:rPr>
      </w:pPr>
    </w:p>
    <w:p>
      <w:pPr>
        <w:ind w:left="40" w:right="59"/>
        <w:spacing w:after="0" w:line="248" w:lineRule="auto"/>
        <w:rPr>
          <w:sz w:val="20"/>
          <w:szCs w:val="20"/>
          <w:color w:val="auto"/>
        </w:rPr>
      </w:pPr>
      <w:r>
        <w:rPr>
          <w:rFonts w:ascii="Arial" w:cs="Arial" w:eastAsia="Arial" w:hAnsi="Arial"/>
          <w:sz w:val="18"/>
          <w:szCs w:val="18"/>
          <w:color w:val="auto"/>
        </w:rPr>
        <w:t>Net sales from our Beverage Solutions segment for the nine months ended September 30, 2022 were $492.7 million, compared to $400.5 million for the nine months ended September 30, 2021, an increase of approximately 23%. The increase is due to a $85.4 million increase in the sale of coffee &amp; tea products, driven by a 48% increase in single serve cup volumes, partially offset by a 7% decrease in roast and ground coffee products, driven in part by higher inflation impacting end-consumer demand, and an increase in underlying green coffee prices compared to the nine months ended September 30, 2021. In addition, flavors, extracts and ingredients volumes increased 9% increase, contributing $9.0 million of the increase in sales year over year.</w:t>
      </w:r>
    </w:p>
    <w:p>
      <w:pPr>
        <w:spacing w:after="0" w:line="199" w:lineRule="exact"/>
        <w:rPr>
          <w:sz w:val="20"/>
          <w:szCs w:val="20"/>
          <w:color w:val="auto"/>
        </w:rPr>
      </w:pPr>
    </w:p>
    <w:p>
      <w:pPr>
        <w:ind w:left="40" w:right="279"/>
        <w:spacing w:after="0" w:line="309" w:lineRule="auto"/>
        <w:rPr>
          <w:sz w:val="20"/>
          <w:szCs w:val="20"/>
          <w:color w:val="auto"/>
        </w:rPr>
      </w:pPr>
      <w:r>
        <w:rPr>
          <w:rFonts w:ascii="Arial" w:cs="Arial" w:eastAsia="Arial" w:hAnsi="Arial"/>
          <w:sz w:val="15"/>
          <w:szCs w:val="15"/>
          <w:color w:val="auto"/>
        </w:rPr>
        <w:t>Net sales from our SS&amp;T segment totaled $147.4 million, net of intersegment revenues, for the nine months ended September 30, 2022, increasing 37% compared to $107.2 million for the nine months ended September 30, 2021. The increase is driven by an increase in the average sales price per pound, which increased 37% for the nine months ended September 30, 2022 compared to the nine months ended September 30, 2021. The increase in the average sales price per pound is directly correlated to the global commodities price. SS&amp;T sales volume decreased approximately 2% for the nine months ended September 30, 2022 compared to the nine months ended September 30, 2021.</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Costs of Sales</w:t>
      </w:r>
    </w:p>
    <w:p>
      <w:pPr>
        <w:spacing w:after="0" w:line="217" w:lineRule="exact"/>
        <w:rPr>
          <w:sz w:val="20"/>
          <w:szCs w:val="20"/>
          <w:color w:val="auto"/>
        </w:rPr>
      </w:pPr>
    </w:p>
    <w:p>
      <w:pPr>
        <w:ind w:left="40" w:right="99"/>
        <w:spacing w:after="0" w:line="252" w:lineRule="auto"/>
        <w:rPr>
          <w:sz w:val="20"/>
          <w:szCs w:val="20"/>
          <w:color w:val="auto"/>
        </w:rPr>
      </w:pPr>
      <w:r>
        <w:rPr>
          <w:rFonts w:ascii="Arial" w:cs="Arial" w:eastAsia="Arial" w:hAnsi="Arial"/>
          <w:sz w:val="18"/>
          <w:szCs w:val="18"/>
          <w:color w:val="auto"/>
        </w:rPr>
        <w:t>In our Beverage Solutions segment, costs of sales increased to $384.3 million for the nine months ended September 30, 2022, compared to $306.0 million for the nine months ended September 30, 2021. The increase in costs of sales is primarily due to a $78.9 million increase in green coffee, tea and liquid extracts costs, driven by higher single serve cup sales volumes and commodity price increases, specifically related to green coffee.</w:t>
      </w:r>
    </w:p>
    <w:p>
      <w:pPr>
        <w:spacing w:after="0" w:line="191" w:lineRule="exact"/>
        <w:rPr>
          <w:sz w:val="20"/>
          <w:szCs w:val="20"/>
          <w:color w:val="auto"/>
        </w:rPr>
      </w:pPr>
    </w:p>
    <w:p>
      <w:pPr>
        <w:ind w:left="40" w:right="79"/>
        <w:spacing w:after="0" w:line="265" w:lineRule="auto"/>
        <w:rPr>
          <w:sz w:val="20"/>
          <w:szCs w:val="20"/>
          <w:color w:val="auto"/>
        </w:rPr>
      </w:pPr>
      <w:r>
        <w:rPr>
          <w:rFonts w:ascii="Arial" w:cs="Arial" w:eastAsia="Arial" w:hAnsi="Arial"/>
          <w:sz w:val="17"/>
          <w:szCs w:val="17"/>
          <w:color w:val="auto"/>
        </w:rPr>
        <w:t>In our SS&amp;T segment, costs of sales were $137.4 million for the nine months ended September 30, 2022, an increase of $41.4 million compared to the nine months ended September 30, 2021. This increase is primarily due to an increase in green coffee cost driven by an increase in underlying commodities pricings, as volume of green coffee sold was essentially flat year-over-year. Costs of sales for the nine months ended September 30, 2022 included $0.8 million of net unrealized losses on forward sales and purchase contracts and mark-to-market adjustment on green coffee inventory compared to $2.0 million of net unrealized gains on forward sales and purchase contracts and mark-to-market adjustment on green coffee inventory for the nine months ended September 30, 2021.</w:t>
      </w:r>
    </w:p>
    <w:p>
      <w:pPr>
        <w:sectPr>
          <w:pgSz w:w="11900" w:h="16838" w:orient="portrait"/>
          <w:cols w:equalWidth="0" w:num="1">
            <w:col w:w="9019"/>
          </w:cols>
          <w:pgMar w:left="1440" w:top="511" w:right="1440" w:bottom="1440" w:gutter="0" w:footer="0" w:header="0"/>
        </w:sectPr>
      </w:pPr>
    </w:p>
    <w:p>
      <w:pPr>
        <w:spacing w:after="0" w:line="397" w:lineRule="exact"/>
        <w:rPr>
          <w:sz w:val="20"/>
          <w:szCs w:val="20"/>
          <w:color w:val="auto"/>
        </w:rPr>
      </w:pPr>
    </w:p>
    <w:p>
      <w:pPr>
        <w:ind w:left="8780"/>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369570</wp:posOffset>
            </wp:positionV>
            <wp:extent cx="565404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type w:val="continuous"/>
        </w:sectPr>
      </w:pPr>
    </w:p>
    <w:bookmarkStart w:id="45" w:name="page46"/>
    <w:bookmarkEnd w:id="4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gridSpan w:val="8"/>
          </w:tcPr>
          <w:p>
            <w:pPr>
              <w:jc w:val="right"/>
              <w:ind w:right="972"/>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3"/>
          </w:tcPr>
          <w:p>
            <w:pPr>
              <w:jc w:val="right"/>
              <w:ind w:right="702"/>
              <w:spacing w:after="0" w:line="139" w:lineRule="exact"/>
              <w:rPr>
                <w:sz w:val="20"/>
                <w:szCs w:val="20"/>
                <w:color w:val="auto"/>
              </w:rPr>
            </w:pPr>
            <w:r>
              <w:rPr>
                <w:rFonts w:ascii="Arial" w:cs="Arial" w:eastAsia="Arial" w:hAnsi="Arial"/>
                <w:sz w:val="14"/>
                <w:szCs w:val="14"/>
                <w:b w:val="1"/>
                <w:bCs w:val="1"/>
                <w:color w:val="auto"/>
                <w:w w:val="96"/>
              </w:rPr>
              <w:t>2022</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662"/>
              <w:spacing w:after="0" w:line="139"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right"/>
              <w:spacing w:after="0" w:line="116" w:lineRule="exact"/>
              <w:rPr>
                <w:sz w:val="20"/>
                <w:szCs w:val="20"/>
                <w:color w:val="auto"/>
              </w:rPr>
            </w:pPr>
            <w:r>
              <w:rPr>
                <w:rFonts w:ascii="Arial" w:cs="Arial" w:eastAsia="Arial" w:hAnsi="Arial"/>
                <w:sz w:val="13"/>
                <w:szCs w:val="13"/>
                <w:b w:val="1"/>
                <w:bCs w:val="1"/>
                <w:color w:val="auto"/>
                <w:w w:val="97"/>
              </w:rPr>
              <w:t>% of Segment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0"/>
                <w:szCs w:val="10"/>
                <w:color w:val="auto"/>
              </w:rPr>
            </w:pPr>
          </w:p>
        </w:tc>
        <w:tc>
          <w:tcPr>
            <w:tcW w:w="880" w:type="dxa"/>
            <w:vAlign w:val="bottom"/>
          </w:tcPr>
          <w:p>
            <w:pPr>
              <w:jc w:val="right"/>
              <w:spacing w:after="0" w:line="116" w:lineRule="exact"/>
              <w:rPr>
                <w:sz w:val="20"/>
                <w:szCs w:val="20"/>
                <w:color w:val="auto"/>
              </w:rPr>
            </w:pPr>
            <w:r>
              <w:rPr>
                <w:rFonts w:ascii="Arial" w:cs="Arial" w:eastAsia="Arial" w:hAnsi="Arial"/>
                <w:sz w:val="13"/>
                <w:szCs w:val="13"/>
                <w:b w:val="1"/>
                <w:bCs w:val="1"/>
                <w:color w:val="auto"/>
                <w:w w:val="97"/>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7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Revenues</w:t>
            </w: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40" w:type="dxa"/>
            <w:vAlign w:val="bottom"/>
            <w:tcBorders>
              <w:top w:val="single" w:sz="8" w:color="auto"/>
            </w:tcBorders>
            <w:shd w:val="clear" w:color="auto" w:fill="CCEEFF"/>
          </w:tcPr>
          <w:p>
            <w:pPr>
              <w:ind w:left="100"/>
              <w:spacing w:after="0" w:line="205" w:lineRule="exact"/>
              <w:rPr>
                <w:sz w:val="20"/>
                <w:szCs w:val="20"/>
                <w:color w:val="auto"/>
              </w:rPr>
            </w:pPr>
            <w:r>
              <w:rPr>
                <w:rFonts w:ascii="Arial" w:cs="Arial" w:eastAsia="Arial" w:hAnsi="Arial"/>
                <w:sz w:val="18"/>
                <w:szCs w:val="18"/>
                <w:color w:val="auto"/>
              </w:rPr>
              <w:t>Beverage Solutions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93,754</w:t>
            </w: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19.0</w:t>
            </w:r>
          </w:p>
        </w:tc>
        <w:tc>
          <w:tcPr>
            <w:tcW w:w="18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5"/>
              </w:rPr>
              <w:t>$ 89,928</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22.5</w:t>
            </w:r>
          </w:p>
        </w:tc>
        <w:tc>
          <w:tcPr>
            <w:tcW w:w="180" w:type="dxa"/>
            <w:vAlign w:val="bottom"/>
            <w:tcBorders>
              <w:top w:val="single" w:sz="8" w:color="CCEEFF"/>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8"/>
                <w:szCs w:val="18"/>
                <w:color w:val="auto"/>
              </w:rPr>
              <w:t>Sustainable Sourcing &amp; Traceability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7,578</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5.1 %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6,381</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4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Total selling, general and administrative expense</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2"/>
              </w:rPr>
              <w:t>101,332</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15.8</w:t>
            </w:r>
          </w:p>
        </w:tc>
        <w:tc>
          <w:tcPr>
            <w:tcW w:w="240" w:type="dxa"/>
            <w:vAlign w:val="bottom"/>
            <w:tcBorders>
              <w:top w:val="single" w:sz="8" w:color="CCEEFF"/>
              <w:bottom w:val="single" w:sz="8" w:color="CCEEFF"/>
            </w:tcBorders>
            <w:gridSpan w:val="2"/>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85"/>
              </w:rPr>
              <w:t>$ 96,309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19.0</w:t>
            </w:r>
          </w:p>
        </w:tc>
        <w:tc>
          <w:tcPr>
            <w:tcW w:w="180" w:type="dxa"/>
            <w:vAlign w:val="bottom"/>
            <w:tcBorders>
              <w:top w:val="single" w:sz="8" w:color="CCEEFF"/>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0" w:right="139"/>
        <w:spacing w:after="0" w:line="306" w:lineRule="auto"/>
        <w:rPr>
          <w:sz w:val="20"/>
          <w:szCs w:val="20"/>
          <w:color w:val="auto"/>
        </w:rPr>
      </w:pPr>
      <w:r>
        <w:rPr>
          <w:rFonts w:ascii="Arial" w:cs="Arial" w:eastAsia="Arial" w:hAnsi="Arial"/>
          <w:sz w:val="15"/>
          <w:szCs w:val="15"/>
          <w:color w:val="auto"/>
        </w:rPr>
        <w:t>Total selling, general and administrative expenses in our Beverage Solutions segment increased $3.8 million to $93.8 million for the nine months ended September 30, 2022, compared to the nine months ended September 30, 2021. The increase is primarily due to an approximately $2.5 million increase in legal and professional fees, a $1.9 million increase in freight costs and a $1.3 million increase in bad debt expense, partially offset by an approximately $1.1 million decrease in equipment, service and fleet costs and a $0.7 million decrease in depreciation expense. In our SS&amp;T segment, selling, general and administrative costs increased $1.2 for the nine months ended September 30, 2022 compared to the nine months ended September 30, 2021, approximately $0.6 million of which related to increased personnel costs.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Acquisition, Restructuring and Integration Expense</w:t>
      </w:r>
    </w:p>
    <w:p>
      <w:pPr>
        <w:spacing w:after="0" w:line="217" w:lineRule="exact"/>
        <w:rPr>
          <w:sz w:val="20"/>
          <w:szCs w:val="20"/>
          <w:color w:val="auto"/>
        </w:rPr>
      </w:pPr>
    </w:p>
    <w:p>
      <w:pPr>
        <w:ind w:left="40" w:right="239"/>
        <w:spacing w:after="0" w:line="267" w:lineRule="auto"/>
        <w:rPr>
          <w:sz w:val="20"/>
          <w:szCs w:val="20"/>
          <w:color w:val="auto"/>
        </w:rPr>
      </w:pPr>
      <w:r>
        <w:rPr>
          <w:rFonts w:ascii="Arial" w:cs="Arial" w:eastAsia="Arial" w:hAnsi="Arial"/>
          <w:sz w:val="17"/>
          <w:szCs w:val="17"/>
          <w:color w:val="auto"/>
        </w:rPr>
        <w:t>Acquisition, restructuring and integration expense totaled $8.7 million for the nine months ended September 30, 2022, approximately $3.7 million of which related to public-company preparedness costs, $2.9 million of which related to the integration of our new enterprise resource planning system and $1.6 million of which related to equity-funded startup costs. During the nine months ended September 30, 2021, we incurred $3.8 million of acquisition, restructuring and integration expenses, approximately $1.2 million of which were related to salesforce restructuring and $1.0 million of which were integration costs related to the acquired S&amp;D business.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39"/>
        </w:trPr>
        <w:tc>
          <w:tcPr>
            <w:tcW w:w="6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3"/>
              <w:spacing w:after="0" w:line="139"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3"/>
              <w:spacing w:after="0" w:line="13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40" w:type="dxa"/>
            <w:vAlign w:val="bottom"/>
            <w:tcBorders>
              <w:top w:val="single" w:sz="8" w:color="auto"/>
            </w:tcBorders>
            <w:shd w:val="clear" w:color="auto" w:fill="CCEEFF"/>
          </w:tcPr>
          <w:p>
            <w:pPr>
              <w:ind w:left="100"/>
              <w:spacing w:after="0" w:line="205" w:lineRule="exact"/>
              <w:rPr>
                <w:sz w:val="20"/>
                <w:szCs w:val="20"/>
                <w:color w:val="auto"/>
              </w:rPr>
            </w:pPr>
            <w:r>
              <w:rPr>
                <w:rFonts w:ascii="Arial" w:cs="Arial" w:eastAsia="Arial" w:hAnsi="Arial"/>
                <w:sz w:val="18"/>
                <w:szCs w:val="18"/>
                <w:color w:val="auto"/>
              </w:rPr>
              <w:t>Interest expense, net</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b w:val="1"/>
                <w:bCs w:val="1"/>
                <w:color w:val="auto"/>
              </w:rPr>
              <w:t>Cash:</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loan facility</w:t>
            </w:r>
          </w:p>
        </w:tc>
        <w:tc>
          <w:tcPr>
            <w:tcW w:w="36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Prior term loan facility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 term loan facility early termination fee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Prior ABL facility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related party debt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Subordinated related party debt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trade finance lines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International notes payable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40" w:type="dxa"/>
            <w:vAlign w:val="bottom"/>
          </w:tcPr>
          <w:p>
            <w:pPr>
              <w:ind w:left="300"/>
              <w:spacing w:after="0" w:line="205" w:lineRule="exact"/>
              <w:rPr>
                <w:sz w:val="20"/>
                <w:szCs w:val="20"/>
                <w:color w:val="auto"/>
              </w:rPr>
            </w:pPr>
            <w:r>
              <w:rPr>
                <w:rFonts w:ascii="Arial" w:cs="Arial" w:eastAsia="Arial" w:hAnsi="Arial"/>
                <w:sz w:val="18"/>
                <w:szCs w:val="18"/>
                <w:b w:val="1"/>
                <w:bCs w:val="1"/>
                <w:color w:val="auto"/>
              </w:rPr>
              <w:t>Total cash interest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rPr>
              <w:t>24,324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rPr>
              <w:t>21,470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 of deferred financing costs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Payments-in-kind interest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40" w:type="dxa"/>
            <w:vAlign w:val="bottom"/>
            <w:shd w:val="clear" w:color="auto" w:fill="CCEEFF"/>
          </w:tcPr>
          <w:p>
            <w:pPr>
              <w:ind w:left="300"/>
              <w:spacing w:after="0" w:line="205" w:lineRule="exact"/>
              <w:rPr>
                <w:sz w:val="20"/>
                <w:szCs w:val="20"/>
                <w:color w:val="auto"/>
              </w:rPr>
            </w:pPr>
            <w:r>
              <w:rPr>
                <w:rFonts w:ascii="Arial" w:cs="Arial" w:eastAsia="Arial" w:hAnsi="Arial"/>
                <w:sz w:val="18"/>
                <w:szCs w:val="18"/>
                <w:b w:val="1"/>
                <w:bCs w:val="1"/>
                <w:color w:val="auto"/>
              </w:rPr>
              <w:t>Total non-cash interest</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5,941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05"/>
        </w:trPr>
        <w:tc>
          <w:tcPr>
            <w:tcW w:w="65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interest expense, net</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30,265</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24,283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left="40" w:right="279"/>
        <w:spacing w:after="0" w:line="330" w:lineRule="auto"/>
        <w:rPr>
          <w:sz w:val="20"/>
          <w:szCs w:val="20"/>
          <w:color w:val="auto"/>
        </w:rPr>
      </w:pPr>
      <w:r>
        <w:rPr>
          <w:rFonts w:ascii="Arial" w:cs="Arial" w:eastAsia="Arial" w:hAnsi="Arial"/>
          <w:sz w:val="15"/>
          <w:szCs w:val="15"/>
          <w:color w:val="auto"/>
        </w:rPr>
        <w:t>Interest expense for the nine months ended September 30, 2022 increased by $6.0 million to $30.3 million. The increase is primarily due to the write off of $4.3 million of unamortized deferred financing fees associated with the termination of the Prior Term Loan Facility and Prior ABL Facility, and $1.6 million of early termination payments associated with the</w:t>
      </w:r>
    </w:p>
    <w:p>
      <w:pPr>
        <w:spacing w:after="0" w:line="34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46" w:name="page47"/>
    <w:bookmarkEnd w:id="4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139"/>
        <w:spacing w:after="0" w:line="330" w:lineRule="auto"/>
        <w:rPr>
          <w:sz w:val="20"/>
          <w:szCs w:val="20"/>
          <w:color w:val="auto"/>
        </w:rPr>
      </w:pPr>
      <w:r>
        <w:rPr>
          <w:rFonts w:ascii="Arial" w:cs="Arial" w:eastAsia="Arial" w:hAnsi="Arial"/>
          <w:sz w:val="15"/>
          <w:szCs w:val="15"/>
          <w:color w:val="auto"/>
        </w:rPr>
        <w:t>Prior Term Loan Facility. No such costs were incurred in the nine months ended September 30, 2021. In addition, cash interest related to our international trade finance lines increased due to increased utilization of Falcon’s working capital trade finance facility during the nine months ended September 30, 2022, compared to the nine months ended September 30, 2021.</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17" w:lineRule="exact"/>
        <w:rPr>
          <w:sz w:val="20"/>
          <w:szCs w:val="20"/>
          <w:color w:val="auto"/>
        </w:rPr>
      </w:pPr>
    </w:p>
    <w:p>
      <w:pPr>
        <w:ind w:left="40" w:right="199"/>
        <w:spacing w:after="0" w:line="250" w:lineRule="auto"/>
        <w:rPr>
          <w:sz w:val="20"/>
          <w:szCs w:val="20"/>
          <w:color w:val="auto"/>
        </w:rPr>
      </w:pPr>
      <w:r>
        <w:rPr>
          <w:rFonts w:ascii="Arial" w:cs="Arial" w:eastAsia="Arial" w:hAnsi="Arial"/>
          <w:sz w:val="18"/>
          <w:szCs w:val="18"/>
          <w:color w:val="auto"/>
        </w:rPr>
        <w:t>Income tax benefit for the nine months ended September 30, 2022 was $3.5 million, resulting in an effective tax rate of 13.0%, compared to an income tax benefit for the nine months ended September 30, 2021 of $2.2 million, resulting in an effective tax rate of 12.2%. The effective tax rates differ primarily due to the increase in discrete items, namely the write-off of unamortized deferred financing costs associated with the termination of the Prior Term Loan Facility and Prior ABL Facility.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3" w:lineRule="exact"/>
        <w:rPr>
          <w:sz w:val="20"/>
          <w:szCs w:val="20"/>
          <w:color w:val="auto"/>
        </w:rPr>
      </w:pPr>
    </w:p>
    <w:p>
      <w:pPr>
        <w:ind w:left="40" w:right="359"/>
        <w:spacing w:after="0" w:line="330" w:lineRule="auto"/>
        <w:rPr>
          <w:sz w:val="20"/>
          <w:szCs w:val="20"/>
          <w:color w:val="auto"/>
        </w:rPr>
      </w:pPr>
      <w:r>
        <w:rPr>
          <w:rFonts w:ascii="Arial" w:cs="Arial" w:eastAsia="Arial" w:hAnsi="Arial"/>
          <w:sz w:val="15"/>
          <w:szCs w:val="15"/>
          <w:color w:val="auto"/>
        </w:rPr>
        <w:t>We make certain judgements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w:t>
      </w:r>
    </w:p>
    <w:p>
      <w:pPr>
        <w:spacing w:after="0" w:line="137" w:lineRule="exact"/>
        <w:rPr>
          <w:sz w:val="20"/>
          <w:szCs w:val="20"/>
          <w:color w:val="auto"/>
        </w:rPr>
      </w:pPr>
    </w:p>
    <w:p>
      <w:pPr>
        <w:ind w:left="40" w:right="299"/>
        <w:spacing w:after="0" w:line="318" w:lineRule="auto"/>
        <w:rPr>
          <w:sz w:val="20"/>
          <w:szCs w:val="20"/>
          <w:color w:val="auto"/>
        </w:rPr>
      </w:pPr>
      <w:r>
        <w:rPr>
          <w:rFonts w:ascii="Arial" w:cs="Arial" w:eastAsia="Arial" w:hAnsi="Arial"/>
          <w:sz w:val="15"/>
          <w:szCs w:val="15"/>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Warrant Liabilities</w:t>
      </w:r>
    </w:p>
    <w:p>
      <w:pPr>
        <w:spacing w:after="0" w:line="217" w:lineRule="exact"/>
        <w:rPr>
          <w:sz w:val="20"/>
          <w:szCs w:val="20"/>
          <w:color w:val="auto"/>
        </w:rPr>
      </w:pPr>
    </w:p>
    <w:p>
      <w:pPr>
        <w:jc w:val="both"/>
        <w:ind w:left="40" w:right="59"/>
        <w:spacing w:after="0" w:line="267" w:lineRule="auto"/>
        <w:rPr>
          <w:sz w:val="20"/>
          <w:szCs w:val="20"/>
          <w:color w:val="auto"/>
        </w:rPr>
      </w:pPr>
      <w:r>
        <w:rPr>
          <w:rFonts w:ascii="Arial" w:cs="Arial" w:eastAsia="Arial" w:hAnsi="Arial"/>
          <w:sz w:val="17"/>
          <w:szCs w:val="17"/>
          <w:color w:val="auto"/>
        </w:rPr>
        <w:t xml:space="preserve">We account for warrants assumed in connection with the Transaction (see Note 4 to our Condensed Consolidated Financial Statements) in accordance with the guidance contained in Accounting Standards Codification (“ASC”)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under which the warrants do not meet the criteria for equity treatment and must be recorded as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79" w:lineRule="exact"/>
        <w:rPr>
          <w:sz w:val="20"/>
          <w:szCs w:val="20"/>
          <w:color w:val="auto"/>
        </w:rPr>
      </w:pPr>
    </w:p>
    <w:p>
      <w:pPr>
        <w:ind w:left="40" w:right="79"/>
        <w:spacing w:after="0" w:line="265" w:lineRule="auto"/>
        <w:rPr>
          <w:sz w:val="20"/>
          <w:szCs w:val="20"/>
          <w:color w:val="auto"/>
        </w:rPr>
      </w:pPr>
      <w:r>
        <w:rPr>
          <w:rFonts w:ascii="Arial" w:cs="Arial" w:eastAsia="Arial" w:hAnsi="Arial"/>
          <w:sz w:val="17"/>
          <w:szCs w:val="17"/>
          <w:color w:val="auto"/>
        </w:rPr>
        <w:t>The Company remeasures the fair value of the Westrock Public Warrants (as defined in Note 4 to our Condensed Consolidated Financial Statements) based on the quoted market price of the Westrock Public Warrants. The Westrock Private Warrants (as defined in Note 4 to our Condensed Consolidated Financial Statements) are valued a binomial lattice valuation model. The primary unobservable input utilized in determining the fair value of the Westrock Private Warrants is the expected volatility of the stock price, which is determined by use of an option pricing model. A 10% increase to the volatility input at September 30, 2022 would increase the fair value of the Private Warrants by approximately $1.1 million. For the three and nine months ended September 30, 2022, the Company recognized $5.2 million of losses related to the change in fair value of warrant liabilities.</w:t>
      </w:r>
    </w:p>
    <w:p>
      <w:pPr>
        <w:spacing w:after="0" w:line="181" w:lineRule="exact"/>
        <w:rPr>
          <w:sz w:val="20"/>
          <w:szCs w:val="20"/>
          <w:color w:val="auto"/>
        </w:rPr>
      </w:pPr>
    </w:p>
    <w:p>
      <w:pPr>
        <w:ind w:left="40" w:right="139"/>
        <w:spacing w:after="0" w:line="252" w:lineRule="auto"/>
        <w:rPr>
          <w:sz w:val="20"/>
          <w:szCs w:val="20"/>
          <w:color w:val="auto"/>
        </w:rPr>
      </w:pPr>
      <w:r>
        <w:rPr>
          <w:rFonts w:ascii="Arial" w:cs="Arial" w:eastAsia="Arial" w:hAnsi="Arial"/>
          <w:sz w:val="18"/>
          <w:szCs w:val="18"/>
          <w:color w:val="auto"/>
        </w:rPr>
        <w:t>For further information on our critical accounting policies and estimates, see “Management’s Discussion and Analysis of Financial Condition and Results of Operations” and the notes to our audited financial statements included in our Registration Statement on Form S-1 filed with the SEC on September 20, 2022. As of September 30, 2022, there have been no material changes to these estimates.</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47" w:name="page48"/>
    <w:bookmarkEnd w:id="4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jc w:val="both"/>
        <w:ind w:left="40" w:right="279"/>
        <w:spacing w:after="0" w:line="277" w:lineRule="auto"/>
        <w:rPr>
          <w:sz w:val="20"/>
          <w:szCs w:val="20"/>
          <w:color w:val="auto"/>
        </w:rPr>
      </w:pPr>
      <w:r>
        <w:rPr>
          <w:rFonts w:ascii="Arial" w:cs="Arial" w:eastAsia="Arial" w:hAnsi="Arial"/>
          <w:sz w:val="17"/>
          <w:szCs w:val="17"/>
          <w:color w:val="auto"/>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Revolving Credit Facility.</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52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39"/>
        </w:trPr>
        <w:tc>
          <w:tcPr>
            <w:tcW w:w="6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6"/>
              <w:spacing w:after="0" w:line="139"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6"/>
              <w:spacing w:after="0" w:line="13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(59,534)</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40" w:right="139"/>
        <w:spacing w:after="0" w:line="305" w:lineRule="auto"/>
        <w:rPr>
          <w:sz w:val="20"/>
          <w:szCs w:val="20"/>
          <w:color w:val="auto"/>
        </w:rPr>
      </w:pPr>
      <w:r>
        <w:rPr>
          <w:rFonts w:ascii="Arial" w:cs="Arial" w:eastAsia="Arial" w:hAnsi="Arial"/>
          <w:sz w:val="15"/>
          <w:szCs w:val="15"/>
          <w:color w:val="auto"/>
        </w:rPr>
        <w:t>As of September 30, 2022, we had unrestricted cash and cash equivalents of $91.0 million and $175.0 million of undrawn borrowings available under our Revolving Credit Facility (other than $2.6 million of standby letters of credit outstanding described below). Subsequent to September 30, 2022, there have been no material outlays of funds outside of our budgeted capital expenditures. We used proceeds from the Transaction and the Term Loan Facility to pay off and terminate our then existing term loan and asset-based lending arrangements, and to pay expenses related to the Transaction and the new Credit Agreement. We believe we have sufficient liquidity to fund our operations for the foreseeable future, meet our debt obligations, and to comply with our new debt covenants, however; if there was a sudden or prolonged negative change in our expectations regarding our liquidity, we may be forced to cease investments in our growth.</w:t>
      </w:r>
    </w:p>
    <w:p>
      <w:pPr>
        <w:spacing w:after="0" w:line="154" w:lineRule="exact"/>
        <w:rPr>
          <w:sz w:val="20"/>
          <w:szCs w:val="20"/>
          <w:color w:val="auto"/>
        </w:rPr>
      </w:pPr>
    </w:p>
    <w:p>
      <w:pPr>
        <w:jc w:val="both"/>
        <w:ind w:left="40" w:right="399"/>
        <w:spacing w:after="0" w:line="277" w:lineRule="auto"/>
        <w:rPr>
          <w:sz w:val="20"/>
          <w:szCs w:val="20"/>
          <w:color w:val="auto"/>
        </w:rPr>
      </w:pPr>
      <w:r>
        <w:rPr>
          <w:rFonts w:ascii="Arial" w:cs="Arial" w:eastAsia="Arial" w:hAnsi="Arial"/>
          <w:sz w:val="17"/>
          <w:szCs w:val="17"/>
          <w:color w:val="auto"/>
        </w:rPr>
        <w:t>For the nine months ended September 30, 2022, net cash used in operating activities was $59.5 million compared to $8.2 million for the nine months ended September 30, 2021. The change is primarily attributable to increased working capital needs, primarily related to increases in inventory levels to meet anticipated customer demand.</w:t>
      </w:r>
    </w:p>
    <w:p>
      <w:pPr>
        <w:spacing w:after="0" w:line="171" w:lineRule="exact"/>
        <w:rPr>
          <w:sz w:val="20"/>
          <w:szCs w:val="20"/>
          <w:color w:val="auto"/>
        </w:rPr>
      </w:pPr>
    </w:p>
    <w:p>
      <w:pPr>
        <w:ind w:left="40" w:right="139"/>
        <w:spacing w:after="0" w:line="252" w:lineRule="auto"/>
        <w:rPr>
          <w:sz w:val="20"/>
          <w:szCs w:val="20"/>
          <w:color w:val="auto"/>
        </w:rPr>
      </w:pPr>
      <w:r>
        <w:rPr>
          <w:rFonts w:ascii="Arial" w:cs="Arial" w:eastAsia="Arial" w:hAnsi="Arial"/>
          <w:sz w:val="18"/>
          <w:szCs w:val="18"/>
          <w:color w:val="auto"/>
        </w:rPr>
        <w:t>Net cash used in investing activities was $19.8 million for the nine months ended September 30, 2022, compared to $11.7 million for the nine months ended September 30, 2021. The increase was primarily driven by an increase of $10.4 million in growth capital expenditures for the nine months ended September 30, 2022 compared to the nine months ended September 30, 2021.</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the nine months ended September 30, 2022, net cash provided by financing activities was $152.2 million, compared to</w:t>
      </w:r>
    </w:p>
    <w:p>
      <w:pPr>
        <w:spacing w:after="0" w:line="51" w:lineRule="exact"/>
        <w:rPr>
          <w:sz w:val="20"/>
          <w:szCs w:val="20"/>
          <w:color w:val="auto"/>
        </w:rPr>
      </w:pPr>
    </w:p>
    <w:p>
      <w:pPr>
        <w:ind w:left="40" w:right="119"/>
        <w:spacing w:after="0" w:line="248" w:lineRule="auto"/>
        <w:rPr>
          <w:sz w:val="20"/>
          <w:szCs w:val="20"/>
          <w:color w:val="auto"/>
        </w:rPr>
      </w:pPr>
      <w:r>
        <w:rPr>
          <w:rFonts w:ascii="Arial" w:cs="Arial" w:eastAsia="Arial" w:hAnsi="Arial"/>
          <w:sz w:val="18"/>
          <w:szCs w:val="18"/>
          <w:color w:val="auto"/>
        </w:rPr>
        <w:t>$15.3 million for the nine months ended September 30, 2021. The increase is primarily related to an increase in net proceeds received from the de-SPAC merger and PIPE financing of approximately $255.7 million, partially offset by an increase in debt repayments, net of increases in debt proceeds of approximately $92.7 million.</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17" w:lineRule="exact"/>
        <w:rPr>
          <w:sz w:val="20"/>
          <w:szCs w:val="20"/>
          <w:color w:val="auto"/>
        </w:rPr>
      </w:pPr>
    </w:p>
    <w:p>
      <w:pPr>
        <w:ind w:left="40" w:right="239"/>
        <w:spacing w:after="0" w:line="265" w:lineRule="auto"/>
        <w:rPr>
          <w:sz w:val="20"/>
          <w:szCs w:val="20"/>
          <w:color w:val="auto"/>
        </w:rPr>
      </w:pPr>
      <w:r>
        <w:rPr>
          <w:rFonts w:ascii="Arial" w:cs="Arial" w:eastAsia="Arial" w:hAnsi="Arial"/>
          <w:sz w:val="17"/>
          <w:szCs w:val="17"/>
          <w:color w:val="auto"/>
        </w:rPr>
        <w:t>On August 29, 2022, the Company entered into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$175.0 million Revolving Credit Facility and a $175.0 million Term Loan Facility. Proceeds from the Term Loan Facility were used for paying off existing indebtedness. The Credit Agreement matures on August 29, 2027. All obligations under the Credit Agreement are guaranteed by the Company and each of the Borrower’s domestic subsidiaries, which comprise our Beverage Solutions segment, and are secured by substantially all of the assets of the Company’s assets.</w:t>
      </w:r>
    </w:p>
    <w:p>
      <w:pPr>
        <w:spacing w:after="0" w:line="181" w:lineRule="exact"/>
        <w:rPr>
          <w:sz w:val="20"/>
          <w:szCs w:val="20"/>
          <w:color w:val="auto"/>
        </w:rPr>
      </w:pPr>
    </w:p>
    <w:p>
      <w:pPr>
        <w:ind w:left="40" w:right="79"/>
        <w:spacing w:after="0" w:line="265" w:lineRule="auto"/>
        <w:rPr>
          <w:sz w:val="20"/>
          <w:szCs w:val="20"/>
          <w:color w:val="auto"/>
        </w:rPr>
      </w:pPr>
      <w:r>
        <w:rPr>
          <w:rFonts w:ascii="Arial" w:cs="Arial" w:eastAsia="Arial" w:hAnsi="Arial"/>
          <w:sz w:val="17"/>
          <w:szCs w:val="17"/>
          <w:color w:val="auto"/>
        </w:rPr>
        <w:t>Borrowings under the Revolving Credit Facility and the Term Loan Facility will bear interest, at the Borrower’s option, initially at an annual rate equal to (i) Term SOFR plus a credit spread adjustment of 0.10% for loans with an interest period of one month, 0.15% for loans with an interest period of three months and 0.25% for loans with an interest period of six months, as applicable, (the “Adjusted Term SOFR Rate”) or (ii) the base rate (determined by reference to the greatest of (i) the rate of interest last quoted by The Wall Street Journal in the U.S. as the prime rate in effect, (ii) the NYFRB Rate from time to time plus 0.50% and (iii) the Adjusted Term SOFR Rate for a one month interest period plus 1.00%, (the “Base Rate”)), in each case plus the Applicable Margin. The Applicable Margin ranges from 1.50% to</w:t>
      </w:r>
    </w:p>
    <w:p>
      <w:pPr>
        <w:sectPr>
          <w:pgSz w:w="11900" w:h="16838" w:orient="portrait"/>
          <w:cols w:equalWidth="0" w:num="1">
            <w:col w:w="9019"/>
          </w:cols>
          <w:pgMar w:left="1440" w:top="511" w:right="1440" w:bottom="1440" w:gutter="0" w:footer="0" w:header="0"/>
        </w:sectPr>
      </w:pPr>
    </w:p>
    <w:p>
      <w:pPr>
        <w:spacing w:after="0" w:line="397" w:lineRule="exact"/>
        <w:rPr>
          <w:sz w:val="20"/>
          <w:szCs w:val="20"/>
          <w:color w:val="auto"/>
        </w:rPr>
      </w:pPr>
    </w:p>
    <w:p>
      <w:pPr>
        <w:ind w:left="8780"/>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369570</wp:posOffset>
            </wp:positionV>
            <wp:extent cx="565404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type w:val="continuous"/>
        </w:sectPr>
      </w:pPr>
    </w:p>
    <w:bookmarkStart w:id="48" w:name="page49"/>
    <w:bookmarkEnd w:id="4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79"/>
        <w:spacing w:after="0" w:line="250" w:lineRule="auto"/>
        <w:rPr>
          <w:sz w:val="20"/>
          <w:szCs w:val="20"/>
          <w:color w:val="auto"/>
        </w:rPr>
      </w:pPr>
      <w:r>
        <w:rPr>
          <w:rFonts w:ascii="Arial" w:cs="Arial" w:eastAsia="Arial" w:hAnsi="Arial"/>
          <w:sz w:val="18"/>
          <w:szCs w:val="18"/>
          <w:color w:val="auto"/>
        </w:rPr>
        <w:t>2.50% for Adjusted Term SOFR loans and from 0.50% to 1.50% for Base Rate loans, in each case depending on the total net leverage ratio. Commitment fees on the daily unused amount of commitments under the Revolving Credit Facility range from 0.20% to 0.35% depending on the total net leverage ratio. At September 30, 2022, the Revolving Credit Facility was undrawn (other than the standby letters of credit outstanding described below) and the interest rate applicable to our Term Loan Facility was 5.7%.</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Term Loan Facility requires quarterly principal payments during the first three years of approximately $2.2 million</w:t>
      </w:r>
    </w:p>
    <w:p>
      <w:pPr>
        <w:spacing w:after="0" w:line="28" w:lineRule="exact"/>
        <w:rPr>
          <w:sz w:val="20"/>
          <w:szCs w:val="20"/>
          <w:color w:val="auto"/>
        </w:rPr>
      </w:pPr>
    </w:p>
    <w:p>
      <w:pPr>
        <w:jc w:val="both"/>
        <w:ind w:left="40" w:right="199"/>
        <w:spacing w:after="0" w:line="349" w:lineRule="auto"/>
        <w:rPr>
          <w:sz w:val="20"/>
          <w:szCs w:val="20"/>
          <w:color w:val="auto"/>
        </w:rPr>
      </w:pPr>
      <w:r>
        <w:rPr>
          <w:rFonts w:ascii="Arial" w:cs="Arial" w:eastAsia="Arial" w:hAnsi="Arial"/>
          <w:sz w:val="15"/>
          <w:szCs w:val="15"/>
          <w:color w:val="auto"/>
        </w:rPr>
        <w:t>(1.25% of the original principal balance beginning December 31, 2022). Quarterly payments increase to approximately $3.3 million and $4.4 million (1.875% and 2.5% of the original principal balance) during the fourth and fifth years, respectively.</w:t>
      </w:r>
    </w:p>
    <w:p>
      <w:pPr>
        <w:spacing w:after="0" w:line="123" w:lineRule="exact"/>
        <w:rPr>
          <w:sz w:val="20"/>
          <w:szCs w:val="20"/>
          <w:color w:val="auto"/>
        </w:rPr>
      </w:pPr>
    </w:p>
    <w:p>
      <w:pPr>
        <w:ind w:left="40" w:right="199"/>
        <w:spacing w:after="0" w:line="250" w:lineRule="auto"/>
        <w:rPr>
          <w:sz w:val="20"/>
          <w:szCs w:val="20"/>
          <w:color w:val="auto"/>
        </w:rPr>
      </w:pPr>
      <w:r>
        <w:rPr>
          <w:rFonts w:ascii="Arial" w:cs="Arial" w:eastAsia="Arial" w:hAnsi="Arial"/>
          <w:sz w:val="18"/>
          <w:szCs w:val="18"/>
          <w:color w:val="auto"/>
        </w:rPr>
        <w:t>We incurred $6.0 million of financing fees in connection with the Credit Agreement. $3.0 million of the fees were allocated to the Term Loan Facility and are being amortized utilizing the frozen effective yield method based on the interest rate in place at the issuance of the Term Loan Facility. $3.0 million of the fees were allocated to the Revolving Credit Facility, are reported within other long-term assets on the Condensed Consolidated Balance Sheets and are being amortized ratably over the term of the Revolving Credit Facility.</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had $2.6 million of standby letters of credit outstanding at September 30, 2022.</w:t>
      </w:r>
    </w:p>
    <w:p>
      <w:pPr>
        <w:spacing w:after="0" w:line="217" w:lineRule="exact"/>
        <w:rPr>
          <w:sz w:val="20"/>
          <w:szCs w:val="20"/>
          <w:color w:val="auto"/>
        </w:rPr>
      </w:pPr>
    </w:p>
    <w:p>
      <w:pPr>
        <w:jc w:val="both"/>
        <w:ind w:left="40" w:right="119"/>
        <w:spacing w:after="0" w:line="318" w:lineRule="auto"/>
        <w:rPr>
          <w:sz w:val="20"/>
          <w:szCs w:val="20"/>
          <w:color w:val="auto"/>
        </w:rPr>
      </w:pPr>
      <w:r>
        <w:rPr>
          <w:rFonts w:ascii="Arial" w:cs="Arial" w:eastAsia="Arial" w:hAnsi="Arial"/>
          <w:sz w:val="15"/>
          <w:szCs w:val="15"/>
          <w:color w:val="auto"/>
        </w:rPr>
        <w:t>The Credit Agreement contains two financial covenants requiring maintenance of a total net leverage ratio not to exceed 4.50 to 1.00, with a stepdown to 4.00 to 1.00 on the 18-month anniversary of the closing date of Credit Agreement (with an option to increase to 4.50 to 1.00 following certain permitted acquisitions), and an interest coverage ratio of at least 1.50 to 1.00 (the “Financial Covenants”). As of September 30, 2022, the Company was in compliance with the Financial Covenants.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Prior Term Loan Facility</w:t>
      </w:r>
    </w:p>
    <w:p>
      <w:pPr>
        <w:spacing w:after="0" w:line="217" w:lineRule="exact"/>
        <w:rPr>
          <w:sz w:val="20"/>
          <w:szCs w:val="20"/>
          <w:color w:val="auto"/>
        </w:rPr>
      </w:pPr>
    </w:p>
    <w:p>
      <w:pPr>
        <w:ind w:left="40" w:right="99"/>
        <w:spacing w:after="0" w:line="309" w:lineRule="auto"/>
        <w:rPr>
          <w:sz w:val="20"/>
          <w:szCs w:val="20"/>
          <w:color w:val="auto"/>
        </w:rPr>
      </w:pPr>
      <w:r>
        <w:rPr>
          <w:rFonts w:ascii="Arial" w:cs="Arial" w:eastAsia="Arial" w:hAnsi="Arial"/>
          <w:sz w:val="15"/>
          <w:szCs w:val="15"/>
          <w:color w:val="auto"/>
        </w:rPr>
        <w:t>On February 28, 2020, Westrock Beverage Solutions, LLC, as borrower, borrowed $240.0 million of term loans from various financial institutions pursuant to a loan and security agreement (the “Prior Term Loan Agreement”) (such term loans, the “Prior Term Loan Facility”). In connection with the Closing, all outstanding Prior Term Loan Facility balances were repaid, and the associated Prior Term Loan Agreement was terminated. The Company paid a $1.6 million early termination fee, and wrote off $4.0 million of unamortized deferred financing fees associated with the termination of the Prior Term Loan Facility, which are recorded within interest expense on the Condensed Consolidated Statement of Operations.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Prior ABL Facility</w:t>
      </w:r>
    </w:p>
    <w:p>
      <w:pPr>
        <w:spacing w:after="0" w:line="217" w:lineRule="exact"/>
        <w:rPr>
          <w:sz w:val="20"/>
          <w:szCs w:val="20"/>
          <w:color w:val="auto"/>
        </w:rPr>
      </w:pPr>
    </w:p>
    <w:p>
      <w:pPr>
        <w:ind w:left="40" w:right="159"/>
        <w:spacing w:after="0" w:line="305" w:lineRule="auto"/>
        <w:rPr>
          <w:sz w:val="20"/>
          <w:szCs w:val="20"/>
          <w:color w:val="auto"/>
        </w:rPr>
      </w:pPr>
      <w:r>
        <w:rPr>
          <w:rFonts w:ascii="Arial" w:cs="Arial" w:eastAsia="Arial" w:hAnsi="Arial"/>
          <w:sz w:val="15"/>
          <w:szCs w:val="15"/>
          <w:color w:val="auto"/>
        </w:rPr>
        <w:t>On February 28, 2020, Westrock Beverage Solutions, LLC, as borrower, entered into a loan and security agreement with Bank of America as administrative agent (the “Prior ABL Credit Agreement”) that created an asset-based loan of $90.0 million (the “Prior ABL Facility”). In connection with the Closing, all outstanding Prior ABL Facility balances were repaid, and the associated Prior ABL Credit Agreement was terminated. Upon termination, we wrote off $0.3 million of the $1.3 million unamortized deferred financing fees associated with the Prior ABL Facility, which are recorded within interest expense on the Condensed Consolidated Statement of Operations. The remaining unamortized deferred financing fees were allocated to the new Revolving Credit Facility and will be amortized over the life of the Revolving Credit Facility. Outstanding letters of credit under the Prior ABL Facility were replaced by letters of credit under the Credit Agreement.</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International Debt and Lending Facilities</w:t>
      </w:r>
    </w:p>
    <w:p>
      <w:pPr>
        <w:spacing w:after="0" w:line="217" w:lineRule="exact"/>
        <w:rPr>
          <w:sz w:val="20"/>
          <w:szCs w:val="20"/>
          <w:color w:val="auto"/>
        </w:rPr>
      </w:pPr>
    </w:p>
    <w:p>
      <w:pPr>
        <w:ind w:left="40" w:right="239"/>
        <w:spacing w:after="0" w:line="312" w:lineRule="auto"/>
        <w:rPr>
          <w:sz w:val="20"/>
          <w:szCs w:val="20"/>
          <w:color w:val="auto"/>
        </w:rPr>
      </w:pPr>
      <w:r>
        <w:rPr>
          <w:rFonts w:ascii="Arial" w:cs="Arial" w:eastAsia="Arial" w:hAnsi="Arial"/>
          <w:sz w:val="15"/>
          <w:szCs w:val="15"/>
          <w:color w:val="auto"/>
        </w:rPr>
        <w:t>At September 30, 2022, Westrock Coffee International, LLC, an Arkansas limited liability company and wholly owned subsidiary of the Company, through its subsidiary Falcon Coffees Limited (“Falcon”) had a $0.7 million promissory note payable with responsAbility SICAV (Lux). Proceeds from the note are restricted for the sole purpose of financing Falcon’s trading activities. Borrowings on the note bear interest at a fixed rate of 9.5% and mature on December 31, 2022. Westrock Coffee International, LLC, through its subsidiary Rwanda Trading Company, maintains two mortgage-</w:t>
      </w:r>
    </w:p>
    <w:p>
      <w:pPr>
        <w:spacing w:after="0" w:line="36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49" w:name="page50"/>
    <w:bookmarkEnd w:id="4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79"/>
        <w:spacing w:after="0" w:line="277" w:lineRule="auto"/>
        <w:rPr>
          <w:sz w:val="20"/>
          <w:szCs w:val="20"/>
          <w:color w:val="auto"/>
        </w:rPr>
      </w:pPr>
      <w:r>
        <w:rPr>
          <w:rFonts w:ascii="Arial" w:cs="Arial" w:eastAsia="Arial" w:hAnsi="Arial"/>
          <w:sz w:val="17"/>
          <w:szCs w:val="17"/>
          <w:color w:val="auto"/>
        </w:rPr>
        <w:t>backed lending facilities with a local bank in Rwanda: a short-term trade finance facility with a balance of $9.1 million at September 30, 2022 and a long-term note payable with a balance of $1.9 million at September 30, 2022. The short-term trade finance facility and the long-term note payable bear interest at a rate of 6.5% and 7.0%, respectively.</w:t>
      </w:r>
    </w:p>
    <w:p>
      <w:pPr>
        <w:spacing w:after="0" w:line="171" w:lineRule="exact"/>
        <w:rPr>
          <w:sz w:val="20"/>
          <w:szCs w:val="20"/>
          <w:color w:val="auto"/>
        </w:rPr>
      </w:pPr>
    </w:p>
    <w:p>
      <w:pPr>
        <w:ind w:left="40" w:right="59"/>
        <w:spacing w:after="0" w:line="300" w:lineRule="auto"/>
        <w:rPr>
          <w:sz w:val="20"/>
          <w:szCs w:val="20"/>
          <w:color w:val="auto"/>
        </w:rPr>
      </w:pPr>
      <w:r>
        <w:rPr>
          <w:rFonts w:ascii="Arial" w:cs="Arial" w:eastAsia="Arial" w:hAnsi="Arial"/>
          <w:sz w:val="15"/>
          <w:szCs w:val="15"/>
          <w:color w:val="auto"/>
        </w:rPr>
        <w:t>Falcon maintains a working capital trade finance facility with multiple financial institutions, which prior to March 16, 2022, was agented by Brown Brothers Harriman (“BBH”), a related party of the Company through its equity interests in the Company, and was reported as short-term related party debt on the Condensed Consolidated Balance Sheets. On March 16, 2022, Falcon refinanced its working capital trade finance facility, and the facility was transferred to different lenders with the same terms as the previous facility. At the time of refinance, there was $49.3 million outstanding under the facility. The new facility is uncommitted, repayable on demand and secured by Falcon’s assets. The facility is renewable on an annual basis beginning in March 2023. On April 29, 2022, the facility size increased from $50 million to $55 million and subsequently, on June 16, 2022, the facility size increased to $62.5 million. At September 30, 2022, there was $49.6 million outstanding under the facility, which is recorded in short-term debt in the Condensed Consolidated Balance Sheets. Interest is payable monthly at the U.S. Prime Rate plus 1.50%, subject to a minimum rate of 5.00%. The facility carries an agent fee of 0.25% of total available capital. Availability under the facility is subject to a borrowing base calculation. The credit facility is secured by substantially all liquid assets of Falcon. Falcon’s facility contains certain restrictive financial covenants which require Falcon to maintain certain levels of working capital, debt, and net worth. Falcon was in compliance with these financial covenants as of September 30, 2022.</w:t>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Subordinated Related Party Debt</w:t>
      </w:r>
    </w:p>
    <w:p>
      <w:pPr>
        <w:spacing w:after="0" w:line="217" w:lineRule="exact"/>
        <w:rPr>
          <w:sz w:val="20"/>
          <w:szCs w:val="20"/>
          <w:color w:val="auto"/>
        </w:rPr>
      </w:pPr>
    </w:p>
    <w:p>
      <w:pPr>
        <w:ind w:left="40" w:right="119"/>
        <w:spacing w:after="0" w:line="303" w:lineRule="auto"/>
        <w:rPr>
          <w:sz w:val="20"/>
          <w:szCs w:val="20"/>
          <w:color w:val="auto"/>
        </w:rPr>
      </w:pPr>
      <w:r>
        <w:rPr>
          <w:rFonts w:ascii="Arial" w:cs="Arial" w:eastAsia="Arial" w:hAnsi="Arial"/>
          <w:sz w:val="15"/>
          <w:szCs w:val="15"/>
          <w:color w:val="auto"/>
        </w:rPr>
        <w:t>On February 28, 2020, we issued $13.3 million of subordinated debt (the “Subordinated Notes”) to Wooster and Jo Ellen Ford, related parties of the Company through their equity ownership and relation with Joe Ford, the chairman of our board of directors. The Subordinated Notes provided for maturity on the earlier of (i) six months after the Prior Term Loan Facility due in 2025 was paid in full or (ii) 10 years from the date of issuance (February 2030). Interest was payable quarterly at the end of each calendar quarter at a rate of 6% per annum. Substantially concurrently with the Closing and pursuant to the terms of their respective subscription agreements with the Company, Wooster and Jo Ellen Ford contributed their respective Subordinated Notes to the Company and in exchange for such contribution, the Company issued Common Shares, par value $0.01 per share, to Wooster and Jo Ellen Ford. The Company issued a total of 1,330,000 Common Shares in exchange for the contribution of the Subordinated Notes, which were subsequently extinguished.</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Current and Long-Term Liquidity</w:t>
      </w:r>
    </w:p>
    <w:p>
      <w:pPr>
        <w:spacing w:after="0" w:line="217" w:lineRule="exact"/>
        <w:rPr>
          <w:sz w:val="20"/>
          <w:szCs w:val="20"/>
          <w:color w:val="auto"/>
        </w:rPr>
      </w:pPr>
    </w:p>
    <w:p>
      <w:pPr>
        <w:ind w:left="40" w:right="239"/>
        <w:spacing w:after="0" w:line="248" w:lineRule="auto"/>
        <w:rPr>
          <w:sz w:val="20"/>
          <w:szCs w:val="20"/>
          <w:color w:val="auto"/>
        </w:rPr>
      </w:pPr>
      <w:r>
        <w:rPr>
          <w:rFonts w:ascii="Arial" w:cs="Arial" w:eastAsia="Arial" w:hAnsi="Arial"/>
          <w:sz w:val="18"/>
          <w:szCs w:val="18"/>
          <w:color w:val="auto"/>
        </w:rPr>
        <w:t>Our liquidity needs are to fund operating expenses, meet debt service obligations, and fund both current and long-term investment activities, which include capital expenditures. Proceeds from the Transaction and the Term Loan Facility were used to repay outstanding borrowings under our Prior Term Loan Facility and Prior ABL Facility. In addition, we expect to use proceeds to fund our near-term growth strategies, which include, (i) extending and enhancing product offerings through innovation, (ii) expanding our customer base, (iii) expanding geographically, (iv) funding accretive acquisitions, and (v) continuing to drive margin expansion. As of September 30, 2022, we had no borrowings outstanding under our Revolving Credit Facility.</w:t>
      </w:r>
    </w:p>
    <w:p>
      <w:pPr>
        <w:spacing w:after="0" w:line="199" w:lineRule="exact"/>
        <w:rPr>
          <w:sz w:val="20"/>
          <w:szCs w:val="20"/>
          <w:color w:val="auto"/>
        </w:rPr>
      </w:pPr>
    </w:p>
    <w:p>
      <w:pPr>
        <w:ind w:left="40" w:right="79"/>
        <w:spacing w:after="0" w:line="304" w:lineRule="auto"/>
        <w:rPr>
          <w:sz w:val="20"/>
          <w:szCs w:val="20"/>
          <w:color w:val="auto"/>
        </w:rPr>
      </w:pPr>
      <w:r>
        <w:rPr>
          <w:rFonts w:ascii="Arial" w:cs="Arial" w:eastAsia="Arial" w:hAnsi="Arial"/>
          <w:sz w:val="15"/>
          <w:szCs w:val="15"/>
          <w:color w:val="auto"/>
        </w:rPr>
        <w:t>A key component of our long-term growth strategy will be to complete the build-out of our extract and ready-to-drink manufacturing facility in Conway, Arkansas, which will utilize state-of-the-art equipment specifically designed to efficiently manufacture and package a wide range of beverages, such as canned or bottled cold brew coffees, lattes, assorted teas, and juice-based products. We initially planned to complete the build-out in phases; however, the Company is accelerating capital spending that was originally slated for Phase II of the project into Phase I. The Company will now be adding a state-of-the-art extraction technology system, a multi-serve bottling line, a specialty canning line and Bag-in-a-Box packaging lines to its Phase I projects that previously included a standard extraction system and high-speed glass bottling and canning lines. The Company now expects to incur approximately $275.0 million of capital expenditures over the next three (3) years to complete the enhanced build-out of Phase I and Phase II.</w:t>
      </w:r>
    </w:p>
    <w:p>
      <w:pPr>
        <w:spacing w:after="0" w:line="372" w:lineRule="exact"/>
        <w:rPr>
          <w:sz w:val="20"/>
          <w:szCs w:val="20"/>
          <w:color w:val="auto"/>
        </w:rPr>
      </w:pPr>
    </w:p>
    <w:p>
      <w:pPr>
        <w:ind w:left="40" w:right="199"/>
        <w:spacing w:after="0" w:line="365" w:lineRule="auto"/>
        <w:rPr>
          <w:sz w:val="20"/>
          <w:szCs w:val="20"/>
          <w:color w:val="auto"/>
        </w:rPr>
      </w:pPr>
      <w:r>
        <w:rPr>
          <w:rFonts w:ascii="Arial" w:cs="Arial" w:eastAsia="Arial" w:hAnsi="Arial"/>
          <w:sz w:val="15"/>
          <w:szCs w:val="15"/>
          <w:color w:val="auto"/>
        </w:rPr>
        <w:t>We believe proceeds from the Transaction, available borrowings under our Revolving Credit Facility, and more efficient use of our working capital will provide sufficient cash on-hand to complete the build-out. However, the Company will</w:t>
      </w:r>
    </w:p>
    <w:p>
      <w:pPr>
        <w:sectPr>
          <w:pgSz w:w="11900" w:h="16838" w:orient="portrait"/>
          <w:cols w:equalWidth="0" w:num="1">
            <w:col w:w="9019"/>
          </w:cols>
          <w:pgMar w:left="1440" w:top="511" w:right="1440" w:bottom="1440" w:gutter="0" w:footer="0" w:header="0"/>
        </w:sectPr>
      </w:pPr>
    </w:p>
    <w:p>
      <w:pPr>
        <w:spacing w:after="0" w:line="323" w:lineRule="exact"/>
        <w:rPr>
          <w:sz w:val="20"/>
          <w:szCs w:val="20"/>
          <w:color w:val="auto"/>
        </w:rPr>
      </w:pPr>
    </w:p>
    <w:p>
      <w:pPr>
        <w:ind w:left="8780"/>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369570</wp:posOffset>
            </wp:positionV>
            <wp:extent cx="565404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type w:val="continuous"/>
        </w:sectPr>
      </w:pPr>
    </w:p>
    <w:bookmarkStart w:id="50" w:name="page51"/>
    <w:bookmarkEnd w:id="5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right="219"/>
        <w:spacing w:after="0" w:line="250" w:lineRule="auto"/>
        <w:rPr>
          <w:sz w:val="20"/>
          <w:szCs w:val="20"/>
          <w:color w:val="auto"/>
        </w:rPr>
      </w:pPr>
      <w:r>
        <w:rPr>
          <w:rFonts w:ascii="Arial" w:cs="Arial" w:eastAsia="Arial" w:hAnsi="Arial"/>
          <w:sz w:val="18"/>
          <w:szCs w:val="18"/>
          <w:color w:val="auto"/>
        </w:rPr>
        <w:t>continuously evaluate its liquidity needs, and may seek to opportunistically access additional liquidity, including through either the debt or equity capital markets. If it is determined that we have insufficient liquidity to fund the Conway build-out or fund our acquisition strategy, we may delay the build-out of the Conway facility and/or modify the scope of the build-out and we may reprioritize our strategy to focus on organic growth opportunities, which may have an adverse impact on our ability to achieve our growth objectives.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223" w:lineRule="exact"/>
        <w:rPr>
          <w:sz w:val="20"/>
          <w:szCs w:val="20"/>
          <w:color w:val="auto"/>
        </w:rPr>
      </w:pPr>
    </w:p>
    <w:p>
      <w:pPr>
        <w:jc w:val="both"/>
        <w:ind w:left="40" w:right="59"/>
        <w:spacing w:after="0" w:line="312" w:lineRule="auto"/>
        <w:rPr>
          <w:sz w:val="20"/>
          <w:szCs w:val="20"/>
          <w:color w:val="auto"/>
        </w:rPr>
      </w:pPr>
      <w:r>
        <w:rPr>
          <w:rFonts w:ascii="Arial" w:cs="Arial" w:eastAsia="Arial" w:hAnsi="Arial"/>
          <w:sz w:val="15"/>
          <w:szCs w:val="15"/>
          <w:color w:val="auto"/>
        </w:rPr>
        <w:t>Our material contractual obligations include the payment of principal and interest under our debt obligations. Our Term Loan Facility requires quarterly principal payments during the first three years of approximately $2.2 million (1.25% of the original principal balance beginning December 31, 2022. Quarterly payments increase to approximately $3.3 million and $4.4 million (1.875% and 2.5% of the original principal balance) during the fourth and fifth years, respectively. We have no other material obligations to pay principal amounts of our long-term debt obligations prior to their maturity.</w:t>
      </w:r>
    </w:p>
    <w:p>
      <w:pPr>
        <w:spacing w:after="0" w:line="15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7"/>
          <w:szCs w:val="17"/>
          <w:color w:val="auto"/>
        </w:rPr>
        <w:t>Future purchase obligations of $284.6 million as of September 30, 2022 consist of commitments for the purchase of inventory over the next 12 months. These obligations represent the minimum contractual obligations expected under the normal course of business. There are no material purchase obligations beyond 12 months.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Capital Expenditures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 categorize our capital expenditures as (i) growth, (ii) maintenance, (iii) customer beverage equipment or (iv) other.</w:t>
      </w:r>
    </w:p>
    <w:p>
      <w:pPr>
        <w:spacing w:after="0" w:line="229" w:lineRule="exact"/>
        <w:rPr>
          <w:sz w:val="20"/>
          <w:szCs w:val="20"/>
          <w:color w:val="auto"/>
        </w:rPr>
      </w:pPr>
    </w:p>
    <w:p>
      <w:pPr>
        <w:ind w:left="40" w:right="119"/>
        <w:spacing w:after="0" w:line="318" w:lineRule="auto"/>
        <w:rPr>
          <w:sz w:val="20"/>
          <w:szCs w:val="20"/>
          <w:color w:val="auto"/>
        </w:rPr>
      </w:pPr>
      <w:r>
        <w:rPr>
          <w:rFonts w:ascii="Arial" w:cs="Arial" w:eastAsia="Arial" w:hAnsi="Arial"/>
          <w:sz w:val="15"/>
          <w:szCs w:val="15"/>
          <w:color w:val="auto"/>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Capital expenditures for the nine months ended September 30, 2022 and 2021 were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Customer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w w:val="93"/>
              </w:rPr>
              <w:t>Growth</w:t>
            </w:r>
          </w:p>
        </w:tc>
        <w:tc>
          <w:tcPr>
            <w:tcW w:w="16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Maintenance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8"/>
              <w:spacing w:after="0" w:line="146" w:lineRule="exact"/>
              <w:rPr>
                <w:sz w:val="20"/>
                <w:szCs w:val="20"/>
                <w:color w:val="auto"/>
              </w:rPr>
            </w:pPr>
            <w:r>
              <w:rPr>
                <w:rFonts w:ascii="Arial" w:cs="Arial" w:eastAsia="Arial" w:hAnsi="Arial"/>
                <w:sz w:val="14"/>
                <w:szCs w:val="14"/>
                <w:b w:val="1"/>
                <w:bCs w:val="1"/>
                <w:color w:val="auto"/>
                <w:w w:val="88"/>
              </w:rPr>
              <w:t>Beverage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Equipment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2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Nine months ended September 30, 2022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8"/>
              </w:rPr>
              <w:t>15,779</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2,099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3,544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1,544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60"/>
              <w:spacing w:after="0" w:line="205" w:lineRule="exact"/>
              <w:rPr>
                <w:sz w:val="20"/>
                <w:szCs w:val="20"/>
                <w:color w:val="auto"/>
              </w:rPr>
            </w:pPr>
            <w:r>
              <w:rPr>
                <w:rFonts w:ascii="Arial" w:cs="Arial" w:eastAsia="Arial" w:hAnsi="Arial"/>
                <w:sz w:val="18"/>
                <w:szCs w:val="18"/>
                <w:color w:val="auto"/>
                <w:w w:val="94"/>
              </w:rPr>
              <w:t>22,966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Nine months ended September 30, 2021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6,870</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3,138</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tcPr>
          <w:p>
            <w:pPr>
              <w:ind w:left="60"/>
              <w:spacing w:after="0"/>
              <w:rPr>
                <w:sz w:val="20"/>
                <w:szCs w:val="20"/>
                <w:color w:val="auto"/>
              </w:rPr>
            </w:pPr>
            <w:r>
              <w:rPr>
                <w:rFonts w:ascii="Arial" w:cs="Arial" w:eastAsia="Arial" w:hAnsi="Arial"/>
                <w:sz w:val="18"/>
                <w:szCs w:val="18"/>
                <w:color w:val="auto"/>
                <w:w w:val="94"/>
              </w:rPr>
              <w:t>12,545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0" w:right="79"/>
        <w:spacing w:after="0" w:line="264" w:lineRule="auto"/>
        <w:rPr>
          <w:sz w:val="20"/>
          <w:szCs w:val="20"/>
          <w:color w:val="auto"/>
        </w:rPr>
      </w:pPr>
      <w:r>
        <w:rPr>
          <w:rFonts w:ascii="Arial" w:cs="Arial" w:eastAsia="Arial" w:hAnsi="Arial"/>
          <w:sz w:val="18"/>
          <w:szCs w:val="18"/>
          <w:color w:val="auto"/>
        </w:rPr>
        <w:t>We expect to invest to expand our extract and ready-to-drink product manufacturing capacity in Conway, Arkansas, for which we currently expect to spend approximately $275 million over the next 3 years.</w:t>
      </w:r>
    </w:p>
    <w:p>
      <w:pPr>
        <w:spacing w:after="0" w:line="181" w:lineRule="exact"/>
        <w:rPr>
          <w:sz w:val="20"/>
          <w:szCs w:val="20"/>
          <w:color w:val="auto"/>
        </w:rPr>
      </w:pPr>
    </w:p>
    <w:p>
      <w:pPr>
        <w:ind w:left="40" w:right="179"/>
        <w:spacing w:after="0" w:line="255" w:lineRule="auto"/>
        <w:rPr>
          <w:sz w:val="20"/>
          <w:szCs w:val="20"/>
          <w:color w:val="auto"/>
        </w:rPr>
      </w:pPr>
      <w:r>
        <w:rPr>
          <w:rFonts w:ascii="Arial" w:cs="Arial" w:eastAsia="Arial" w:hAnsi="Arial"/>
          <w:sz w:val="18"/>
          <w:szCs w:val="18"/>
          <w:color w:val="auto"/>
        </w:rPr>
        <w:t>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ind w:left="40" w:right="299"/>
        <w:spacing w:after="0" w:line="365" w:lineRule="auto"/>
        <w:rPr>
          <w:sz w:val="20"/>
          <w:szCs w:val="20"/>
          <w:color w:val="auto"/>
        </w:rPr>
      </w:pPr>
      <w:r>
        <w:rPr>
          <w:rFonts w:ascii="Arial" w:cs="Arial" w:eastAsia="Arial" w:hAnsi="Arial"/>
          <w:sz w:val="15"/>
          <w:szCs w:val="15"/>
          <w:color w:val="auto"/>
        </w:rPr>
        <w:t>See Note 3, Summary of Significant Accounting Policies, to the Condensed Consolidated Financial Statements included in Item I of Part 1 of this Quarterly Report on Form 10-Q for a detailed discussion of recent accounting pronouncements.</w:t>
      </w:r>
    </w:p>
    <w:p>
      <w:pPr>
        <w:spacing w:after="0" w:line="3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51" w:name="page52"/>
    <w:bookmarkEnd w:id="5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Regarding Market Risk</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Inflation Risk</w:t>
      </w:r>
    </w:p>
    <w:p>
      <w:pPr>
        <w:spacing w:after="0" w:line="223" w:lineRule="exact"/>
        <w:rPr>
          <w:sz w:val="20"/>
          <w:szCs w:val="20"/>
          <w:color w:val="auto"/>
        </w:rPr>
      </w:pPr>
    </w:p>
    <w:p>
      <w:pPr>
        <w:ind w:left="40" w:right="119"/>
        <w:spacing w:after="0" w:line="305" w:lineRule="auto"/>
        <w:rPr>
          <w:sz w:val="20"/>
          <w:szCs w:val="20"/>
          <w:color w:val="auto"/>
        </w:rPr>
      </w:pPr>
      <w:r>
        <w:rPr>
          <w:rFonts w:ascii="Arial" w:cs="Arial" w:eastAsia="Arial" w:hAnsi="Arial"/>
          <w:sz w:val="15"/>
          <w:szCs w:val="15"/>
          <w:color w:val="auto"/>
        </w:rPr>
        <w:t>During 2022, the Company has been impacted by negative effects of inflation on both our customers and our costs, including materials and labor costs. We attempt to mitigate the impacts of inflation wherever possible. Our mitigation strategies, including working with our vendors and suppliers to ensure that we have adequate access to raw materials to reliably provide our customers with the high-quality products they expect. In addition, where possible, we seek to recover inflation impacted costs by passing these costs onto our customers through periodic pricing increases. However, our pricing increases often lag our cost increases, including increases in commodity costs. At this time, it is too early to determine what impact these inflationary pressures and supply chain disruptions will have on our long-term growth strategies, as there is uncertainty in how long these risks may persist, and to what level we will be successful in passing these increased costs to our customers.</w:t>
      </w:r>
    </w:p>
    <w:p>
      <w:pPr>
        <w:spacing w:after="0" w:line="154" w:lineRule="exact"/>
        <w:rPr>
          <w:sz w:val="20"/>
          <w:szCs w:val="20"/>
          <w:color w:val="auto"/>
        </w:rPr>
      </w:pPr>
    </w:p>
    <w:p>
      <w:pPr>
        <w:ind w:left="40" w:right="159"/>
        <w:spacing w:after="0" w:line="330" w:lineRule="auto"/>
        <w:rPr>
          <w:sz w:val="20"/>
          <w:szCs w:val="20"/>
          <w:color w:val="auto"/>
        </w:rPr>
      </w:pPr>
      <w:r>
        <w:rPr>
          <w:rFonts w:ascii="Arial" w:cs="Arial" w:eastAsia="Arial" w:hAnsi="Arial"/>
          <w:sz w:val="15"/>
          <w:szCs w:val="15"/>
          <w:color w:val="auto"/>
        </w:rPr>
        <w:t>There has been no material change in the commodities price risk, interest rate risk or risk associated with the Russia/Ukraine conflict discussed in the section titled “Management’s Discussion and Analysis of Financial Condition and Results of Operations – Quantitative and Qualitative Disclosures About Market Risk” in the Registration Statement.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17" w:lineRule="exact"/>
        <w:rPr>
          <w:sz w:val="20"/>
          <w:szCs w:val="20"/>
          <w:color w:val="auto"/>
        </w:rPr>
      </w:pPr>
    </w:p>
    <w:p>
      <w:pPr>
        <w:ind w:left="40" w:right="199"/>
        <w:spacing w:after="0" w:line="309" w:lineRule="auto"/>
        <w:rPr>
          <w:sz w:val="20"/>
          <w:szCs w:val="20"/>
          <w:color w:val="auto"/>
        </w:rPr>
      </w:pPr>
      <w:r>
        <w:rPr>
          <w:rFonts w:ascii="Arial" w:cs="Arial" w:eastAsia="Arial" w:hAnsi="Arial"/>
          <w:sz w:val="15"/>
          <w:szCs w:val="15"/>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spacing w:after="0" w:line="152" w:lineRule="exact"/>
        <w:rPr>
          <w:sz w:val="20"/>
          <w:szCs w:val="20"/>
          <w:color w:val="auto"/>
        </w:rPr>
      </w:pPr>
    </w:p>
    <w:p>
      <w:pPr>
        <w:ind w:left="40" w:right="339"/>
        <w:spacing w:after="0" w:line="268"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as of September 30, 2022, the end of the period covered by this Quarterly Report. Based on this evaluation, our Principal Executive Officer and Principal Financial Officer concluded that our disclosure controls and procedures were not effective as of September 30, 2022 due to the material weaknesses in our internal control over financial reporting, described below.</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Material Weaknesses in Internal Control Over Financial Reporting</w:t>
      </w:r>
    </w:p>
    <w:p>
      <w:pPr>
        <w:spacing w:after="0" w:line="217" w:lineRule="exact"/>
        <w:rPr>
          <w:sz w:val="20"/>
          <w:szCs w:val="20"/>
          <w:color w:val="auto"/>
        </w:rPr>
      </w:pPr>
    </w:p>
    <w:p>
      <w:pPr>
        <w:jc w:val="both"/>
        <w:ind w:left="40" w:right="199"/>
        <w:spacing w:after="0" w:line="271"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We have identified the following material weaknesses in our internal control over financial reporting, which remain outstanding as of September 30, 2022.</w:t>
      </w:r>
    </w:p>
    <w:p>
      <w:pPr>
        <w:spacing w:after="0" w:line="177" w:lineRule="exact"/>
        <w:rPr>
          <w:sz w:val="20"/>
          <w:szCs w:val="20"/>
          <w:color w:val="auto"/>
        </w:rPr>
      </w:pPr>
    </w:p>
    <w:p>
      <w:pPr>
        <w:ind w:left="40" w:right="479"/>
        <w:spacing w:after="0" w:line="252" w:lineRule="auto"/>
        <w:rPr>
          <w:sz w:val="20"/>
          <w:szCs w:val="20"/>
          <w:color w:val="auto"/>
        </w:rPr>
      </w:pPr>
      <w:r>
        <w:rPr>
          <w:rFonts w:ascii="Arial" w:cs="Arial" w:eastAsia="Arial" w:hAnsi="Arial"/>
          <w:sz w:val="18"/>
          <w:szCs w:val="18"/>
          <w:color w:val="auto"/>
        </w:rPr>
        <w:t>Westrock did not design and maintain effective controls in response to the risks of material misstatement as changes to existing controls or the implementation of new controls were not sufficient to respond to changes to the risks of material misstatement to financial reporting. This material weakness in risk assessment contributed to the following material weaknesses:</w:t>
      </w:r>
    </w:p>
    <w:p>
      <w:pPr>
        <w:spacing w:after="0" w:line="191" w:lineRule="exact"/>
        <w:rPr>
          <w:sz w:val="20"/>
          <w:szCs w:val="20"/>
          <w:color w:val="auto"/>
        </w:rPr>
      </w:pPr>
    </w:p>
    <w:p>
      <w:pPr>
        <w:ind w:left="720" w:right="139" w:hanging="327"/>
        <w:spacing w:after="0" w:line="309" w:lineRule="auto"/>
        <w:tabs>
          <w:tab w:leader="none" w:pos="72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Westrock did not design and maintain effective controls to address the identification of and accounting for certain non-routine, unusual or complex transactions, including the proper application of U.S. GAAP to such transactions. Specifically, Westrock did not design and maintain effective controls to timely identify and account for issuances of redeemable common equivalent preferred units, the S&amp;D acquisition transaction, a disposal transaction, and arrangements with forward repurchase obligations which resulted in material audit adjustments to shareholders’ deficit; intangible assets, net; goodwill; acquisition, restructuring and integration</w:t>
      </w:r>
    </w:p>
    <w:p>
      <w:pPr>
        <w:spacing w:after="0" w:line="36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52" w:name="page53"/>
    <w:bookmarkEnd w:id="5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20" w:right="139"/>
        <w:spacing w:after="0" w:line="318" w:lineRule="auto"/>
        <w:rPr>
          <w:sz w:val="20"/>
          <w:szCs w:val="20"/>
          <w:color w:val="auto"/>
        </w:rPr>
      </w:pPr>
      <w:r>
        <w:rPr>
          <w:rFonts w:ascii="Arial" w:cs="Arial" w:eastAsia="Arial" w:hAnsi="Arial"/>
          <w:sz w:val="15"/>
          <w:szCs w:val="15"/>
          <w:color w:val="auto"/>
        </w:rPr>
        <w:t>expense; and impairment charges; within the consolidated financial statements as of and for the year ended December 31, 2020 and in immaterial misstatements to revenue; costs of sales; interest expense; inventory; accrued expenses and other current liabilities; and the cash flow presentation between operating and financing activities within the consolidated financial statements as of and for the years ended December 31, 2021 and 2020.</w:t>
      </w:r>
    </w:p>
    <w:p>
      <w:pPr>
        <w:spacing w:after="0" w:line="172" w:lineRule="exact"/>
        <w:rPr>
          <w:sz w:val="20"/>
          <w:szCs w:val="20"/>
          <w:color w:val="auto"/>
        </w:rPr>
      </w:pPr>
    </w:p>
    <w:p>
      <w:pPr>
        <w:ind w:left="720" w:right="79" w:hanging="327"/>
        <w:spacing w:after="0" w:line="264"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Westrock did not design and maintain effective controls over the period-end financial reporting process to achieve complete and accurate financial accounting, reporting and disclosures, including the presentation and classification of various accounts in the financial statements, which resulted in immaterial adjustments to product revenues; product costs of sales; selling, general and administrative expense; loss on disposal of property, plant and equipment; other (income) expense, net; accounts receivable, net, inventories; derivative assets, net; prepaid expenses and other current assets; property, plant, and equipment, net; goodwill; intangible assets, net; other long-term assets; accounts payable; accrued expenses and other current liabilities and the cash flow presentation of debt payments and proceeds within financing activities within the consolidated financial statements as of and for the year ended December 31, 2020.</w:t>
      </w:r>
    </w:p>
    <w:p>
      <w:pPr>
        <w:spacing w:after="0" w:line="198" w:lineRule="exact"/>
        <w:rPr>
          <w:rFonts w:ascii="Arial" w:cs="Arial" w:eastAsia="Arial" w:hAnsi="Arial"/>
          <w:sz w:val="17"/>
          <w:szCs w:val="17"/>
          <w:color w:val="auto"/>
        </w:rPr>
      </w:pPr>
    </w:p>
    <w:p>
      <w:pPr>
        <w:ind w:left="720" w:right="319" w:hanging="327"/>
        <w:spacing w:after="0" w:line="255"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Westrock did not design and maintain effective controls related to ensuring appropriate segregation of duties as it relates to the preparation and review of journal entries and account reconciliations, which did not result in adjustments to the consolidated financial statements.</w:t>
      </w:r>
    </w:p>
    <w:p>
      <w:pPr>
        <w:spacing w:after="0" w:line="201" w:lineRule="exact"/>
        <w:rPr>
          <w:rFonts w:ascii="Arial" w:cs="Arial" w:eastAsia="Arial" w:hAnsi="Arial"/>
          <w:sz w:val="18"/>
          <w:szCs w:val="18"/>
          <w:color w:val="auto"/>
        </w:rPr>
      </w:pPr>
    </w:p>
    <w:p>
      <w:pPr>
        <w:ind w:left="720" w:right="99" w:hanging="327"/>
        <w:spacing w:after="0" w:line="299" w:lineRule="auto"/>
        <w:tabs>
          <w:tab w:leader="none" w:pos="7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Westrock did not design and maintain effective controls over certain information technology (“IT”) or general computer controls for information systems that are relevant to the preparation of the consolidated financial statements. Specifically, Westrock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adequate restricted user and privileged access to financial applications, data and programs to the appropriate personnel; (iii) computer operations controls to ensure that data backups are authorized and monitored; and (iv) testing and approval controls for program development to ensure that new software development is aligned with business and IT requirements. These IT deficiencies did not result in adjustments to the consolidated financial statements. However, the deficiencies, when aggregated, could impact Westrock’s ability to maintain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result in a material misstatement to the annual or interim financial statements that would not be prevented or detected. Accordingly, it was determined these deficiencies in the aggregate constitute a material weakness.</w:t>
      </w:r>
    </w:p>
    <w:p>
      <w:pPr>
        <w:spacing w:after="0" w:line="381" w:lineRule="exact"/>
        <w:rPr>
          <w:sz w:val="20"/>
          <w:szCs w:val="20"/>
          <w:color w:val="auto"/>
        </w:rPr>
      </w:pPr>
    </w:p>
    <w:p>
      <w:pPr>
        <w:jc w:val="both"/>
        <w:ind w:left="40" w:right="159"/>
        <w:spacing w:after="0" w:line="255" w:lineRule="auto"/>
        <w:rPr>
          <w:sz w:val="20"/>
          <w:szCs w:val="20"/>
          <w:color w:val="auto"/>
        </w:rPr>
      </w:pPr>
      <w:r>
        <w:rPr>
          <w:rFonts w:ascii="Arial" w:cs="Arial" w:eastAsia="Arial" w:hAnsi="Arial"/>
          <w:sz w:val="18"/>
          <w:szCs w:val="18"/>
          <w:color w:val="auto"/>
        </w:rPr>
        <w:t>Additionally, each of these material weaknesses could result in a misstatement of substantially all of Westrock’s accounts or disclosures that would result in a material misstatement to the annual or interim consolidated financial statements that would not be prevented or detected.</w:t>
      </w:r>
    </w:p>
    <w:p>
      <w:pPr>
        <w:spacing w:after="0" w:line="188"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condensed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53" w:name="page54"/>
    <w:bookmarkEnd w:id="5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Remediation Plans</w:t>
      </w:r>
    </w:p>
    <w:p>
      <w:pPr>
        <w:spacing w:after="0" w:line="217" w:lineRule="exact"/>
        <w:rPr>
          <w:sz w:val="20"/>
          <w:szCs w:val="20"/>
          <w:color w:val="auto"/>
        </w:rPr>
      </w:pPr>
    </w:p>
    <w:p>
      <w:pPr>
        <w:ind w:left="40" w:right="559"/>
        <w:spacing w:after="0" w:line="264" w:lineRule="auto"/>
        <w:rPr>
          <w:sz w:val="20"/>
          <w:szCs w:val="20"/>
          <w:color w:val="auto"/>
        </w:rPr>
      </w:pPr>
      <w:r>
        <w:rPr>
          <w:rFonts w:ascii="Arial" w:cs="Arial" w:eastAsia="Arial" w:hAnsi="Arial"/>
          <w:sz w:val="18"/>
          <w:szCs w:val="18"/>
          <w:color w:val="auto"/>
        </w:rPr>
        <w:t>Westrock has taken and is taking certain measures to remediate the material weaknesses described above, including the following:</w:t>
      </w:r>
    </w:p>
    <w:p>
      <w:pPr>
        <w:spacing w:after="0" w:line="181" w:lineRule="exact"/>
        <w:rPr>
          <w:sz w:val="20"/>
          <w:szCs w:val="20"/>
          <w:color w:val="auto"/>
        </w:rPr>
      </w:pPr>
    </w:p>
    <w:p>
      <w:pPr>
        <w:ind w:left="720" w:right="319" w:hanging="327"/>
        <w:spacing w:after="0" w:line="277"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Hiring additional accounting and IT personnel, including a new chief accounting officer hired in May 2021 and a new technical accounting resource hired in April 2022, with the appropriate level of knowledge, training, and experience to improve our internal control over financial reporting and IT capabilities.</w:t>
      </w:r>
    </w:p>
    <w:p>
      <w:pPr>
        <w:spacing w:after="0" w:line="171" w:lineRule="exact"/>
        <w:rPr>
          <w:rFonts w:ascii="Arial" w:cs="Arial" w:eastAsia="Arial" w:hAnsi="Arial"/>
          <w:sz w:val="17"/>
          <w:szCs w:val="17"/>
          <w:color w:val="auto"/>
        </w:rPr>
      </w:pPr>
    </w:p>
    <w:p>
      <w:pPr>
        <w:jc w:val="both"/>
        <w:ind w:left="720" w:right="479" w:hanging="327"/>
        <w:spacing w:after="0" w:line="365" w:lineRule="auto"/>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Developing and formalizing a risk assessment process across the organization to identify risks and design new controls or enhance existing controls responsive to such risks to ensure timely and accurate financial reporting.</w:t>
      </w:r>
    </w:p>
    <w:p>
      <w:pPr>
        <w:spacing w:after="0" w:line="111" w:lineRule="exact"/>
        <w:rPr>
          <w:rFonts w:ascii="Arial" w:cs="Arial" w:eastAsia="Arial" w:hAnsi="Arial"/>
          <w:sz w:val="15"/>
          <w:szCs w:val="15"/>
          <w:color w:val="auto"/>
        </w:rPr>
      </w:pPr>
    </w:p>
    <w:p>
      <w:pPr>
        <w:ind w:left="720" w:right="99" w:hanging="327"/>
        <w:spacing w:after="0" w:line="306" w:lineRule="auto"/>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Formally assessing non-routine, unusual and complex accounting transactions, as well as other technical accounting and financial reporting matters including controls over the preparation and review of accounting memoranda addressing these matters. During the quarter ended June 30, 2022, we implemented controls to identify non-routine, unusual and complex accounting transactions and require that the accounting implications of such transactions are formally assessed, documented and reviewed by a relevant senior member of our accounting team in a timely manner. In addition, we have engaged third party subject matter experts to advise us with respect to certain complex non-routine transactions in addition to management’s review of such transactions, where appropriate.</w:t>
      </w:r>
    </w:p>
    <w:p>
      <w:pPr>
        <w:spacing w:after="0" w:line="169" w:lineRule="exact"/>
        <w:rPr>
          <w:rFonts w:ascii="Arial" w:cs="Arial" w:eastAsia="Arial" w:hAnsi="Arial"/>
          <w:sz w:val="15"/>
          <w:szCs w:val="15"/>
          <w:color w:val="auto"/>
        </w:rPr>
      </w:pPr>
    </w:p>
    <w:p>
      <w:pPr>
        <w:ind w:left="720" w:right="799" w:hanging="327"/>
        <w:spacing w:after="0" w:line="26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Engaged a third party to assist in designing and implementing controls related to period-end financial reporting, segregation of duties and IT general controls.</w:t>
      </w:r>
    </w:p>
    <w:p>
      <w:pPr>
        <w:spacing w:after="0" w:line="193" w:lineRule="exact"/>
        <w:rPr>
          <w:rFonts w:ascii="Arial" w:cs="Arial" w:eastAsia="Arial" w:hAnsi="Arial"/>
          <w:sz w:val="18"/>
          <w:szCs w:val="18"/>
          <w:color w:val="auto"/>
        </w:rPr>
      </w:pPr>
    </w:p>
    <w:p>
      <w:pPr>
        <w:ind w:left="720" w:right="279" w:hanging="327"/>
        <w:spacing w:after="0" w:line="294"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Designing and implementing controls to formalize roles and review responsibilities to align with Westrock’s team’s skills and experience and designing and implementing controls over segregation of duties.</w:t>
      </w:r>
    </w:p>
    <w:p>
      <w:pPr>
        <w:spacing w:after="0" w:line="170" w:lineRule="exact"/>
        <w:rPr>
          <w:rFonts w:ascii="Arial" w:cs="Arial" w:eastAsia="Arial" w:hAnsi="Arial"/>
          <w:sz w:val="17"/>
          <w:szCs w:val="17"/>
          <w:color w:val="auto"/>
        </w:rPr>
      </w:pPr>
    </w:p>
    <w:p>
      <w:pPr>
        <w:ind w:left="720" w:right="219" w:hanging="327"/>
        <w:spacing w:after="0" w:line="25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Designing and implementing formal accounting procedures and controls supporting Westrock’s period-end financial reporting process, including controls over the preparation and review of account reconciliations and journal entries.</w:t>
      </w:r>
    </w:p>
    <w:p>
      <w:pPr>
        <w:spacing w:after="0" w:line="201" w:lineRule="exact"/>
        <w:rPr>
          <w:rFonts w:ascii="Arial" w:cs="Arial" w:eastAsia="Arial" w:hAnsi="Arial"/>
          <w:sz w:val="18"/>
          <w:szCs w:val="18"/>
          <w:color w:val="auto"/>
        </w:rPr>
      </w:pPr>
    </w:p>
    <w:p>
      <w:pPr>
        <w:ind w:left="720" w:right="219" w:hanging="327"/>
        <w:spacing w:after="0" w:line="24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Enhancing policies and procedures related to the management and approval of (i) changes in our IT environment, including procedures to review changes in IT data and the configuration of systems, (ii) system implementations and projects to ensure adequate governance, development, change management, and implementation controls, (iii) security access, including policies and procedures to set up or remove users to our IT systems, (iv) periodic security access reviews of our key financial systems’ users to ensure the appropriateness of their roles and security access levels, and (v) review of service organization reports and related end-user control considerations.</w:t>
      </w:r>
    </w:p>
    <w:p>
      <w:pPr>
        <w:spacing w:after="0" w:line="212" w:lineRule="exact"/>
        <w:rPr>
          <w:rFonts w:ascii="Arial" w:cs="Arial" w:eastAsia="Arial" w:hAnsi="Arial"/>
          <w:sz w:val="18"/>
          <w:szCs w:val="18"/>
          <w:color w:val="auto"/>
        </w:rPr>
      </w:pPr>
    </w:p>
    <w:p>
      <w:pPr>
        <w:ind w:left="720" w:right="159" w:hanging="327"/>
        <w:spacing w:after="0" w:line="25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Designing and implementing IT general controls, including controls over change management, the review and update of user access rights and privileges, controls over batch jobs and data backups, and program development approvals and testing.</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7" w:lineRule="exact"/>
        <w:rPr>
          <w:sz w:val="20"/>
          <w:szCs w:val="20"/>
          <w:color w:val="auto"/>
        </w:rPr>
      </w:pPr>
    </w:p>
    <w:p>
      <w:pPr>
        <w:ind w:left="40" w:right="199"/>
        <w:spacing w:after="0" w:line="271" w:lineRule="auto"/>
        <w:rPr>
          <w:sz w:val="20"/>
          <w:szCs w:val="20"/>
          <w:color w:val="auto"/>
        </w:rPr>
      </w:pPr>
      <w:r>
        <w:rPr>
          <w:rFonts w:ascii="Arial" w:cs="Arial" w:eastAsia="Arial" w:hAnsi="Arial"/>
          <w:sz w:val="17"/>
          <w:szCs w:val="17"/>
          <w:color w:val="auto"/>
        </w:rPr>
        <w:t>Other than the implementation of controls related to the accounting for non-routine, unusual or complex transactions described above, there were no changes in our internal control over financial reporting, as such term is defined in Rule 13a-15(f) under the Exchange Act, that occurred during the three months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54" w:name="page55"/>
    <w:bookmarkEnd w:id="5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3" w:lineRule="exact"/>
        <w:rPr>
          <w:sz w:val="20"/>
          <w:szCs w:val="20"/>
          <w:color w:val="auto"/>
        </w:rPr>
      </w:pPr>
    </w:p>
    <w:p>
      <w:pPr>
        <w:ind w:left="40" w:right="119"/>
        <w:spacing w:after="0" w:line="330" w:lineRule="auto"/>
        <w:rPr>
          <w:sz w:val="20"/>
          <w:szCs w:val="20"/>
          <w:color w:val="auto"/>
        </w:rPr>
      </w:pPr>
      <w:r>
        <w:rPr>
          <w:rFonts w:ascii="Arial" w:cs="Arial" w:eastAsia="Arial" w:hAnsi="Arial"/>
          <w:sz w:val="15"/>
          <w:szCs w:val="15"/>
          <w:color w:val="auto"/>
        </w:rPr>
        <w:t>We are subject to various claims and legal proceedings with respect to matters such as governmental regulations, and other actions arising out of the ordinary course of business. In the opinion of management, the ultimate disposition of these matters will not have a material adverse effect on our consolidated financial position, results of operations or liquidity.</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3" w:lineRule="exact"/>
        <w:rPr>
          <w:sz w:val="20"/>
          <w:szCs w:val="20"/>
          <w:color w:val="auto"/>
        </w:rPr>
      </w:pPr>
    </w:p>
    <w:p>
      <w:pPr>
        <w:ind w:left="40" w:right="399"/>
        <w:spacing w:after="0" w:line="268" w:lineRule="auto"/>
        <w:rPr>
          <w:sz w:val="20"/>
          <w:szCs w:val="20"/>
          <w:color w:val="auto"/>
        </w:rPr>
      </w:pPr>
      <w:r>
        <w:rPr>
          <w:rFonts w:ascii="Arial" w:cs="Arial" w:eastAsia="Arial" w:hAnsi="Arial"/>
          <w:sz w:val="17"/>
          <w:szCs w:val="17"/>
          <w:color w:val="auto"/>
        </w:rPr>
        <w:t>In addition to the information set forth in this Quarterly Report on Form 10-Q, you should carefully consider the risks described under the subsection titled “Risks Related to Westrock’s Business and Industry”, “Risks Related to Westrock Following the Consummation of the Business Combination”, and “Risks Related to the Ownership of Westrock Common Shares Following the Business Combination” discussed in the section titled “Risk Factors” in the Registration Statement. There have been no material changes to the risk factors subsequent to that filing.</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3" w:lineRule="exact"/>
        <w:rPr>
          <w:sz w:val="20"/>
          <w:szCs w:val="20"/>
          <w:color w:val="auto"/>
        </w:rPr>
      </w:pPr>
    </w:p>
    <w:p>
      <w:pPr>
        <w:ind w:left="40" w:right="99"/>
        <w:spacing w:after="0" w:line="265" w:lineRule="auto"/>
        <w:rPr>
          <w:sz w:val="20"/>
          <w:szCs w:val="20"/>
          <w:color w:val="auto"/>
        </w:rPr>
      </w:pPr>
      <w:r>
        <w:rPr>
          <w:rFonts w:ascii="Arial" w:cs="Arial" w:eastAsia="Arial" w:hAnsi="Arial"/>
          <w:sz w:val="17"/>
          <w:szCs w:val="17"/>
          <w:color w:val="auto"/>
        </w:rPr>
        <w:t>On November 14, 2022, Westrock Beverage Solutions, LLC, a Delaware limited liability company and wholly-owned subsidiary of the Company, acquired one hundred percent (100%) of the equity securities of Kohana Coffee, LLC, a Texas limited liability company, for aggregate consideration of 1,852,608 shares of common stock of the Company, par value $0.01 per share (the “Company Common Shares”), and approximately $15.5 million in cash, subject to customary adjustments. The issuance of the Company Common Shares to the seller was not registered under the Securities Act of 1933, as amended (the “Securities Act”), and the Company Common Shares were issued in reliance upon the exemption provided in Section 4(a)(2) of the Securities Act, pursuant to the seller’s status as an “accredited investor,” as such term is defined in Rule 501 under the Securities Act.</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55" w:name="page56"/>
    <w:bookmarkEnd w:id="5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Exhibit</w:t>
      </w:r>
    </w:p>
    <w:p>
      <w:pPr>
        <w:spacing w:after="0" w:line="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Index</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160"/>
              <w:spacing w:after="0" w:line="130" w:lineRule="exact"/>
              <w:rPr>
                <w:sz w:val="20"/>
                <w:szCs w:val="20"/>
                <w:color w:val="auto"/>
              </w:rPr>
            </w:pPr>
            <w:r>
              <w:rPr>
                <w:rFonts w:ascii="Arial" w:cs="Arial" w:eastAsia="Arial" w:hAnsi="Arial"/>
                <w:sz w:val="14"/>
                <w:szCs w:val="14"/>
                <w:b w:val="1"/>
                <w:bCs w:val="1"/>
                <w:color w:val="auto"/>
                <w:w w:val="96"/>
              </w:rPr>
              <w:t>Filing</w:t>
            </w:r>
          </w:p>
        </w:tc>
        <w:tc>
          <w:tcPr>
            <w:tcW w:w="7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23"/>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File No.</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77"/>
        </w:trPr>
        <w:tc>
          <w:tcPr>
            <w:tcW w:w="7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80" w:type="dxa"/>
            <w:vAlign w:val="bottom"/>
          </w:tcPr>
          <w:p>
            <w:pPr>
              <w:spacing w:after="0"/>
              <w:rPr>
                <w:sz w:val="24"/>
                <w:szCs w:val="24"/>
                <w:color w:val="auto"/>
              </w:rPr>
            </w:pPr>
          </w:p>
        </w:tc>
        <w:tc>
          <w:tcPr>
            <w:tcW w:w="3780" w:type="dxa"/>
            <w:vAlign w:val="bottom"/>
            <w:tcBorders>
              <w:bottom w:val="single" w:sz="8" w:color="0000EE"/>
            </w:tcBorders>
            <w:gridSpan w:val="24"/>
          </w:tcPr>
          <w:p>
            <w:pPr>
              <w:spacing w:after="0"/>
              <w:rPr>
                <w:rFonts w:ascii="Arial" w:cs="Arial" w:eastAsia="Arial" w:hAnsi="Arial"/>
                <w:sz w:val="18"/>
                <w:szCs w:val="18"/>
                <w:color w:val="0000EE"/>
                <w:w w:val="89"/>
              </w:rPr>
            </w:pPr>
            <w:hyperlink r:id="rId59">
              <w:r>
                <w:rPr>
                  <w:rFonts w:ascii="Arial" w:cs="Arial" w:eastAsia="Arial" w:hAnsi="Arial"/>
                  <w:sz w:val="18"/>
                  <w:szCs w:val="18"/>
                  <w:color w:val="0000EE"/>
                  <w:w w:val="89"/>
                </w:rPr>
                <w:t>Transaction Agreement, dated as of April 4, 2022, by</w:t>
              </w:r>
            </w:hyperlink>
          </w:p>
        </w:tc>
        <w:tc>
          <w:tcPr>
            <w:tcW w:w="180" w:type="dxa"/>
            <w:vAlign w:val="bottom"/>
            <w:gridSpan w:val="4"/>
          </w:tcPr>
          <w:p>
            <w:pPr>
              <w:spacing w:after="0"/>
              <w:rPr>
                <w:sz w:val="24"/>
                <w:szCs w:val="2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S-4</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7"/>
              </w:rPr>
              <w:t>2.1</w:t>
            </w: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40" w:type="dxa"/>
            <w:vAlign w:val="bottom"/>
            <w:tcBorders>
              <w:bottom w:val="single" w:sz="8" w:color="0000EE"/>
            </w:tcBorders>
            <w:gridSpan w:val="19"/>
          </w:tcPr>
          <w:p>
            <w:pPr>
              <w:spacing w:after="0" w:line="192"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and among Riverview Acquisition Corp., Westrock</w:t>
              </w:r>
            </w:hyperlink>
          </w:p>
        </w:tc>
        <w:tc>
          <w:tcPr>
            <w:tcW w:w="320" w:type="dxa"/>
            <w:vAlign w:val="bottom"/>
            <w:gridSpan w:val="9"/>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2" w:lineRule="exact"/>
              <w:rPr>
                <w:sz w:val="20"/>
                <w:szCs w:val="20"/>
                <w:color w:val="auto"/>
              </w:rPr>
            </w:pPr>
            <w:r>
              <w:rPr>
                <w:rFonts w:ascii="Arial" w:cs="Arial" w:eastAsia="Arial" w:hAnsi="Arial"/>
                <w:sz w:val="18"/>
                <w:szCs w:val="18"/>
                <w:color w:val="auto"/>
                <w:w w:val="86"/>
              </w:rPr>
              <w:t>264464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2"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gridSpan w:val="28"/>
          </w:tcPr>
          <w:p>
            <w:pPr>
              <w:spacing w:after="0" w:line="192" w:lineRule="exact"/>
              <w:rPr>
                <w:rFonts w:ascii="Arial" w:cs="Arial" w:eastAsia="Arial" w:hAnsi="Arial"/>
                <w:sz w:val="18"/>
                <w:szCs w:val="18"/>
                <w:color w:val="0000EE"/>
                <w:w w:val="95"/>
              </w:rPr>
            </w:pPr>
            <w:hyperlink r:id="rId59">
              <w:r>
                <w:rPr>
                  <w:rFonts w:ascii="Arial" w:cs="Arial" w:eastAsia="Arial" w:hAnsi="Arial"/>
                  <w:sz w:val="18"/>
                  <w:szCs w:val="18"/>
                  <w:color w:val="0000EE"/>
                  <w:w w:val="95"/>
                </w:rPr>
                <w:t>Coffee Holdings, LLC, Origin Merger Sub I, Inc. and</w:t>
              </w:r>
            </w:hyperlink>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Borders>
              <w:top w:val="single" w:sz="8" w:color="0000EE"/>
              <w:bottom w:val="single" w:sz="8" w:color="0000EE"/>
            </w:tcBorders>
            <w:gridSpan w:val="7"/>
          </w:tcPr>
          <w:p>
            <w:pPr>
              <w:spacing w:after="0" w:line="192" w:lineRule="exact"/>
              <w:rPr>
                <w:rFonts w:ascii="Arial" w:cs="Arial" w:eastAsia="Arial" w:hAnsi="Arial"/>
                <w:sz w:val="18"/>
                <w:szCs w:val="18"/>
                <w:color w:val="0000EE"/>
                <w:w w:val="93"/>
              </w:rPr>
            </w:pPr>
            <w:hyperlink r:id="rId59">
              <w:r>
                <w:rPr>
                  <w:rFonts w:ascii="Arial" w:cs="Arial" w:eastAsia="Arial" w:hAnsi="Arial"/>
                  <w:sz w:val="18"/>
                  <w:szCs w:val="18"/>
                  <w:color w:val="0000EE"/>
                  <w:w w:val="93"/>
                </w:rPr>
                <w:t>Origin Merger Sub II, LLC</w:t>
              </w:r>
            </w:hyperlink>
          </w:p>
        </w:tc>
        <w:tc>
          <w:tcPr>
            <w:tcW w:w="1840" w:type="dxa"/>
            <w:vAlign w:val="bottom"/>
            <w:tcBorders>
              <w:top w:val="single" w:sz="8" w:color="0000EE"/>
            </w:tcBorders>
            <w:gridSpan w:val="17"/>
          </w:tcPr>
          <w:p>
            <w:pPr>
              <w:spacing w:after="0"/>
              <w:rPr>
                <w:sz w:val="16"/>
                <w:szCs w:val="16"/>
                <w:color w:val="auto"/>
              </w:rPr>
            </w:pPr>
          </w:p>
        </w:tc>
        <w:tc>
          <w:tcPr>
            <w:tcW w:w="180" w:type="dxa"/>
            <w:vAlign w:val="bottom"/>
            <w:gridSpan w:val="4"/>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3960" w:type="dxa"/>
            <w:vAlign w:val="bottom"/>
            <w:gridSpan w:val="28"/>
          </w:tcPr>
          <w:p>
            <w:pPr>
              <w:spacing w:after="0"/>
              <w:rPr>
                <w:rFonts w:ascii="Arial" w:cs="Arial" w:eastAsia="Arial" w:hAnsi="Arial"/>
                <w:sz w:val="18"/>
                <w:szCs w:val="18"/>
                <w:color w:val="0000EE"/>
              </w:rPr>
            </w:pPr>
            <w:hyperlink r:id="rId60">
              <w:r>
                <w:rPr>
                  <w:rFonts w:ascii="Arial" w:cs="Arial" w:eastAsia="Arial" w:hAnsi="Arial"/>
                  <w:sz w:val="18"/>
                  <w:szCs w:val="18"/>
                  <w:color w:val="0000EE"/>
                </w:rPr>
                <w:t>Certificate of Incorporation of Westrock Coffee</w:t>
              </w:r>
            </w:hyperlink>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8"/>
              </w:rPr>
            </w:pPr>
            <w:hyperlink r:id="rId60">
              <w:r>
                <w:rPr>
                  <w:rFonts w:ascii="Arial" w:cs="Arial" w:eastAsia="Arial" w:hAnsi="Arial"/>
                  <w:sz w:val="18"/>
                  <w:szCs w:val="18"/>
                  <w:color w:val="0000EE"/>
                  <w:w w:val="88"/>
                </w:rPr>
                <w:t>Company</w:t>
              </w:r>
            </w:hyperlink>
          </w:p>
        </w:tc>
        <w:tc>
          <w:tcPr>
            <w:tcW w:w="2660" w:type="dxa"/>
            <w:vAlign w:val="bottom"/>
            <w:tcBorders>
              <w:top w:val="single" w:sz="8" w:color="0000EE"/>
            </w:tcBorders>
            <w:gridSpan w:val="8"/>
          </w:tcPr>
          <w:p>
            <w:pPr>
              <w:spacing w:after="0"/>
              <w:rPr>
                <w:sz w:val="16"/>
                <w:szCs w:val="16"/>
                <w:color w:val="auto"/>
              </w:rPr>
            </w:pPr>
          </w:p>
        </w:tc>
        <w:tc>
          <w:tcPr>
            <w:tcW w:w="600" w:type="dxa"/>
            <w:vAlign w:val="bottom"/>
            <w:gridSpan w:val="17"/>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2" w:lineRule="exact"/>
              <w:rPr>
                <w:sz w:val="20"/>
                <w:szCs w:val="20"/>
                <w:color w:val="auto"/>
              </w:rPr>
            </w:pPr>
            <w:r>
              <w:rPr>
                <w:rFonts w:ascii="Arial" w:cs="Arial" w:eastAsia="Arial" w:hAnsi="Arial"/>
                <w:sz w:val="18"/>
                <w:szCs w:val="18"/>
                <w:color w:val="auto"/>
                <w:w w:val="87"/>
              </w:rPr>
              <w:t>41485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2"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7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24"/>
                <w:szCs w:val="24"/>
                <w:color w:val="auto"/>
              </w:rPr>
            </w:pPr>
          </w:p>
        </w:tc>
        <w:tc>
          <w:tcPr>
            <w:tcW w:w="3960" w:type="dxa"/>
            <w:vAlign w:val="bottom"/>
            <w:gridSpan w:val="28"/>
          </w:tcPr>
          <w:p>
            <w:pPr>
              <w:spacing w:after="0"/>
              <w:rPr>
                <w:rFonts w:ascii="Arial" w:cs="Arial" w:eastAsia="Arial" w:hAnsi="Arial"/>
                <w:sz w:val="18"/>
                <w:szCs w:val="18"/>
                <w:color w:val="0000EE"/>
              </w:rPr>
            </w:pPr>
            <w:hyperlink r:id="rId61">
              <w:r>
                <w:rPr>
                  <w:rFonts w:ascii="Arial" w:cs="Arial" w:eastAsia="Arial" w:hAnsi="Arial"/>
                  <w:sz w:val="18"/>
                  <w:szCs w:val="18"/>
                  <w:color w:val="0000EE"/>
                </w:rPr>
                <w:t>Bylaws of Westrock Coffee Company</w:t>
              </w:r>
            </w:hyperlink>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41485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3"/>
                <w:szCs w:val="23"/>
                <w:color w:val="auto"/>
              </w:rPr>
            </w:pPr>
          </w:p>
        </w:tc>
        <w:tc>
          <w:tcPr>
            <w:tcW w:w="3960" w:type="dxa"/>
            <w:vAlign w:val="bottom"/>
            <w:gridSpan w:val="28"/>
          </w:tcPr>
          <w:p>
            <w:pPr>
              <w:spacing w:after="0"/>
              <w:rPr>
                <w:rFonts w:ascii="Arial" w:cs="Arial" w:eastAsia="Arial" w:hAnsi="Arial"/>
                <w:sz w:val="18"/>
                <w:szCs w:val="18"/>
                <w:color w:val="0000EE"/>
                <w:w w:val="96"/>
              </w:rPr>
            </w:pPr>
            <w:hyperlink r:id="rId62">
              <w:r>
                <w:rPr>
                  <w:rFonts w:ascii="Arial" w:cs="Arial" w:eastAsia="Arial" w:hAnsi="Arial"/>
                  <w:sz w:val="18"/>
                  <w:szCs w:val="18"/>
                  <w:color w:val="0000EE"/>
                  <w:w w:val="96"/>
                </w:rPr>
                <w:t>Amended and Restated Warrant Agreement by and</w:t>
              </w:r>
            </w:hyperlink>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3"/>
                <w:szCs w:val="23"/>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August 29,</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gridSpan w:val="28"/>
          </w:tcPr>
          <w:p>
            <w:pPr>
              <w:spacing w:after="0" w:line="192" w:lineRule="exact"/>
              <w:rPr>
                <w:rFonts w:ascii="Arial" w:cs="Arial" w:eastAsia="Arial" w:hAnsi="Arial"/>
                <w:sz w:val="18"/>
                <w:szCs w:val="18"/>
                <w:color w:val="0000EE"/>
                <w:w w:val="96"/>
              </w:rPr>
            </w:pPr>
            <w:hyperlink r:id="rId62">
              <w:r>
                <w:rPr>
                  <w:rFonts w:ascii="Arial" w:cs="Arial" w:eastAsia="Arial" w:hAnsi="Arial"/>
                  <w:sz w:val="18"/>
                  <w:szCs w:val="18"/>
                  <w:color w:val="0000EE"/>
                  <w:w w:val="96"/>
                </w:rPr>
                <w:t>among Westrock Coffee Company, Computershare</w:t>
              </w:r>
            </w:hyperlink>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2" w:lineRule="exact"/>
              <w:rPr>
                <w:sz w:val="20"/>
                <w:szCs w:val="20"/>
                <w:color w:val="auto"/>
              </w:rPr>
            </w:pPr>
            <w:r>
              <w:rPr>
                <w:rFonts w:ascii="Arial" w:cs="Arial" w:eastAsia="Arial" w:hAnsi="Arial"/>
                <w:sz w:val="18"/>
                <w:szCs w:val="18"/>
                <w:color w:val="auto"/>
                <w:w w:val="87"/>
              </w:rPr>
              <w:t>41485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2"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Borders>
              <w:top w:val="single" w:sz="8" w:color="0000EE"/>
            </w:tcBorders>
            <w:gridSpan w:val="17"/>
          </w:tcPr>
          <w:p>
            <w:pPr>
              <w:spacing w:after="0" w:line="192" w:lineRule="exact"/>
              <w:rPr>
                <w:rFonts w:ascii="Arial" w:cs="Arial" w:eastAsia="Arial" w:hAnsi="Arial"/>
                <w:sz w:val="18"/>
                <w:szCs w:val="18"/>
                <w:color w:val="0000EE"/>
                <w:w w:val="97"/>
              </w:rPr>
            </w:pPr>
            <w:hyperlink r:id="rId62">
              <w:r>
                <w:rPr>
                  <w:rFonts w:ascii="Arial" w:cs="Arial" w:eastAsia="Arial" w:hAnsi="Arial"/>
                  <w:sz w:val="18"/>
                  <w:szCs w:val="18"/>
                  <w:color w:val="0000EE"/>
                  <w:w w:val="97"/>
                </w:rPr>
                <w:t>Inc. and Computershare Trust Company, N.A.</w:t>
              </w:r>
            </w:hyperlink>
          </w:p>
        </w:tc>
        <w:tc>
          <w:tcPr>
            <w:tcW w:w="360" w:type="dxa"/>
            <w:vAlign w:val="bottom"/>
            <w:gridSpan w:val="11"/>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24"/>
                <w:szCs w:val="24"/>
                <w:color w:val="auto"/>
              </w:rPr>
            </w:pPr>
          </w:p>
        </w:tc>
        <w:tc>
          <w:tcPr>
            <w:tcW w:w="3540" w:type="dxa"/>
            <w:vAlign w:val="bottom"/>
            <w:tcBorders>
              <w:bottom w:val="single" w:sz="8" w:color="0000EE"/>
            </w:tcBorders>
            <w:gridSpan w:val="16"/>
          </w:tcPr>
          <w:p>
            <w:pPr>
              <w:spacing w:after="0"/>
              <w:rPr>
                <w:rFonts w:ascii="Arial" w:cs="Arial" w:eastAsia="Arial" w:hAnsi="Arial"/>
                <w:sz w:val="18"/>
                <w:szCs w:val="18"/>
                <w:color w:val="0000EE"/>
                <w:w w:val="89"/>
              </w:rPr>
            </w:pPr>
            <w:hyperlink r:id="rId63">
              <w:r>
                <w:rPr>
                  <w:rFonts w:ascii="Arial" w:cs="Arial" w:eastAsia="Arial" w:hAnsi="Arial"/>
                  <w:sz w:val="18"/>
                  <w:szCs w:val="18"/>
                  <w:color w:val="0000EE"/>
                  <w:w w:val="89"/>
                </w:rPr>
                <w:t>Specimen Common Stock Certificate of Westrock</w:t>
              </w:r>
            </w:hyperlink>
          </w:p>
        </w:tc>
        <w:tc>
          <w:tcPr>
            <w:tcW w:w="420" w:type="dxa"/>
            <w:vAlign w:val="bottom"/>
            <w:gridSpan w:val="12"/>
          </w:tcPr>
          <w:p>
            <w:pPr>
              <w:spacing w:after="0"/>
              <w:rPr>
                <w:sz w:val="24"/>
                <w:szCs w:val="2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S-4</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7"/>
              </w:rPr>
              <w:t>4.5</w:t>
            </w: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bottom w:val="single" w:sz="8" w:color="0000EE"/>
            </w:tcBorders>
            <w:gridSpan w:val="4"/>
          </w:tcPr>
          <w:p>
            <w:pPr>
              <w:spacing w:after="0" w:line="192" w:lineRule="exact"/>
              <w:rPr>
                <w:rFonts w:ascii="Arial" w:cs="Arial" w:eastAsia="Arial" w:hAnsi="Arial"/>
                <w:sz w:val="18"/>
                <w:szCs w:val="18"/>
                <w:color w:val="0000EE"/>
                <w:w w:val="88"/>
              </w:rPr>
            </w:pPr>
            <w:hyperlink r:id="rId63">
              <w:r>
                <w:rPr>
                  <w:rFonts w:ascii="Arial" w:cs="Arial" w:eastAsia="Arial" w:hAnsi="Arial"/>
                  <w:sz w:val="18"/>
                  <w:szCs w:val="18"/>
                  <w:color w:val="0000EE"/>
                  <w:w w:val="88"/>
                </w:rPr>
                <w:t>Coffee Company</w:t>
              </w:r>
            </w:hyperlink>
          </w:p>
        </w:tc>
        <w:tc>
          <w:tcPr>
            <w:tcW w:w="2740" w:type="dxa"/>
            <w:vAlign w:val="bottom"/>
            <w:gridSpan w:val="24"/>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2" w:lineRule="exact"/>
              <w:rPr>
                <w:sz w:val="20"/>
                <w:szCs w:val="20"/>
                <w:color w:val="auto"/>
              </w:rPr>
            </w:pPr>
            <w:r>
              <w:rPr>
                <w:rFonts w:ascii="Arial" w:cs="Arial" w:eastAsia="Arial" w:hAnsi="Arial"/>
                <w:sz w:val="18"/>
                <w:szCs w:val="18"/>
                <w:color w:val="auto"/>
                <w:w w:val="86"/>
              </w:rPr>
              <w:t>264464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2"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7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80" w:type="dxa"/>
            <w:vAlign w:val="bottom"/>
          </w:tcPr>
          <w:p>
            <w:pPr>
              <w:spacing w:after="0"/>
              <w:rPr>
                <w:sz w:val="24"/>
                <w:szCs w:val="24"/>
                <w:color w:val="auto"/>
              </w:rPr>
            </w:pPr>
          </w:p>
        </w:tc>
        <w:tc>
          <w:tcPr>
            <w:tcW w:w="3960" w:type="dxa"/>
            <w:vAlign w:val="bottom"/>
            <w:gridSpan w:val="28"/>
          </w:tcPr>
          <w:p>
            <w:pPr>
              <w:spacing w:after="0"/>
              <w:rPr>
                <w:rFonts w:ascii="Arial" w:cs="Arial" w:eastAsia="Arial" w:hAnsi="Arial"/>
                <w:sz w:val="18"/>
                <w:szCs w:val="18"/>
                <w:color w:val="0000EE"/>
              </w:rPr>
            </w:pPr>
            <w:hyperlink r:id="rId64">
              <w:r>
                <w:rPr>
                  <w:rFonts w:ascii="Arial" w:cs="Arial" w:eastAsia="Arial" w:hAnsi="Arial"/>
                  <w:sz w:val="18"/>
                  <w:szCs w:val="18"/>
                  <w:color w:val="0000EE"/>
                </w:rPr>
                <w:t>Specimen Warrant Certificate of Westrock Coffee</w:t>
              </w:r>
            </w:hyperlink>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S-4</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7"/>
              </w:rPr>
              <w:t>4.6</w:t>
            </w: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8"/>
              </w:rPr>
            </w:pPr>
            <w:hyperlink r:id="rId64">
              <w:r>
                <w:rPr>
                  <w:rFonts w:ascii="Arial" w:cs="Arial" w:eastAsia="Arial" w:hAnsi="Arial"/>
                  <w:sz w:val="18"/>
                  <w:szCs w:val="18"/>
                  <w:color w:val="0000EE"/>
                  <w:w w:val="88"/>
                </w:rPr>
                <w:t>Company</w:t>
              </w:r>
            </w:hyperlink>
          </w:p>
        </w:tc>
        <w:tc>
          <w:tcPr>
            <w:tcW w:w="2820" w:type="dxa"/>
            <w:vAlign w:val="bottom"/>
            <w:tcBorders>
              <w:top w:val="single" w:sz="8" w:color="0000EE"/>
            </w:tcBorders>
            <w:gridSpan w:val="11"/>
          </w:tcPr>
          <w:p>
            <w:pPr>
              <w:spacing w:after="0"/>
              <w:rPr>
                <w:sz w:val="16"/>
                <w:szCs w:val="16"/>
                <w:color w:val="auto"/>
              </w:rPr>
            </w:pPr>
          </w:p>
        </w:tc>
        <w:tc>
          <w:tcPr>
            <w:tcW w:w="440" w:type="dxa"/>
            <w:vAlign w:val="bottom"/>
            <w:gridSpan w:val="14"/>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2" w:lineRule="exact"/>
              <w:rPr>
                <w:sz w:val="20"/>
                <w:szCs w:val="20"/>
                <w:color w:val="auto"/>
              </w:rPr>
            </w:pPr>
            <w:r>
              <w:rPr>
                <w:rFonts w:ascii="Arial" w:cs="Arial" w:eastAsia="Arial" w:hAnsi="Arial"/>
                <w:sz w:val="18"/>
                <w:szCs w:val="18"/>
                <w:color w:val="auto"/>
                <w:w w:val="86"/>
              </w:rPr>
              <w:t>264464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2"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7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80" w:type="dxa"/>
            <w:vAlign w:val="bottom"/>
          </w:tcPr>
          <w:p>
            <w:pPr>
              <w:spacing w:after="0"/>
              <w:rPr>
                <w:sz w:val="24"/>
                <w:szCs w:val="24"/>
                <w:color w:val="auto"/>
              </w:rPr>
            </w:pPr>
          </w:p>
        </w:tc>
        <w:tc>
          <w:tcPr>
            <w:tcW w:w="3960" w:type="dxa"/>
            <w:vAlign w:val="bottom"/>
            <w:gridSpan w:val="28"/>
          </w:tcPr>
          <w:p>
            <w:pPr>
              <w:spacing w:after="0"/>
              <w:rPr>
                <w:rFonts w:ascii="Arial" w:cs="Arial" w:eastAsia="Arial" w:hAnsi="Arial"/>
                <w:sz w:val="18"/>
                <w:szCs w:val="18"/>
                <w:color w:val="0000EE"/>
                <w:w w:val="93"/>
              </w:rPr>
            </w:pPr>
            <w:hyperlink r:id="rId65">
              <w:r>
                <w:rPr>
                  <w:rFonts w:ascii="Arial" w:cs="Arial" w:eastAsia="Arial" w:hAnsi="Arial"/>
                  <w:sz w:val="18"/>
                  <w:szCs w:val="18"/>
                  <w:color w:val="0000EE"/>
                  <w:w w:val="93"/>
                </w:rPr>
                <w:t>Investor Rights Agreement, dated as of April 4, 2022,</w:t>
              </w:r>
            </w:hyperlink>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S-4</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7"/>
              </w:rPr>
              <w:t>4.8</w:t>
            </w: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tcBorders>
              <w:top w:val="single" w:sz="8" w:color="0000EE"/>
              <w:bottom w:val="single" w:sz="8" w:color="0000EE"/>
            </w:tcBorders>
            <w:gridSpan w:val="22"/>
          </w:tcPr>
          <w:p>
            <w:pPr>
              <w:spacing w:after="0" w:line="192" w:lineRule="exact"/>
              <w:rPr>
                <w:rFonts w:ascii="Arial" w:cs="Arial" w:eastAsia="Arial" w:hAnsi="Arial"/>
                <w:sz w:val="18"/>
                <w:szCs w:val="18"/>
                <w:color w:val="0000EE"/>
                <w:w w:val="88"/>
              </w:rPr>
            </w:pPr>
            <w:hyperlink r:id="rId65">
              <w:r>
                <w:rPr>
                  <w:rFonts w:ascii="Arial" w:cs="Arial" w:eastAsia="Arial" w:hAnsi="Arial"/>
                  <w:sz w:val="18"/>
                  <w:szCs w:val="18"/>
                  <w:color w:val="0000EE"/>
                  <w:w w:val="88"/>
                </w:rPr>
                <w:t>by and among Westrock Coffee Company, Westrock</w:t>
              </w:r>
            </w:hyperlink>
          </w:p>
        </w:tc>
        <w:tc>
          <w:tcPr>
            <w:tcW w:w="60" w:type="dxa"/>
            <w:vAlign w:val="bottom"/>
            <w:tcBorders>
              <w:top w:val="single" w:sz="8" w:color="0000EE"/>
            </w:tcBorders>
            <w:gridSpan w:val="3"/>
          </w:tcPr>
          <w:p>
            <w:pPr>
              <w:spacing w:after="0"/>
              <w:rPr>
                <w:sz w:val="16"/>
                <w:szCs w:val="16"/>
                <w:color w:val="auto"/>
              </w:rPr>
            </w:pPr>
          </w:p>
        </w:tc>
        <w:tc>
          <w:tcPr>
            <w:tcW w:w="160" w:type="dxa"/>
            <w:vAlign w:val="bottom"/>
            <w:gridSpan w:val="3"/>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2" w:lineRule="exact"/>
              <w:rPr>
                <w:sz w:val="20"/>
                <w:szCs w:val="20"/>
                <w:color w:val="auto"/>
              </w:rPr>
            </w:pPr>
            <w:r>
              <w:rPr>
                <w:rFonts w:ascii="Arial" w:cs="Arial" w:eastAsia="Arial" w:hAnsi="Arial"/>
                <w:sz w:val="18"/>
                <w:szCs w:val="18"/>
                <w:color w:val="auto"/>
                <w:w w:val="86"/>
              </w:rPr>
              <w:t>264464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2"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gridSpan w:val="28"/>
          </w:tcPr>
          <w:p>
            <w:pPr>
              <w:spacing w:after="0" w:line="192" w:lineRule="exact"/>
              <w:rPr>
                <w:rFonts w:ascii="Arial" w:cs="Arial" w:eastAsia="Arial" w:hAnsi="Arial"/>
                <w:sz w:val="18"/>
                <w:szCs w:val="18"/>
                <w:color w:val="0000EE"/>
              </w:rPr>
            </w:pPr>
            <w:hyperlink r:id="rId65">
              <w:r>
                <w:rPr>
                  <w:rFonts w:ascii="Arial" w:cs="Arial" w:eastAsia="Arial" w:hAnsi="Arial"/>
                  <w:sz w:val="18"/>
                  <w:szCs w:val="18"/>
                  <w:color w:val="0000EE"/>
                </w:rPr>
                <w:t>Group, LLC, The Stephens Group, LLC, Sowell</w:t>
              </w:r>
            </w:hyperlink>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gridSpan w:val="28"/>
          </w:tcPr>
          <w:p>
            <w:pPr>
              <w:spacing w:after="0" w:line="192" w:lineRule="exact"/>
              <w:rPr>
                <w:rFonts w:ascii="Arial" w:cs="Arial" w:eastAsia="Arial" w:hAnsi="Arial"/>
                <w:sz w:val="18"/>
                <w:szCs w:val="18"/>
                <w:color w:val="0000EE"/>
                <w:w w:val="97"/>
              </w:rPr>
            </w:pPr>
            <w:hyperlink r:id="rId65">
              <w:r>
                <w:rPr>
                  <w:rFonts w:ascii="Arial" w:cs="Arial" w:eastAsia="Arial" w:hAnsi="Arial"/>
                  <w:sz w:val="18"/>
                  <w:szCs w:val="18"/>
                  <w:color w:val="0000EE"/>
                  <w:w w:val="97"/>
                </w:rPr>
                <w:t>Westrock, L.P., BBH Capital Partners V, L.P., BBH</w:t>
              </w:r>
            </w:hyperlink>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40" w:type="dxa"/>
            <w:vAlign w:val="bottom"/>
            <w:tcBorders>
              <w:top w:val="single" w:sz="8" w:color="0000EE"/>
              <w:bottom w:val="single" w:sz="8" w:color="0000EE"/>
            </w:tcBorders>
            <w:gridSpan w:val="13"/>
          </w:tcPr>
          <w:p>
            <w:pPr>
              <w:spacing w:after="0" w:line="192"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Capital Partners V-A, L.P., BBH CPV WCC Co-</w:t>
              </w:r>
            </w:hyperlink>
          </w:p>
        </w:tc>
        <w:tc>
          <w:tcPr>
            <w:tcW w:w="180" w:type="dxa"/>
            <w:vAlign w:val="bottom"/>
            <w:tcBorders>
              <w:top w:val="single" w:sz="8" w:color="0000EE"/>
            </w:tcBorders>
            <w:gridSpan w:val="5"/>
          </w:tcPr>
          <w:p>
            <w:pPr>
              <w:spacing w:after="0"/>
              <w:rPr>
                <w:sz w:val="16"/>
                <w:szCs w:val="16"/>
                <w:color w:val="auto"/>
              </w:rPr>
            </w:pPr>
          </w:p>
        </w:tc>
        <w:tc>
          <w:tcPr>
            <w:tcW w:w="340" w:type="dxa"/>
            <w:vAlign w:val="bottom"/>
            <w:gridSpan w:val="10"/>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tcBorders>
              <w:bottom w:val="single" w:sz="8" w:color="0000EE"/>
            </w:tcBorders>
            <w:gridSpan w:val="16"/>
          </w:tcPr>
          <w:p>
            <w:pPr>
              <w:spacing w:after="0" w:line="192" w:lineRule="exact"/>
              <w:rPr>
                <w:rFonts w:ascii="Arial" w:cs="Arial" w:eastAsia="Arial" w:hAnsi="Arial"/>
                <w:sz w:val="18"/>
                <w:szCs w:val="18"/>
                <w:color w:val="0000EE"/>
                <w:w w:val="89"/>
              </w:rPr>
            </w:pPr>
            <w:hyperlink r:id="rId65">
              <w:r>
                <w:rPr>
                  <w:rFonts w:ascii="Arial" w:cs="Arial" w:eastAsia="Arial" w:hAnsi="Arial"/>
                  <w:sz w:val="18"/>
                  <w:szCs w:val="18"/>
                  <w:color w:val="0000EE"/>
                  <w:w w:val="89"/>
                </w:rPr>
                <w:t>Investment LLC and Riverview Sponsor Partners,</w:t>
              </w:r>
            </w:hyperlink>
          </w:p>
        </w:tc>
        <w:tc>
          <w:tcPr>
            <w:tcW w:w="420" w:type="dxa"/>
            <w:vAlign w:val="bottom"/>
            <w:gridSpan w:val="12"/>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gridSpan w:val="28"/>
          </w:tcPr>
          <w:p>
            <w:pPr>
              <w:spacing w:after="0" w:line="192" w:lineRule="exact"/>
              <w:rPr>
                <w:rFonts w:ascii="Arial" w:cs="Arial" w:eastAsia="Arial" w:hAnsi="Arial"/>
                <w:sz w:val="18"/>
                <w:szCs w:val="18"/>
                <w:color w:val="0000EE"/>
              </w:rPr>
            </w:pPr>
            <w:hyperlink r:id="rId65">
              <w:r>
                <w:rPr>
                  <w:rFonts w:ascii="Arial" w:cs="Arial" w:eastAsia="Arial" w:hAnsi="Arial"/>
                  <w:sz w:val="18"/>
                  <w:szCs w:val="18"/>
                  <w:color w:val="0000EE"/>
                </w:rPr>
                <w:t>LLC</w:t>
              </w:r>
            </w:hyperlink>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3420" w:type="dxa"/>
            <w:vAlign w:val="bottom"/>
            <w:tcBorders>
              <w:bottom w:val="single" w:sz="8" w:color="0000EE"/>
            </w:tcBorders>
            <w:gridSpan w:val="12"/>
          </w:tcPr>
          <w:p>
            <w:pPr>
              <w:spacing w:after="0"/>
              <w:rPr>
                <w:rFonts w:ascii="Arial" w:cs="Arial" w:eastAsia="Arial" w:hAnsi="Arial"/>
                <w:sz w:val="18"/>
                <w:szCs w:val="18"/>
                <w:color w:val="0000EE"/>
                <w:w w:val="88"/>
              </w:rPr>
            </w:pPr>
            <w:hyperlink r:id="rId66">
              <w:r>
                <w:rPr>
                  <w:rFonts w:ascii="Arial" w:cs="Arial" w:eastAsia="Arial" w:hAnsi="Arial"/>
                  <w:sz w:val="18"/>
                  <w:szCs w:val="18"/>
                  <w:color w:val="0000EE"/>
                  <w:w w:val="88"/>
                </w:rPr>
                <w:t>Credit Agreement, dated as of August 29, 2022,</w:t>
              </w:r>
            </w:hyperlink>
          </w:p>
        </w:tc>
        <w:tc>
          <w:tcPr>
            <w:tcW w:w="540" w:type="dxa"/>
            <w:vAlign w:val="bottom"/>
            <w:gridSpan w:val="16"/>
          </w:tcPr>
          <w:p>
            <w:pPr>
              <w:spacing w:after="0"/>
              <w:rPr>
                <w:sz w:val="24"/>
                <w:szCs w:val="2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5"/>
              </w:rPr>
              <w:t>10.3</w:t>
            </w: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tcBorders>
              <w:bottom w:val="single" w:sz="8" w:color="0000EE"/>
            </w:tcBorders>
            <w:gridSpan w:val="15"/>
          </w:tcPr>
          <w:p>
            <w:pPr>
              <w:spacing w:after="0" w:line="192" w:lineRule="exact"/>
              <w:rPr>
                <w:rFonts w:ascii="Arial" w:cs="Arial" w:eastAsia="Arial" w:hAnsi="Arial"/>
                <w:sz w:val="18"/>
                <w:szCs w:val="18"/>
                <w:color w:val="0000EE"/>
                <w:w w:val="88"/>
              </w:rPr>
            </w:pPr>
            <w:hyperlink r:id="rId66">
              <w:r>
                <w:rPr>
                  <w:rFonts w:ascii="Arial" w:cs="Arial" w:eastAsia="Arial" w:hAnsi="Arial"/>
                  <w:sz w:val="18"/>
                  <w:szCs w:val="18"/>
                  <w:color w:val="0000EE"/>
                  <w:w w:val="88"/>
                </w:rPr>
                <w:t>among Westrock Beverage Solutions, LLC, as the</w:t>
              </w:r>
            </w:hyperlink>
          </w:p>
        </w:tc>
        <w:tc>
          <w:tcPr>
            <w:tcW w:w="420" w:type="dxa"/>
            <w:vAlign w:val="bottom"/>
            <w:gridSpan w:val="13"/>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2" w:lineRule="exact"/>
              <w:rPr>
                <w:sz w:val="20"/>
                <w:szCs w:val="20"/>
                <w:color w:val="auto"/>
              </w:rPr>
            </w:pPr>
            <w:r>
              <w:rPr>
                <w:rFonts w:ascii="Arial" w:cs="Arial" w:eastAsia="Arial" w:hAnsi="Arial"/>
                <w:sz w:val="18"/>
                <w:szCs w:val="18"/>
                <w:color w:val="auto"/>
                <w:w w:val="87"/>
              </w:rPr>
              <w:t>41485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2"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Borders>
              <w:bottom w:val="single" w:sz="8" w:color="0000EE"/>
            </w:tcBorders>
            <w:gridSpan w:val="17"/>
          </w:tcPr>
          <w:p>
            <w:pPr>
              <w:spacing w:after="0" w:line="192" w:lineRule="exact"/>
              <w:rPr>
                <w:rFonts w:ascii="Arial" w:cs="Arial" w:eastAsia="Arial" w:hAnsi="Arial"/>
                <w:sz w:val="18"/>
                <w:szCs w:val="18"/>
                <w:color w:val="0000EE"/>
                <w:w w:val="88"/>
              </w:rPr>
            </w:pPr>
            <w:hyperlink r:id="rId66">
              <w:r>
                <w:rPr>
                  <w:rFonts w:ascii="Arial" w:cs="Arial" w:eastAsia="Arial" w:hAnsi="Arial"/>
                  <w:sz w:val="18"/>
                  <w:szCs w:val="18"/>
                  <w:color w:val="0000EE"/>
                  <w:w w:val="88"/>
                </w:rPr>
                <w:t>borrower, Westrock Coffee Company, Wells Fargo</w:t>
              </w:r>
            </w:hyperlink>
          </w:p>
        </w:tc>
        <w:tc>
          <w:tcPr>
            <w:tcW w:w="360" w:type="dxa"/>
            <w:vAlign w:val="bottom"/>
            <w:gridSpan w:val="11"/>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tcBorders>
              <w:bottom w:val="single" w:sz="8" w:color="0000EE"/>
            </w:tcBorders>
            <w:gridSpan w:val="23"/>
          </w:tcPr>
          <w:p>
            <w:pPr>
              <w:spacing w:after="0" w:line="192" w:lineRule="exact"/>
              <w:rPr>
                <w:rFonts w:ascii="Arial" w:cs="Arial" w:eastAsia="Arial" w:hAnsi="Arial"/>
                <w:sz w:val="18"/>
                <w:szCs w:val="18"/>
                <w:color w:val="0000EE"/>
                <w:w w:val="89"/>
              </w:rPr>
            </w:pPr>
            <w:hyperlink r:id="rId66">
              <w:r>
                <w:rPr>
                  <w:rFonts w:ascii="Arial" w:cs="Arial" w:eastAsia="Arial" w:hAnsi="Arial"/>
                  <w:sz w:val="18"/>
                  <w:szCs w:val="18"/>
                  <w:color w:val="0000EE"/>
                  <w:w w:val="89"/>
                </w:rPr>
                <w:t>Bank, N.A., as administrative agent, collateral agent,</w:t>
              </w:r>
            </w:hyperlink>
          </w:p>
        </w:tc>
        <w:tc>
          <w:tcPr>
            <w:tcW w:w="200" w:type="dxa"/>
            <w:vAlign w:val="bottom"/>
            <w:gridSpan w:val="5"/>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gridSpan w:val="28"/>
          </w:tcPr>
          <w:p>
            <w:pPr>
              <w:spacing w:after="0" w:line="192"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and swingline lender, Wells Fargo Securities, LLC, as</w:t>
              </w:r>
            </w:hyperlink>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gridSpan w:val="28"/>
          </w:tcPr>
          <w:p>
            <w:pPr>
              <w:spacing w:after="0" w:line="192"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sustainability structuring agent, and each issuing bank</w:t>
              </w:r>
            </w:hyperlink>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Borders>
              <w:top w:val="single" w:sz="8" w:color="0000EE"/>
              <w:bottom w:val="single" w:sz="8" w:color="0000EE"/>
            </w:tcBorders>
            <w:gridSpan w:val="6"/>
          </w:tcPr>
          <w:p>
            <w:pPr>
              <w:spacing w:after="0" w:line="192" w:lineRule="exact"/>
              <w:rPr>
                <w:rFonts w:ascii="Arial" w:cs="Arial" w:eastAsia="Arial" w:hAnsi="Arial"/>
                <w:sz w:val="18"/>
                <w:szCs w:val="18"/>
                <w:color w:val="0000EE"/>
                <w:w w:val="87"/>
              </w:rPr>
            </w:pPr>
            <w:hyperlink r:id="rId66">
              <w:r>
                <w:rPr>
                  <w:rFonts w:ascii="Arial" w:cs="Arial" w:eastAsia="Arial" w:hAnsi="Arial"/>
                  <w:sz w:val="18"/>
                  <w:szCs w:val="18"/>
                  <w:color w:val="0000EE"/>
                  <w:w w:val="87"/>
                </w:rPr>
                <w:t>and lender party thereto.</w:t>
              </w:r>
            </w:hyperlink>
          </w:p>
        </w:tc>
        <w:tc>
          <w:tcPr>
            <w:tcW w:w="2080" w:type="dxa"/>
            <w:vAlign w:val="bottom"/>
            <w:tcBorders>
              <w:top w:val="single" w:sz="8" w:color="0000EE"/>
            </w:tcBorders>
            <w:gridSpan w:val="20"/>
          </w:tcPr>
          <w:p>
            <w:pPr>
              <w:spacing w:after="0"/>
              <w:rPr>
                <w:sz w:val="16"/>
                <w:szCs w:val="16"/>
                <w:color w:val="auto"/>
              </w:rPr>
            </w:pPr>
          </w:p>
        </w:tc>
        <w:tc>
          <w:tcPr>
            <w:tcW w:w="140" w:type="dxa"/>
            <w:vAlign w:val="bottom"/>
            <w:gridSpan w:val="2"/>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3720" w:type="dxa"/>
            <w:vAlign w:val="bottom"/>
            <w:tcBorders>
              <w:bottom w:val="single" w:sz="8" w:color="0000EE"/>
            </w:tcBorders>
            <w:gridSpan w:val="21"/>
          </w:tcPr>
          <w:p>
            <w:pPr>
              <w:spacing w:after="0"/>
              <w:rPr>
                <w:rFonts w:ascii="Arial" w:cs="Arial" w:eastAsia="Arial" w:hAnsi="Arial"/>
                <w:sz w:val="18"/>
                <w:szCs w:val="18"/>
                <w:color w:val="0000EE"/>
                <w:w w:val="89"/>
              </w:rPr>
            </w:pPr>
            <w:hyperlink r:id="rId67">
              <w:r>
                <w:rPr>
                  <w:rFonts w:ascii="Arial" w:cs="Arial" w:eastAsia="Arial" w:hAnsi="Arial"/>
                  <w:sz w:val="18"/>
                  <w:szCs w:val="18"/>
                  <w:color w:val="0000EE"/>
                  <w:w w:val="89"/>
                </w:rPr>
                <w:t>Employment Agreement, dated August 26, 2022, by</w:t>
              </w:r>
            </w:hyperlink>
          </w:p>
        </w:tc>
        <w:tc>
          <w:tcPr>
            <w:tcW w:w="240" w:type="dxa"/>
            <w:vAlign w:val="bottom"/>
            <w:gridSpan w:val="7"/>
          </w:tcPr>
          <w:p>
            <w:pPr>
              <w:spacing w:after="0"/>
              <w:rPr>
                <w:sz w:val="24"/>
                <w:szCs w:val="2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gridSpan w:val="28"/>
          </w:tcPr>
          <w:p>
            <w:pPr>
              <w:spacing w:after="0" w:line="192"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and between Westrock Coffee Company and Scott T.</w:t>
              </w:r>
            </w:hyperlink>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2" w:lineRule="exact"/>
              <w:rPr>
                <w:sz w:val="20"/>
                <w:szCs w:val="20"/>
                <w:color w:val="auto"/>
              </w:rPr>
            </w:pPr>
            <w:r>
              <w:rPr>
                <w:rFonts w:ascii="Arial" w:cs="Arial" w:eastAsia="Arial" w:hAnsi="Arial"/>
                <w:sz w:val="18"/>
                <w:szCs w:val="18"/>
                <w:color w:val="auto"/>
                <w:w w:val="87"/>
              </w:rPr>
              <w:t>41485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2"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tcBorders>
              <w:top w:val="single" w:sz="8" w:color="0000EE"/>
            </w:tcBorders>
            <w:gridSpan w:val="22"/>
          </w:tcPr>
          <w:p>
            <w:pPr>
              <w:spacing w:after="0" w:line="192" w:lineRule="exact"/>
              <w:rPr>
                <w:rFonts w:ascii="Arial" w:cs="Arial" w:eastAsia="Arial" w:hAnsi="Arial"/>
                <w:sz w:val="18"/>
                <w:szCs w:val="18"/>
                <w:color w:val="0000EE"/>
              </w:rPr>
            </w:pPr>
            <w:hyperlink r:id="rId67">
              <w:r>
                <w:rPr>
                  <w:rFonts w:ascii="Arial" w:cs="Arial" w:eastAsia="Arial" w:hAnsi="Arial"/>
                  <w:sz w:val="18"/>
                  <w:szCs w:val="18"/>
                  <w:color w:val="0000EE"/>
                </w:rPr>
                <w:t>Ford</w:t>
              </w:r>
            </w:hyperlink>
          </w:p>
        </w:tc>
        <w:tc>
          <w:tcPr>
            <w:tcW w:w="220" w:type="dxa"/>
            <w:vAlign w:val="bottom"/>
            <w:gridSpan w:val="6"/>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80" w:type="dxa"/>
            <w:vAlign w:val="bottom"/>
          </w:tcPr>
          <w:p>
            <w:pPr>
              <w:spacing w:after="0"/>
              <w:rPr>
                <w:sz w:val="24"/>
                <w:szCs w:val="24"/>
                <w:color w:val="auto"/>
              </w:rPr>
            </w:pPr>
          </w:p>
        </w:tc>
        <w:tc>
          <w:tcPr>
            <w:tcW w:w="3700" w:type="dxa"/>
            <w:vAlign w:val="bottom"/>
            <w:tcBorders>
              <w:bottom w:val="single" w:sz="8" w:color="0000EE"/>
            </w:tcBorders>
            <w:gridSpan w:val="20"/>
          </w:tcPr>
          <w:p>
            <w:pPr>
              <w:spacing w:after="0"/>
              <w:rPr>
                <w:rFonts w:ascii="Arial" w:cs="Arial" w:eastAsia="Arial" w:hAnsi="Arial"/>
                <w:sz w:val="18"/>
                <w:szCs w:val="18"/>
                <w:color w:val="0000EE"/>
                <w:w w:val="89"/>
              </w:rPr>
            </w:pPr>
            <w:hyperlink r:id="rId68">
              <w:r>
                <w:rPr>
                  <w:rFonts w:ascii="Arial" w:cs="Arial" w:eastAsia="Arial" w:hAnsi="Arial"/>
                  <w:sz w:val="18"/>
                  <w:szCs w:val="18"/>
                  <w:color w:val="0000EE"/>
                  <w:w w:val="89"/>
                </w:rPr>
                <w:t>Employment Agreement, dated August 26, 2022, by</w:t>
              </w:r>
            </w:hyperlink>
          </w:p>
        </w:tc>
        <w:tc>
          <w:tcPr>
            <w:tcW w:w="260" w:type="dxa"/>
            <w:vAlign w:val="bottom"/>
            <w:gridSpan w:val="8"/>
          </w:tcPr>
          <w:p>
            <w:pPr>
              <w:spacing w:after="0"/>
              <w:rPr>
                <w:sz w:val="24"/>
                <w:szCs w:val="2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5"/>
              </w:rPr>
              <w:t>10.5</w:t>
            </w: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tcBorders>
              <w:bottom w:val="single" w:sz="8" w:color="0000EE"/>
            </w:tcBorders>
            <w:gridSpan w:val="10"/>
          </w:tcPr>
          <w:p>
            <w:pPr>
              <w:spacing w:after="0" w:line="192" w:lineRule="exact"/>
              <w:rPr>
                <w:rFonts w:ascii="Arial" w:cs="Arial" w:eastAsia="Arial" w:hAnsi="Arial"/>
                <w:sz w:val="18"/>
                <w:szCs w:val="18"/>
                <w:color w:val="0000EE"/>
                <w:w w:val="87"/>
              </w:rPr>
            </w:pPr>
            <w:hyperlink r:id="rId68">
              <w:r>
                <w:rPr>
                  <w:rFonts w:ascii="Arial" w:cs="Arial" w:eastAsia="Arial" w:hAnsi="Arial"/>
                  <w:sz w:val="18"/>
                  <w:szCs w:val="18"/>
                  <w:color w:val="0000EE"/>
                  <w:w w:val="87"/>
                </w:rPr>
                <w:t>and between Westrock Coffee Company and T.</w:t>
              </w:r>
            </w:hyperlink>
          </w:p>
        </w:tc>
        <w:tc>
          <w:tcPr>
            <w:tcW w:w="620" w:type="dxa"/>
            <w:vAlign w:val="bottom"/>
            <w:gridSpan w:val="18"/>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2" w:lineRule="exact"/>
              <w:rPr>
                <w:sz w:val="20"/>
                <w:szCs w:val="20"/>
                <w:color w:val="auto"/>
              </w:rPr>
            </w:pPr>
            <w:r>
              <w:rPr>
                <w:rFonts w:ascii="Arial" w:cs="Arial" w:eastAsia="Arial" w:hAnsi="Arial"/>
                <w:sz w:val="18"/>
                <w:szCs w:val="18"/>
                <w:color w:val="auto"/>
                <w:w w:val="87"/>
              </w:rPr>
              <w:t>41485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2"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gridSpan w:val="28"/>
          </w:tcPr>
          <w:p>
            <w:pPr>
              <w:spacing w:after="0" w:line="192" w:lineRule="exact"/>
              <w:rPr>
                <w:rFonts w:ascii="Arial" w:cs="Arial" w:eastAsia="Arial" w:hAnsi="Arial"/>
                <w:sz w:val="18"/>
                <w:szCs w:val="18"/>
                <w:color w:val="0000EE"/>
              </w:rPr>
            </w:pPr>
            <w:hyperlink r:id="rId68">
              <w:r>
                <w:rPr>
                  <w:rFonts w:ascii="Arial" w:cs="Arial" w:eastAsia="Arial" w:hAnsi="Arial"/>
                  <w:sz w:val="18"/>
                  <w:szCs w:val="18"/>
                  <w:color w:val="0000EE"/>
                </w:rPr>
                <w:t>Christopher Pledger</w:t>
              </w:r>
            </w:hyperlink>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120" w:type="dxa"/>
            <w:vAlign w:val="bottom"/>
            <w:gridSpan w:val="10"/>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80" w:type="dxa"/>
            <w:vAlign w:val="bottom"/>
          </w:tcPr>
          <w:p>
            <w:pPr>
              <w:spacing w:after="0"/>
              <w:rPr>
                <w:sz w:val="24"/>
                <w:szCs w:val="24"/>
                <w:color w:val="auto"/>
              </w:rPr>
            </w:pPr>
          </w:p>
        </w:tc>
        <w:tc>
          <w:tcPr>
            <w:tcW w:w="3720" w:type="dxa"/>
            <w:vAlign w:val="bottom"/>
            <w:tcBorders>
              <w:bottom w:val="single" w:sz="8" w:color="0000EE"/>
            </w:tcBorders>
            <w:gridSpan w:val="21"/>
          </w:tcPr>
          <w:p>
            <w:pPr>
              <w:spacing w:after="0"/>
              <w:rPr>
                <w:rFonts w:ascii="Arial" w:cs="Arial" w:eastAsia="Arial" w:hAnsi="Arial"/>
                <w:sz w:val="18"/>
                <w:szCs w:val="18"/>
                <w:color w:val="0000EE"/>
                <w:w w:val="89"/>
              </w:rPr>
            </w:pPr>
            <w:hyperlink r:id="rId69">
              <w:r>
                <w:rPr>
                  <w:rFonts w:ascii="Arial" w:cs="Arial" w:eastAsia="Arial" w:hAnsi="Arial"/>
                  <w:sz w:val="18"/>
                  <w:szCs w:val="18"/>
                  <w:color w:val="0000EE"/>
                  <w:w w:val="89"/>
                </w:rPr>
                <w:t>Employment Agreement, dated August 26, 2022, by</w:t>
              </w:r>
            </w:hyperlink>
          </w:p>
        </w:tc>
        <w:tc>
          <w:tcPr>
            <w:tcW w:w="240" w:type="dxa"/>
            <w:vAlign w:val="bottom"/>
            <w:gridSpan w:val="7"/>
          </w:tcPr>
          <w:p>
            <w:pPr>
              <w:spacing w:after="0"/>
              <w:rPr>
                <w:sz w:val="24"/>
                <w:szCs w:val="2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5"/>
              </w:rPr>
              <w:t>10.6</w:t>
            </w: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gridSpan w:val="28"/>
          </w:tcPr>
          <w:p>
            <w:pPr>
              <w:spacing w:after="0" w:line="192" w:lineRule="exact"/>
              <w:rPr>
                <w:rFonts w:ascii="Arial" w:cs="Arial" w:eastAsia="Arial" w:hAnsi="Arial"/>
                <w:sz w:val="18"/>
                <w:szCs w:val="18"/>
                <w:color w:val="0000EE"/>
                <w:w w:val="93"/>
              </w:rPr>
            </w:pPr>
            <w:hyperlink r:id="rId69">
              <w:r>
                <w:rPr>
                  <w:rFonts w:ascii="Arial" w:cs="Arial" w:eastAsia="Arial" w:hAnsi="Arial"/>
                  <w:sz w:val="18"/>
                  <w:szCs w:val="18"/>
                  <w:color w:val="0000EE"/>
                  <w:w w:val="93"/>
                </w:rPr>
                <w:t>and between Westrock Coffee Company and William</w:t>
              </w:r>
            </w:hyperlink>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2" w:lineRule="exact"/>
              <w:rPr>
                <w:sz w:val="20"/>
                <w:szCs w:val="20"/>
                <w:color w:val="auto"/>
              </w:rPr>
            </w:pPr>
            <w:r>
              <w:rPr>
                <w:rFonts w:ascii="Arial" w:cs="Arial" w:eastAsia="Arial" w:hAnsi="Arial"/>
                <w:sz w:val="18"/>
                <w:szCs w:val="18"/>
                <w:color w:val="auto"/>
                <w:w w:val="87"/>
              </w:rPr>
              <w:t>41485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2"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A. Ford</w:t>
              </w:r>
            </w:hyperlink>
          </w:p>
        </w:tc>
        <w:tc>
          <w:tcPr>
            <w:tcW w:w="3200" w:type="dxa"/>
            <w:vAlign w:val="bottom"/>
            <w:tcBorders>
              <w:top w:val="single" w:sz="8" w:color="0000EE"/>
            </w:tcBorders>
            <w:gridSpan w:val="21"/>
          </w:tcPr>
          <w:p>
            <w:pPr>
              <w:spacing w:after="0"/>
              <w:rPr>
                <w:sz w:val="16"/>
                <w:szCs w:val="16"/>
                <w:color w:val="auto"/>
              </w:rPr>
            </w:pPr>
          </w:p>
        </w:tc>
        <w:tc>
          <w:tcPr>
            <w:tcW w:w="200" w:type="dxa"/>
            <w:vAlign w:val="bottom"/>
            <w:gridSpan w:val="5"/>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7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80" w:type="dxa"/>
            <w:vAlign w:val="bottom"/>
          </w:tcPr>
          <w:p>
            <w:pPr>
              <w:spacing w:after="0"/>
              <w:rPr>
                <w:sz w:val="24"/>
                <w:szCs w:val="24"/>
                <w:color w:val="auto"/>
              </w:rPr>
            </w:pPr>
          </w:p>
        </w:tc>
        <w:tc>
          <w:tcPr>
            <w:tcW w:w="3540" w:type="dxa"/>
            <w:vAlign w:val="bottom"/>
            <w:tcBorders>
              <w:bottom w:val="single" w:sz="8" w:color="0000EE"/>
            </w:tcBorders>
            <w:gridSpan w:val="15"/>
          </w:tcPr>
          <w:p>
            <w:pP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Westrock Coffee Company 2022 Equity Incentive</w:t>
              </w:r>
            </w:hyperlink>
          </w:p>
        </w:tc>
        <w:tc>
          <w:tcPr>
            <w:tcW w:w="420" w:type="dxa"/>
            <w:vAlign w:val="bottom"/>
            <w:gridSpan w:val="13"/>
          </w:tcPr>
          <w:p>
            <w:pPr>
              <w:spacing w:after="0"/>
              <w:rPr>
                <w:sz w:val="24"/>
                <w:szCs w:val="2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10-Q</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5"/>
              </w:rPr>
              <w:t>10.7</w:t>
            </w:r>
          </w:p>
        </w:tc>
        <w:tc>
          <w:tcPr>
            <w:tcW w:w="16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gridSpan w:val="28"/>
          </w:tcPr>
          <w:p>
            <w:pPr>
              <w:spacing w:after="0" w:line="192" w:lineRule="exact"/>
              <w:rPr>
                <w:rFonts w:ascii="Arial" w:cs="Arial" w:eastAsia="Arial" w:hAnsi="Arial"/>
                <w:sz w:val="18"/>
                <w:szCs w:val="18"/>
                <w:color w:val="0000EE"/>
              </w:rPr>
            </w:pPr>
            <w:hyperlink r:id="rId70">
              <w:r>
                <w:rPr>
                  <w:rFonts w:ascii="Arial" w:cs="Arial" w:eastAsia="Arial" w:hAnsi="Arial"/>
                  <w:sz w:val="18"/>
                  <w:szCs w:val="18"/>
                  <w:color w:val="0000EE"/>
                </w:rPr>
                <w:t>Plan</w:t>
              </w:r>
            </w:hyperlink>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2" w:lineRule="exact"/>
              <w:rPr>
                <w:sz w:val="20"/>
                <w:szCs w:val="20"/>
                <w:color w:val="auto"/>
              </w:rPr>
            </w:pPr>
            <w:r>
              <w:rPr>
                <w:rFonts w:ascii="Arial" w:cs="Arial" w:eastAsia="Arial" w:hAnsi="Arial"/>
                <w:sz w:val="18"/>
                <w:szCs w:val="18"/>
                <w:color w:val="auto"/>
                <w:w w:val="87"/>
              </w:rPr>
              <w:t>41485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2"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1" w:right="1440" w:bottom="1440" w:gutter="0" w:footer="0" w:header="0"/>
        </w:sectPr>
      </w:pPr>
    </w:p>
    <w:p>
      <w:pPr>
        <w:spacing w:after="0" w:line="331" w:lineRule="exact"/>
        <w:rPr>
          <w:sz w:val="20"/>
          <w:szCs w:val="20"/>
          <w:color w:val="auto"/>
        </w:rPr>
      </w:pPr>
    </w:p>
    <w:p>
      <w:pPr>
        <w:ind w:left="8780"/>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369570</wp:posOffset>
            </wp:positionV>
            <wp:extent cx="565404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type w:val="continuous"/>
        </w:sectPr>
      </w:pPr>
    </w:p>
    <w:bookmarkStart w:id="56" w:name="page57"/>
    <w:bookmarkEnd w:id="5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85"/>
              </w:rPr>
              <w:t>10.6</w:t>
            </w:r>
          </w:p>
        </w:tc>
        <w:tc>
          <w:tcPr>
            <w:tcW w:w="3580" w:type="dxa"/>
            <w:vAlign w:val="bottom"/>
            <w:tcBorders>
              <w:bottom w:val="single" w:sz="8" w:color="0000EE"/>
            </w:tcBorders>
            <w:gridSpan w:val="10"/>
          </w:tcPr>
          <w:p>
            <w:pPr>
              <w:spacing w:after="0"/>
              <w:rPr>
                <w:rFonts w:ascii="Arial" w:cs="Arial" w:eastAsia="Arial" w:hAnsi="Arial"/>
                <w:sz w:val="18"/>
                <w:szCs w:val="18"/>
                <w:color w:val="0000EE"/>
                <w:w w:val="88"/>
              </w:rPr>
            </w:pPr>
            <w:hyperlink r:id="rId72">
              <w:r>
                <w:rPr>
                  <w:rFonts w:ascii="Arial" w:cs="Arial" w:eastAsia="Arial" w:hAnsi="Arial"/>
                  <w:sz w:val="18"/>
                  <w:szCs w:val="18"/>
                  <w:color w:val="0000EE"/>
                  <w:w w:val="88"/>
                </w:rPr>
                <w:t>Westrock Coffee Company Annual Cash Incentive</w:t>
              </w:r>
            </w:hyperlink>
          </w:p>
        </w:tc>
        <w:tc>
          <w:tcPr>
            <w:tcW w:w="340" w:type="dxa"/>
            <w:vAlign w:val="bottom"/>
            <w:gridSpan w:val="4"/>
          </w:tcPr>
          <w:p>
            <w:pPr>
              <w:spacing w:after="0"/>
              <w:rPr>
                <w:sz w:val="17"/>
                <w:szCs w:val="17"/>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10.8</w:t>
            </w:r>
          </w:p>
        </w:tc>
        <w:tc>
          <w:tcPr>
            <w:tcW w:w="2020" w:type="dxa"/>
            <w:vAlign w:val="bottom"/>
          </w:tcPr>
          <w:p>
            <w:pPr>
              <w:jc w:val="center"/>
              <w:ind w:right="692"/>
              <w:spacing w:after="0"/>
              <w:rPr>
                <w:sz w:val="20"/>
                <w:szCs w:val="20"/>
                <w:color w:val="auto"/>
              </w:rPr>
            </w:pPr>
            <w:r>
              <w:rPr>
                <w:rFonts w:ascii="Arial" w:cs="Arial" w:eastAsia="Arial" w:hAnsi="Arial"/>
                <w:sz w:val="18"/>
                <w:szCs w:val="18"/>
                <w:color w:val="auto"/>
                <w:w w:val="88"/>
              </w:rPr>
              <w:t>August 29,</w:t>
            </w:r>
          </w:p>
        </w:tc>
      </w:tr>
      <w:tr>
        <w:trPr>
          <w:trHeight w:val="192"/>
        </w:trPr>
        <w:tc>
          <w:tcPr>
            <w:tcW w:w="780" w:type="dxa"/>
            <w:vAlign w:val="bottom"/>
          </w:tcPr>
          <w:p>
            <w:pPr>
              <w:spacing w:after="0"/>
              <w:rPr>
                <w:sz w:val="16"/>
                <w:szCs w:val="16"/>
                <w:color w:val="auto"/>
              </w:rPr>
            </w:pPr>
          </w:p>
        </w:tc>
        <w:tc>
          <w:tcPr>
            <w:tcW w:w="3920" w:type="dxa"/>
            <w:vAlign w:val="bottom"/>
            <w:gridSpan w:val="14"/>
          </w:tcPr>
          <w:p>
            <w:pPr>
              <w:spacing w:after="0" w:line="192" w:lineRule="exact"/>
              <w:rPr>
                <w:rFonts w:ascii="Arial" w:cs="Arial" w:eastAsia="Arial" w:hAnsi="Arial"/>
                <w:sz w:val="18"/>
                <w:szCs w:val="18"/>
                <w:color w:val="0000EE"/>
              </w:rPr>
            </w:pPr>
            <w:hyperlink r:id="rId72">
              <w:r>
                <w:rPr>
                  <w:rFonts w:ascii="Arial" w:cs="Arial" w:eastAsia="Arial" w:hAnsi="Arial"/>
                  <w:sz w:val="18"/>
                  <w:szCs w:val="18"/>
                  <w:color w:val="0000EE"/>
                </w:rPr>
                <w:t>Plan</w:t>
              </w:r>
            </w:hyperlink>
          </w:p>
        </w:tc>
        <w:tc>
          <w:tcPr>
            <w:tcW w:w="560" w:type="dxa"/>
            <w:vAlign w:val="bottom"/>
          </w:tcPr>
          <w:p>
            <w:pPr>
              <w:spacing w:after="0"/>
              <w:rPr>
                <w:sz w:val="16"/>
                <w:szCs w:val="16"/>
                <w:color w:val="auto"/>
              </w:rPr>
            </w:pPr>
          </w:p>
        </w:tc>
        <w:tc>
          <w:tcPr>
            <w:tcW w:w="820" w:type="dxa"/>
            <w:vAlign w:val="bottom"/>
          </w:tcPr>
          <w:p>
            <w:pPr>
              <w:jc w:val="center"/>
              <w:spacing w:after="0" w:line="192" w:lineRule="exact"/>
              <w:rPr>
                <w:sz w:val="20"/>
                <w:szCs w:val="20"/>
                <w:color w:val="auto"/>
              </w:rPr>
            </w:pPr>
            <w:r>
              <w:rPr>
                <w:rFonts w:ascii="Arial" w:cs="Arial" w:eastAsia="Arial" w:hAnsi="Arial"/>
                <w:sz w:val="18"/>
                <w:szCs w:val="18"/>
                <w:color w:val="auto"/>
                <w:w w:val="87"/>
              </w:rPr>
              <w:t>41485</w:t>
            </w:r>
          </w:p>
        </w:tc>
        <w:tc>
          <w:tcPr>
            <w:tcW w:w="760" w:type="dxa"/>
            <w:vAlign w:val="bottom"/>
          </w:tcPr>
          <w:p>
            <w:pPr>
              <w:spacing w:after="0"/>
              <w:rPr>
                <w:sz w:val="16"/>
                <w:szCs w:val="16"/>
                <w:color w:val="auto"/>
              </w:rPr>
            </w:pPr>
          </w:p>
        </w:tc>
        <w:tc>
          <w:tcPr>
            <w:tcW w:w="2020" w:type="dxa"/>
            <w:vAlign w:val="bottom"/>
          </w:tcPr>
          <w:p>
            <w:pPr>
              <w:jc w:val="center"/>
              <w:ind w:right="692"/>
              <w:spacing w:after="0" w:line="192" w:lineRule="exact"/>
              <w:rPr>
                <w:sz w:val="20"/>
                <w:szCs w:val="20"/>
                <w:color w:val="auto"/>
              </w:rPr>
            </w:pPr>
            <w:r>
              <w:rPr>
                <w:rFonts w:ascii="Arial" w:cs="Arial" w:eastAsia="Arial" w:hAnsi="Arial"/>
                <w:sz w:val="18"/>
                <w:szCs w:val="18"/>
                <w:color w:val="auto"/>
                <w:w w:val="89"/>
              </w:rPr>
              <w:t>2022</w:t>
            </w: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85"/>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85"/>
              </w:rPr>
              <w:t>10.7</w:t>
            </w:r>
          </w:p>
        </w:tc>
        <w:tc>
          <w:tcPr>
            <w:tcW w:w="3620" w:type="dxa"/>
            <w:vAlign w:val="bottom"/>
            <w:tcBorders>
              <w:bottom w:val="single" w:sz="8" w:color="0000EE"/>
            </w:tcBorders>
            <w:gridSpan w:val="12"/>
          </w:tcPr>
          <w:p>
            <w:pPr>
              <w:spacing w:after="0"/>
              <w:rPr>
                <w:rFonts w:ascii="Arial" w:cs="Arial" w:eastAsia="Arial" w:hAnsi="Arial"/>
                <w:sz w:val="18"/>
                <w:szCs w:val="18"/>
                <w:color w:val="0000EE"/>
                <w:w w:val="87"/>
              </w:rPr>
            </w:pPr>
            <w:hyperlink r:id="rId73">
              <w:r>
                <w:rPr>
                  <w:rFonts w:ascii="Arial" w:cs="Arial" w:eastAsia="Arial" w:hAnsi="Arial"/>
                  <w:sz w:val="18"/>
                  <w:szCs w:val="18"/>
                  <w:color w:val="0000EE"/>
                  <w:w w:val="87"/>
                </w:rPr>
                <w:t>Amended and Restated Westrock Coffee Company</w:t>
              </w:r>
            </w:hyperlink>
          </w:p>
        </w:tc>
        <w:tc>
          <w:tcPr>
            <w:tcW w:w="300" w:type="dxa"/>
            <w:vAlign w:val="bottom"/>
            <w:gridSpan w:val="2"/>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10.9</w:t>
            </w:r>
          </w:p>
        </w:tc>
        <w:tc>
          <w:tcPr>
            <w:tcW w:w="2020" w:type="dxa"/>
            <w:vAlign w:val="bottom"/>
          </w:tcPr>
          <w:p>
            <w:pPr>
              <w:jc w:val="center"/>
              <w:ind w:right="692"/>
              <w:spacing w:after="0"/>
              <w:rPr>
                <w:sz w:val="20"/>
                <w:szCs w:val="20"/>
                <w:color w:val="auto"/>
              </w:rPr>
            </w:pPr>
            <w:r>
              <w:rPr>
                <w:rFonts w:ascii="Arial" w:cs="Arial" w:eastAsia="Arial" w:hAnsi="Arial"/>
                <w:sz w:val="18"/>
                <w:szCs w:val="18"/>
                <w:color w:val="auto"/>
                <w:w w:val="88"/>
              </w:rPr>
              <w:t>August 29,</w:t>
            </w:r>
          </w:p>
        </w:tc>
      </w:tr>
      <w:tr>
        <w:trPr>
          <w:trHeight w:val="192"/>
        </w:trPr>
        <w:tc>
          <w:tcPr>
            <w:tcW w:w="780" w:type="dxa"/>
            <w:vAlign w:val="bottom"/>
          </w:tcPr>
          <w:p>
            <w:pPr>
              <w:spacing w:after="0"/>
              <w:rPr>
                <w:sz w:val="16"/>
                <w:szCs w:val="16"/>
                <w:color w:val="auto"/>
              </w:rPr>
            </w:pPr>
          </w:p>
        </w:tc>
        <w:tc>
          <w:tcPr>
            <w:tcW w:w="3920" w:type="dxa"/>
            <w:vAlign w:val="bottom"/>
            <w:gridSpan w:val="14"/>
          </w:tcPr>
          <w:p>
            <w:pPr>
              <w:spacing w:after="0" w:line="192" w:lineRule="exact"/>
              <w:rPr>
                <w:rFonts w:ascii="Arial" w:cs="Arial" w:eastAsia="Arial" w:hAnsi="Arial"/>
                <w:sz w:val="18"/>
                <w:szCs w:val="18"/>
                <w:color w:val="0000EE"/>
              </w:rPr>
            </w:pPr>
            <w:hyperlink r:id="rId73">
              <w:r>
                <w:rPr>
                  <w:rFonts w:ascii="Arial" w:cs="Arial" w:eastAsia="Arial" w:hAnsi="Arial"/>
                  <w:sz w:val="18"/>
                  <w:szCs w:val="18"/>
                  <w:color w:val="0000EE"/>
                </w:rPr>
                <w:t>2020 Stock Option Incentive Plan</w:t>
              </w:r>
            </w:hyperlink>
          </w:p>
        </w:tc>
        <w:tc>
          <w:tcPr>
            <w:tcW w:w="560" w:type="dxa"/>
            <w:vAlign w:val="bottom"/>
          </w:tcPr>
          <w:p>
            <w:pPr>
              <w:spacing w:after="0"/>
              <w:rPr>
                <w:sz w:val="16"/>
                <w:szCs w:val="16"/>
                <w:color w:val="auto"/>
              </w:rPr>
            </w:pPr>
          </w:p>
        </w:tc>
        <w:tc>
          <w:tcPr>
            <w:tcW w:w="820" w:type="dxa"/>
            <w:vAlign w:val="bottom"/>
          </w:tcPr>
          <w:p>
            <w:pPr>
              <w:jc w:val="center"/>
              <w:spacing w:after="0" w:line="192" w:lineRule="exact"/>
              <w:rPr>
                <w:sz w:val="20"/>
                <w:szCs w:val="20"/>
                <w:color w:val="auto"/>
              </w:rPr>
            </w:pPr>
            <w:r>
              <w:rPr>
                <w:rFonts w:ascii="Arial" w:cs="Arial" w:eastAsia="Arial" w:hAnsi="Arial"/>
                <w:sz w:val="18"/>
                <w:szCs w:val="18"/>
                <w:color w:val="auto"/>
                <w:w w:val="87"/>
              </w:rPr>
              <w:t>41485</w:t>
            </w:r>
          </w:p>
        </w:tc>
        <w:tc>
          <w:tcPr>
            <w:tcW w:w="760" w:type="dxa"/>
            <w:vAlign w:val="bottom"/>
          </w:tcPr>
          <w:p>
            <w:pPr>
              <w:spacing w:after="0"/>
              <w:rPr>
                <w:sz w:val="16"/>
                <w:szCs w:val="16"/>
                <w:color w:val="auto"/>
              </w:rPr>
            </w:pPr>
          </w:p>
        </w:tc>
        <w:tc>
          <w:tcPr>
            <w:tcW w:w="2020" w:type="dxa"/>
            <w:vAlign w:val="bottom"/>
          </w:tcPr>
          <w:p>
            <w:pPr>
              <w:jc w:val="center"/>
              <w:ind w:right="692"/>
              <w:spacing w:after="0" w:line="192" w:lineRule="exact"/>
              <w:rPr>
                <w:sz w:val="20"/>
                <w:szCs w:val="20"/>
                <w:color w:val="auto"/>
              </w:rPr>
            </w:pPr>
            <w:r>
              <w:rPr>
                <w:rFonts w:ascii="Arial" w:cs="Arial" w:eastAsia="Arial" w:hAnsi="Arial"/>
                <w:sz w:val="18"/>
                <w:szCs w:val="18"/>
                <w:color w:val="auto"/>
                <w:w w:val="89"/>
              </w:rPr>
              <w:t>2022</w:t>
            </w:r>
          </w:p>
        </w:tc>
      </w:tr>
      <w:tr>
        <w:trPr>
          <w:trHeight w:val="20"/>
        </w:trPr>
        <w:tc>
          <w:tcPr>
            <w:tcW w:w="7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85"/>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85"/>
              </w:rPr>
              <w:t>10.8</w:t>
            </w:r>
          </w:p>
        </w:tc>
        <w:tc>
          <w:tcPr>
            <w:tcW w:w="34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Form of Restricted Stock Unit Award Agreement</w:t>
            </w:r>
          </w:p>
        </w:tc>
        <w:tc>
          <w:tcPr>
            <w:tcW w:w="44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5"/>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85"/>
              </w:rPr>
              <w:t>31.1</w:t>
            </w:r>
          </w:p>
        </w:tc>
        <w:tc>
          <w:tcPr>
            <w:tcW w:w="36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Chief Executive Officer—Certification pursuant to</w:t>
            </w:r>
          </w:p>
        </w:tc>
        <w:tc>
          <w:tcPr>
            <w:tcW w:w="32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2"/>
        </w:trPr>
        <w:tc>
          <w:tcPr>
            <w:tcW w:w="780" w:type="dxa"/>
            <w:vAlign w:val="bottom"/>
          </w:tcPr>
          <w:p>
            <w:pPr>
              <w:spacing w:after="0"/>
              <w:rPr>
                <w:sz w:val="16"/>
                <w:szCs w:val="16"/>
                <w:color w:val="auto"/>
              </w:rPr>
            </w:pPr>
          </w:p>
        </w:tc>
        <w:tc>
          <w:tcPr>
            <w:tcW w:w="3580" w:type="dxa"/>
            <w:vAlign w:val="bottom"/>
            <w:tcBorders>
              <w:bottom w:val="single" w:sz="8" w:color="0000EE"/>
            </w:tcBorders>
            <w:gridSpan w:val="10"/>
          </w:tcPr>
          <w:p>
            <w:pPr>
              <w:spacing w:after="0" w:line="192" w:lineRule="exact"/>
              <w:rPr>
                <w:sz w:val="20"/>
                <w:szCs w:val="20"/>
                <w:color w:val="auto"/>
              </w:rPr>
            </w:pPr>
            <w:r>
              <w:rPr>
                <w:rFonts w:ascii="Arial" w:cs="Arial" w:eastAsia="Arial" w:hAnsi="Arial"/>
                <w:sz w:val="18"/>
                <w:szCs w:val="18"/>
                <w:color w:val="0000EE"/>
                <w:w w:val="88"/>
              </w:rPr>
              <w:t>Rule 13a-14(a) or Rule 15d-14(a) of the Securities</w:t>
            </w:r>
          </w:p>
        </w:tc>
        <w:tc>
          <w:tcPr>
            <w:tcW w:w="340" w:type="dxa"/>
            <w:vAlign w:val="bottom"/>
            <w:gridSpan w:val="4"/>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2"/>
        </w:trPr>
        <w:tc>
          <w:tcPr>
            <w:tcW w:w="780" w:type="dxa"/>
            <w:vAlign w:val="bottom"/>
          </w:tcPr>
          <w:p>
            <w:pPr>
              <w:spacing w:after="0"/>
              <w:rPr>
                <w:sz w:val="16"/>
                <w:szCs w:val="16"/>
                <w:color w:val="auto"/>
              </w:rPr>
            </w:pPr>
          </w:p>
        </w:tc>
        <w:tc>
          <w:tcPr>
            <w:tcW w:w="3920" w:type="dxa"/>
            <w:vAlign w:val="bottom"/>
            <w:gridSpan w:val="14"/>
          </w:tcPr>
          <w:p>
            <w:pPr>
              <w:spacing w:after="0" w:line="192" w:lineRule="exact"/>
              <w:rPr>
                <w:sz w:val="20"/>
                <w:szCs w:val="20"/>
                <w:color w:val="auto"/>
              </w:rPr>
            </w:pPr>
            <w:r>
              <w:rPr>
                <w:rFonts w:ascii="Arial" w:cs="Arial" w:eastAsia="Arial" w:hAnsi="Arial"/>
                <w:sz w:val="18"/>
                <w:szCs w:val="18"/>
                <w:color w:val="0000EE"/>
              </w:rPr>
              <w:t>Exchange Act of 1934, as adopted pursuant to</w:t>
            </w: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2"/>
        </w:trPr>
        <w:tc>
          <w:tcPr>
            <w:tcW w:w="780" w:type="dxa"/>
            <w:vAlign w:val="bottom"/>
          </w:tcPr>
          <w:p>
            <w:pPr>
              <w:spacing w:after="0"/>
              <w:rPr>
                <w:sz w:val="16"/>
                <w:szCs w:val="16"/>
                <w:color w:val="auto"/>
              </w:rPr>
            </w:pPr>
          </w:p>
        </w:tc>
        <w:tc>
          <w:tcPr>
            <w:tcW w:w="3920" w:type="dxa"/>
            <w:vAlign w:val="bottom"/>
            <w:gridSpan w:val="14"/>
          </w:tcPr>
          <w:p>
            <w:pPr>
              <w:spacing w:after="0" w:line="192" w:lineRule="exact"/>
              <w:rPr>
                <w:sz w:val="20"/>
                <w:szCs w:val="20"/>
                <w:color w:val="auto"/>
              </w:rPr>
            </w:pPr>
            <w:r>
              <w:rPr>
                <w:rFonts w:ascii="Arial" w:cs="Arial" w:eastAsia="Arial" w:hAnsi="Arial"/>
                <w:sz w:val="18"/>
                <w:szCs w:val="18"/>
                <w:color w:val="0000EE"/>
              </w:rPr>
              <w:t>Section 302 of the Sarbanes-Oxley Act of 2002.</w:t>
            </w: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85"/>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85"/>
              </w:rPr>
              <w:t>31.2</w:t>
            </w:r>
          </w:p>
        </w:tc>
        <w:tc>
          <w:tcPr>
            <w:tcW w:w="35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Chief Financial Officer—Certification pursuant to</w:t>
            </w:r>
          </w:p>
        </w:tc>
        <w:tc>
          <w:tcPr>
            <w:tcW w:w="36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2"/>
        </w:trPr>
        <w:tc>
          <w:tcPr>
            <w:tcW w:w="780" w:type="dxa"/>
            <w:vAlign w:val="bottom"/>
          </w:tcPr>
          <w:p>
            <w:pPr>
              <w:spacing w:after="0"/>
              <w:rPr>
                <w:sz w:val="16"/>
                <w:szCs w:val="16"/>
                <w:color w:val="auto"/>
              </w:rPr>
            </w:pPr>
          </w:p>
        </w:tc>
        <w:tc>
          <w:tcPr>
            <w:tcW w:w="3580" w:type="dxa"/>
            <w:vAlign w:val="bottom"/>
            <w:tcBorders>
              <w:bottom w:val="single" w:sz="8" w:color="0000EE"/>
            </w:tcBorders>
            <w:gridSpan w:val="10"/>
          </w:tcPr>
          <w:p>
            <w:pPr>
              <w:spacing w:after="0" w:line="192" w:lineRule="exact"/>
              <w:rPr>
                <w:sz w:val="20"/>
                <w:szCs w:val="20"/>
                <w:color w:val="auto"/>
              </w:rPr>
            </w:pPr>
            <w:r>
              <w:rPr>
                <w:rFonts w:ascii="Arial" w:cs="Arial" w:eastAsia="Arial" w:hAnsi="Arial"/>
                <w:sz w:val="18"/>
                <w:szCs w:val="18"/>
                <w:color w:val="0000EE"/>
                <w:w w:val="88"/>
              </w:rPr>
              <w:t>Rule 13a-14(a) or Rule 15d-14(a) of the Securities</w:t>
            </w:r>
          </w:p>
        </w:tc>
        <w:tc>
          <w:tcPr>
            <w:tcW w:w="340" w:type="dxa"/>
            <w:vAlign w:val="bottom"/>
            <w:gridSpan w:val="4"/>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2"/>
        </w:trPr>
        <w:tc>
          <w:tcPr>
            <w:tcW w:w="780" w:type="dxa"/>
            <w:vAlign w:val="bottom"/>
          </w:tcPr>
          <w:p>
            <w:pPr>
              <w:spacing w:after="0"/>
              <w:rPr>
                <w:sz w:val="16"/>
                <w:szCs w:val="16"/>
                <w:color w:val="auto"/>
              </w:rPr>
            </w:pPr>
          </w:p>
        </w:tc>
        <w:tc>
          <w:tcPr>
            <w:tcW w:w="3920" w:type="dxa"/>
            <w:vAlign w:val="bottom"/>
            <w:gridSpan w:val="14"/>
          </w:tcPr>
          <w:p>
            <w:pPr>
              <w:spacing w:after="0" w:line="192" w:lineRule="exact"/>
              <w:rPr>
                <w:sz w:val="20"/>
                <w:szCs w:val="20"/>
                <w:color w:val="auto"/>
              </w:rPr>
            </w:pPr>
            <w:r>
              <w:rPr>
                <w:rFonts w:ascii="Arial" w:cs="Arial" w:eastAsia="Arial" w:hAnsi="Arial"/>
                <w:sz w:val="18"/>
                <w:szCs w:val="18"/>
                <w:color w:val="0000EE"/>
              </w:rPr>
              <w:t>Exchange Act of 1934, as adopted pursuant to</w:t>
            </w: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2"/>
        </w:trPr>
        <w:tc>
          <w:tcPr>
            <w:tcW w:w="780" w:type="dxa"/>
            <w:vAlign w:val="bottom"/>
          </w:tcPr>
          <w:p>
            <w:pPr>
              <w:spacing w:after="0"/>
              <w:rPr>
                <w:sz w:val="16"/>
                <w:szCs w:val="16"/>
                <w:color w:val="auto"/>
              </w:rPr>
            </w:pPr>
          </w:p>
        </w:tc>
        <w:tc>
          <w:tcPr>
            <w:tcW w:w="3920" w:type="dxa"/>
            <w:vAlign w:val="bottom"/>
            <w:gridSpan w:val="14"/>
          </w:tcPr>
          <w:p>
            <w:pPr>
              <w:spacing w:after="0" w:line="192" w:lineRule="exact"/>
              <w:rPr>
                <w:sz w:val="20"/>
                <w:szCs w:val="20"/>
                <w:color w:val="auto"/>
              </w:rPr>
            </w:pPr>
            <w:r>
              <w:rPr>
                <w:rFonts w:ascii="Arial" w:cs="Arial" w:eastAsia="Arial" w:hAnsi="Arial"/>
                <w:sz w:val="18"/>
                <w:szCs w:val="18"/>
                <w:color w:val="0000EE"/>
              </w:rPr>
              <w:t>Section 302 of the Sarbanes-Oxley Act of 2002.</w:t>
            </w: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0"/>
        </w:trPr>
        <w:tc>
          <w:tcPr>
            <w:tcW w:w="7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85"/>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85"/>
              </w:rPr>
              <w:t>32.1</w:t>
            </w:r>
          </w:p>
        </w:tc>
        <w:tc>
          <w:tcPr>
            <w:tcW w:w="36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Chief Executive Officer—Certification pursuant to</w:t>
            </w:r>
          </w:p>
        </w:tc>
        <w:tc>
          <w:tcPr>
            <w:tcW w:w="32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2"/>
        </w:trPr>
        <w:tc>
          <w:tcPr>
            <w:tcW w:w="780" w:type="dxa"/>
            <w:vAlign w:val="bottom"/>
          </w:tcPr>
          <w:p>
            <w:pPr>
              <w:spacing w:after="0"/>
              <w:rPr>
                <w:sz w:val="16"/>
                <w:szCs w:val="16"/>
                <w:color w:val="auto"/>
              </w:rPr>
            </w:pPr>
          </w:p>
        </w:tc>
        <w:tc>
          <w:tcPr>
            <w:tcW w:w="3540" w:type="dxa"/>
            <w:vAlign w:val="bottom"/>
            <w:tcBorders>
              <w:bottom w:val="single" w:sz="8" w:color="0000EE"/>
            </w:tcBorders>
            <w:gridSpan w:val="8"/>
          </w:tcPr>
          <w:p>
            <w:pPr>
              <w:spacing w:after="0" w:line="192" w:lineRule="exact"/>
              <w:rPr>
                <w:sz w:val="20"/>
                <w:szCs w:val="20"/>
                <w:color w:val="auto"/>
              </w:rPr>
            </w:pPr>
            <w:r>
              <w:rPr>
                <w:rFonts w:ascii="Arial" w:cs="Arial" w:eastAsia="Arial" w:hAnsi="Arial"/>
                <w:sz w:val="18"/>
                <w:szCs w:val="18"/>
                <w:color w:val="0000EE"/>
                <w:w w:val="89"/>
              </w:rPr>
              <w:t>Rule13a-14(b) or Rule 15d-14(b) of the Securities</w:t>
            </w:r>
          </w:p>
        </w:tc>
        <w:tc>
          <w:tcPr>
            <w:tcW w:w="380" w:type="dxa"/>
            <w:vAlign w:val="bottom"/>
            <w:gridSpan w:val="6"/>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2"/>
        </w:trPr>
        <w:tc>
          <w:tcPr>
            <w:tcW w:w="780" w:type="dxa"/>
            <w:vAlign w:val="bottom"/>
          </w:tcPr>
          <w:p>
            <w:pPr>
              <w:spacing w:after="0"/>
              <w:rPr>
                <w:sz w:val="16"/>
                <w:szCs w:val="16"/>
                <w:color w:val="auto"/>
              </w:rPr>
            </w:pPr>
          </w:p>
        </w:tc>
        <w:tc>
          <w:tcPr>
            <w:tcW w:w="3920" w:type="dxa"/>
            <w:vAlign w:val="bottom"/>
            <w:gridSpan w:val="14"/>
          </w:tcPr>
          <w:p>
            <w:pPr>
              <w:spacing w:after="0" w:line="192" w:lineRule="exact"/>
              <w:rPr>
                <w:sz w:val="20"/>
                <w:szCs w:val="20"/>
                <w:color w:val="auto"/>
              </w:rPr>
            </w:pPr>
            <w:r>
              <w:rPr>
                <w:rFonts w:ascii="Arial" w:cs="Arial" w:eastAsia="Arial" w:hAnsi="Arial"/>
                <w:sz w:val="18"/>
                <w:szCs w:val="18"/>
                <w:color w:val="0000EE"/>
                <w:w w:val="90"/>
              </w:rPr>
              <w:t>Exchange Act of 1934 and 18 U.S.C. Section 1350, as</w:t>
            </w: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2"/>
        </w:trPr>
        <w:tc>
          <w:tcPr>
            <w:tcW w:w="780" w:type="dxa"/>
            <w:vAlign w:val="bottom"/>
          </w:tcPr>
          <w:p>
            <w:pPr>
              <w:spacing w:after="0"/>
              <w:rPr>
                <w:sz w:val="16"/>
                <w:szCs w:val="16"/>
                <w:color w:val="auto"/>
              </w:rPr>
            </w:pPr>
          </w:p>
        </w:tc>
        <w:tc>
          <w:tcPr>
            <w:tcW w:w="3820" w:type="dxa"/>
            <w:vAlign w:val="bottom"/>
            <w:tcBorders>
              <w:top w:val="single" w:sz="8" w:color="0000EE"/>
            </w:tcBorders>
            <w:gridSpan w:val="13"/>
          </w:tcPr>
          <w:p>
            <w:pPr>
              <w:spacing w:after="0" w:line="192" w:lineRule="exact"/>
              <w:rPr>
                <w:sz w:val="20"/>
                <w:szCs w:val="20"/>
                <w:color w:val="auto"/>
              </w:rPr>
            </w:pPr>
            <w:r>
              <w:rPr>
                <w:rFonts w:ascii="Arial" w:cs="Arial" w:eastAsia="Arial" w:hAnsi="Arial"/>
                <w:sz w:val="18"/>
                <w:szCs w:val="18"/>
                <w:color w:val="0000EE"/>
                <w:w w:val="95"/>
              </w:rPr>
              <w:t>adopted pursuant to Section 906 of the Sarbanes-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2"/>
        </w:trPr>
        <w:tc>
          <w:tcPr>
            <w:tcW w:w="780" w:type="dxa"/>
            <w:vAlign w:val="bottom"/>
          </w:tcPr>
          <w:p>
            <w:pPr>
              <w:spacing w:after="0"/>
              <w:rPr>
                <w:sz w:val="16"/>
                <w:szCs w:val="16"/>
                <w:color w:val="auto"/>
              </w:rPr>
            </w:pPr>
          </w:p>
        </w:tc>
        <w:tc>
          <w:tcPr>
            <w:tcW w:w="1360" w:type="dxa"/>
            <w:vAlign w:val="bottom"/>
            <w:tcBorders>
              <w:top w:val="single" w:sz="8" w:color="0000EE"/>
              <w:bottom w:val="single" w:sz="8" w:color="0000EE"/>
            </w:tcBorders>
            <w:gridSpan w:val="2"/>
          </w:tcPr>
          <w:p>
            <w:pPr>
              <w:spacing w:after="0" w:line="192" w:lineRule="exact"/>
              <w:rPr>
                <w:sz w:val="20"/>
                <w:szCs w:val="20"/>
                <w:color w:val="auto"/>
              </w:rPr>
            </w:pPr>
            <w:r>
              <w:rPr>
                <w:rFonts w:ascii="Arial" w:cs="Arial" w:eastAsia="Arial" w:hAnsi="Arial"/>
                <w:sz w:val="18"/>
                <w:szCs w:val="18"/>
                <w:color w:val="0000EE"/>
                <w:w w:val="91"/>
              </w:rPr>
              <w:t>Oxley Act of 2002.</w:t>
            </w:r>
          </w:p>
        </w:tc>
        <w:tc>
          <w:tcPr>
            <w:tcW w:w="2100" w:type="dxa"/>
            <w:vAlign w:val="bottom"/>
            <w:tcBorders>
              <w:top w:val="single" w:sz="8" w:color="0000EE"/>
            </w:tcBorders>
            <w:gridSpan w:val="4"/>
          </w:tcPr>
          <w:p>
            <w:pPr>
              <w:spacing w:after="0"/>
              <w:rPr>
                <w:sz w:val="16"/>
                <w:szCs w:val="16"/>
                <w:color w:val="auto"/>
              </w:rPr>
            </w:pPr>
          </w:p>
        </w:tc>
        <w:tc>
          <w:tcPr>
            <w:tcW w:w="460" w:type="dxa"/>
            <w:vAlign w:val="bottom"/>
            <w:gridSpan w:val="8"/>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85"/>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85"/>
              </w:rPr>
              <w:t>32.2</w:t>
            </w:r>
          </w:p>
        </w:tc>
        <w:tc>
          <w:tcPr>
            <w:tcW w:w="35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Chief Financial Officer—Certification pursuant to</w:t>
            </w:r>
          </w:p>
        </w:tc>
        <w:tc>
          <w:tcPr>
            <w:tcW w:w="36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2"/>
        </w:trPr>
        <w:tc>
          <w:tcPr>
            <w:tcW w:w="780" w:type="dxa"/>
            <w:vAlign w:val="bottom"/>
          </w:tcPr>
          <w:p>
            <w:pPr>
              <w:spacing w:after="0"/>
              <w:rPr>
                <w:sz w:val="16"/>
                <w:szCs w:val="16"/>
                <w:color w:val="auto"/>
              </w:rPr>
            </w:pPr>
          </w:p>
        </w:tc>
        <w:tc>
          <w:tcPr>
            <w:tcW w:w="3580" w:type="dxa"/>
            <w:vAlign w:val="bottom"/>
            <w:tcBorders>
              <w:bottom w:val="single" w:sz="8" w:color="0000EE"/>
            </w:tcBorders>
            <w:gridSpan w:val="10"/>
          </w:tcPr>
          <w:p>
            <w:pPr>
              <w:spacing w:after="0" w:line="192" w:lineRule="exact"/>
              <w:rPr>
                <w:sz w:val="20"/>
                <w:szCs w:val="20"/>
                <w:color w:val="auto"/>
              </w:rPr>
            </w:pPr>
            <w:r>
              <w:rPr>
                <w:rFonts w:ascii="Arial" w:cs="Arial" w:eastAsia="Arial" w:hAnsi="Arial"/>
                <w:sz w:val="18"/>
                <w:szCs w:val="18"/>
                <w:color w:val="0000EE"/>
                <w:w w:val="88"/>
              </w:rPr>
              <w:t>Rule 13a-14(b) or Rule 15d-14(b) of the Securities</w:t>
            </w:r>
          </w:p>
        </w:tc>
        <w:tc>
          <w:tcPr>
            <w:tcW w:w="340" w:type="dxa"/>
            <w:vAlign w:val="bottom"/>
            <w:gridSpan w:val="4"/>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2"/>
        </w:trPr>
        <w:tc>
          <w:tcPr>
            <w:tcW w:w="780" w:type="dxa"/>
            <w:vAlign w:val="bottom"/>
          </w:tcPr>
          <w:p>
            <w:pPr>
              <w:spacing w:after="0"/>
              <w:rPr>
                <w:sz w:val="16"/>
                <w:szCs w:val="16"/>
                <w:color w:val="auto"/>
              </w:rPr>
            </w:pPr>
          </w:p>
        </w:tc>
        <w:tc>
          <w:tcPr>
            <w:tcW w:w="3920" w:type="dxa"/>
            <w:vAlign w:val="bottom"/>
            <w:gridSpan w:val="14"/>
          </w:tcPr>
          <w:p>
            <w:pPr>
              <w:spacing w:after="0" w:line="192" w:lineRule="exact"/>
              <w:rPr>
                <w:sz w:val="20"/>
                <w:szCs w:val="20"/>
                <w:color w:val="auto"/>
              </w:rPr>
            </w:pPr>
            <w:r>
              <w:rPr>
                <w:rFonts w:ascii="Arial" w:cs="Arial" w:eastAsia="Arial" w:hAnsi="Arial"/>
                <w:sz w:val="18"/>
                <w:szCs w:val="18"/>
                <w:color w:val="0000EE"/>
                <w:w w:val="90"/>
              </w:rPr>
              <w:t>Exchange Act of 1934 and 18 U.S.C. Section 1350, as</w:t>
            </w: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2"/>
        </w:trPr>
        <w:tc>
          <w:tcPr>
            <w:tcW w:w="780" w:type="dxa"/>
            <w:vAlign w:val="bottom"/>
          </w:tcPr>
          <w:p>
            <w:pPr>
              <w:spacing w:after="0"/>
              <w:rPr>
                <w:sz w:val="16"/>
                <w:szCs w:val="16"/>
                <w:color w:val="auto"/>
              </w:rPr>
            </w:pPr>
          </w:p>
        </w:tc>
        <w:tc>
          <w:tcPr>
            <w:tcW w:w="3820" w:type="dxa"/>
            <w:vAlign w:val="bottom"/>
            <w:tcBorders>
              <w:top w:val="single" w:sz="8" w:color="0000EE"/>
            </w:tcBorders>
            <w:gridSpan w:val="13"/>
          </w:tcPr>
          <w:p>
            <w:pPr>
              <w:spacing w:after="0" w:line="192" w:lineRule="exact"/>
              <w:rPr>
                <w:sz w:val="20"/>
                <w:szCs w:val="20"/>
                <w:color w:val="auto"/>
              </w:rPr>
            </w:pPr>
            <w:r>
              <w:rPr>
                <w:rFonts w:ascii="Arial" w:cs="Arial" w:eastAsia="Arial" w:hAnsi="Arial"/>
                <w:sz w:val="18"/>
                <w:szCs w:val="18"/>
                <w:color w:val="0000EE"/>
                <w:w w:val="95"/>
              </w:rPr>
              <w:t>adopted pursuant to Section 906 of the Sarbanes-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2"/>
        </w:trPr>
        <w:tc>
          <w:tcPr>
            <w:tcW w:w="780" w:type="dxa"/>
            <w:vAlign w:val="bottom"/>
          </w:tcPr>
          <w:p>
            <w:pPr>
              <w:spacing w:after="0"/>
              <w:rPr>
                <w:sz w:val="16"/>
                <w:szCs w:val="16"/>
                <w:color w:val="auto"/>
              </w:rPr>
            </w:pPr>
          </w:p>
        </w:tc>
        <w:tc>
          <w:tcPr>
            <w:tcW w:w="1360" w:type="dxa"/>
            <w:vAlign w:val="bottom"/>
            <w:tcBorders>
              <w:top w:val="single" w:sz="8" w:color="0000EE"/>
              <w:bottom w:val="single" w:sz="8" w:color="0000EE"/>
            </w:tcBorders>
            <w:gridSpan w:val="2"/>
          </w:tcPr>
          <w:p>
            <w:pPr>
              <w:spacing w:after="0" w:line="192" w:lineRule="exact"/>
              <w:rPr>
                <w:sz w:val="20"/>
                <w:szCs w:val="20"/>
                <w:color w:val="auto"/>
              </w:rPr>
            </w:pPr>
            <w:r>
              <w:rPr>
                <w:rFonts w:ascii="Arial" w:cs="Arial" w:eastAsia="Arial" w:hAnsi="Arial"/>
                <w:sz w:val="18"/>
                <w:szCs w:val="18"/>
                <w:color w:val="0000EE"/>
                <w:w w:val="91"/>
              </w:rPr>
              <w:t>Oxley Act of 2002.</w:t>
            </w:r>
          </w:p>
        </w:tc>
        <w:tc>
          <w:tcPr>
            <w:tcW w:w="2100" w:type="dxa"/>
            <w:vAlign w:val="bottom"/>
            <w:tcBorders>
              <w:top w:val="single" w:sz="8" w:color="0000EE"/>
            </w:tcBorders>
            <w:gridSpan w:val="4"/>
          </w:tcPr>
          <w:p>
            <w:pPr>
              <w:spacing w:after="0"/>
              <w:rPr>
                <w:sz w:val="16"/>
                <w:szCs w:val="16"/>
                <w:color w:val="auto"/>
              </w:rPr>
            </w:pPr>
          </w:p>
        </w:tc>
        <w:tc>
          <w:tcPr>
            <w:tcW w:w="460" w:type="dxa"/>
            <w:vAlign w:val="bottom"/>
            <w:gridSpan w:val="8"/>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12"/>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89"/>
              </w:rPr>
              <w:t>101.INS</w:t>
            </w:r>
          </w:p>
        </w:tc>
        <w:tc>
          <w:tcPr>
            <w:tcW w:w="3920" w:type="dxa"/>
            <w:vAlign w:val="bottom"/>
            <w:gridSpan w:val="14"/>
          </w:tcPr>
          <w:p>
            <w:pPr>
              <w:spacing w:after="0"/>
              <w:rPr>
                <w:sz w:val="20"/>
                <w:szCs w:val="20"/>
                <w:color w:val="auto"/>
              </w:rPr>
            </w:pPr>
            <w:r>
              <w:rPr>
                <w:rFonts w:ascii="Arial" w:cs="Arial" w:eastAsia="Arial" w:hAnsi="Arial"/>
                <w:sz w:val="18"/>
                <w:szCs w:val="18"/>
                <w:color w:val="auto"/>
                <w:w w:val="96"/>
              </w:rPr>
              <w:t>XBRL Instance Document - the instance document</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780" w:type="dxa"/>
            <w:vAlign w:val="bottom"/>
          </w:tcPr>
          <w:p>
            <w:pPr>
              <w:spacing w:after="0"/>
              <w:rPr>
                <w:sz w:val="18"/>
                <w:szCs w:val="18"/>
                <w:color w:val="auto"/>
              </w:rPr>
            </w:pPr>
          </w:p>
        </w:tc>
        <w:tc>
          <w:tcPr>
            <w:tcW w:w="3920" w:type="dxa"/>
            <w:vAlign w:val="bottom"/>
            <w:gridSpan w:val="14"/>
          </w:tcPr>
          <w:p>
            <w:pPr>
              <w:spacing w:after="0"/>
              <w:rPr>
                <w:sz w:val="20"/>
                <w:szCs w:val="20"/>
                <w:color w:val="auto"/>
              </w:rPr>
            </w:pPr>
            <w:r>
              <w:rPr>
                <w:rFonts w:ascii="Arial" w:cs="Arial" w:eastAsia="Arial" w:hAnsi="Arial"/>
                <w:sz w:val="18"/>
                <w:szCs w:val="18"/>
                <w:color w:val="auto"/>
                <w:w w:val="88"/>
              </w:rPr>
              <w:t>does not appear in the Interactive Data File because its</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2"/>
        </w:trPr>
        <w:tc>
          <w:tcPr>
            <w:tcW w:w="780" w:type="dxa"/>
            <w:vAlign w:val="bottom"/>
          </w:tcPr>
          <w:p>
            <w:pPr>
              <w:spacing w:after="0"/>
              <w:rPr>
                <w:sz w:val="18"/>
                <w:szCs w:val="18"/>
                <w:color w:val="auto"/>
              </w:rPr>
            </w:pPr>
          </w:p>
        </w:tc>
        <w:tc>
          <w:tcPr>
            <w:tcW w:w="3920" w:type="dxa"/>
            <w:vAlign w:val="bottom"/>
            <w:gridSpan w:val="14"/>
          </w:tcPr>
          <w:p>
            <w:pPr>
              <w:spacing w:after="0"/>
              <w:rPr>
                <w:sz w:val="20"/>
                <w:szCs w:val="20"/>
                <w:color w:val="auto"/>
              </w:rPr>
            </w:pPr>
            <w:r>
              <w:rPr>
                <w:rFonts w:ascii="Arial" w:cs="Arial" w:eastAsia="Arial" w:hAnsi="Arial"/>
                <w:sz w:val="18"/>
                <w:szCs w:val="18"/>
                <w:color w:val="auto"/>
              </w:rPr>
              <w:t>XBRL tags are embedded within the Inline XBRL</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392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05"/>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90"/>
              </w:rPr>
              <w:t>101.SCH</w:t>
            </w:r>
          </w:p>
        </w:tc>
        <w:tc>
          <w:tcPr>
            <w:tcW w:w="392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05"/>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94"/>
              </w:rPr>
              <w:t>101.CAL</w:t>
            </w:r>
          </w:p>
        </w:tc>
        <w:tc>
          <w:tcPr>
            <w:tcW w:w="3920" w:type="dxa"/>
            <w:vAlign w:val="bottom"/>
            <w:gridSpan w:val="14"/>
          </w:tcPr>
          <w:p>
            <w:pPr>
              <w:spacing w:after="0"/>
              <w:rPr>
                <w:sz w:val="20"/>
                <w:szCs w:val="20"/>
                <w:color w:val="auto"/>
              </w:rPr>
            </w:pPr>
            <w:r>
              <w:rPr>
                <w:rFonts w:ascii="Arial" w:cs="Arial" w:eastAsia="Arial" w:hAnsi="Arial"/>
                <w:sz w:val="18"/>
                <w:szCs w:val="18"/>
                <w:color w:val="auto"/>
                <w:w w:val="97"/>
              </w:rPr>
              <w:t>XBRL Taxonomy Calculation Linkbase Document.</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05"/>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92"/>
              </w:rPr>
              <w:t>101.DEF</w:t>
            </w:r>
          </w:p>
        </w:tc>
        <w:tc>
          <w:tcPr>
            <w:tcW w:w="3920" w:type="dxa"/>
            <w:vAlign w:val="bottom"/>
            <w:gridSpan w:val="14"/>
          </w:tcPr>
          <w:p>
            <w:pPr>
              <w:spacing w:after="0"/>
              <w:rPr>
                <w:sz w:val="20"/>
                <w:szCs w:val="20"/>
                <w:color w:val="auto"/>
              </w:rPr>
            </w:pPr>
            <w:r>
              <w:rPr>
                <w:rFonts w:ascii="Arial" w:cs="Arial" w:eastAsia="Arial" w:hAnsi="Arial"/>
                <w:sz w:val="18"/>
                <w:szCs w:val="18"/>
                <w:color w:val="auto"/>
              </w:rPr>
              <w:t>XBRL Definition Linkbase Document.</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05"/>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95"/>
              </w:rPr>
              <w:t>101.LAB</w:t>
            </w:r>
          </w:p>
        </w:tc>
        <w:tc>
          <w:tcPr>
            <w:tcW w:w="3920" w:type="dxa"/>
            <w:vAlign w:val="bottom"/>
            <w:gridSpan w:val="14"/>
          </w:tcPr>
          <w:p>
            <w:pPr>
              <w:spacing w:after="0"/>
              <w:rPr>
                <w:sz w:val="20"/>
                <w:szCs w:val="20"/>
                <w:color w:val="auto"/>
              </w:rPr>
            </w:pPr>
            <w:r>
              <w:rPr>
                <w:rFonts w:ascii="Arial" w:cs="Arial" w:eastAsia="Arial" w:hAnsi="Arial"/>
                <w:sz w:val="18"/>
                <w:szCs w:val="18"/>
                <w:color w:val="auto"/>
              </w:rPr>
              <w:t>XBRL Taxonomy Label Linkbase Document.</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05"/>
        </w:trPr>
        <w:tc>
          <w:tcPr>
            <w:tcW w:w="780" w:type="dxa"/>
            <w:vAlign w:val="bottom"/>
          </w:tcPr>
          <w:p>
            <w:pPr>
              <w:jc w:val="center"/>
              <w:ind w:right="32"/>
              <w:spacing w:after="0"/>
              <w:rPr>
                <w:sz w:val="20"/>
                <w:szCs w:val="20"/>
                <w:color w:val="auto"/>
              </w:rPr>
            </w:pPr>
            <w:r>
              <w:rPr>
                <w:rFonts w:ascii="Arial" w:cs="Arial" w:eastAsia="Arial" w:hAnsi="Arial"/>
                <w:sz w:val="18"/>
                <w:szCs w:val="18"/>
                <w:color w:val="auto"/>
                <w:w w:val="85"/>
              </w:rPr>
              <w:t>101.PRE</w:t>
            </w:r>
          </w:p>
        </w:tc>
        <w:tc>
          <w:tcPr>
            <w:tcW w:w="3920" w:type="dxa"/>
            <w:vAlign w:val="bottom"/>
            <w:gridSpan w:val="14"/>
          </w:tcPr>
          <w:p>
            <w:pPr>
              <w:spacing w:after="0"/>
              <w:rPr>
                <w:sz w:val="20"/>
                <w:szCs w:val="20"/>
                <w:color w:val="auto"/>
              </w:rPr>
            </w:pPr>
            <w:r>
              <w:rPr>
                <w:rFonts w:ascii="Arial" w:cs="Arial" w:eastAsia="Arial" w:hAnsi="Arial"/>
                <w:sz w:val="18"/>
                <w:szCs w:val="18"/>
                <w:color w:val="auto"/>
                <w:w w:val="94"/>
              </w:rPr>
              <w:t>XBRL Taxonomy Presentation Linkbase Document.</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81" w:lineRule="exact"/>
        <w:rPr>
          <w:sz w:val="20"/>
          <w:szCs w:val="20"/>
          <w:color w:val="auto"/>
        </w:rPr>
      </w:pPr>
    </w:p>
    <w:p>
      <w:pPr>
        <w:ind w:left="880" w:right="4319" w:hanging="583"/>
        <w:spacing w:after="0" w:line="252"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9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6" w:lineRule="exact"/>
        <w:rPr>
          <w:rFonts w:ascii="Arial" w:cs="Arial" w:eastAsia="Arial" w:hAnsi="Arial"/>
          <w:sz w:val="18"/>
          <w:szCs w:val="18"/>
          <w:color w:val="auto"/>
        </w:rPr>
      </w:pPr>
    </w:p>
    <w:p>
      <w:pPr>
        <w:ind w:left="360" w:hanging="311"/>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-332105</wp:posOffset>
            </wp:positionV>
            <wp:extent cx="14135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57" w:name="page58"/>
    <w:bookmarkEnd w:id="5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191" w:lineRule="exact"/>
        <w:rPr>
          <w:sz w:val="20"/>
          <w:szCs w:val="20"/>
          <w:color w:val="auto"/>
        </w:rPr>
      </w:pPr>
    </w:p>
    <w:p>
      <w:pPr>
        <w:ind w:left="40" w:right="59"/>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5760" w:type="dxa"/>
            <w:vAlign w:val="bottom"/>
            <w:gridSpan w:val="3"/>
          </w:tcPr>
          <w:p>
            <w:pPr>
              <w:ind w:left="1320"/>
              <w:spacing w:after="0"/>
              <w:rPr>
                <w:sz w:val="20"/>
                <w:szCs w:val="20"/>
                <w:color w:val="auto"/>
              </w:rPr>
            </w:pPr>
            <w:r>
              <w:rPr>
                <w:rFonts w:ascii="Arial" w:cs="Arial" w:eastAsia="Arial" w:hAnsi="Arial"/>
                <w:sz w:val="18"/>
                <w:szCs w:val="18"/>
                <w:b w:val="1"/>
                <w:bCs w:val="1"/>
                <w:color w:val="auto"/>
              </w:rPr>
              <w:t>Westrock Coffee Company</w:t>
            </w:r>
          </w:p>
        </w:tc>
      </w:tr>
      <w:tr>
        <w:trPr>
          <w:trHeight w:val="246"/>
        </w:trPr>
        <w:tc>
          <w:tcPr>
            <w:tcW w:w="3160" w:type="dxa"/>
            <w:vAlign w:val="bottom"/>
          </w:tcPr>
          <w:p>
            <w:pPr>
              <w:spacing w:after="0"/>
              <w:rPr>
                <w:sz w:val="20"/>
                <w:szCs w:val="20"/>
                <w:color w:val="auto"/>
              </w:rPr>
            </w:pPr>
            <w:r>
              <w:rPr>
                <w:rFonts w:ascii="Arial" w:cs="Arial" w:eastAsia="Arial" w:hAnsi="Arial"/>
                <w:sz w:val="18"/>
                <w:szCs w:val="18"/>
                <w:color w:val="auto"/>
              </w:rPr>
              <w:t>Date: November 14, 2022</w:t>
            </w:r>
          </w:p>
        </w:tc>
        <w:tc>
          <w:tcPr>
            <w:tcW w:w="1840" w:type="dxa"/>
            <w:vAlign w:val="bottom"/>
          </w:tcPr>
          <w:p>
            <w:pPr>
              <w:ind w:left="132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1"/>
                <w:szCs w:val="21"/>
                <w:color w:val="auto"/>
              </w:rPr>
            </w:pPr>
          </w:p>
        </w:tc>
        <w:tc>
          <w:tcPr>
            <w:tcW w:w="3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T. Christopher Pledger</w:t>
            </w:r>
          </w:p>
        </w:tc>
      </w:tr>
      <w:tr>
        <w:trPr>
          <w:trHeight w:val="223"/>
        </w:trPr>
        <w:tc>
          <w:tcPr>
            <w:tcW w:w="3160" w:type="dxa"/>
            <w:vAlign w:val="bottom"/>
          </w:tcPr>
          <w:p>
            <w:pPr>
              <w:spacing w:after="0"/>
              <w:rPr>
                <w:sz w:val="19"/>
                <w:szCs w:val="19"/>
                <w:color w:val="auto"/>
              </w:rPr>
            </w:pPr>
          </w:p>
        </w:tc>
        <w:tc>
          <w:tcPr>
            <w:tcW w:w="1840" w:type="dxa"/>
            <w:vAlign w:val="bottom"/>
          </w:tcPr>
          <w:p>
            <w:pPr>
              <w:ind w:left="1320"/>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 Christopher Pledger</w:t>
            </w:r>
          </w:p>
        </w:tc>
      </w:tr>
      <w:tr>
        <w:trPr>
          <w:trHeight w:val="226"/>
        </w:trPr>
        <w:tc>
          <w:tcPr>
            <w:tcW w:w="3160" w:type="dxa"/>
            <w:vAlign w:val="bottom"/>
          </w:tcPr>
          <w:p>
            <w:pPr>
              <w:spacing w:after="0"/>
              <w:rPr>
                <w:sz w:val="19"/>
                <w:szCs w:val="19"/>
                <w:color w:val="auto"/>
              </w:rPr>
            </w:pPr>
          </w:p>
        </w:tc>
        <w:tc>
          <w:tcPr>
            <w:tcW w:w="1840" w:type="dxa"/>
            <w:vAlign w:val="bottom"/>
          </w:tcPr>
          <w:p>
            <w:pPr>
              <w:ind w:left="1320"/>
              <w:spacing w:after="0"/>
              <w:rPr>
                <w:sz w:val="20"/>
                <w:szCs w:val="20"/>
                <w:color w:val="auto"/>
              </w:rPr>
            </w:pPr>
            <w:r>
              <w:rPr>
                <w:rFonts w:ascii="Arial" w:cs="Arial" w:eastAsia="Arial" w:hAnsi="Arial"/>
                <w:sz w:val="18"/>
                <w:szCs w:val="18"/>
                <w:color w:val="auto"/>
              </w:rPr>
              <w:t>Title:</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Chief Financial Officer</w:t>
            </w:r>
          </w:p>
        </w:tc>
      </w:tr>
      <w:tr>
        <w:trPr>
          <w:trHeight w:val="238"/>
        </w:trPr>
        <w:tc>
          <w:tcPr>
            <w:tcW w:w="3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(Principal Financial Officer)</w:t>
            </w:r>
          </w:p>
        </w:tc>
      </w:tr>
      <w:tr>
        <w:trPr>
          <w:trHeight w:val="485"/>
        </w:trPr>
        <w:tc>
          <w:tcPr>
            <w:tcW w:w="3160" w:type="dxa"/>
            <w:vAlign w:val="bottom"/>
          </w:tcPr>
          <w:p>
            <w:pPr>
              <w:spacing w:after="0"/>
              <w:rPr>
                <w:sz w:val="20"/>
                <w:szCs w:val="20"/>
                <w:color w:val="auto"/>
              </w:rPr>
            </w:pPr>
            <w:r>
              <w:rPr>
                <w:rFonts w:ascii="Arial" w:cs="Arial" w:eastAsia="Arial" w:hAnsi="Arial"/>
                <w:sz w:val="18"/>
                <w:szCs w:val="18"/>
                <w:color w:val="auto"/>
              </w:rPr>
              <w:t>Date: November 14, 2022</w:t>
            </w:r>
          </w:p>
        </w:tc>
        <w:tc>
          <w:tcPr>
            <w:tcW w:w="1840" w:type="dxa"/>
            <w:vAlign w:val="bottom"/>
          </w:tcPr>
          <w:p>
            <w:pPr>
              <w:ind w:left="132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Blake Schuhmacher</w:t>
            </w:r>
          </w:p>
        </w:tc>
      </w:tr>
      <w:tr>
        <w:trPr>
          <w:trHeight w:val="223"/>
        </w:trPr>
        <w:tc>
          <w:tcPr>
            <w:tcW w:w="3160" w:type="dxa"/>
            <w:vAlign w:val="bottom"/>
          </w:tcPr>
          <w:p>
            <w:pPr>
              <w:spacing w:after="0"/>
              <w:rPr>
                <w:sz w:val="19"/>
                <w:szCs w:val="19"/>
                <w:color w:val="auto"/>
              </w:rPr>
            </w:pPr>
          </w:p>
        </w:tc>
        <w:tc>
          <w:tcPr>
            <w:tcW w:w="1840" w:type="dxa"/>
            <w:vAlign w:val="bottom"/>
          </w:tcPr>
          <w:p>
            <w:pPr>
              <w:ind w:left="1320"/>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Blake Schuhmacher</w:t>
            </w:r>
          </w:p>
        </w:tc>
      </w:tr>
      <w:tr>
        <w:trPr>
          <w:trHeight w:val="226"/>
        </w:trPr>
        <w:tc>
          <w:tcPr>
            <w:tcW w:w="3160" w:type="dxa"/>
            <w:vAlign w:val="bottom"/>
          </w:tcPr>
          <w:p>
            <w:pPr>
              <w:spacing w:after="0"/>
              <w:rPr>
                <w:sz w:val="19"/>
                <w:szCs w:val="19"/>
                <w:color w:val="auto"/>
              </w:rPr>
            </w:pPr>
          </w:p>
        </w:tc>
        <w:tc>
          <w:tcPr>
            <w:tcW w:w="1840" w:type="dxa"/>
            <w:vAlign w:val="bottom"/>
          </w:tcPr>
          <w:p>
            <w:pPr>
              <w:ind w:left="1320"/>
              <w:spacing w:after="0"/>
              <w:rPr>
                <w:sz w:val="20"/>
                <w:szCs w:val="20"/>
                <w:color w:val="auto"/>
              </w:rPr>
            </w:pPr>
            <w:r>
              <w:rPr>
                <w:rFonts w:ascii="Arial" w:cs="Arial" w:eastAsia="Arial" w:hAnsi="Arial"/>
                <w:sz w:val="18"/>
                <w:szCs w:val="18"/>
                <w:color w:val="auto"/>
              </w:rPr>
              <w:t>Title:</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w w:val="99"/>
              </w:rPr>
              <w:t>Senior Vice President – Chief Accounting Officer</w:t>
            </w:r>
          </w:p>
        </w:tc>
      </w:tr>
      <w:tr>
        <w:trPr>
          <w:trHeight w:val="238"/>
        </w:trPr>
        <w:tc>
          <w:tcPr>
            <w:tcW w:w="3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347345</wp:posOffset>
            </wp:positionV>
            <wp:extent cx="565404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5654040" cy="2540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21"/>
          <w:szCs w:val="21"/>
          <w:b w:val="1"/>
          <w:bCs w:val="1"/>
          <w:color w:val="auto"/>
        </w:rPr>
        <w:t>Exhibit 10.8</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WESTROCK COFFEE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RESTRICTED STOCK UNIT AWARD AGREEMENT</w:t>
      </w:r>
    </w:p>
    <w:p>
      <w:pPr>
        <w:spacing w:after="0" w:line="185" w:lineRule="exact"/>
        <w:rPr>
          <w:sz w:val="20"/>
          <w:szCs w:val="20"/>
          <w:color w:val="auto"/>
        </w:rPr>
      </w:pPr>
    </w:p>
    <w:p>
      <w:pPr>
        <w:ind w:firstLine="636"/>
        <w:spacing w:after="0" w:line="245" w:lineRule="auto"/>
        <w:rPr>
          <w:sz w:val="20"/>
          <w:szCs w:val="20"/>
          <w:color w:val="auto"/>
        </w:rPr>
      </w:pPr>
      <w:r>
        <w:rPr>
          <w:rFonts w:ascii="Arial" w:cs="Arial" w:eastAsia="Arial" w:hAnsi="Arial"/>
          <w:sz w:val="21"/>
          <w:szCs w:val="21"/>
          <w:color w:val="auto"/>
        </w:rPr>
        <w:t>THIS RESTRICTED STOCK UNIT AWARD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by and between Westrock Coffee Company,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and the individual named on the acceptance page hereto (“</w:t>
      </w:r>
      <w:r>
        <w:rPr>
          <w:rFonts w:ascii="Arial" w:cs="Arial" w:eastAsia="Arial" w:hAnsi="Arial"/>
          <w:sz w:val="21"/>
          <w:szCs w:val="21"/>
          <w:b w:val="1"/>
          <w:bCs w:val="1"/>
          <w:color w:val="auto"/>
        </w:rPr>
        <w:t>Participant</w:t>
      </w:r>
      <w:r>
        <w:rPr>
          <w:rFonts w:ascii="Arial" w:cs="Arial" w:eastAsia="Arial" w:hAnsi="Arial"/>
          <w:sz w:val="21"/>
          <w:szCs w:val="21"/>
          <w:color w:val="auto"/>
        </w:rPr>
        <w:t>”) is made as of the date set forth on such acceptance page hereto (the “</w:t>
      </w:r>
      <w:r>
        <w:rPr>
          <w:rFonts w:ascii="Arial" w:cs="Arial" w:eastAsia="Arial" w:hAnsi="Arial"/>
          <w:sz w:val="21"/>
          <w:szCs w:val="21"/>
          <w:b w:val="1"/>
          <w:bCs w:val="1"/>
          <w:color w:val="auto"/>
        </w:rPr>
        <w:t>Grant Date</w:t>
      </w:r>
      <w:r>
        <w:rPr>
          <w:rFonts w:ascii="Arial" w:cs="Arial" w:eastAsia="Arial" w:hAnsi="Arial"/>
          <w:sz w:val="21"/>
          <w:szCs w:val="21"/>
          <w:color w:val="auto"/>
        </w:rPr>
        <w:t>”). Reference is made herein to the Westrock Coffee Company 2022 Equity Incentive Plan, as amended, modified or supplemented from time to time (the “</w:t>
      </w:r>
      <w:r>
        <w:rPr>
          <w:rFonts w:ascii="Arial" w:cs="Arial" w:eastAsia="Arial" w:hAnsi="Arial"/>
          <w:sz w:val="21"/>
          <w:szCs w:val="21"/>
          <w:b w:val="1"/>
          <w:bCs w:val="1"/>
          <w:color w:val="auto"/>
        </w:rPr>
        <w:t>Plan</w:t>
      </w:r>
      <w:r>
        <w:rPr>
          <w:rFonts w:ascii="Arial" w:cs="Arial" w:eastAsia="Arial" w:hAnsi="Arial"/>
          <w:sz w:val="21"/>
          <w:szCs w:val="21"/>
          <w:color w:val="auto"/>
        </w:rPr>
        <w:t>”).</w:t>
      </w:r>
    </w:p>
    <w:p>
      <w:pPr>
        <w:spacing w:after="0" w:line="178" w:lineRule="exact"/>
        <w:rPr>
          <w:sz w:val="20"/>
          <w:szCs w:val="20"/>
          <w:color w:val="auto"/>
        </w:rPr>
      </w:pPr>
    </w:p>
    <w:p>
      <w:pPr>
        <w:ind w:right="60" w:firstLine="636"/>
        <w:spacing w:after="0" w:line="251" w:lineRule="auto"/>
        <w:rPr>
          <w:sz w:val="20"/>
          <w:szCs w:val="20"/>
          <w:color w:val="auto"/>
        </w:rPr>
      </w:pPr>
      <w:r>
        <w:rPr>
          <w:rFonts w:ascii="Arial" w:cs="Arial" w:eastAsia="Arial" w:hAnsi="Arial"/>
          <w:sz w:val="21"/>
          <w:szCs w:val="21"/>
          <w:color w:val="auto"/>
        </w:rPr>
        <w:t>WHEREAS, on the terms and subject to the conditions hereof, the Company desires to issue to Participant Restricted Stock Units (as defined in the Plan) in the amount set forth on the acceptance page hereto (the “</w:t>
      </w:r>
      <w:r>
        <w:rPr>
          <w:rFonts w:ascii="Arial" w:cs="Arial" w:eastAsia="Arial" w:hAnsi="Arial"/>
          <w:sz w:val="21"/>
          <w:szCs w:val="21"/>
          <w:b w:val="1"/>
          <w:bCs w:val="1"/>
          <w:color w:val="auto"/>
        </w:rPr>
        <w:t>Award</w:t>
      </w:r>
      <w:r>
        <w:rPr>
          <w:rFonts w:ascii="Arial" w:cs="Arial" w:eastAsia="Arial" w:hAnsi="Arial"/>
          <w:sz w:val="21"/>
          <w:szCs w:val="21"/>
          <w:color w:val="auto"/>
        </w:rPr>
        <w:t>”), as hereinafter set forth.</w:t>
      </w:r>
    </w:p>
    <w:p>
      <w:pPr>
        <w:spacing w:after="0" w:line="170" w:lineRule="exact"/>
        <w:rPr>
          <w:sz w:val="20"/>
          <w:szCs w:val="20"/>
          <w:color w:val="auto"/>
        </w:rPr>
      </w:pPr>
    </w:p>
    <w:p>
      <w:pPr>
        <w:ind w:right="800" w:firstLine="636"/>
        <w:spacing w:after="0" w:line="350" w:lineRule="auto"/>
        <w:rPr>
          <w:sz w:val="20"/>
          <w:szCs w:val="20"/>
          <w:color w:val="auto"/>
        </w:rPr>
      </w:pPr>
      <w:r>
        <w:rPr>
          <w:rFonts w:ascii="Arial" w:cs="Arial" w:eastAsia="Arial" w:hAnsi="Arial"/>
          <w:sz w:val="18"/>
          <w:szCs w:val="18"/>
          <w:color w:val="auto"/>
        </w:rPr>
        <w:t>NOW, THEREFORE, in order to implement the foregoing and in consideration of the mutual representations, warranties, covenants and agreements contained herein, the parties hereto agree as follows:</w:t>
      </w:r>
    </w:p>
    <w:p>
      <w:pPr>
        <w:spacing w:after="0" w:line="79" w:lineRule="exact"/>
        <w:rPr>
          <w:sz w:val="20"/>
          <w:szCs w:val="20"/>
          <w:color w:val="auto"/>
        </w:rPr>
      </w:pPr>
    </w:p>
    <w:p>
      <w:pPr>
        <w:ind w:right="360" w:firstLine="643"/>
        <w:spacing w:after="0" w:line="272" w:lineRule="auto"/>
        <w:tabs>
          <w:tab w:leader="none" w:pos="1272" w:val="left"/>
        </w:tabs>
        <w:numPr>
          <w:ilvl w:val="0"/>
          <w:numId w:val="14"/>
        </w:numPr>
        <w:rPr>
          <w:rFonts w:ascii="Arial" w:cs="Arial" w:eastAsia="Arial" w:hAnsi="Arial"/>
          <w:sz w:val="21"/>
          <w:szCs w:val="21"/>
          <w:color w:val="010000"/>
        </w:rPr>
      </w:pPr>
      <w:r>
        <w:rPr>
          <w:rFonts w:ascii="Arial" w:cs="Arial" w:eastAsia="Arial" w:hAnsi="Arial"/>
          <w:sz w:val="21"/>
          <w:szCs w:val="21"/>
          <w:b w:val="1"/>
          <w:bCs w:val="1"/>
          <w:u w:val="single" w:color="auto"/>
          <w:color w:val="auto"/>
        </w:rPr>
        <w:t>Definitions</w:t>
      </w:r>
      <w:r>
        <w:rPr>
          <w:rFonts w:ascii="Arial" w:cs="Arial" w:eastAsia="Arial" w:hAnsi="Arial"/>
          <w:sz w:val="21"/>
          <w:szCs w:val="21"/>
          <w:color w:val="auto"/>
        </w:rPr>
        <w:t>. Capitalized terms not defined in this Agreement shall have the meanings ascribed to</w:t>
      </w:r>
      <w:r>
        <w:rPr>
          <w:rFonts w:ascii="Arial" w:cs="Arial" w:eastAsia="Arial" w:hAnsi="Arial"/>
          <w:sz w:val="21"/>
          <w:szCs w:val="21"/>
          <w:b w:val="1"/>
          <w:bCs w:val="1"/>
          <w:color w:val="auto"/>
        </w:rPr>
        <w:t xml:space="preserve"> </w:t>
      </w:r>
      <w:r>
        <w:rPr>
          <w:rFonts w:ascii="Arial" w:cs="Arial" w:eastAsia="Arial" w:hAnsi="Arial"/>
          <w:sz w:val="21"/>
          <w:szCs w:val="21"/>
          <w:color w:val="auto"/>
        </w:rPr>
        <w:t>such terms in the Plan.</w:t>
      </w:r>
    </w:p>
    <w:p>
      <w:pPr>
        <w:spacing w:after="0" w:line="141" w:lineRule="exact"/>
        <w:rPr>
          <w:rFonts w:ascii="Arial" w:cs="Arial" w:eastAsia="Arial" w:hAnsi="Arial"/>
          <w:sz w:val="21"/>
          <w:szCs w:val="21"/>
          <w:color w:val="010000"/>
        </w:rPr>
      </w:pPr>
    </w:p>
    <w:p>
      <w:pPr>
        <w:ind w:right="80" w:firstLine="643"/>
        <w:spacing w:after="0" w:line="245" w:lineRule="auto"/>
        <w:tabs>
          <w:tab w:leader="none" w:pos="1272" w:val="left"/>
        </w:tabs>
        <w:numPr>
          <w:ilvl w:val="0"/>
          <w:numId w:val="14"/>
        </w:numPr>
        <w:rPr>
          <w:rFonts w:ascii="Arial" w:cs="Arial" w:eastAsia="Arial" w:hAnsi="Arial"/>
          <w:sz w:val="21"/>
          <w:szCs w:val="21"/>
          <w:color w:val="010000"/>
        </w:rPr>
      </w:pPr>
      <w:r>
        <w:rPr>
          <w:rFonts w:ascii="Arial" w:cs="Arial" w:eastAsia="Arial" w:hAnsi="Arial"/>
          <w:sz w:val="21"/>
          <w:szCs w:val="21"/>
          <w:b w:val="1"/>
          <w:bCs w:val="1"/>
          <w:u w:val="single" w:color="auto"/>
          <w:color w:val="auto"/>
        </w:rPr>
        <w:t>Incorporation of the Plan</w:t>
      </w:r>
      <w:r>
        <w:rPr>
          <w:rFonts w:ascii="Arial" w:cs="Arial" w:eastAsia="Arial" w:hAnsi="Arial"/>
          <w:sz w:val="21"/>
          <w:szCs w:val="21"/>
          <w:color w:val="auto"/>
        </w:rPr>
        <w:t>. The Award is made pursuant to the Plan, all terms of which are hereby</w:t>
      </w:r>
      <w:r>
        <w:rPr>
          <w:rFonts w:ascii="Arial" w:cs="Arial" w:eastAsia="Arial" w:hAnsi="Arial"/>
          <w:sz w:val="21"/>
          <w:szCs w:val="21"/>
          <w:b w:val="1"/>
          <w:bCs w:val="1"/>
          <w:color w:val="auto"/>
        </w:rPr>
        <w:t xml:space="preserve"> </w:t>
      </w:r>
      <w:r>
        <w:rPr>
          <w:rFonts w:ascii="Arial" w:cs="Arial" w:eastAsia="Arial" w:hAnsi="Arial"/>
          <w:sz w:val="21"/>
          <w:szCs w:val="21"/>
          <w:color w:val="auto"/>
        </w:rPr>
        <w:t>incorporated in this Agreement. In the event of any conflict between the terms of the Plan, on the one hand, and the terms of this Agreement or any other arrangement between you and the Company, on the other hand, the terms of the Plan shall govern. By accepting this Agreement, Participant hereby agrees to be bound by the terms of the Plan and this Agreement.</w:t>
      </w:r>
    </w:p>
    <w:p>
      <w:pPr>
        <w:spacing w:after="0" w:line="171" w:lineRule="exact"/>
        <w:rPr>
          <w:rFonts w:ascii="Arial" w:cs="Arial" w:eastAsia="Arial" w:hAnsi="Arial"/>
          <w:sz w:val="21"/>
          <w:szCs w:val="21"/>
          <w:color w:val="010000"/>
        </w:rPr>
      </w:pPr>
    </w:p>
    <w:p>
      <w:pPr>
        <w:ind w:right="40" w:firstLine="643"/>
        <w:spacing w:after="0" w:line="242" w:lineRule="auto"/>
        <w:tabs>
          <w:tab w:leader="none" w:pos="1272" w:val="left"/>
        </w:tabs>
        <w:numPr>
          <w:ilvl w:val="0"/>
          <w:numId w:val="14"/>
        </w:numPr>
        <w:rPr>
          <w:rFonts w:ascii="Arial" w:cs="Arial" w:eastAsia="Arial" w:hAnsi="Arial"/>
          <w:sz w:val="21"/>
          <w:szCs w:val="21"/>
          <w:color w:val="010000"/>
        </w:rPr>
      </w:pPr>
      <w:r>
        <w:rPr>
          <w:rFonts w:ascii="Arial" w:cs="Arial" w:eastAsia="Arial" w:hAnsi="Arial"/>
          <w:sz w:val="21"/>
          <w:szCs w:val="21"/>
          <w:b w:val="1"/>
          <w:bCs w:val="1"/>
          <w:u w:val="single" w:color="auto"/>
          <w:color w:val="auto"/>
        </w:rPr>
        <w:t>Grant and Vesting</w:t>
      </w:r>
      <w:r>
        <w:rPr>
          <w:rFonts w:ascii="Arial" w:cs="Arial" w:eastAsia="Arial" w:hAnsi="Arial"/>
          <w:sz w:val="21"/>
          <w:szCs w:val="21"/>
          <w:color w:val="auto"/>
        </w:rPr>
        <w:t>. Participant is hereby granted the number of Restricted Stock Units set forth on</w:t>
      </w:r>
      <w:r>
        <w:rPr>
          <w:rFonts w:ascii="Arial" w:cs="Arial" w:eastAsia="Arial" w:hAnsi="Arial"/>
          <w:sz w:val="21"/>
          <w:szCs w:val="21"/>
          <w:b w:val="1"/>
          <w:bCs w:val="1"/>
          <w:color w:val="auto"/>
        </w:rPr>
        <w:t xml:space="preserve"> </w:t>
      </w:r>
      <w:r>
        <w:rPr>
          <w:rFonts w:ascii="Arial" w:cs="Arial" w:eastAsia="Arial" w:hAnsi="Arial"/>
          <w:sz w:val="21"/>
          <w:szCs w:val="21"/>
          <w:color w:val="auto"/>
        </w:rPr>
        <w:t>the signature page hereto. The Restricted Stock Units shall become vested in three equal installments on each of the first three anniversaries of the Grant Date (each such anniversary, a “</w:t>
      </w:r>
      <w:r>
        <w:rPr>
          <w:rFonts w:ascii="Arial" w:cs="Arial" w:eastAsia="Arial" w:hAnsi="Arial"/>
          <w:sz w:val="21"/>
          <w:szCs w:val="21"/>
          <w:b w:val="1"/>
          <w:bCs w:val="1"/>
          <w:color w:val="auto"/>
        </w:rPr>
        <w:t>Vesting Date</w:t>
      </w:r>
      <w:r>
        <w:rPr>
          <w:rFonts w:ascii="Arial" w:cs="Arial" w:eastAsia="Arial" w:hAnsi="Arial"/>
          <w:sz w:val="21"/>
          <w:szCs w:val="21"/>
          <w:color w:val="auto"/>
        </w:rPr>
        <w:t>”), subject to Participant’s continued employment through the applicable Vesting Date. Any unvested Restricted Stock Units that do not become vested on or prior to Participant’s termination of employment with the Company and its Affiliates shall be forfeited, and Participant shall have no further rights with respect thereto, effective as of the date of such termination.</w:t>
      </w:r>
    </w:p>
    <w:p>
      <w:pPr>
        <w:spacing w:after="0" w:line="177" w:lineRule="exact"/>
        <w:rPr>
          <w:rFonts w:ascii="Arial" w:cs="Arial" w:eastAsia="Arial" w:hAnsi="Arial"/>
          <w:sz w:val="21"/>
          <w:szCs w:val="21"/>
          <w:color w:val="010000"/>
        </w:rPr>
      </w:pPr>
    </w:p>
    <w:p>
      <w:pPr>
        <w:ind w:right="640" w:firstLine="643"/>
        <w:spacing w:after="0" w:line="326" w:lineRule="auto"/>
        <w:tabs>
          <w:tab w:leader="none" w:pos="1272" w:val="left"/>
        </w:tabs>
        <w:numPr>
          <w:ilvl w:val="0"/>
          <w:numId w:val="14"/>
        </w:numPr>
        <w:rPr>
          <w:rFonts w:ascii="Arial" w:cs="Arial" w:eastAsia="Arial" w:hAnsi="Arial"/>
          <w:sz w:val="19"/>
          <w:szCs w:val="19"/>
          <w:color w:val="010000"/>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Any unvested Restricted Stock Units shall vest in full upon a Change in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subject to Participant’s continued employment through the occurrence of such Change in Control.</w:t>
      </w:r>
    </w:p>
    <w:p>
      <w:pPr>
        <w:spacing w:after="0" w:line="95" w:lineRule="exact"/>
        <w:rPr>
          <w:rFonts w:ascii="Arial" w:cs="Arial" w:eastAsia="Arial" w:hAnsi="Arial"/>
          <w:sz w:val="19"/>
          <w:szCs w:val="19"/>
          <w:color w:val="010000"/>
        </w:rPr>
      </w:pPr>
    </w:p>
    <w:p>
      <w:pPr>
        <w:ind w:right="200" w:firstLine="643"/>
        <w:spacing w:after="0" w:line="261" w:lineRule="auto"/>
        <w:tabs>
          <w:tab w:leader="none" w:pos="1272" w:val="left"/>
        </w:tabs>
        <w:numPr>
          <w:ilvl w:val="0"/>
          <w:numId w:val="14"/>
        </w:numPr>
        <w:rPr>
          <w:rFonts w:ascii="Arial" w:cs="Arial" w:eastAsia="Arial" w:hAnsi="Arial"/>
          <w:sz w:val="20"/>
          <w:szCs w:val="20"/>
          <w:color w:val="010000"/>
        </w:rPr>
      </w:pPr>
      <w:r>
        <w:rPr>
          <w:rFonts w:ascii="Arial" w:cs="Arial" w:eastAsia="Arial" w:hAnsi="Arial"/>
          <w:sz w:val="20"/>
          <w:szCs w:val="20"/>
          <w:b w:val="1"/>
          <w:bCs w:val="1"/>
          <w:u w:val="single" w:color="auto"/>
          <w:color w:val="auto"/>
        </w:rPr>
        <w:t>Issuance of Shares</w:t>
      </w:r>
      <w:r>
        <w:rPr>
          <w:rFonts w:ascii="Arial" w:cs="Arial" w:eastAsia="Arial" w:hAnsi="Arial"/>
          <w:sz w:val="20"/>
          <w:szCs w:val="20"/>
          <w:color w:val="auto"/>
        </w:rPr>
        <w:t>. As soon as reasonably practicable following the date a Restricted Stock Unit</w:t>
      </w:r>
      <w:r>
        <w:rPr>
          <w:rFonts w:ascii="Arial" w:cs="Arial" w:eastAsia="Arial" w:hAnsi="Arial"/>
          <w:sz w:val="20"/>
          <w:szCs w:val="20"/>
          <w:b w:val="1"/>
          <w:bCs w:val="1"/>
          <w:color w:val="auto"/>
        </w:rPr>
        <w:t xml:space="preserve"> </w:t>
      </w:r>
      <w:r>
        <w:rPr>
          <w:rFonts w:ascii="Arial" w:cs="Arial" w:eastAsia="Arial" w:hAnsi="Arial"/>
          <w:sz w:val="20"/>
          <w:szCs w:val="20"/>
          <w:color w:val="auto"/>
        </w:rPr>
        <w:t>vests (but in no event later than two and one-half months after the end of the year in which a Restricted Stock Unit vests), the Company shall issue to Participant the number of Shares equal to the aggregate number of Restricted Stock Units that have vested pursuant to this Agreement on such date and Participant shall thereafter have all the rights of a stockholder of the Company with respect to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754380</wp:posOffset>
            </wp:positionV>
            <wp:extent cx="629348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59" w:name="page60"/>
    <w:bookmarkEnd w:id="59"/>
    <w:p>
      <w:pPr>
        <w:ind w:right="40" w:firstLine="643"/>
        <w:spacing w:after="0" w:line="272" w:lineRule="auto"/>
        <w:tabs>
          <w:tab w:leader="none" w:pos="1272" w:val="left"/>
        </w:tabs>
        <w:numPr>
          <w:ilvl w:val="0"/>
          <w:numId w:val="15"/>
        </w:numPr>
        <w:rPr>
          <w:rFonts w:ascii="Arial" w:cs="Arial" w:eastAsia="Arial" w:hAnsi="Arial"/>
          <w:sz w:val="19"/>
          <w:szCs w:val="19"/>
          <w:color w:val="010000"/>
        </w:rPr>
      </w:pPr>
      <w:r>
        <w:rPr>
          <w:rFonts w:ascii="Arial" w:cs="Arial" w:eastAsia="Arial" w:hAnsi="Arial"/>
          <w:sz w:val="19"/>
          <w:szCs w:val="19"/>
          <w:b w:val="1"/>
          <w:bCs w:val="1"/>
          <w:u w:val="single" w:color="auto"/>
          <w:color w:val="auto"/>
        </w:rPr>
        <w:t>Dividend Equivalents</w:t>
      </w:r>
      <w:r>
        <w:rPr>
          <w:rFonts w:ascii="Arial" w:cs="Arial" w:eastAsia="Arial" w:hAnsi="Arial"/>
          <w:sz w:val="19"/>
          <w:szCs w:val="19"/>
          <w:color w:val="auto"/>
        </w:rPr>
        <w:t>. If the record date for the payment of cash dividends on Shares occurs</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Grant Date and the date a Restricted Stock Unit is settled for Shares or forfeited pursuant to this Agreement, the Company shall make a cash payment (a “</w:t>
      </w:r>
      <w:r>
        <w:rPr>
          <w:rFonts w:ascii="Arial" w:cs="Arial" w:eastAsia="Arial" w:hAnsi="Arial"/>
          <w:sz w:val="19"/>
          <w:szCs w:val="19"/>
          <w:b w:val="1"/>
          <w:bCs w:val="1"/>
          <w:color w:val="auto"/>
        </w:rPr>
        <w:t>Dividend Equivalent</w:t>
      </w:r>
      <w:r>
        <w:rPr>
          <w:rFonts w:ascii="Arial" w:cs="Arial" w:eastAsia="Arial" w:hAnsi="Arial"/>
          <w:sz w:val="19"/>
          <w:szCs w:val="19"/>
          <w:color w:val="auto"/>
        </w:rPr>
        <w:t>”) to Participant equal to the value of the cash dividend that Participant would have received on the Shares underlying the Restricted Stock Units that are outstanding and not settled as of such record date, which Dividend Equivalent shall be paid as soon as reasonably practicable following the date the corresponding cash dividend is paid to holders of Shares, subject to Participant’s continued employment with the Company and its Affiliates through the date such Dividend Equivalent is paid.</w:t>
      </w:r>
    </w:p>
    <w:p>
      <w:pPr>
        <w:spacing w:after="0" w:line="148" w:lineRule="exact"/>
        <w:rPr>
          <w:rFonts w:ascii="Arial" w:cs="Arial" w:eastAsia="Arial" w:hAnsi="Arial"/>
          <w:sz w:val="19"/>
          <w:szCs w:val="19"/>
          <w:color w:val="010000"/>
        </w:rPr>
      </w:pPr>
    </w:p>
    <w:p>
      <w:pPr>
        <w:ind w:left="1280" w:hanging="637"/>
        <w:spacing w:after="0"/>
        <w:tabs>
          <w:tab w:leader="none" w:pos="1280" w:val="left"/>
        </w:tabs>
        <w:numPr>
          <w:ilvl w:val="0"/>
          <w:numId w:val="15"/>
        </w:numPr>
        <w:rPr>
          <w:rFonts w:ascii="Arial" w:cs="Arial" w:eastAsia="Arial" w:hAnsi="Arial"/>
          <w:sz w:val="21"/>
          <w:szCs w:val="21"/>
          <w:color w:val="010000"/>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w:t>
      </w:r>
    </w:p>
    <w:p>
      <w:pPr>
        <w:spacing w:after="0" w:line="209" w:lineRule="exact"/>
        <w:rPr>
          <w:sz w:val="20"/>
          <w:szCs w:val="20"/>
          <w:color w:val="auto"/>
        </w:rPr>
      </w:pPr>
    </w:p>
    <w:p>
      <w:pPr>
        <w:ind w:right="80" w:firstLine="636"/>
        <w:spacing w:after="0" w:line="245" w:lineRule="auto"/>
        <w:rPr>
          <w:sz w:val="20"/>
          <w:szCs w:val="20"/>
          <w:color w:val="auto"/>
        </w:rPr>
      </w:pPr>
      <w:r>
        <w:rPr>
          <w:rFonts w:ascii="Arial" w:cs="Arial" w:eastAsia="Arial" w:hAnsi="Arial"/>
          <w:sz w:val="21"/>
          <w:szCs w:val="21"/>
          <w:color w:val="010000"/>
        </w:rPr>
        <w:t xml:space="preserve">7.1 </w:t>
      </w:r>
      <w:r>
        <w:rPr>
          <w:rFonts w:ascii="Arial" w:cs="Arial" w:eastAsia="Arial" w:hAnsi="Arial"/>
          <w:sz w:val="21"/>
          <w:szCs w:val="21"/>
          <w:b w:val="1"/>
          <w:bCs w:val="1"/>
          <w:u w:val="single" w:color="auto"/>
          <w:color w:val="000000"/>
        </w:rPr>
        <w:t>Notices</w:t>
      </w:r>
      <w:r>
        <w:rPr>
          <w:rFonts w:ascii="Arial" w:cs="Arial" w:eastAsia="Arial" w:hAnsi="Arial"/>
          <w:sz w:val="21"/>
          <w:szCs w:val="21"/>
          <w:color w:val="000000"/>
        </w:rPr>
        <w:t>. Unless otherwise provided herein, all notices and other communications hereunder shall be</w:t>
      </w:r>
      <w:r>
        <w:rPr>
          <w:rFonts w:ascii="Arial" w:cs="Arial" w:eastAsia="Arial" w:hAnsi="Arial"/>
          <w:sz w:val="21"/>
          <w:szCs w:val="21"/>
          <w:color w:val="010000"/>
        </w:rPr>
        <w:t xml:space="preserve"> </w:t>
      </w:r>
      <w:r>
        <w:rPr>
          <w:rFonts w:ascii="Arial" w:cs="Arial" w:eastAsia="Arial" w:hAnsi="Arial"/>
          <w:sz w:val="21"/>
          <w:szCs w:val="21"/>
          <w:color w:val="000000"/>
        </w:rPr>
        <w:t>in writing and shall be deemed given and received (a) if delivered in person, on the date delivered, (b) if transmitted by facsimile (provided receipt is confirmed by telephone), on the date sent or (c) if delivered by an express courier, on the second business day after mailing, to the parties at the following addresses (or at such other address for a party as shall be specified by like notice):</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If to the Company:</w:t>
      </w:r>
    </w:p>
    <w:p>
      <w:pPr>
        <w:spacing w:after="0" w:line="209"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Westrock Coffee Company</w:t>
      </w:r>
    </w:p>
    <w:p>
      <w:pPr>
        <w:spacing w:after="0" w:line="12" w:lineRule="exact"/>
        <w:rPr>
          <w:sz w:val="20"/>
          <w:szCs w:val="20"/>
          <w:color w:val="auto"/>
        </w:rPr>
      </w:pPr>
    </w:p>
    <w:p>
      <w:pPr>
        <w:ind w:left="2560"/>
        <w:spacing w:after="0"/>
        <w:rPr>
          <w:sz w:val="20"/>
          <w:szCs w:val="20"/>
          <w:color w:val="auto"/>
        </w:rPr>
      </w:pPr>
      <w:r>
        <w:rPr>
          <w:rFonts w:ascii="Arial" w:cs="Arial" w:eastAsia="Arial" w:hAnsi="Arial"/>
          <w:sz w:val="21"/>
          <w:szCs w:val="21"/>
          <w:color w:val="auto"/>
        </w:rPr>
        <w:t>100 River Bluff Drive, Suite 210</w:t>
      </w:r>
    </w:p>
    <w:p>
      <w:pPr>
        <w:ind w:left="2560"/>
        <w:spacing w:after="0" w:line="237" w:lineRule="auto"/>
        <w:rPr>
          <w:sz w:val="20"/>
          <w:szCs w:val="20"/>
          <w:color w:val="auto"/>
        </w:rPr>
      </w:pPr>
      <w:r>
        <w:rPr>
          <w:rFonts w:ascii="Arial" w:cs="Arial" w:eastAsia="Arial" w:hAnsi="Arial"/>
          <w:sz w:val="21"/>
          <w:szCs w:val="21"/>
          <w:color w:val="auto"/>
        </w:rPr>
        <w:t>Little Rock, AR 72202</w:t>
      </w:r>
    </w:p>
    <w:p>
      <w:pPr>
        <w:ind w:left="2560"/>
        <w:spacing w:after="0" w:line="237" w:lineRule="auto"/>
        <w:rPr>
          <w:sz w:val="20"/>
          <w:szCs w:val="20"/>
          <w:color w:val="auto"/>
        </w:rPr>
      </w:pPr>
      <w:r>
        <w:rPr>
          <w:rFonts w:ascii="Arial" w:cs="Arial" w:eastAsia="Arial" w:hAnsi="Arial"/>
          <w:sz w:val="21"/>
          <w:szCs w:val="21"/>
          <w:color w:val="auto"/>
        </w:rPr>
        <w:t>Attn: Chief Legal Officer</w:t>
      </w:r>
    </w:p>
    <w:p>
      <w:pPr>
        <w:ind w:left="2560"/>
        <w:spacing w:after="0" w:line="237" w:lineRule="auto"/>
        <w:rPr>
          <w:sz w:val="20"/>
          <w:szCs w:val="20"/>
          <w:color w:val="auto"/>
        </w:rPr>
      </w:pPr>
      <w:r>
        <w:rPr>
          <w:rFonts w:ascii="Arial" w:cs="Arial" w:eastAsia="Arial" w:hAnsi="Arial"/>
          <w:sz w:val="21"/>
          <w:szCs w:val="21"/>
          <w:color w:val="auto"/>
        </w:rPr>
        <w:t>Email: mckinneyb@westrockcoffee.com</w:t>
      </w:r>
    </w:p>
    <w:p>
      <w:pPr>
        <w:ind w:left="2560"/>
        <w:spacing w:after="0"/>
        <w:rPr>
          <w:sz w:val="20"/>
          <w:szCs w:val="20"/>
          <w:color w:val="auto"/>
        </w:rPr>
      </w:pPr>
      <w:r>
        <w:rPr>
          <w:rFonts w:ascii="Arial" w:cs="Arial" w:eastAsia="Arial" w:hAnsi="Arial"/>
          <w:sz w:val="21"/>
          <w:szCs w:val="21"/>
          <w:color w:val="auto"/>
        </w:rPr>
        <w:t>Phone: 704-782-3121</w:t>
      </w:r>
    </w:p>
    <w:p>
      <w:pPr>
        <w:spacing w:after="0" w:line="200" w:lineRule="exact"/>
        <w:rPr>
          <w:sz w:val="20"/>
          <w:szCs w:val="20"/>
          <w:color w:val="auto"/>
        </w:rPr>
      </w:pPr>
    </w:p>
    <w:p>
      <w:pPr>
        <w:spacing w:after="0" w:line="23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If to Participant:</w:t>
      </w:r>
    </w:p>
    <w:p>
      <w:pPr>
        <w:spacing w:after="0" w:line="20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To the most recent address of Participant set forth in the personnel records of the Company.</w:t>
      </w:r>
    </w:p>
    <w:p>
      <w:pPr>
        <w:spacing w:after="0" w:line="203" w:lineRule="exact"/>
        <w:rPr>
          <w:sz w:val="20"/>
          <w:szCs w:val="20"/>
          <w:color w:val="auto"/>
        </w:rPr>
      </w:pPr>
    </w:p>
    <w:p>
      <w:pPr>
        <w:ind w:firstLine="636"/>
        <w:spacing w:after="0" w:line="244" w:lineRule="auto"/>
        <w:rPr>
          <w:sz w:val="20"/>
          <w:szCs w:val="20"/>
          <w:color w:val="auto"/>
        </w:rPr>
      </w:pPr>
      <w:r>
        <w:rPr>
          <w:rFonts w:ascii="Arial" w:cs="Arial" w:eastAsia="Arial" w:hAnsi="Arial"/>
          <w:sz w:val="21"/>
          <w:szCs w:val="21"/>
          <w:color w:val="010000"/>
        </w:rPr>
        <w:t xml:space="preserve">7.2 </w:t>
      </w:r>
      <w:r>
        <w:rPr>
          <w:rFonts w:ascii="Arial" w:cs="Arial" w:eastAsia="Arial" w:hAnsi="Arial"/>
          <w:sz w:val="21"/>
          <w:szCs w:val="21"/>
          <w:b w:val="1"/>
          <w:bCs w:val="1"/>
          <w:u w:val="single" w:color="auto"/>
          <w:color w:val="000000"/>
        </w:rPr>
        <w:t>Restriction on Transfer</w:t>
      </w:r>
      <w:r>
        <w:rPr>
          <w:rFonts w:ascii="Arial" w:cs="Arial" w:eastAsia="Arial" w:hAnsi="Arial"/>
          <w:sz w:val="21"/>
          <w:szCs w:val="21"/>
          <w:color w:val="000000"/>
        </w:rPr>
        <w:t>. The Restricted Stock Units may not be transferred, pledged, assigned,</w:t>
      </w:r>
      <w:r>
        <w:rPr>
          <w:rFonts w:ascii="Arial" w:cs="Arial" w:eastAsia="Arial" w:hAnsi="Arial"/>
          <w:sz w:val="21"/>
          <w:szCs w:val="21"/>
          <w:color w:val="010000"/>
        </w:rPr>
        <w:t xml:space="preserve"> </w:t>
      </w:r>
      <w:r>
        <w:rPr>
          <w:rFonts w:ascii="Arial" w:cs="Arial" w:eastAsia="Arial" w:hAnsi="Arial"/>
          <w:sz w:val="21"/>
          <w:szCs w:val="21"/>
          <w:color w:val="000000"/>
        </w:rPr>
        <w:t>hypothecated or otherwise disposed of in any way by Participant, except as permitted by the Committee or by will or the laws of descent and distribution, in each case in compliance with applicable laws. The Restricted Stock Units shall not be subject to execution, attachment or similar process. Any attempted assignment, transfer, pledge, hypothecation or other disposition of the Restricted Stock Units contrary to the provisions of this Agreement or the Plan shall be null and void and without effect.</w:t>
      </w:r>
    </w:p>
    <w:p>
      <w:pPr>
        <w:spacing w:after="0" w:line="170" w:lineRule="exact"/>
        <w:rPr>
          <w:sz w:val="20"/>
          <w:szCs w:val="20"/>
          <w:color w:val="auto"/>
        </w:rPr>
      </w:pPr>
    </w:p>
    <w:p>
      <w:pPr>
        <w:ind w:firstLine="636"/>
        <w:spacing w:after="0" w:line="245" w:lineRule="auto"/>
        <w:rPr>
          <w:sz w:val="20"/>
          <w:szCs w:val="20"/>
          <w:color w:val="auto"/>
        </w:rPr>
      </w:pPr>
      <w:r>
        <w:rPr>
          <w:rFonts w:ascii="Arial" w:cs="Arial" w:eastAsia="Arial" w:hAnsi="Arial"/>
          <w:sz w:val="21"/>
          <w:szCs w:val="21"/>
          <w:color w:val="010000"/>
        </w:rPr>
        <w:t xml:space="preserve">7.3 </w:t>
      </w:r>
      <w:r>
        <w:rPr>
          <w:rFonts w:ascii="Arial" w:cs="Arial" w:eastAsia="Arial" w:hAnsi="Arial"/>
          <w:sz w:val="21"/>
          <w:szCs w:val="21"/>
          <w:b w:val="1"/>
          <w:bCs w:val="1"/>
          <w:u w:val="single" w:color="auto"/>
          <w:color w:val="000000"/>
        </w:rPr>
        <w:t>Amendments and Waivers</w:t>
      </w:r>
      <w:r>
        <w:rPr>
          <w:rFonts w:ascii="Arial" w:cs="Arial" w:eastAsia="Arial" w:hAnsi="Arial"/>
          <w:sz w:val="21"/>
          <w:szCs w:val="21"/>
          <w:color w:val="000000"/>
        </w:rPr>
        <w:t>. (a) Any provision of this Agreement may be amended or waived if, but</w:t>
      </w:r>
      <w:r>
        <w:rPr>
          <w:rFonts w:ascii="Arial" w:cs="Arial" w:eastAsia="Arial" w:hAnsi="Arial"/>
          <w:sz w:val="21"/>
          <w:szCs w:val="21"/>
          <w:color w:val="010000"/>
        </w:rPr>
        <w:t xml:space="preserve"> </w:t>
      </w:r>
      <w:r>
        <w:rPr>
          <w:rFonts w:ascii="Arial" w:cs="Arial" w:eastAsia="Arial" w:hAnsi="Arial"/>
          <w:sz w:val="21"/>
          <w:szCs w:val="21"/>
          <w:color w:val="000000"/>
        </w:rPr>
        <w:t xml:space="preserve">only if, such amendment or waiver is in writing and is signed, in the case of an amendment, by each party to this Agreement, or in the case of a waiver, by the party against whom the waiver is to be effective;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the foregoing notwithstanding, this Agreement may be amended by the Company unilaterally, provided that no such unilateral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765810</wp:posOffset>
            </wp:positionV>
            <wp:extent cx="629348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60" w:name="page61"/>
    <w:bookmarkEnd w:id="60"/>
    <w:p>
      <w:pPr>
        <w:ind w:right="380"/>
        <w:spacing w:after="0" w:line="266" w:lineRule="auto"/>
        <w:rPr>
          <w:sz w:val="20"/>
          <w:szCs w:val="20"/>
          <w:color w:val="auto"/>
        </w:rPr>
      </w:pPr>
      <w:r>
        <w:rPr>
          <w:rFonts w:ascii="Arial" w:cs="Arial" w:eastAsia="Arial" w:hAnsi="Arial"/>
          <w:sz w:val="21"/>
          <w:szCs w:val="21"/>
          <w:color w:val="auto"/>
        </w:rPr>
        <w:t>amendment may materially adversely affect Participant, except to the extent provided for or contemplated in the terms of this Agreement.</w:t>
      </w:r>
    </w:p>
    <w:p>
      <w:pPr>
        <w:spacing w:after="0" w:line="154" w:lineRule="exact"/>
        <w:rPr>
          <w:sz w:val="20"/>
          <w:szCs w:val="20"/>
          <w:color w:val="auto"/>
        </w:rPr>
      </w:pPr>
    </w:p>
    <w:p>
      <w:pPr>
        <w:ind w:right="280" w:firstLine="1279"/>
        <w:spacing w:after="0" w:line="263" w:lineRule="auto"/>
        <w:tabs>
          <w:tab w:leader="none" w:pos="1908"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52" w:lineRule="exact"/>
        <w:rPr>
          <w:sz w:val="20"/>
          <w:szCs w:val="20"/>
          <w:color w:val="auto"/>
        </w:rPr>
      </w:pPr>
    </w:p>
    <w:p>
      <w:pPr>
        <w:ind w:right="260" w:firstLine="636"/>
        <w:spacing w:after="0" w:line="272" w:lineRule="auto"/>
        <w:rPr>
          <w:sz w:val="20"/>
          <w:szCs w:val="20"/>
          <w:color w:val="auto"/>
        </w:rPr>
      </w:pPr>
      <w:r>
        <w:rPr>
          <w:rFonts w:ascii="Arial" w:cs="Arial" w:eastAsia="Arial" w:hAnsi="Arial"/>
          <w:sz w:val="21"/>
          <w:szCs w:val="21"/>
          <w:color w:val="010000"/>
        </w:rPr>
        <w:t xml:space="preserve">7.4 </w:t>
      </w:r>
      <w:r>
        <w:rPr>
          <w:rFonts w:ascii="Arial" w:cs="Arial" w:eastAsia="Arial" w:hAnsi="Arial"/>
          <w:sz w:val="21"/>
          <w:szCs w:val="21"/>
          <w:b w:val="1"/>
          <w:bCs w:val="1"/>
          <w:u w:val="single" w:color="auto"/>
          <w:color w:val="000000"/>
        </w:rPr>
        <w:t>Successors and Assigns</w:t>
      </w:r>
      <w:r>
        <w:rPr>
          <w:rFonts w:ascii="Arial" w:cs="Arial" w:eastAsia="Arial" w:hAnsi="Arial"/>
          <w:sz w:val="21"/>
          <w:szCs w:val="21"/>
          <w:color w:val="000000"/>
        </w:rPr>
        <w:t>. The provisions of this Agreement shall be binding upon and inure to the</w:t>
      </w:r>
      <w:r>
        <w:rPr>
          <w:rFonts w:ascii="Arial" w:cs="Arial" w:eastAsia="Arial" w:hAnsi="Arial"/>
          <w:sz w:val="21"/>
          <w:szCs w:val="21"/>
          <w:color w:val="010000"/>
        </w:rPr>
        <w:t xml:space="preserve"> </w:t>
      </w:r>
      <w:r>
        <w:rPr>
          <w:rFonts w:ascii="Arial" w:cs="Arial" w:eastAsia="Arial" w:hAnsi="Arial"/>
          <w:sz w:val="21"/>
          <w:szCs w:val="21"/>
          <w:color w:val="000000"/>
        </w:rPr>
        <w:t>benefit of the parties hereto and their respective successors and permitted assigns.</w:t>
      </w:r>
    </w:p>
    <w:p>
      <w:pPr>
        <w:spacing w:after="0" w:line="142" w:lineRule="exact"/>
        <w:rPr>
          <w:sz w:val="20"/>
          <w:szCs w:val="20"/>
          <w:color w:val="auto"/>
        </w:rPr>
      </w:pPr>
    </w:p>
    <w:p>
      <w:pPr>
        <w:ind w:firstLine="636"/>
        <w:spacing w:after="0" w:line="245" w:lineRule="auto"/>
        <w:rPr>
          <w:sz w:val="20"/>
          <w:szCs w:val="20"/>
          <w:color w:val="auto"/>
        </w:rPr>
      </w:pPr>
      <w:r>
        <w:rPr>
          <w:rFonts w:ascii="Arial" w:cs="Arial" w:eastAsia="Arial" w:hAnsi="Arial"/>
          <w:sz w:val="21"/>
          <w:szCs w:val="21"/>
          <w:color w:val="010000"/>
        </w:rPr>
        <w:t xml:space="preserve">7.5 </w:t>
      </w:r>
      <w:r>
        <w:rPr>
          <w:rFonts w:ascii="Arial" w:cs="Arial" w:eastAsia="Arial" w:hAnsi="Arial"/>
          <w:sz w:val="21"/>
          <w:szCs w:val="21"/>
          <w:b w:val="1"/>
          <w:bCs w:val="1"/>
          <w:u w:val="single" w:color="auto"/>
          <w:color w:val="000000"/>
        </w:rPr>
        <w:t>Governing Law</w:t>
      </w:r>
      <w:r>
        <w:rPr>
          <w:rFonts w:ascii="Arial" w:cs="Arial" w:eastAsia="Arial" w:hAnsi="Arial"/>
          <w:sz w:val="21"/>
          <w:szCs w:val="21"/>
          <w:color w:val="000000"/>
        </w:rPr>
        <w:t>. This Agreement, the legal relations between the parties and the adjudication and</w:t>
      </w:r>
      <w:r>
        <w:rPr>
          <w:rFonts w:ascii="Arial" w:cs="Arial" w:eastAsia="Arial" w:hAnsi="Arial"/>
          <w:sz w:val="21"/>
          <w:szCs w:val="21"/>
          <w:color w:val="010000"/>
        </w:rPr>
        <w:t xml:space="preserve"> </w:t>
      </w:r>
      <w:r>
        <w:rPr>
          <w:rFonts w:ascii="Arial" w:cs="Arial" w:eastAsia="Arial" w:hAnsi="Arial"/>
          <w:sz w:val="21"/>
          <w:szCs w:val="21"/>
          <w:color w:val="000000"/>
        </w:rPr>
        <w:t>the enforcement thereof, shall be governed by and interpreted and construed in accordance with the laws of the State of Delaware applicable to agreements made and to be performed entirely within the State of Delaware, without regard to the conflict of law provisions thereof that could result in the application of the laws of any other jurisdiction.</w:t>
      </w:r>
    </w:p>
    <w:p>
      <w:pPr>
        <w:spacing w:after="0" w:line="172" w:lineRule="exact"/>
        <w:rPr>
          <w:sz w:val="20"/>
          <w:szCs w:val="20"/>
          <w:color w:val="auto"/>
        </w:rPr>
      </w:pPr>
    </w:p>
    <w:p>
      <w:pPr>
        <w:ind w:firstLine="636"/>
        <w:spacing w:after="0" w:line="254" w:lineRule="auto"/>
        <w:rPr>
          <w:sz w:val="20"/>
          <w:szCs w:val="20"/>
          <w:color w:val="auto"/>
        </w:rPr>
      </w:pPr>
      <w:r>
        <w:rPr>
          <w:rFonts w:ascii="Arial" w:cs="Arial" w:eastAsia="Arial" w:hAnsi="Arial"/>
          <w:sz w:val="20"/>
          <w:szCs w:val="20"/>
          <w:color w:val="010000"/>
        </w:rPr>
        <w:t xml:space="preserve">7.6 </w:t>
      </w:r>
      <w:r>
        <w:rPr>
          <w:rFonts w:ascii="Arial" w:cs="Arial" w:eastAsia="Arial" w:hAnsi="Arial"/>
          <w:sz w:val="20"/>
          <w:szCs w:val="20"/>
          <w:b w:val="1"/>
          <w:bCs w:val="1"/>
          <w:u w:val="single" w:color="auto"/>
          <w:color w:val="000000"/>
        </w:rPr>
        <w:t>Jurisdiction</w:t>
      </w:r>
      <w:r>
        <w:rPr>
          <w:rFonts w:ascii="Arial" w:cs="Arial" w:eastAsia="Arial" w:hAnsi="Arial"/>
          <w:sz w:val="20"/>
          <w:szCs w:val="20"/>
          <w:color w:val="000000"/>
        </w:rPr>
        <w:t>. Each party irrevocably submits to the jurisdiction of any state or federal court sitting in</w:t>
      </w:r>
      <w:r>
        <w:rPr>
          <w:rFonts w:ascii="Arial" w:cs="Arial" w:eastAsia="Arial" w:hAnsi="Arial"/>
          <w:sz w:val="20"/>
          <w:szCs w:val="20"/>
          <w:color w:val="010000"/>
        </w:rPr>
        <w:t xml:space="preserve"> </w:t>
      </w:r>
      <w:r>
        <w:rPr>
          <w:rFonts w:ascii="Arial" w:cs="Arial" w:eastAsia="Arial" w:hAnsi="Arial"/>
          <w:sz w:val="20"/>
          <w:szCs w:val="20"/>
          <w:color w:val="000000"/>
        </w:rPr>
        <w:t>or for Little Rock, Arkansas for the purposes of any suit, action or other proceeding arising out of this Agreement or the transactions contemplated hereby. Each party further agrees that service of any process, summons, notice or document by U.S. registered mail to such party’s respective address set forth above shall be effective service of process for any action, suit or proceeding with respect to any matters to which it has submitted to jurisdiction in this Section 7.6. Each party irrevocably and unconditionally waives any objection to the laying of venue of any action, suit or proceeding arising out of this Agreement or the transactions contemplated hereby in any state or federal court sitting in or for Little Rock, Arkansas, and hereby and thereby further irrevocably and unconditionally waives and agrees not to plead or claim in any such court that any such action, suit or proceeding brought in any such court has been brought in an inconvenient forum.</w:t>
      </w:r>
    </w:p>
    <w:p>
      <w:pPr>
        <w:spacing w:after="0" w:line="163" w:lineRule="exact"/>
        <w:rPr>
          <w:sz w:val="20"/>
          <w:szCs w:val="20"/>
          <w:color w:val="auto"/>
        </w:rPr>
      </w:pPr>
    </w:p>
    <w:p>
      <w:pPr>
        <w:ind w:firstLine="636"/>
        <w:spacing w:after="0" w:line="251" w:lineRule="auto"/>
        <w:rPr>
          <w:sz w:val="20"/>
          <w:szCs w:val="20"/>
          <w:color w:val="auto"/>
        </w:rPr>
      </w:pPr>
      <w:r>
        <w:rPr>
          <w:rFonts w:ascii="Arial" w:cs="Arial" w:eastAsia="Arial" w:hAnsi="Arial"/>
          <w:sz w:val="20"/>
          <w:szCs w:val="20"/>
          <w:color w:val="010000"/>
        </w:rPr>
        <w:t xml:space="preserve">7.7 </w:t>
      </w:r>
      <w:r>
        <w:rPr>
          <w:rFonts w:ascii="Arial" w:cs="Arial" w:eastAsia="Arial" w:hAnsi="Arial"/>
          <w:sz w:val="20"/>
          <w:szCs w:val="20"/>
          <w:b w:val="1"/>
          <w:bCs w:val="1"/>
          <w:u w:val="single" w:color="auto"/>
          <w:color w:val="000000"/>
        </w:rPr>
        <w:t>Waiver of Jury Trial</w:t>
      </w:r>
      <w:r>
        <w:rPr>
          <w:rFonts w:ascii="Arial" w:cs="Arial" w:eastAsia="Arial" w:hAnsi="Arial"/>
          <w:sz w:val="20"/>
          <w:szCs w:val="20"/>
          <w:color w:val="000000"/>
        </w:rPr>
        <w:t>. EACH PARTY ACKNOWLEDGES AND AGREES THAT ANY</w:t>
      </w:r>
      <w:r>
        <w:rPr>
          <w:rFonts w:ascii="Arial" w:cs="Arial" w:eastAsia="Arial" w:hAnsi="Arial"/>
          <w:sz w:val="20"/>
          <w:szCs w:val="20"/>
          <w:color w:val="010000"/>
        </w:rPr>
        <w:t xml:space="preserve"> </w:t>
      </w:r>
      <w:r>
        <w:rPr>
          <w:rFonts w:ascii="Arial" w:cs="Arial" w:eastAsia="Arial" w:hAnsi="Arial"/>
          <w:sz w:val="20"/>
          <w:szCs w:val="20"/>
          <w:color w:val="000000"/>
        </w:rPr>
        <w:t>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BREACH, TERMINATION OR VALIDITY OF THIS AGREEMENT, OR THE TRANSACTIONS CONTEMPLATED BY THIS AGREEMENT. EACH PARTY HERETO CERTIFIES AND ACKNOWLEDGES THAT (A) NO REPRESENTATIVE, AGENT OR ATTORNEY OF ANY OTHER PARTY HAS REPRESENTED, EXPRESSLY OR OTHERWISE, THAT SUCH OTHER PARTY WOULD NOT, IN THE EVENT OF LITIGATION, SEEK TO ENFORCE THE FOREGOING WAIVER,</w:t>
      </w:r>
    </w:p>
    <w:p>
      <w:pPr>
        <w:spacing w:after="0" w:line="4" w:lineRule="exact"/>
        <w:rPr>
          <w:sz w:val="20"/>
          <w:szCs w:val="20"/>
          <w:color w:val="auto"/>
        </w:rPr>
      </w:pPr>
    </w:p>
    <w:p>
      <w:pPr>
        <w:ind w:right="280" w:firstLine="7"/>
        <w:spacing w:after="0" w:line="242" w:lineRule="auto"/>
        <w:tabs>
          <w:tab w:leader="none" w:pos="336" w:val="left"/>
        </w:tabs>
        <w:numPr>
          <w:ilvl w:val="0"/>
          <w:numId w:val="17"/>
        </w:numPr>
        <w:rPr>
          <w:rFonts w:ascii="Arial" w:cs="Arial" w:eastAsia="Arial" w:hAnsi="Arial"/>
          <w:sz w:val="21"/>
          <w:szCs w:val="21"/>
          <w:color w:val="auto"/>
        </w:rPr>
      </w:pPr>
      <w:r>
        <w:rPr>
          <w:rFonts w:ascii="Arial" w:cs="Arial" w:eastAsia="Arial" w:hAnsi="Arial"/>
          <w:sz w:val="21"/>
          <w:szCs w:val="21"/>
          <w:color w:val="auto"/>
        </w:rPr>
        <w:t>EACH SUCH PARTY UNDERSTANDS AND HAS CONSIDERED THE IMPLICATIONS OF THIS WAIVER, (C) SUCH PARTY MAKES THIS WAIVER VOLUNTARILY, AND (D) EACH SUCH PARTY HAS BEEN INDUCED TO ENTER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766445</wp:posOffset>
            </wp:positionV>
            <wp:extent cx="629348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00"/>
          </w:cols>
          <w:pgMar w:left="980" w:top="1099" w:right="1019" w:bottom="1440" w:gutter="0" w:footer="0" w:header="0"/>
        </w:sectPr>
      </w:pPr>
    </w:p>
    <w:bookmarkStart w:id="61" w:name="page62"/>
    <w:bookmarkEnd w:id="61"/>
    <w:p>
      <w:pPr>
        <w:ind w:right="200"/>
        <w:spacing w:after="0" w:line="266" w:lineRule="auto"/>
        <w:rPr>
          <w:sz w:val="20"/>
          <w:szCs w:val="20"/>
          <w:color w:val="auto"/>
        </w:rPr>
      </w:pPr>
      <w:r>
        <w:rPr>
          <w:rFonts w:ascii="Arial" w:cs="Arial" w:eastAsia="Arial" w:hAnsi="Arial"/>
          <w:sz w:val="21"/>
          <w:szCs w:val="21"/>
          <w:color w:val="auto"/>
        </w:rPr>
        <w:t>THIS AGREEMENT BY, AMONG OTHER THINGS, THE MUTUAL WAIVERS AND CERTIFICATIONS IN THIS SECTION 7.7.</w:t>
      </w:r>
    </w:p>
    <w:p>
      <w:pPr>
        <w:spacing w:after="0" w:line="148" w:lineRule="exact"/>
        <w:rPr>
          <w:sz w:val="20"/>
          <w:szCs w:val="20"/>
          <w:color w:val="auto"/>
        </w:rPr>
      </w:pPr>
    </w:p>
    <w:p>
      <w:pPr>
        <w:ind w:right="60" w:firstLine="636"/>
        <w:spacing w:after="0" w:line="244" w:lineRule="auto"/>
        <w:rPr>
          <w:sz w:val="20"/>
          <w:szCs w:val="20"/>
          <w:color w:val="auto"/>
        </w:rPr>
      </w:pPr>
      <w:r>
        <w:rPr>
          <w:rFonts w:ascii="Arial" w:cs="Arial" w:eastAsia="Arial" w:hAnsi="Arial"/>
          <w:sz w:val="21"/>
          <w:szCs w:val="21"/>
          <w:color w:val="010000"/>
        </w:rPr>
        <w:t xml:space="preserve">7.8 </w:t>
      </w:r>
      <w:r>
        <w:rPr>
          <w:rFonts w:ascii="Arial" w:cs="Arial" w:eastAsia="Arial" w:hAnsi="Arial"/>
          <w:sz w:val="21"/>
          <w:szCs w:val="21"/>
          <w:b w:val="1"/>
          <w:bCs w:val="1"/>
          <w:u w:val="single" w:color="auto"/>
          <w:color w:val="000000"/>
        </w:rPr>
        <w:t>Counterparts; Third Party Beneficiaries</w:t>
      </w:r>
      <w:r>
        <w:rPr>
          <w:rFonts w:ascii="Arial" w:cs="Arial" w:eastAsia="Arial" w:hAnsi="Arial"/>
          <w:sz w:val="21"/>
          <w:szCs w:val="21"/>
          <w:color w:val="000000"/>
        </w:rPr>
        <w:t>. This Agreement may be signed in any number of</w:t>
      </w:r>
      <w:r>
        <w:rPr>
          <w:rFonts w:ascii="Arial" w:cs="Arial" w:eastAsia="Arial" w:hAnsi="Arial"/>
          <w:sz w:val="21"/>
          <w:szCs w:val="21"/>
          <w:color w:val="010000"/>
        </w:rPr>
        <w:t xml:space="preserve"> </w:t>
      </w:r>
      <w:r>
        <w:rPr>
          <w:rFonts w:ascii="Arial" w:cs="Arial" w:eastAsia="Arial" w:hAnsi="Arial"/>
          <w:sz w:val="21"/>
          <w:szCs w:val="21"/>
          <w:color w:val="000000"/>
        </w:rPr>
        <w:t>counterparts, each of which shall be an original, with the same effect as if the signatures hereto were upon the same instrument. This Agreement shall become effective as to a particular Participant when such Participant shall have received a counterpart hereof signed by the Company or shall have acknowledged acceptance electronically. No provision of this Agreement shall confer upon any person other than the parties hereto any rights or remedies hereunder.</w:t>
      </w:r>
    </w:p>
    <w:p>
      <w:pPr>
        <w:spacing w:after="0" w:line="170" w:lineRule="exact"/>
        <w:rPr>
          <w:sz w:val="20"/>
          <w:szCs w:val="20"/>
          <w:color w:val="auto"/>
        </w:rPr>
      </w:pPr>
    </w:p>
    <w:p>
      <w:pPr>
        <w:ind w:firstLine="636"/>
        <w:spacing w:after="0" w:line="265" w:lineRule="auto"/>
        <w:rPr>
          <w:sz w:val="20"/>
          <w:szCs w:val="20"/>
          <w:color w:val="auto"/>
        </w:rPr>
      </w:pPr>
      <w:r>
        <w:rPr>
          <w:rFonts w:ascii="Arial" w:cs="Arial" w:eastAsia="Arial" w:hAnsi="Arial"/>
          <w:sz w:val="20"/>
          <w:szCs w:val="20"/>
          <w:color w:val="010000"/>
        </w:rPr>
        <w:t xml:space="preserve">7.9 </w:t>
      </w:r>
      <w:r>
        <w:rPr>
          <w:rFonts w:ascii="Arial" w:cs="Arial" w:eastAsia="Arial" w:hAnsi="Arial"/>
          <w:sz w:val="20"/>
          <w:szCs w:val="20"/>
          <w:b w:val="1"/>
          <w:bCs w:val="1"/>
          <w:u w:val="single" w:color="auto"/>
          <w:color w:val="000000"/>
        </w:rPr>
        <w:t>Entire Agreement</w:t>
      </w:r>
      <w:r>
        <w:rPr>
          <w:rFonts w:ascii="Arial" w:cs="Arial" w:eastAsia="Arial" w:hAnsi="Arial"/>
          <w:sz w:val="20"/>
          <w:szCs w:val="20"/>
          <w:color w:val="000000"/>
        </w:rPr>
        <w:t>. This Agreement, together with (if applicable) any individual services, severance</w:t>
      </w:r>
      <w:r>
        <w:rPr>
          <w:rFonts w:ascii="Arial" w:cs="Arial" w:eastAsia="Arial" w:hAnsi="Arial"/>
          <w:sz w:val="20"/>
          <w:szCs w:val="20"/>
          <w:color w:val="010000"/>
        </w:rPr>
        <w:t xml:space="preserve"> </w:t>
      </w:r>
      <w:r>
        <w:rPr>
          <w:rFonts w:ascii="Arial" w:cs="Arial" w:eastAsia="Arial" w:hAnsi="Arial"/>
          <w:sz w:val="20"/>
          <w:szCs w:val="20"/>
          <w:color w:val="000000"/>
        </w:rPr>
        <w:t>or employment agreement between Participant and the Company or one of its Affiliates, constitutes the entire agreement between the parties with respect to the Award granted hereunder and supersedes all prior agreements and understandings, both oral and written, between the parties with respect to such Award.</w:t>
      </w:r>
    </w:p>
    <w:p>
      <w:pPr>
        <w:spacing w:after="0" w:line="150" w:lineRule="exact"/>
        <w:rPr>
          <w:sz w:val="20"/>
          <w:szCs w:val="20"/>
          <w:color w:val="auto"/>
        </w:rPr>
      </w:pPr>
    </w:p>
    <w:p>
      <w:pPr>
        <w:ind w:left="80" w:right="340" w:firstLine="636"/>
        <w:spacing w:after="0" w:line="245" w:lineRule="auto"/>
        <w:rPr>
          <w:sz w:val="20"/>
          <w:szCs w:val="20"/>
          <w:color w:val="auto"/>
        </w:rPr>
      </w:pPr>
      <w:r>
        <w:rPr>
          <w:rFonts w:ascii="Arial" w:cs="Arial" w:eastAsia="Arial" w:hAnsi="Arial"/>
          <w:sz w:val="21"/>
          <w:szCs w:val="21"/>
          <w:color w:val="010000"/>
        </w:rPr>
        <w:t xml:space="preserve">7.10 </w:t>
      </w:r>
      <w:r>
        <w:rPr>
          <w:rFonts w:ascii="Arial" w:cs="Arial" w:eastAsia="Arial" w:hAnsi="Arial"/>
          <w:sz w:val="21"/>
          <w:szCs w:val="21"/>
          <w:b w:val="1"/>
          <w:bCs w:val="1"/>
          <w:u w:val="single" w:color="auto"/>
          <w:color w:val="000000"/>
        </w:rPr>
        <w:t>Section Headings; Construction</w:t>
      </w:r>
      <w:r>
        <w:rPr>
          <w:rFonts w:ascii="Arial" w:cs="Arial" w:eastAsia="Arial" w:hAnsi="Arial"/>
          <w:sz w:val="21"/>
          <w:szCs w:val="21"/>
          <w:color w:val="000000"/>
        </w:rPr>
        <w:t>. The section headings contained herein are for the purpose of</w:t>
      </w:r>
      <w:r>
        <w:rPr>
          <w:rFonts w:ascii="Arial" w:cs="Arial" w:eastAsia="Arial" w:hAnsi="Arial"/>
          <w:sz w:val="21"/>
          <w:szCs w:val="21"/>
          <w:color w:val="010000"/>
        </w:rPr>
        <w:t xml:space="preserve"> </w:t>
      </w:r>
      <w:r>
        <w:rPr>
          <w:rFonts w:ascii="Arial" w:cs="Arial" w:eastAsia="Arial" w:hAnsi="Arial"/>
          <w:sz w:val="21"/>
          <w:szCs w:val="21"/>
          <w:color w:val="000000"/>
        </w:rPr>
        <w:t>convenience only and are not intended to define or limit the contents of the sections. All words used in this Agreement shall be construed to be of such gender or number, as the circumstances require. Unless otherwise expressly provided, the word “including” does not limit the preceding words or terms and the word “or” is not exclusive.</w:t>
      </w:r>
    </w:p>
    <w:p>
      <w:pPr>
        <w:spacing w:after="0" w:line="172" w:lineRule="exact"/>
        <w:rPr>
          <w:sz w:val="20"/>
          <w:szCs w:val="20"/>
          <w:color w:val="auto"/>
        </w:rPr>
      </w:pPr>
    </w:p>
    <w:p>
      <w:pPr>
        <w:ind w:left="80" w:firstLine="636"/>
        <w:spacing w:after="0" w:line="274" w:lineRule="auto"/>
        <w:rPr>
          <w:sz w:val="20"/>
          <w:szCs w:val="20"/>
          <w:color w:val="auto"/>
        </w:rPr>
      </w:pPr>
      <w:r>
        <w:rPr>
          <w:rFonts w:ascii="Arial" w:cs="Arial" w:eastAsia="Arial" w:hAnsi="Arial"/>
          <w:sz w:val="19"/>
          <w:szCs w:val="19"/>
          <w:color w:val="010000"/>
        </w:rPr>
        <w:t xml:space="preserve">7.11 </w:t>
      </w:r>
      <w:r>
        <w:rPr>
          <w:rFonts w:ascii="Arial" w:cs="Arial" w:eastAsia="Arial" w:hAnsi="Arial"/>
          <w:sz w:val="19"/>
          <w:szCs w:val="19"/>
          <w:b w:val="1"/>
          <w:bCs w:val="1"/>
          <w:u w:val="single" w:color="auto"/>
          <w:color w:val="000000"/>
        </w:rPr>
        <w:t>Severability</w:t>
      </w:r>
      <w:r>
        <w:rPr>
          <w:rFonts w:ascii="Arial" w:cs="Arial" w:eastAsia="Arial" w:hAnsi="Arial"/>
          <w:sz w:val="19"/>
          <w:szCs w:val="19"/>
          <w:color w:val="000000"/>
        </w:rPr>
        <w:t>. Except as otherwise provided herein, if one or more provisions of this Agreement are</w:t>
      </w:r>
      <w:r>
        <w:rPr>
          <w:rFonts w:ascii="Arial" w:cs="Arial" w:eastAsia="Arial" w:hAnsi="Arial"/>
          <w:sz w:val="19"/>
          <w:szCs w:val="19"/>
          <w:color w:val="010000"/>
        </w:rPr>
        <w:t xml:space="preserve"> </w:t>
      </w:r>
      <w:r>
        <w:rPr>
          <w:rFonts w:ascii="Arial" w:cs="Arial" w:eastAsia="Arial" w:hAnsi="Arial"/>
          <w:sz w:val="19"/>
          <w:szCs w:val="19"/>
          <w:color w:val="000000"/>
        </w:rPr>
        <w:t>held to be unenforceable under applicable law, such provision shall be deemed to be excluded from this Agreement and the balance of this Agreement shall be interpreted as if such provision were so excluded and shall be enforced in accordance with its terms to the maximum extent permitted by law. Furthermore, a determination in any jurisdiction that this Agreement, in whole or in part, is invalid, illegal or unenforceable shall not in any way affect or impair the validity, legality or enforceability of this Agreement in any other jurisdiction.</w:t>
      </w:r>
    </w:p>
    <w:p>
      <w:pPr>
        <w:spacing w:after="0" w:line="146" w:lineRule="exact"/>
        <w:rPr>
          <w:sz w:val="20"/>
          <w:szCs w:val="20"/>
          <w:color w:val="auto"/>
        </w:rPr>
      </w:pPr>
    </w:p>
    <w:p>
      <w:pPr>
        <w:ind w:right="40" w:firstLine="636"/>
        <w:spacing w:after="0" w:line="272" w:lineRule="auto"/>
        <w:rPr>
          <w:sz w:val="20"/>
          <w:szCs w:val="20"/>
          <w:color w:val="auto"/>
        </w:rPr>
      </w:pPr>
      <w:r>
        <w:rPr>
          <w:rFonts w:ascii="Arial" w:cs="Arial" w:eastAsia="Arial" w:hAnsi="Arial"/>
          <w:sz w:val="21"/>
          <w:szCs w:val="21"/>
          <w:color w:val="010000"/>
        </w:rPr>
        <w:t xml:space="preserve">7.12 </w:t>
      </w:r>
      <w:r>
        <w:rPr>
          <w:rFonts w:ascii="Arial" w:cs="Arial" w:eastAsia="Arial" w:hAnsi="Arial"/>
          <w:sz w:val="21"/>
          <w:szCs w:val="21"/>
          <w:b w:val="1"/>
          <w:bCs w:val="1"/>
          <w:u w:val="single" w:color="auto"/>
          <w:color w:val="000000"/>
        </w:rPr>
        <w:t>Interpretation</w:t>
      </w:r>
      <w:r>
        <w:rPr>
          <w:rFonts w:ascii="Arial" w:cs="Arial" w:eastAsia="Arial" w:hAnsi="Arial"/>
          <w:sz w:val="21"/>
          <w:szCs w:val="21"/>
          <w:color w:val="000000"/>
        </w:rPr>
        <w:t>. The headings contained in this Agreement are for reference purposes only and shall</w:t>
      </w:r>
      <w:r>
        <w:rPr>
          <w:rFonts w:ascii="Arial" w:cs="Arial" w:eastAsia="Arial" w:hAnsi="Arial"/>
          <w:sz w:val="21"/>
          <w:szCs w:val="21"/>
          <w:color w:val="010000"/>
        </w:rPr>
        <w:t xml:space="preserve"> </w:t>
      </w:r>
      <w:r>
        <w:rPr>
          <w:rFonts w:ascii="Arial" w:cs="Arial" w:eastAsia="Arial" w:hAnsi="Arial"/>
          <w:sz w:val="21"/>
          <w:szCs w:val="21"/>
          <w:color w:val="000000"/>
        </w:rPr>
        <w:t>not affect in any way the meaning or interpretation of this Agreement.</w:t>
      </w:r>
    </w:p>
    <w:p>
      <w:pPr>
        <w:spacing w:after="0" w:line="142" w:lineRule="exact"/>
        <w:rPr>
          <w:sz w:val="20"/>
          <w:szCs w:val="20"/>
          <w:color w:val="auto"/>
        </w:rPr>
      </w:pPr>
    </w:p>
    <w:p>
      <w:pPr>
        <w:ind w:right="160" w:firstLine="636"/>
        <w:spacing w:after="0" w:line="248" w:lineRule="auto"/>
        <w:rPr>
          <w:sz w:val="20"/>
          <w:szCs w:val="20"/>
          <w:color w:val="auto"/>
        </w:rPr>
      </w:pPr>
      <w:r>
        <w:rPr>
          <w:rFonts w:ascii="Arial" w:cs="Arial" w:eastAsia="Arial" w:hAnsi="Arial"/>
          <w:sz w:val="21"/>
          <w:szCs w:val="21"/>
          <w:color w:val="010000"/>
        </w:rPr>
        <w:t xml:space="preserve">7.13 </w:t>
      </w:r>
      <w:r>
        <w:rPr>
          <w:rFonts w:ascii="Arial" w:cs="Arial" w:eastAsia="Arial" w:hAnsi="Arial"/>
          <w:sz w:val="21"/>
          <w:szCs w:val="21"/>
          <w:b w:val="1"/>
          <w:bCs w:val="1"/>
          <w:u w:val="single" w:color="auto"/>
          <w:color w:val="000000"/>
        </w:rPr>
        <w:t>Participant’s Employment with the Company</w:t>
      </w:r>
      <w:r>
        <w:rPr>
          <w:rFonts w:ascii="Arial" w:cs="Arial" w:eastAsia="Arial" w:hAnsi="Arial"/>
          <w:sz w:val="21"/>
          <w:szCs w:val="21"/>
          <w:color w:val="000000"/>
        </w:rPr>
        <w:t>. Nothing contained in this Agreement shall be</w:t>
      </w:r>
      <w:r>
        <w:rPr>
          <w:rFonts w:ascii="Arial" w:cs="Arial" w:eastAsia="Arial" w:hAnsi="Arial"/>
          <w:sz w:val="21"/>
          <w:szCs w:val="21"/>
          <w:color w:val="010000"/>
        </w:rPr>
        <w:t xml:space="preserve"> </w:t>
      </w:r>
      <w:r>
        <w:rPr>
          <w:rFonts w:ascii="Arial" w:cs="Arial" w:eastAsia="Arial" w:hAnsi="Arial"/>
          <w:sz w:val="21"/>
          <w:szCs w:val="21"/>
          <w:color w:val="000000"/>
        </w:rPr>
        <w:t>deemed to obligate the Company or any of its Affiliates to continue the employment of Participant in any capacity whatsoever or to prohibit or restrict the Company or any of its Affiliates from terminating the employment of Participant at any time or for any reason whatsoever, with or without Cause.</w:t>
      </w:r>
    </w:p>
    <w:p>
      <w:pPr>
        <w:spacing w:after="0" w:line="168" w:lineRule="exact"/>
        <w:rPr>
          <w:sz w:val="20"/>
          <w:szCs w:val="20"/>
          <w:color w:val="auto"/>
        </w:rPr>
      </w:pPr>
    </w:p>
    <w:p>
      <w:pPr>
        <w:ind w:right="240" w:firstLine="636"/>
        <w:spacing w:after="0" w:line="254" w:lineRule="auto"/>
        <w:rPr>
          <w:sz w:val="20"/>
          <w:szCs w:val="20"/>
          <w:color w:val="auto"/>
        </w:rPr>
      </w:pPr>
      <w:r>
        <w:rPr>
          <w:rFonts w:ascii="Arial" w:cs="Arial" w:eastAsia="Arial" w:hAnsi="Arial"/>
          <w:sz w:val="21"/>
          <w:szCs w:val="21"/>
          <w:color w:val="010000"/>
        </w:rPr>
        <w:t xml:space="preserve">7.14 </w:t>
      </w:r>
      <w:r>
        <w:rPr>
          <w:rFonts w:ascii="Arial" w:cs="Arial" w:eastAsia="Arial" w:hAnsi="Arial"/>
          <w:sz w:val="21"/>
          <w:szCs w:val="21"/>
          <w:b w:val="1"/>
          <w:bCs w:val="1"/>
          <w:u w:val="single" w:color="auto"/>
          <w:color w:val="000000"/>
        </w:rPr>
        <w:t>Withholding Taxes</w:t>
      </w:r>
      <w:r>
        <w:rPr>
          <w:rFonts w:ascii="Arial" w:cs="Arial" w:eastAsia="Arial" w:hAnsi="Arial"/>
          <w:sz w:val="21"/>
          <w:szCs w:val="21"/>
          <w:color w:val="000000"/>
        </w:rPr>
        <w:t>. Participant acknowledges and agrees that the delivery of Shares or Dividend</w:t>
      </w:r>
      <w:r>
        <w:rPr>
          <w:rFonts w:ascii="Arial" w:cs="Arial" w:eastAsia="Arial" w:hAnsi="Arial"/>
          <w:sz w:val="21"/>
          <w:szCs w:val="21"/>
          <w:color w:val="010000"/>
        </w:rPr>
        <w:t xml:space="preserve"> </w:t>
      </w:r>
      <w:r>
        <w:rPr>
          <w:rFonts w:ascii="Arial" w:cs="Arial" w:eastAsia="Arial" w:hAnsi="Arial"/>
          <w:sz w:val="21"/>
          <w:szCs w:val="21"/>
          <w:color w:val="000000"/>
        </w:rPr>
        <w:t>Equivalents pursuant to this Agreement is conditioned on satisfaction of any applicable withholding taxes in accordance with Section 12(d) of the Plan.</w:t>
      </w:r>
    </w:p>
    <w:p>
      <w:pPr>
        <w:spacing w:after="0" w:line="16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010000"/>
        </w:rPr>
        <w:t>7.15</w:t>
      </w:r>
      <w:r>
        <w:rPr>
          <w:sz w:val="20"/>
          <w:szCs w:val="20"/>
          <w:color w:val="auto"/>
        </w:rPr>
        <w:tab/>
      </w:r>
      <w:r>
        <w:rPr>
          <w:rFonts w:ascii="Arial" w:cs="Arial" w:eastAsia="Arial" w:hAnsi="Arial"/>
          <w:sz w:val="19"/>
          <w:szCs w:val="19"/>
          <w:b w:val="1"/>
          <w:bCs w:val="1"/>
          <w:u w:val="single" w:color="auto"/>
          <w:color w:val="auto"/>
        </w:rPr>
        <w:t>Section 409A of the Code</w:t>
      </w:r>
      <w:r>
        <w:rPr>
          <w:rFonts w:ascii="Arial" w:cs="Arial" w:eastAsia="Arial" w:hAnsi="Arial"/>
          <w:sz w:val="19"/>
          <w:szCs w:val="19"/>
          <w:color w:val="auto"/>
        </w:rPr>
        <w:t>. This Agreement is intended to comply with the requirements of Section</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409A of the Code or an exemption or exclusion therefrom and, with respect to amounts that are subject to Section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409A of the Code, it is intended that this Agreement be administered in all respects in accordance with Section</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409A of the Code.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774065</wp:posOffset>
            </wp:positionV>
            <wp:extent cx="629348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860"/>
          </w:cols>
          <w:pgMar w:left="980" w:top="1099" w:right="1059" w:bottom="1440" w:gutter="0" w:footer="0" w:header="0"/>
        </w:sectPr>
      </w:pPr>
    </w:p>
    <w:bookmarkStart w:id="62" w:name="page63"/>
    <w:bookmarkEnd w:id="62"/>
    <w:p>
      <w:pPr>
        <w:spacing w:after="0" w:line="267" w:lineRule="auto"/>
        <w:rPr>
          <w:sz w:val="20"/>
          <w:szCs w:val="20"/>
          <w:color w:val="auto"/>
        </w:rPr>
      </w:pPr>
      <w:r>
        <w:rPr>
          <w:rFonts w:ascii="Arial" w:cs="Arial" w:eastAsia="Arial" w:hAnsi="Arial"/>
          <w:sz w:val="19"/>
          <w:szCs w:val="19"/>
          <w:color w:val="auto"/>
        </w:rPr>
        <w:t>payment under the Award shall be treated as a separate payment for purposes of Section 409A of the Code. In no event may Participant, directly or indirectly, designate the calendar year of any payment to be made under the Award to the extent that it constitutes nonqualified deferred compensation subject to Section 409A of the Code. Notwithstanding any other provision of this Agreement to the contrary, if Participant is a “specified employee” within the meaning of Section 409A of the Code (as determined in accordance with the methodology established by the Company), amounts that constitute “nonqualified deferred compensation” within the meaning of Section 409A of the Code that otherwise would be payable by reason of Participant’s Separation from Service during the six (6)-month period immediately following such Separation from Service shall instead be paid or provided on the first (1st) business day following the date that is six (6) months following Participant’s Separation from Service or any earlier date permitted by Section 409A of the Code. If Participant dies following the Separation from Service and prior to the payment of any amounts delayed on account of Section 409A of the Code, such amounts shall be paid to the personal representative of Participant’s estate within thirty (30) days following the date of Participant’s death.</w:t>
      </w:r>
    </w:p>
    <w:p>
      <w:pPr>
        <w:spacing w:after="0" w:line="151" w:lineRule="exact"/>
        <w:rPr>
          <w:sz w:val="20"/>
          <w:szCs w:val="20"/>
          <w:color w:val="auto"/>
        </w:rPr>
      </w:pPr>
    </w:p>
    <w:p>
      <w:pPr>
        <w:ind w:left="80" w:right="20" w:firstLine="636"/>
        <w:spacing w:after="0" w:line="245" w:lineRule="auto"/>
        <w:rPr>
          <w:sz w:val="20"/>
          <w:szCs w:val="20"/>
          <w:color w:val="auto"/>
        </w:rPr>
      </w:pPr>
      <w:r>
        <w:rPr>
          <w:rFonts w:ascii="Arial" w:cs="Arial" w:eastAsia="Arial" w:hAnsi="Arial"/>
          <w:sz w:val="21"/>
          <w:szCs w:val="21"/>
          <w:color w:val="010000"/>
        </w:rPr>
        <w:t xml:space="preserve">7.16 </w:t>
      </w:r>
      <w:r>
        <w:rPr>
          <w:rFonts w:ascii="Arial" w:cs="Arial" w:eastAsia="Arial" w:hAnsi="Arial"/>
          <w:sz w:val="21"/>
          <w:szCs w:val="21"/>
          <w:b w:val="1"/>
          <w:bCs w:val="1"/>
          <w:u w:val="single" w:color="auto"/>
          <w:color w:val="000000"/>
        </w:rPr>
        <w:t>Further Assurances</w:t>
      </w:r>
      <w:r>
        <w:rPr>
          <w:rFonts w:ascii="Arial" w:cs="Arial" w:eastAsia="Arial" w:hAnsi="Arial"/>
          <w:sz w:val="21"/>
          <w:szCs w:val="21"/>
          <w:color w:val="000000"/>
        </w:rPr>
        <w:t>. Participant agrees to execute all such certificates and other documents and</w:t>
      </w:r>
      <w:r>
        <w:rPr>
          <w:rFonts w:ascii="Arial" w:cs="Arial" w:eastAsia="Arial" w:hAnsi="Arial"/>
          <w:sz w:val="21"/>
          <w:szCs w:val="21"/>
          <w:color w:val="010000"/>
        </w:rPr>
        <w:t xml:space="preserve"> </w:t>
      </w:r>
      <w:r>
        <w:rPr>
          <w:rFonts w:ascii="Arial" w:cs="Arial" w:eastAsia="Arial" w:hAnsi="Arial"/>
          <w:sz w:val="21"/>
          <w:szCs w:val="21"/>
          <w:color w:val="000000"/>
        </w:rPr>
        <w:t>instruments and shall do other acts as the Company reasonably deems appropriate to effectuate and perform the provisions of this Agreement and the transactions hereunder and to comply with the requirements of applicable law, including all agreements, certificates, tax statements and other documents as may be required to be filed in respect of the Company or any Subsidiary.</w:t>
      </w:r>
    </w:p>
    <w:p>
      <w:pPr>
        <w:spacing w:after="0" w:line="172" w:lineRule="exact"/>
        <w:rPr>
          <w:sz w:val="20"/>
          <w:szCs w:val="20"/>
          <w:color w:val="auto"/>
        </w:rPr>
      </w:pPr>
    </w:p>
    <w:p>
      <w:pPr>
        <w:ind w:right="200" w:firstLine="636"/>
        <w:spacing w:after="0" w:line="261" w:lineRule="auto"/>
        <w:rPr>
          <w:sz w:val="20"/>
          <w:szCs w:val="20"/>
          <w:color w:val="auto"/>
        </w:rPr>
      </w:pPr>
      <w:r>
        <w:rPr>
          <w:rFonts w:ascii="Arial" w:cs="Arial" w:eastAsia="Arial" w:hAnsi="Arial"/>
          <w:sz w:val="20"/>
          <w:szCs w:val="20"/>
          <w:color w:val="010000"/>
        </w:rPr>
        <w:t xml:space="preserve">7.17 </w:t>
      </w:r>
      <w:r>
        <w:rPr>
          <w:rFonts w:ascii="Arial" w:cs="Arial" w:eastAsia="Arial" w:hAnsi="Arial"/>
          <w:sz w:val="20"/>
          <w:szCs w:val="20"/>
          <w:b w:val="1"/>
          <w:bCs w:val="1"/>
          <w:u w:val="single" w:color="auto"/>
          <w:color w:val="000000"/>
        </w:rPr>
        <w:t>Rights as Stockholder</w:t>
      </w:r>
      <w:r>
        <w:rPr>
          <w:rFonts w:ascii="Arial" w:cs="Arial" w:eastAsia="Arial" w:hAnsi="Arial"/>
          <w:sz w:val="20"/>
          <w:szCs w:val="20"/>
          <w:color w:val="000000"/>
        </w:rPr>
        <w:t>. Until the issuance of the Shares underlying a Restricted Stock Unit (as</w:t>
      </w:r>
      <w:r>
        <w:rPr>
          <w:rFonts w:ascii="Arial" w:cs="Arial" w:eastAsia="Arial" w:hAnsi="Arial"/>
          <w:sz w:val="20"/>
          <w:szCs w:val="20"/>
          <w:color w:val="010000"/>
        </w:rPr>
        <w:t xml:space="preserve"> </w:t>
      </w:r>
      <w:r>
        <w:rPr>
          <w:rFonts w:ascii="Arial" w:cs="Arial" w:eastAsia="Arial" w:hAnsi="Arial"/>
          <w:sz w:val="20"/>
          <w:szCs w:val="20"/>
          <w:color w:val="000000"/>
        </w:rPr>
        <w:t>evidenced by the appropriate entry on the books of the Company or of a duly authorized transfer agent of the Company), no right to vote or receive dividends or any other rights as a holder of Shares shall exist with respect to such Restricted Stock Unit. No adjustment shall be made for a dividend or other right for which the record date is prior to the date the Shares are issued, except as provided in Section 6 or in the Plan.</w:t>
      </w:r>
    </w:p>
    <w:p>
      <w:pPr>
        <w:spacing w:after="0" w:line="160" w:lineRule="exact"/>
        <w:rPr>
          <w:sz w:val="20"/>
          <w:szCs w:val="20"/>
          <w:color w:val="auto"/>
        </w:rPr>
      </w:pPr>
    </w:p>
    <w:p>
      <w:pPr>
        <w:jc w:val="center"/>
        <w:spacing w:after="0"/>
        <w:tabs>
          <w:tab w:leader="none" w:pos="240" w:val="left"/>
          <w:tab w:leader="none" w:pos="260" w:val="left"/>
          <w:tab w:leader="none" w:pos="240" w:val="left"/>
          <w:tab w:leader="none" w:pos="260" w:val="left"/>
        </w:tabs>
        <w:rPr>
          <w:sz w:val="20"/>
          <w:szCs w:val="20"/>
          <w:color w:val="auto"/>
        </w:rPr>
      </w:pPr>
      <w:r>
        <w:rPr>
          <w:rFonts w:ascii="Arial" w:cs="Arial" w:eastAsia="Arial" w:hAnsi="Arial"/>
          <w:sz w:val="21"/>
          <w:szCs w:val="21"/>
          <w:color w:val="auto"/>
        </w:rPr>
        <w:t>*</w:t>
        <w:tab/>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629348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6293485" cy="25400"/>
                    </a:xfrm>
                    <a:prstGeom prst="rect">
                      <a:avLst/>
                    </a:prstGeom>
                    <a:noFill/>
                  </pic:spPr>
                </pic:pic>
              </a:graphicData>
            </a:graphic>
          </wp:anchor>
        </w:drawing>
      </w:r>
    </w:p>
    <w:p>
      <w:pPr>
        <w:sectPr>
          <w:pgSz w:w="11900" w:h="16838" w:orient="portrait"/>
          <w:cols w:equalWidth="0" w:num="1">
            <w:col w:w="9920"/>
          </w:cols>
          <w:pgMar w:left="980" w:top="1099" w:right="9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CERTIFICATION PURSUANT TO</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ind w:left="1440"/>
        <w:spacing w:after="0"/>
        <w:rPr>
          <w:sz w:val="20"/>
          <w:szCs w:val="20"/>
          <w:color w:val="auto"/>
        </w:rPr>
      </w:pPr>
      <w:r>
        <w:rPr>
          <w:rFonts w:ascii="Arial" w:cs="Arial" w:eastAsia="Arial" w:hAnsi="Arial"/>
          <w:sz w:val="18"/>
          <w:szCs w:val="18"/>
          <w:b w:val="1"/>
          <w:bCs w:val="1"/>
          <w:color w:val="auto"/>
        </w:rPr>
        <w:t>AS ADOPTED PURSUANT TO SECTION 302 OF THE SARBANES-OXLEY ACT OF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Scott T. Ford, certify that:</w:t>
      </w:r>
    </w:p>
    <w:p>
      <w:pPr>
        <w:spacing w:after="0" w:line="217" w:lineRule="exact"/>
        <w:rPr>
          <w:sz w:val="20"/>
          <w:szCs w:val="20"/>
          <w:color w:val="auto"/>
        </w:rPr>
      </w:pPr>
    </w:p>
    <w:p>
      <w:pPr>
        <w:ind w:left="320" w:hanging="313"/>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Westrock Coffee Company;</w:t>
      </w:r>
    </w:p>
    <w:p>
      <w:pPr>
        <w:spacing w:after="0" w:line="217" w:lineRule="exact"/>
        <w:rPr>
          <w:rFonts w:ascii="Arial" w:cs="Arial" w:eastAsia="Arial" w:hAnsi="Arial"/>
          <w:sz w:val="18"/>
          <w:szCs w:val="18"/>
          <w:color w:val="auto"/>
        </w:rPr>
      </w:pPr>
    </w:p>
    <w:p>
      <w:pPr>
        <w:ind w:left="320" w:hanging="313"/>
        <w:spacing w:after="0" w:line="247"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320" w:right="60" w:hanging="313"/>
        <w:spacing w:after="0" w:line="347"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5"/>
          <w:szCs w:val="15"/>
          <w:color w:val="auto"/>
        </w:rPr>
      </w:pPr>
    </w:p>
    <w:p>
      <w:pPr>
        <w:ind w:left="320" w:right="260" w:hanging="313"/>
        <w:spacing w:after="0" w:line="264"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ind w:left="960" w:right="20" w:hanging="317"/>
        <w:spacing w:after="0" w:line="330" w:lineRule="auto"/>
        <w:tabs>
          <w:tab w:leader="none" w:pos="960" w:val="left"/>
        </w:tabs>
        <w:numPr>
          <w:ilvl w:val="1"/>
          <w:numId w:val="1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5"/>
          <w:szCs w:val="15"/>
          <w:color w:val="auto"/>
        </w:rPr>
      </w:pPr>
    </w:p>
    <w:p>
      <w:pPr>
        <w:ind w:left="960" w:hanging="317"/>
        <w:spacing w:after="0"/>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[Reserved];</w:t>
      </w:r>
    </w:p>
    <w:p>
      <w:pPr>
        <w:spacing w:after="0" w:line="217" w:lineRule="exact"/>
        <w:rPr>
          <w:rFonts w:ascii="Arial" w:cs="Arial" w:eastAsia="Arial" w:hAnsi="Arial"/>
          <w:sz w:val="18"/>
          <w:szCs w:val="18"/>
          <w:color w:val="auto"/>
        </w:rPr>
      </w:pPr>
    </w:p>
    <w:p>
      <w:pPr>
        <w:ind w:left="960" w:right="120" w:hanging="317"/>
        <w:spacing w:after="0" w:line="255"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8"/>
          <w:szCs w:val="18"/>
          <w:color w:val="auto"/>
        </w:rPr>
      </w:pPr>
    </w:p>
    <w:p>
      <w:pPr>
        <w:ind w:left="960" w:right="160" w:hanging="317"/>
        <w:spacing w:after="0" w:line="330" w:lineRule="auto"/>
        <w:tabs>
          <w:tab w:leader="none" w:pos="980" w:val="left"/>
        </w:tabs>
        <w:numPr>
          <w:ilvl w:val="1"/>
          <w:numId w:val="1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5"/>
          <w:szCs w:val="15"/>
          <w:color w:val="auto"/>
        </w:rPr>
      </w:pPr>
    </w:p>
    <w:p>
      <w:pPr>
        <w:ind w:left="320" w:right="380" w:hanging="313"/>
        <w:spacing w:after="0" w:line="255"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8"/>
          <w:szCs w:val="18"/>
          <w:color w:val="auto"/>
        </w:rPr>
      </w:pPr>
    </w:p>
    <w:p>
      <w:pPr>
        <w:ind w:left="960" w:right="380" w:hanging="317"/>
        <w:spacing w:after="0" w:line="247" w:lineRule="auto"/>
        <w:tabs>
          <w:tab w:leader="none" w:pos="9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960" w:right="740" w:hanging="317"/>
        <w:spacing w:after="0" w:line="264" w:lineRule="auto"/>
        <w:tabs>
          <w:tab w:leader="none" w:pos="9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31127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Scott T. Ford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629348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CERTIFICATION PURSUANT TO</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ind w:left="1440"/>
        <w:spacing w:after="0"/>
        <w:rPr>
          <w:sz w:val="20"/>
          <w:szCs w:val="20"/>
          <w:color w:val="auto"/>
        </w:rPr>
      </w:pPr>
      <w:r>
        <w:rPr>
          <w:rFonts w:ascii="Arial" w:cs="Arial" w:eastAsia="Arial" w:hAnsi="Arial"/>
          <w:sz w:val="18"/>
          <w:szCs w:val="18"/>
          <w:b w:val="1"/>
          <w:bCs w:val="1"/>
          <w:color w:val="auto"/>
        </w:rPr>
        <w:t>AS ADOPTED PURSUANT TO SECTION 302 OF THE SARBANES-OXLEY ACT OF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T. Christopher Pledger, certify that:</w:t>
      </w:r>
    </w:p>
    <w:p>
      <w:pPr>
        <w:spacing w:after="0" w:line="217" w:lineRule="exact"/>
        <w:rPr>
          <w:sz w:val="20"/>
          <w:szCs w:val="20"/>
          <w:color w:val="auto"/>
        </w:rPr>
      </w:pPr>
    </w:p>
    <w:p>
      <w:pPr>
        <w:ind w:left="320" w:hanging="313"/>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Westrock Coffee Company;</w:t>
      </w:r>
    </w:p>
    <w:p>
      <w:pPr>
        <w:spacing w:after="0" w:line="217" w:lineRule="exact"/>
        <w:rPr>
          <w:rFonts w:ascii="Arial" w:cs="Arial" w:eastAsia="Arial" w:hAnsi="Arial"/>
          <w:sz w:val="18"/>
          <w:szCs w:val="18"/>
          <w:color w:val="auto"/>
        </w:rPr>
      </w:pPr>
    </w:p>
    <w:p>
      <w:pPr>
        <w:ind w:left="320" w:hanging="313"/>
        <w:spacing w:after="0" w:line="24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320" w:right="60" w:hanging="313"/>
        <w:spacing w:after="0" w:line="347" w:lineRule="auto"/>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5"/>
          <w:szCs w:val="15"/>
          <w:color w:val="auto"/>
        </w:rPr>
      </w:pPr>
    </w:p>
    <w:p>
      <w:pPr>
        <w:ind w:left="320" w:right="260" w:hanging="313"/>
        <w:spacing w:after="0" w:line="264"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ind w:left="960" w:right="20" w:hanging="317"/>
        <w:spacing w:after="0" w:line="330" w:lineRule="auto"/>
        <w:tabs>
          <w:tab w:leader="none" w:pos="960" w:val="left"/>
        </w:tabs>
        <w:numPr>
          <w:ilvl w:val="1"/>
          <w:numId w:val="1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5"/>
          <w:szCs w:val="15"/>
          <w:color w:val="auto"/>
        </w:rPr>
      </w:pPr>
    </w:p>
    <w:p>
      <w:pPr>
        <w:ind w:left="960" w:hanging="317"/>
        <w:spacing w:after="0"/>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[Reserved];</w:t>
      </w:r>
    </w:p>
    <w:p>
      <w:pPr>
        <w:spacing w:after="0" w:line="217" w:lineRule="exact"/>
        <w:rPr>
          <w:rFonts w:ascii="Arial" w:cs="Arial" w:eastAsia="Arial" w:hAnsi="Arial"/>
          <w:sz w:val="18"/>
          <w:szCs w:val="18"/>
          <w:color w:val="auto"/>
        </w:rPr>
      </w:pPr>
    </w:p>
    <w:p>
      <w:pPr>
        <w:ind w:left="960" w:right="120" w:hanging="317"/>
        <w:spacing w:after="0" w:line="255" w:lineRule="auto"/>
        <w:tabs>
          <w:tab w:leader="none" w:pos="9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8"/>
          <w:szCs w:val="18"/>
          <w:color w:val="auto"/>
        </w:rPr>
      </w:pPr>
    </w:p>
    <w:p>
      <w:pPr>
        <w:ind w:left="960" w:right="160" w:hanging="317"/>
        <w:spacing w:after="0" w:line="330" w:lineRule="auto"/>
        <w:tabs>
          <w:tab w:leader="none" w:pos="9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5"/>
          <w:szCs w:val="15"/>
          <w:color w:val="auto"/>
        </w:rPr>
      </w:pPr>
    </w:p>
    <w:p>
      <w:pPr>
        <w:ind w:left="320" w:right="380" w:hanging="313"/>
        <w:spacing w:after="0" w:line="255"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8"/>
          <w:szCs w:val="18"/>
          <w:color w:val="auto"/>
        </w:rPr>
      </w:pPr>
    </w:p>
    <w:p>
      <w:pPr>
        <w:ind w:left="960" w:right="380" w:hanging="317"/>
        <w:spacing w:after="0" w:line="247" w:lineRule="auto"/>
        <w:tabs>
          <w:tab w:leader="none" w:pos="96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960" w:right="740" w:hanging="317"/>
        <w:spacing w:after="0" w:line="264" w:lineRule="auto"/>
        <w:tabs>
          <w:tab w:leader="none" w:pos="9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216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 Christopher Pledger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629348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6293485" cy="1651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2"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right="20" w:firstLine="636"/>
        <w:spacing w:after="0" w:line="252" w:lineRule="auto"/>
        <w:rPr>
          <w:sz w:val="20"/>
          <w:szCs w:val="20"/>
          <w:color w:val="auto"/>
        </w:rPr>
      </w:pPr>
      <w:r>
        <w:rPr>
          <w:rFonts w:ascii="Arial" w:cs="Arial" w:eastAsia="Arial" w:hAnsi="Arial"/>
          <w:sz w:val="18"/>
          <w:szCs w:val="18"/>
          <w:color w:val="auto"/>
        </w:rPr>
        <w:t>In connection with the accompanying Quarterly Report of Westrock Coffee Company (the “Company”) on Form 10-Q for the period ended September 30, 2022,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spacing w:after="0" w:line="177" w:lineRule="exact"/>
        <w:rPr>
          <w:sz w:val="20"/>
          <w:szCs w:val="20"/>
          <w:color w:val="auto"/>
        </w:rPr>
      </w:pPr>
    </w:p>
    <w:p>
      <w:pPr>
        <w:ind w:left="640" w:hanging="315"/>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Section 15(d) of the Securities Exchange Act of 1934; and</w:t>
      </w:r>
    </w:p>
    <w:p>
      <w:pPr>
        <w:spacing w:after="0" w:line="251" w:lineRule="exact"/>
        <w:rPr>
          <w:rFonts w:ascii="Arial" w:cs="Arial" w:eastAsia="Arial" w:hAnsi="Arial"/>
          <w:sz w:val="15"/>
          <w:szCs w:val="15"/>
          <w:color w:val="auto"/>
        </w:rPr>
      </w:pPr>
    </w:p>
    <w:p>
      <w:pPr>
        <w:ind w:left="640" w:right="60" w:hanging="315"/>
        <w:spacing w:after="0" w:line="264"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962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Scott T. Ford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629348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2"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ind w:right="400" w:firstLine="636"/>
        <w:spacing w:after="0" w:line="252" w:lineRule="auto"/>
        <w:rPr>
          <w:sz w:val="20"/>
          <w:szCs w:val="20"/>
          <w:color w:val="auto"/>
        </w:rPr>
      </w:pPr>
      <w:r>
        <w:rPr>
          <w:rFonts w:ascii="Arial" w:cs="Arial" w:eastAsia="Arial" w:hAnsi="Arial"/>
          <w:sz w:val="18"/>
          <w:szCs w:val="18"/>
          <w:color w:val="auto"/>
        </w:rPr>
        <w:t>In connection with the accompanying Quarterly Report of Westrock Coffee Company (the “Company”) on Form 10-Q for the period ended September 30, 2022,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spacing w:after="0" w:line="177" w:lineRule="exact"/>
        <w:rPr>
          <w:sz w:val="20"/>
          <w:szCs w:val="20"/>
          <w:color w:val="auto"/>
        </w:rPr>
      </w:pPr>
    </w:p>
    <w:p>
      <w:pPr>
        <w:ind w:left="640" w:hanging="315"/>
        <w:spacing w:after="0"/>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Section 15(d) of the Securities Exchange Act of 1934; and</w:t>
      </w:r>
    </w:p>
    <w:p>
      <w:pPr>
        <w:spacing w:after="0" w:line="251" w:lineRule="exact"/>
        <w:rPr>
          <w:rFonts w:ascii="Arial" w:cs="Arial" w:eastAsia="Arial" w:hAnsi="Arial"/>
          <w:sz w:val="15"/>
          <w:szCs w:val="15"/>
          <w:color w:val="auto"/>
        </w:rPr>
      </w:pPr>
    </w:p>
    <w:p>
      <w:pPr>
        <w:ind w:left="640" w:right="60" w:hanging="315"/>
        <w:spacing w:after="0" w:line="264"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962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 Christopher Pledger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629348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6293485" cy="1714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1)"/>
      <w:numFmt w:val="lowerRoman"/>
      <w:start w:val="2"/>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lvl w:ilvl="1">
      <w:lvlJc w:val="left"/>
      <w:lvlText w:val="%2"/>
      <w:numFmt w:val="decimal"/>
      <w:start w:val="104"/>
    </w:lvl>
  </w:abstractNum>
  <w:abstractNum w:abstractNumId="12">
    <w:nsid w:val="25E45D32"/>
    <w:multiLevelType w:val="hybridMultilevel"/>
    <w:lvl w:ilvl="0">
      <w:lvlJc w:val="left"/>
      <w:lvlText w:val="**"/>
      <w:numFmt w:val="bullet"/>
      <w:start w:val="1"/>
    </w:lvl>
    <w:lvl w:ilvl="1">
      <w:lvlJc w:val="left"/>
      <w:lvlText w:val="%2"/>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6"/>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upperLetter"/>
      <w:start w:val="2"/>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71"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59" Type="http://schemas.openxmlformats.org/officeDocument/2006/relationships/hyperlink" Target="https://www.sec.gov/Archives/edgar/data/0001806347/000110465922085470/tm2212886-14_s4a.htm#tANNEA" TargetMode="External"/><Relationship Id="rId60" Type="http://schemas.openxmlformats.org/officeDocument/2006/relationships/hyperlink" Target="https://www.sec.gov/Archives/edgar/data/1806347/000155837022014048/west-20220630xex3d1.htm" TargetMode="External"/><Relationship Id="rId61" Type="http://schemas.openxmlformats.org/officeDocument/2006/relationships/hyperlink" Target="https://www.sec.gov/Archives/edgar/data/1806347/000155837022014048/west-20220630xex3d2.htm" TargetMode="External"/><Relationship Id="rId62" Type="http://schemas.openxmlformats.org/officeDocument/2006/relationships/hyperlink" Target="https://www.sec.gov/Archives/edgar/data/1806347/000155837022014048/west-20220630xex4d1.htm" TargetMode="External"/><Relationship Id="rId63" Type="http://schemas.openxmlformats.org/officeDocument/2006/relationships/hyperlink" Target="https://www.sec.gov/Archives/edgar/data/1806347/000110465922069935/tm2212886d6_ex4-5.htm" TargetMode="External"/><Relationship Id="rId64" Type="http://schemas.openxmlformats.org/officeDocument/2006/relationships/hyperlink" Target="https://www.sec.gov/Archives/edgar/data/1806347/000110465922080226/tm2212886d9_ex4-6.htm" TargetMode="External"/><Relationship Id="rId65" Type="http://schemas.openxmlformats.org/officeDocument/2006/relationships/hyperlink" Target="https://www.sec.gov/Archives/edgar/data/1806347/000110465922049310/tm2212886d2_ex4-8.htm" TargetMode="External"/><Relationship Id="rId66" Type="http://schemas.openxmlformats.org/officeDocument/2006/relationships/hyperlink" Target="https://www.sec.gov/Archives/edgar/data/1806347/000155837022014048/west-20220630xex10d3.htm" TargetMode="External"/><Relationship Id="rId67" Type="http://schemas.openxmlformats.org/officeDocument/2006/relationships/hyperlink" Target="https://www.sec.gov/Archives/edgar/data/1806347/000155837022014048/west-20220630xex10d4.htm" TargetMode="External"/><Relationship Id="rId68" Type="http://schemas.openxmlformats.org/officeDocument/2006/relationships/hyperlink" Target="https://www.sec.gov/Archives/edgar/data/1806347/000155837022014048/west-20220630xex10d5.htm" TargetMode="External"/><Relationship Id="rId69" Type="http://schemas.openxmlformats.org/officeDocument/2006/relationships/hyperlink" Target="https://www.sec.gov/Archives/edgar/data/1806347/000155837022014048/west-20220630xex10d6.htm" TargetMode="External"/><Relationship Id="rId70" Type="http://schemas.openxmlformats.org/officeDocument/2006/relationships/hyperlink" Target="https://www.sec.gov/Archives/edgar/data/1806347/000155837022014048/west-20220630xex10d7.htm" TargetMode="External"/><Relationship Id="rId72" Type="http://schemas.openxmlformats.org/officeDocument/2006/relationships/hyperlink" Target="https://www.sec.gov/Archives/edgar/data/1806347/000155837022014048/west-20220630xex10d8.htm" TargetMode="External"/><Relationship Id="rId73" Type="http://schemas.openxmlformats.org/officeDocument/2006/relationships/hyperlink" Target="https://www.sec.gov/Archives/edgar/data/1806347/000155837022014048/west-20220630xex10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2022-11-14T19:21:32Z</dcterms:created>
  <dcterms:modified xsi:type="dcterms:W3CDTF">2022-11-14T19:21:32Z</dcterms:modified>
</cp:coreProperties>
</file>