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est-20240630x10q.htm"/>
        <w:bookmarkStart w:id="1" w:name="kswest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0841419a_092c_4a73_bc57_9c4cd7ce85e1"/>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0"/>
        <w:ind w:left="0" w:right="0" w:hanging="0"/>
        <w:jc w:val="left"/>
        <w:rPr/>
      </w:pPr>
      <w:r>
        <w:rPr/>
        <w:t>​</w:t>
      </w:r>
    </w:p>
    <w:tbl>
      <w:tblPr>
        <w:tblW w:w="9906" w:type="dxa"/>
        <w:jc w:val="left"/>
        <w:tblInd w:w="0" w:type="dxa"/>
        <w:tblLayout w:type="fixed"/>
        <w:tblCellMar>
          <w:top w:w="0" w:type="dxa"/>
          <w:left w:w="0" w:type="dxa"/>
          <w:bottom w:w="0" w:type="dxa"/>
          <w:right w:w="0" w:type="dxa"/>
        </w:tblCellMar>
      </w:tblPr>
      <w:tblGrid>
        <w:gridCol w:w="124"/>
        <w:gridCol w:w="31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 xml:space="preserve">QUARTERLY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firstLine="857"/>
        <w:jc w:val="center"/>
        <w:rPr>
          <w:rFonts w:ascii="Times New Roman;Times;serif" w:hAnsi="Times New Roman;Times;serif"/>
          <w:b/>
          <w:sz w:val="18"/>
        </w:rPr>
      </w:pPr>
      <w:r>
        <w:rPr>
          <w:rFonts w:ascii="Times New Roman;Times;serif" w:hAnsi="Times New Roman;Times;serif"/>
          <w:b/>
          <w:sz w:val="18"/>
        </w:rPr>
        <w:t>For the quarterly period ended June 30, 2024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tbl>
      <w:tblPr>
        <w:tblW w:w="9906" w:type="dxa"/>
        <w:jc w:val="left"/>
        <w:tblInd w:w="0" w:type="dxa"/>
        <w:tblLayout w:type="fixed"/>
        <w:tblCellMar>
          <w:top w:w="0" w:type="dxa"/>
          <w:left w:w="0" w:type="dxa"/>
          <w:bottom w:w="0" w:type="dxa"/>
          <w:right w:w="0" w:type="dxa"/>
        </w:tblCellMar>
      </w:tblPr>
      <w:tblGrid>
        <w:gridCol w:w="124"/>
        <w:gridCol w:w="31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 xml:space="preserve">TRANSITION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firstLine="857"/>
        <w:jc w:val="center"/>
        <w:rPr>
          <w:rFonts w:ascii="Times New Roman;Times;serif" w:hAnsi="Times New Roman;Times;serif"/>
          <w:b/>
          <w:sz w:val="18"/>
        </w:rPr>
      </w:pPr>
      <w:r>
        <w:rPr>
          <w:rFonts w:ascii="Times New Roman;Times;serif" w:hAnsi="Times New Roman;Times;serif"/>
          <w:b/>
          <w:sz w:val="18"/>
        </w:rPr>
        <w:t>For the transition period from _____ to _____.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001-41485</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156970" cy="7664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6970" cy="76644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WESTROCK COFFEE COMPANY</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39hHTJ-Z70iRIGuX9uP2CQ_5_2"/>
      <w:bookmarkStart w:id="4" w:name="Tc_p-bGJcF810-fj34c02F5nA_5_0"/>
      <w:bookmarkStart w:id="5" w:name="Tc_xmf_tGjlNUS8HKqbHDHUYA_4_0"/>
      <w:bookmarkStart w:id="6" w:name="Tc_MycVgMvcAk6LNy9NqOHnHA_1_2"/>
      <w:bookmarkStart w:id="7" w:name="Tc_NvlpY_6GKU-OjmMjHsmF1g_1_0"/>
      <w:bookmarkStart w:id="8" w:name="_c90f3757_9d75_4c7d_bdf1_588a02f805b9"/>
      <w:bookmarkStart w:id="9" w:name="Tc_39hHTJ-Z70iRIGuX9uP2CQ_5_2"/>
      <w:bookmarkStart w:id="10" w:name="Tc_p-bGJcF810-fj34c02F5nA_5_0"/>
      <w:bookmarkStart w:id="11" w:name="Tc_xmf_tGjlNUS8HKqbHDHUYA_4_0"/>
      <w:bookmarkStart w:id="12" w:name="Tc_MycVgMvcAk6LNy9NqOHnHA_1_2"/>
      <w:bookmarkStart w:id="13" w:name="Tc_NvlpY_6GKU-OjmMjHsmF1g_1_0"/>
      <w:bookmarkStart w:id="14" w:name="_c90f3757_9d75_4c7d_bdf1_588a02f805b9"/>
      <w:bookmarkEnd w:id="9"/>
      <w:bookmarkEnd w:id="10"/>
      <w:bookmarkEnd w:id="11"/>
      <w:bookmarkEnd w:id="12"/>
      <w:bookmarkEnd w:id="13"/>
      <w:bookmarkEnd w:id="14"/>
    </w:p>
    <w:tbl>
      <w:tblPr>
        <w:tblW w:w="4086" w:type="dxa"/>
        <w:jc w:val="left"/>
        <w:tblInd w:w="0" w:type="dxa"/>
        <w:tblLayout w:type="fixed"/>
        <w:tblCellMar>
          <w:top w:w="0" w:type="dxa"/>
          <w:left w:w="0" w:type="dxa"/>
          <w:bottom w:w="0" w:type="dxa"/>
          <w:right w:w="0" w:type="dxa"/>
        </w:tblCellMar>
      </w:tblPr>
      <w:tblGrid>
        <w:gridCol w:w="2506"/>
        <w:gridCol w:w="109"/>
        <w:gridCol w:w="1471"/>
      </w:tblGrid>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80-0977200</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 xml:space="preserve">(State or Other Jurisdiction of </w:t>
            </w:r>
          </w:p>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Identification Number)</w:t>
            </w:r>
          </w:p>
        </w:tc>
      </w:tr>
      <w:tr>
        <w:trPr/>
        <w:tc>
          <w:tcPr>
            <w:tcW w:w="2506"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pPr>
            <w:r>
              <w:rPr/>
              <w:t>​</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4009 N. Rodney Parham Road, 4th Floor</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pPr>
            <w:r>
              <w:rPr/>
              <w:t>​</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Little Rock, Arkansas</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72212</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(501) 918-9358</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 applicable</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(Former name, former address and former fiscal year, if changed since last report)</w:t>
      </w:r>
    </w:p>
    <w:p>
      <w:pPr>
        <w:pStyle w:val="TextBody"/>
        <w:bidi w:val="0"/>
        <w:spacing w:before="120" w:after="12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ind w:left="0" w:right="0" w:hanging="0"/>
        <w:jc w:val="left"/>
        <w:rPr>
          <w:sz w:val="4"/>
          <w:szCs w:val="4"/>
        </w:rPr>
      </w:pPr>
      <w:r>
        <w:rPr>
          <w:sz w:val="4"/>
          <w:szCs w:val="4"/>
        </w:rPr>
      </w:r>
      <w:bookmarkStart w:id="15" w:name="Tc_qgatrN8h2kOeEv8ZZDDrSw_3_2"/>
      <w:bookmarkStart w:id="16" w:name="Tc_lT-ykTAKBUOcRCwRaJbSwQ_1_2"/>
      <w:bookmarkStart w:id="17" w:name="Tc_5fc0NMGGUkeXSsQehUOj4A_1_1"/>
      <w:bookmarkStart w:id="18" w:name="Tc_GlGc488AcUm-jrJLBGQ_aA_1_0"/>
      <w:bookmarkStart w:id="19" w:name="_b972fbd9_60cf_44d7_80ed_6b4b3324ef17"/>
      <w:bookmarkStart w:id="20" w:name="Tc_qgatrN8h2kOeEv8ZZDDrSw_3_2"/>
      <w:bookmarkStart w:id="21" w:name="Tc_lT-ykTAKBUOcRCwRaJbSwQ_1_2"/>
      <w:bookmarkStart w:id="22" w:name="Tc_5fc0NMGGUkeXSsQehUOj4A_1_1"/>
      <w:bookmarkStart w:id="23" w:name="Tc_GlGc488AcUm-jrJLBGQ_aA_1_0"/>
      <w:bookmarkStart w:id="24" w:name="_b972fbd9_60cf_44d7_80ed_6b4b3324ef17"/>
      <w:bookmarkEnd w:id="20"/>
      <w:bookmarkEnd w:id="21"/>
      <w:bookmarkEnd w:id="22"/>
      <w:bookmarkEnd w:id="23"/>
      <w:bookmarkEnd w:id="24"/>
    </w:p>
    <w:tbl>
      <w:tblPr>
        <w:tblW w:w="9528" w:type="dxa"/>
        <w:jc w:val="left"/>
        <w:tblInd w:w="0" w:type="dxa"/>
        <w:tblLayout w:type="fixed"/>
        <w:tblCellMar>
          <w:top w:w="0" w:type="dxa"/>
          <w:left w:w="0" w:type="dxa"/>
          <w:bottom w:w="0" w:type="dxa"/>
          <w:right w:w="0" w:type="dxa"/>
        </w:tblCellMar>
      </w:tblPr>
      <w:tblGrid>
        <w:gridCol w:w="5716"/>
        <w:gridCol w:w="1186"/>
        <w:gridCol w:w="262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5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5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Shares of common stock, par value $0.01 per share</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WEST</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r>
        <w:trPr/>
        <w:tc>
          <w:tcPr>
            <w:tcW w:w="5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Warrants, each whole warrant exercisable for one share of common stock, par value $0.01 per share</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WESTW</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14"/>
              </w:rPr>
              <w:t>The Nasdaq Stock Market LLC</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25" w:name="Tc_UCAPFuLtw0iuRzXDV4oo3A_2_0"/>
      <w:bookmarkStart w:id="26" w:name="Tc_S6P-9U4blk2jKGjPVcSIxg_1_6"/>
      <w:bookmarkStart w:id="27" w:name="Tc_EXnc1Ro__U-TVID68MsXlQ_1_5"/>
      <w:bookmarkStart w:id="28" w:name="Tc_9CG7tiuVXkqZ-F03qjEczA_1_4"/>
      <w:bookmarkStart w:id="29" w:name="Tc_b6Rshi5Zwkq6p5Dm9UHqtQ_1_3"/>
      <w:bookmarkStart w:id="30" w:name="Tc_fnJ59nH2WECFUESjiy1OrA_1_1"/>
      <w:bookmarkStart w:id="31" w:name="Tc_aDXNY4CLMUqkujJznCT62w_1_0"/>
      <w:bookmarkStart w:id="32" w:name="_aae95d66_9b88_4319_87a2_65efb7bdaf96"/>
      <w:bookmarkStart w:id="33" w:name="Tc_UCAPFuLtw0iuRzXDV4oo3A_2_0"/>
      <w:bookmarkStart w:id="34" w:name="Tc_S6P-9U4blk2jKGjPVcSIxg_1_6"/>
      <w:bookmarkStart w:id="35" w:name="Tc_EXnc1Ro__U-TVID68MsXlQ_1_5"/>
      <w:bookmarkStart w:id="36" w:name="Tc_9CG7tiuVXkqZ-F03qjEczA_1_4"/>
      <w:bookmarkStart w:id="37" w:name="Tc_b6Rshi5Zwkq6p5Dm9UHqtQ_1_3"/>
      <w:bookmarkStart w:id="38" w:name="Tc_fnJ59nH2WECFUESjiy1OrA_1_1"/>
      <w:bookmarkStart w:id="39" w:name="Tc_aDXNY4CLMUqkujJznCT62w_1_0"/>
      <w:bookmarkStart w:id="40" w:name="_aae95d66_9b88_4319_87a2_65efb7bdaf96"/>
      <w:bookmarkEnd w:id="33"/>
      <w:bookmarkEnd w:id="34"/>
      <w:bookmarkEnd w:id="35"/>
      <w:bookmarkEnd w:id="36"/>
      <w:bookmarkEnd w:id="37"/>
      <w:bookmarkEnd w:id="38"/>
      <w:bookmarkEnd w:id="39"/>
      <w:bookmarkEnd w:id="40"/>
    </w:p>
    <w:tbl>
      <w:tblPr>
        <w:tblW w:w="6968" w:type="dxa"/>
        <w:jc w:val="left"/>
        <w:tblInd w:w="0" w:type="dxa"/>
        <w:tblLayout w:type="fixed"/>
        <w:tblCellMar>
          <w:top w:w="0" w:type="dxa"/>
          <w:left w:w="0" w:type="dxa"/>
          <w:bottom w:w="0" w:type="dxa"/>
          <w:right w:w="0" w:type="dxa"/>
        </w:tblCellMar>
      </w:tblPr>
      <w:tblGrid>
        <w:gridCol w:w="1666"/>
        <w:gridCol w:w="316"/>
        <w:gridCol w:w="1036"/>
        <w:gridCol w:w="316"/>
        <w:gridCol w:w="1291"/>
        <w:gridCol w:w="316"/>
        <w:gridCol w:w="1666"/>
        <w:gridCol w:w="361"/>
      </w:tblGrid>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As of August 2, 2024, the Registrant had 88,365,760 shares of common stock, par value $0.01 per share,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lineRule="atLeast" w:line="210" w:before="0" w:after="200"/>
        <w:ind w:left="0" w:right="0" w:hanging="0"/>
        <w:jc w:val="center"/>
        <w:rPr>
          <w:rFonts w:ascii="Times New Roman;Times;serif" w:hAnsi="Times New Roman;Times;serif"/>
          <w:b/>
          <w:sz w:val="20"/>
        </w:rPr>
      </w:pPr>
      <w:bookmarkStart w:id="41" w:name="_1d1c648c_75e8_4e5a_bac7_965c13db939f"/>
      <w:bookmarkStart w:id="42" w:name="_Hlk111717576"/>
      <w:bookmarkEnd w:id="41"/>
      <w:bookmarkEnd w:id="42"/>
      <w:r>
        <w:rPr>
          <w:rFonts w:ascii="Times New Roman;Times;serif" w:hAnsi="Times New Roman;Times;serif"/>
          <w:b/>
          <w:sz w:val="20"/>
        </w:rPr>
        <w:t>CAUTIONARY NOTE REGARDING FORWARD-LOOKING STATEMENTS</w:t>
      </w:r>
    </w:p>
    <w:p>
      <w:pPr>
        <w:pStyle w:val="TextBody"/>
        <w:bidi w:val="0"/>
        <w:spacing w:lineRule="atLeast" w:line="210" w:before="0" w:after="200"/>
        <w:ind w:left="0" w:right="0" w:hanging="0"/>
        <w:jc w:val="left"/>
        <w:rPr>
          <w:rFonts w:ascii="Times New Roman;Times;serif" w:hAnsi="Times New Roman;Times;serif"/>
          <w:sz w:val="20"/>
        </w:rPr>
      </w:pPr>
      <w:r>
        <w:rPr>
          <w:rFonts w:ascii="Times New Roman;Times;serif" w:hAnsi="Times New Roman;Times;serif"/>
          <w:spacing w:val="4"/>
          <w:sz w:val="20"/>
        </w:rPr>
        <w:t>This Quarterly Report on Form 10-Q includes forward-looking statements as defined under U.S. federal securities laws. Forward-looking statements include all statements that are not historical statements of fact and statements including, but not limited to, the following statements regarding our expectations, hopes, beliefs, intentions or strategies regarding the future, our expectations regarding the build-out of the Conway, Arkansas facility and our ability to sell or commit capacity; our expectations regarding capital expenditures;</w:t>
      </w:r>
      <w:r>
        <w:rPr>
          <w:rFonts w:ascii="Times New Roman;Times;serif" w:hAnsi="Times New Roman;Times;serif"/>
          <w:sz w:val="20"/>
        </w:rPr>
        <w:t xml:space="preserve"> </w:t>
      </w:r>
      <w:r>
        <w:rPr>
          <w:rFonts w:ascii="Times New Roman;Times;serif" w:hAnsi="Times New Roman;Times;serif"/>
          <w:spacing w:val="4"/>
          <w:sz w:val="20"/>
        </w:rPr>
        <w:t>our future liquidity needs and access to capital; and our expectations regarding remediation of the material weaknesses in our internal control over financial reporting.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pStyle w:val="TextBody"/>
        <w:bidi w:val="0"/>
        <w:spacing w:lineRule="atLeast" w:line="21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There are or will be important factors that could cause our actual results to differ materially from those indicated in these forward-looking statements, including, but not limited to, risks related to the following:</w:t>
      </w:r>
    </w:p>
    <w:p>
      <w:pPr>
        <w:pStyle w:val="TextBody"/>
        <w:bidi w:val="0"/>
        <w:spacing w:before="0" w:after="0"/>
        <w:ind w:left="0" w:right="0" w:firstLine="40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fact that we have incurred net losses in the past, may incur net losses in the future, and may not achieve profitability;</w:t>
            </w:r>
          </w:p>
        </w:tc>
      </w:tr>
    </w:tbl>
    <w:tbl>
      <w:tblPr>
        <w:tblW w:w="7972" w:type="dxa"/>
        <w:jc w:val="left"/>
        <w:tblInd w:w="0" w:type="dxa"/>
        <w:tblLayout w:type="fixed"/>
        <w:tblCellMar>
          <w:top w:w="28" w:type="dxa"/>
          <w:left w:w="28" w:type="dxa"/>
          <w:bottom w:w="28" w:type="dxa"/>
          <w:right w:w="28" w:type="dxa"/>
        </w:tblCellMar>
      </w:tblPr>
      <w:tblGrid>
        <w:gridCol w:w="124"/>
        <w:gridCol w:w="256"/>
        <w:gridCol w:w="7592"/>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risks associated with operating a coffee trading business and a coffee exporting business;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volatility and increases in the cost of green coffee, tea and other ingredients and packaging, and our inability to pass these costs on to customers;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secure an adequate supply of key raw materials, including green coffee and tea, or disruption in our supply chain;</w:t>
            </w:r>
          </w:p>
        </w:tc>
      </w:tr>
    </w:tbl>
    <w:p>
      <w:pPr>
        <w:pStyle w:val="TextBody"/>
        <w:bidi w:val="0"/>
        <w:spacing w:before="0" w:after="0"/>
        <w:ind w:left="1080" w:right="0" w:hanging="0"/>
        <w:jc w:val="left"/>
        <w:rPr/>
      </w:pPr>
      <w:r>
        <w:rPr/>
        <w:t>​</w:t>
      </w:r>
    </w:p>
    <w:tbl>
      <w:tblPr>
        <w:tblW w:w="10133" w:type="dxa"/>
        <w:jc w:val="left"/>
        <w:tblInd w:w="0" w:type="dxa"/>
        <w:tblLayout w:type="fixed"/>
        <w:tblCellMar>
          <w:top w:w="28" w:type="dxa"/>
          <w:left w:w="28" w:type="dxa"/>
          <w:bottom w:w="28" w:type="dxa"/>
          <w:right w:w="28" w:type="dxa"/>
        </w:tblCellMar>
      </w:tblPr>
      <w:tblGrid>
        <w:gridCol w:w="124"/>
        <w:gridCol w:w="256"/>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deterioration in general macroeconomic conditions and/or decreases in consumer spending on discretionary items;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disruption in operations at any of our, our suppliers’ or our co-manufacturers’ production, distribution or manufacturing facilities or other loss of manufacturing capacity;</w:t>
            </w:r>
          </w:p>
        </w:tc>
      </w:tr>
    </w:tbl>
    <w:tbl>
      <w:tblPr>
        <w:tblW w:w="7886" w:type="dxa"/>
        <w:jc w:val="left"/>
        <w:tblInd w:w="0" w:type="dxa"/>
        <w:tblLayout w:type="fixed"/>
        <w:tblCellMar>
          <w:top w:w="28" w:type="dxa"/>
          <w:left w:w="28" w:type="dxa"/>
          <w:bottom w:w="28" w:type="dxa"/>
          <w:right w:w="28" w:type="dxa"/>
        </w:tblCellMar>
      </w:tblPr>
      <w:tblGrid>
        <w:gridCol w:w="124"/>
        <w:gridCol w:w="256"/>
        <w:gridCol w:w="7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anticipate customer preferences and successfully develop new products;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climate change, which may increase commodity costs, damage our facilities and disrupt our production capabilities and supply chain;</w:t>
            </w:r>
          </w:p>
        </w:tc>
      </w:tr>
    </w:tbl>
    <w:p>
      <w:pPr>
        <w:pStyle w:val="TextBody"/>
        <w:bidi w:val="0"/>
        <w:spacing w:before="0" w:after="0"/>
        <w:ind w:left="1080" w:right="0" w:hanging="0"/>
        <w:jc w:val="left"/>
        <w:rPr/>
      </w:pPr>
      <w:r>
        <w:rPr/>
        <w:t>​</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failure to retain key personnel or recruit qualified personnel;</w:t>
            </w:r>
          </w:p>
        </w:tc>
      </w:tr>
    </w:tbl>
    <w:p>
      <w:pPr>
        <w:pStyle w:val="TextBody"/>
        <w:bidi w:val="0"/>
        <w:spacing w:before="0" w:after="0"/>
        <w:ind w:left="1080" w:right="0" w:hanging="0"/>
        <w:jc w:val="left"/>
        <w:rPr/>
      </w:pPr>
      <w:r>
        <w:rPr/>
        <w:t>​</w:t>
      </w:r>
    </w:p>
    <w:tbl>
      <w:tblPr>
        <w:tblW w:w="3864" w:type="dxa"/>
        <w:jc w:val="left"/>
        <w:tblInd w:w="0" w:type="dxa"/>
        <w:tblLayout w:type="fixed"/>
        <w:tblCellMar>
          <w:top w:w="28" w:type="dxa"/>
          <w:left w:w="28" w:type="dxa"/>
          <w:bottom w:w="28" w:type="dxa"/>
          <w:right w:w="28" w:type="dxa"/>
        </w:tblCellMar>
      </w:tblPr>
      <w:tblGrid>
        <w:gridCol w:w="124"/>
        <w:gridCol w:w="256"/>
        <w:gridCol w:w="34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hedge commodity risks;</w:t>
            </w:r>
          </w:p>
        </w:tc>
      </w:tr>
    </w:tbl>
    <w:p>
      <w:pPr>
        <w:pStyle w:val="TextBody"/>
        <w:bidi w:val="0"/>
        <w:spacing w:before="0" w:after="0"/>
        <w:ind w:left="1080" w:right="0" w:hanging="0"/>
        <w:jc w:val="left"/>
        <w:rPr/>
      </w:pPr>
      <w:r>
        <w:rPr/>
        <w:t>​</w:t>
      </w:r>
    </w:p>
    <w:tbl>
      <w:tblPr>
        <w:tblW w:w="7584" w:type="dxa"/>
        <w:jc w:val="left"/>
        <w:tblInd w:w="0" w:type="dxa"/>
        <w:tblLayout w:type="fixed"/>
        <w:tblCellMar>
          <w:top w:w="28" w:type="dxa"/>
          <w:left w:w="28" w:type="dxa"/>
          <w:bottom w:w="28" w:type="dxa"/>
          <w:right w:w="28" w:type="dxa"/>
        </w:tblCellMar>
      </w:tblPr>
      <w:tblGrid>
        <w:gridCol w:w="124"/>
        <w:gridCol w:w="256"/>
        <w:gridCol w:w="720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consolidation among our distributors and customers or the loss of any key customer;</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complex and evolving U.S. and international laws and regulations, and noncompliance therewith subjecting us to criminal or civil liability;</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future acquisitions of businesses, which may divert our management’s attention, prove difficult to effectively integrate and fail to achieve their projected benefits;</w:t>
            </w:r>
          </w:p>
        </w:tc>
      </w:tr>
    </w:tbl>
    <w:p>
      <w:pPr>
        <w:pStyle w:val="TextBody"/>
        <w:bidi w:val="0"/>
        <w:spacing w:before="0" w:after="0"/>
        <w:ind w:left="1080" w:right="0" w:hanging="0"/>
        <w:jc w:val="left"/>
        <w:rPr/>
      </w:pPr>
      <w:r>
        <w:rPr/>
        <w:t>​</w:t>
      </w:r>
    </w:p>
    <w:tbl>
      <w:tblPr>
        <w:tblW w:w="7964" w:type="dxa"/>
        <w:jc w:val="left"/>
        <w:tblInd w:w="0" w:type="dxa"/>
        <w:tblLayout w:type="fixed"/>
        <w:tblCellMar>
          <w:top w:w="28" w:type="dxa"/>
          <w:left w:w="28" w:type="dxa"/>
          <w:bottom w:w="28" w:type="dxa"/>
          <w:right w:w="28" w:type="dxa"/>
        </w:tblCellMar>
      </w:tblPr>
      <w:tblGrid>
        <w:gridCol w:w="124"/>
        <w:gridCol w:w="256"/>
        <w:gridCol w:w="75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effectively manage the growth and increased complexity of our business;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maintain or grow market share through continued differentiation of our product and competitive pricing;</w:t>
            </w:r>
          </w:p>
        </w:tc>
      </w:tr>
    </w:tbl>
    <w:p>
      <w:pPr>
        <w:pStyle w:val="TextBody"/>
        <w:bidi w:val="0"/>
        <w:spacing w:before="0" w:after="0"/>
        <w:ind w:left="1080" w:right="0" w:hanging="0"/>
        <w:jc w:val="left"/>
        <w:rPr/>
      </w:pPr>
      <w:r>
        <w:rPr/>
        <w:t>​</w:t>
      </w:r>
    </w:p>
    <w:tbl>
      <w:tblPr>
        <w:tblW w:w="7727" w:type="dxa"/>
        <w:jc w:val="left"/>
        <w:tblInd w:w="0" w:type="dxa"/>
        <w:tblLayout w:type="fixed"/>
        <w:tblCellMar>
          <w:top w:w="28" w:type="dxa"/>
          <w:left w:w="28" w:type="dxa"/>
          <w:bottom w:w="28" w:type="dxa"/>
          <w:right w:w="28" w:type="dxa"/>
        </w:tblCellMar>
      </w:tblPr>
      <w:tblGrid>
        <w:gridCol w:w="124"/>
        <w:gridCol w:w="256"/>
        <w:gridCol w:w="734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secure the additional capital needed to operate and grow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successfully execute our remediation plans with regards to the material weaknesses in our internal control over financial reporting;</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future litigation or legal disputes, which could lead us to incur significant liabilities and costs or harm our reputation;</w:t>
            </w:r>
          </w:p>
        </w:tc>
      </w:tr>
    </w:tbl>
    <w:p>
      <w:pPr>
        <w:pStyle w:val="TextBody"/>
        <w:bidi w:val="0"/>
        <w:spacing w:before="0" w:after="0"/>
        <w:ind w:left="1080" w:right="0" w:hanging="0"/>
        <w:jc w:val="left"/>
        <w:rPr/>
      </w:pPr>
      <w:r>
        <w:rPr/>
        <w:t>​</w:t>
      </w:r>
    </w:p>
    <w:tbl>
      <w:tblPr>
        <w:tblW w:w="7653" w:type="dxa"/>
        <w:jc w:val="left"/>
        <w:tblInd w:w="0" w:type="dxa"/>
        <w:tblLayout w:type="fixed"/>
        <w:tblCellMar>
          <w:top w:w="28" w:type="dxa"/>
          <w:left w:w="28" w:type="dxa"/>
          <w:bottom w:w="28" w:type="dxa"/>
          <w:right w:w="28" w:type="dxa"/>
        </w:tblCellMar>
      </w:tblPr>
      <w:tblGrid>
        <w:gridCol w:w="124"/>
        <w:gridCol w:w="256"/>
        <w:gridCol w:w="727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 material failure, inadequacy or interruption of our information technology systems;</w:t>
            </w:r>
          </w:p>
        </w:tc>
      </w:tr>
    </w:tbl>
    <w:p>
      <w:pPr>
        <w:pStyle w:val="TextBody"/>
        <w:bidi w:val="0"/>
        <w:spacing w:before="0" w:after="0"/>
        <w:ind w:left="1080" w:right="0" w:hanging="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unauthorized access, theft, use or destruction of personal, financial or other confidential information relating to our customers, suppliers, employees or business;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future level of indebtedness, which may reduce funds available for other business purposes and reduce our operational flexibility;</w:t>
            </w:r>
          </w:p>
        </w:tc>
      </w:tr>
    </w:tbl>
    <w:p>
      <w:pPr>
        <w:pStyle w:val="TextBody"/>
        <w:bidi w:val="0"/>
        <w:spacing w:before="0" w:after="0"/>
        <w:ind w:left="1080" w:right="0" w:hanging="0"/>
        <w:jc w:val="left"/>
        <w:rPr/>
      </w:pPr>
      <w:r>
        <w:rPr/>
        <w:t>​</w:t>
      </w:r>
    </w:p>
    <w:tbl>
      <w:tblPr>
        <w:tblW w:w="6953" w:type="dxa"/>
        <w:jc w:val="left"/>
        <w:tblInd w:w="0" w:type="dxa"/>
        <w:tblLayout w:type="fixed"/>
        <w:tblCellMar>
          <w:top w:w="28" w:type="dxa"/>
          <w:left w:w="28" w:type="dxa"/>
          <w:bottom w:w="28" w:type="dxa"/>
          <w:right w:w="28" w:type="dxa"/>
        </w:tblCellMar>
      </w:tblPr>
      <w:tblGrid>
        <w:gridCol w:w="124"/>
        <w:gridCol w:w="256"/>
        <w:gridCol w:w="657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comply with the financial covenants in our credit agreement;</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successfully build out operations and commercialize customers within the anticipated time frame following the recent opening of our new facility in Conway, Arkansas or incurring additional expenses in the process;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corporate structure and organization, which may prevent or delay attempts to acquire a controlling interest in the Company;</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our largest shareholders (and certain members of our management team) own a significant percentage of our stock and will be able to exert significant control over matters subject to shareholder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current global economic conditions, including those caused by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tc>
      </w:tr>
    </w:tbl>
    <w:p>
      <w:pPr>
        <w:pStyle w:val="TextBody"/>
        <w:bidi w:val="0"/>
        <w:spacing w:before="0" w:after="0"/>
        <w:ind w:left="1080" w:right="0" w:hanging="0"/>
        <w:jc w:val="left"/>
        <w:rPr/>
      </w:pPr>
      <w:r>
        <w:rPr/>
        <w:t>​</w:t>
      </w:r>
    </w:p>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 xml:space="preserve">other risks, uncertainties and factors set forth in the “Business” and “Risk Factors” sections </w:t>
            </w:r>
            <w:r>
              <w:rPr>
                <w:rFonts w:ascii="Times New Roman;Times;serif" w:hAnsi="Times New Roman;Times;serif"/>
                <w:b w:val="false"/>
                <w:i w:val="false"/>
                <w:caps w:val="false"/>
                <w:smallCaps w:val="false"/>
                <w:sz w:val="20"/>
              </w:rPr>
              <w:t xml:space="preserve">in the Company’s Annual Report on Form 10-K filed with the U.S. Securities and Exchange Commission (“SEC”) on March 15, 2024 (“Annual Report”) </w:t>
            </w:r>
            <w:r>
              <w:rPr>
                <w:rFonts w:ascii="Times New Roman;Times;serif" w:hAnsi="Times New Roman;Times;serif"/>
                <w:b w:val="false"/>
                <w:i w:val="false"/>
                <w:caps w:val="false"/>
                <w:smallCaps w:val="false"/>
                <w:spacing w:val="4"/>
                <w:sz w:val="20"/>
              </w:rPr>
              <w:t xml:space="preserve">and in the “Management’s Discussion and Analysis of Financial Condition and Results of Operations” and “Risk Factors” sections of this Quarterly Report on Form 10-Q, as well as those described from time to time in our future reports filed with the SEC. </w:t>
            </w:r>
          </w:p>
        </w:tc>
      </w:tr>
    </w:tbl>
    <w:p>
      <w:pPr>
        <w:pStyle w:val="TextBody"/>
        <w:bidi w:val="0"/>
        <w:spacing w:before="0" w:after="0"/>
        <w:ind w:left="0" w:right="0" w:hanging="0"/>
        <w:jc w:val="left"/>
        <w:rPr/>
      </w:pPr>
      <w:r>
        <w:rPr/>
        <w:t>​</w:t>
      </w:r>
    </w:p>
    <w:p>
      <w:pPr>
        <w:pStyle w:val="TextBody"/>
        <w:bidi w:val="0"/>
        <w:spacing w:before="0" w:after="0"/>
        <w:ind w:left="0" w:right="0" w:firstLine="400"/>
        <w:jc w:val="left"/>
        <w:rPr>
          <w:spacing w:val="4"/>
        </w:rPr>
      </w:pPr>
      <w:r>
        <w:rPr>
          <w:spacing w:val="4"/>
        </w:rPr>
        <w:t>​</w:t>
      </w:r>
    </w:p>
    <w:p>
      <w:pPr>
        <w:pStyle w:val="TextBody"/>
        <w:bidi w:val="0"/>
        <w:spacing w:lineRule="atLeast" w:line="22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 foregoing factors should not be construed as exhaustive and should be read together with the other cautionary statements included in the Annual Report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ind w:left="0" w:right="0" w:hanging="0"/>
        <w:jc w:val="left"/>
        <w:rPr>
          <w:spacing w:val="4"/>
        </w:rPr>
      </w:pPr>
      <w:r>
        <w:rPr>
          <w:spacing w:val="4"/>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aps/>
          <w:sz w:val="20"/>
        </w:rPr>
      </w:pPr>
      <w:bookmarkStart w:id="43" w:name="TOC"/>
      <w:bookmarkStart w:id="44" w:name="_9b3a820b_ec41_4c72_9312_27d49e255b69"/>
      <w:bookmarkEnd w:id="43"/>
      <w:bookmarkEnd w:id="44"/>
      <w:r>
        <w:rPr>
          <w:rFonts w:ascii="Times New Roman;Times;serif" w:hAnsi="Times New Roman;Times;serif"/>
          <w:b/>
          <w:caps/>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538" w:type="dxa"/>
        <w:jc w:val="left"/>
        <w:tblInd w:w="0" w:type="dxa"/>
        <w:tblLayout w:type="fixed"/>
        <w:tblCellMar>
          <w:top w:w="0" w:type="dxa"/>
          <w:left w:w="0" w:type="dxa"/>
          <w:bottom w:w="0" w:type="dxa"/>
          <w:right w:w="0" w:type="dxa"/>
        </w:tblCellMar>
      </w:tblPr>
      <w:tblGrid>
        <w:gridCol w:w="811"/>
        <w:gridCol w:w="7366"/>
        <w:gridCol w:w="36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7410" cy="175260"/>
                      <wp:effectExtent l="0" t="0" r="0" b="0"/>
                      <wp:wrapNone/>
                      <wp:docPr id="3"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29210"/>
                      <wp:effectExtent l="0" t="0" r="0" b="0"/>
                      <wp:wrapNone/>
                      <wp:docPr id="4" name="Frame3"/>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lineRule="atLeast" w:line="180" w:before="0" w:after="0"/>
              <w:ind w:left="0" w:right="0" w:hanging="0"/>
              <w:jc w:val="left"/>
              <w:rPr/>
            </w:pPr>
            <w:hyperlink w:anchor="PartIFinancial_155967">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lineRule="atLeast" w:line="180" w:before="0" w:after="0"/>
              <w:ind w:left="0" w:right="0" w:hanging="0"/>
              <w:jc w:val="left"/>
              <w:rPr/>
            </w:pPr>
            <w:hyperlink w:anchor="PartIFinancial_155967">
              <w:r>
                <w:rPr>
                  <w:rStyle w:val="InternetLink"/>
                  <w:rFonts w:ascii="Times New Roman;Times;serif" w:hAnsi="Times New Roman;Times;serif"/>
                  <w:b/>
                  <w:i w:val="false"/>
                  <w:caps w:val="false"/>
                  <w:smallCaps w:val="false"/>
                  <w:sz w:val="20"/>
                </w:rPr>
                <w:t>Financial Information</w:t>
              </w:r>
            </w:hyperlink>
          </w:p>
        </w:tc>
        <w:tc>
          <w:tcPr>
            <w:tcW w:w="361" w:type="dxa"/>
            <w:tcBorders/>
            <w:vAlign w:val="center"/>
          </w:tcPr>
          <w:p>
            <w:pPr>
              <w:pStyle w:val="TableContents"/>
              <w:bidi w:val="0"/>
              <w:spacing w:lineRule="atLeast" w:line="180"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811" w:type="dxa"/>
            <w:tcBorders/>
            <w:vAlign w:val="center"/>
          </w:tcPr>
          <w:p>
            <w:pPr>
              <w:pStyle w:val="TableContents"/>
              <w:bidi w:val="0"/>
              <w:spacing w:lineRule="atLeast" w:line="220" w:before="0" w:after="0"/>
              <w:ind w:left="0" w:right="0" w:hanging="0"/>
              <w:jc w:val="left"/>
              <w:rPr/>
            </w:pPr>
            <w:hyperlink w:anchor="Item1FinancialStatements_84654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tLeast" w:line="220" w:before="0" w:after="0"/>
              <w:ind w:left="0" w:right="0" w:hanging="0"/>
              <w:jc w:val="left"/>
              <w:rPr/>
            </w:pPr>
            <w:hyperlink w:anchor="Item1FinancialStatements_846547">
              <w:r>
                <w:rPr>
                  <w:rStyle w:val="InternetLink"/>
                  <w:rFonts w:ascii="Times New Roman;Times;serif" w:hAnsi="Times New Roman;Times;serif"/>
                  <w:b w:val="false"/>
                  <w:i w:val="false"/>
                  <w:caps w:val="false"/>
                  <w:smallCaps w:val="false"/>
                  <w:sz w:val="20"/>
                </w:rPr>
                <w:t>Financial Statements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BalanceSheets">
              <w:r>
                <w:rPr>
                  <w:rStyle w:val="InternetLink"/>
                  <w:rFonts w:ascii="Times New Roman;Times;serif" w:hAnsi="Times New Roman;Times;serif"/>
                  <w:b w:val="false"/>
                  <w:i w:val="false"/>
                  <w:caps w:val="false"/>
                  <w:smallCaps w:val="false"/>
                  <w:sz w:val="20"/>
                </w:rPr>
                <w:t>Condensed Consolidated Balance</w:t>
              </w:r>
            </w:hyperlink>
            <w:hyperlink w:anchor="BalanceSheets">
              <w:r>
                <w:rPr>
                  <w:rStyle w:val="InternetLink"/>
                  <w:rFonts w:ascii="Times New Roman;Times;serif" w:hAnsi="Times New Roman;Times;serif"/>
                  <w:caps w:val="false"/>
                  <w:smallCaps w:val="false"/>
                  <w:sz w:val="20"/>
                </w:rPr>
                <w:t xml:space="preserve"> </w:t>
              </w:r>
            </w:hyperlink>
            <w:hyperlink w:anchor="BalanceSheets">
              <w:r>
                <w:rPr>
                  <w:rStyle w:val="InternetLink"/>
                  <w:rFonts w:ascii="Times New Roman;Times;serif" w:hAnsi="Times New Roman;Times;serif"/>
                  <w:b w:val="false"/>
                  <w:i w:val="false"/>
                  <w:caps w:val="false"/>
                  <w:smallCaps w:val="false"/>
                  <w:sz w:val="20"/>
                </w:rPr>
                <w:t>Sheets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CONSOLIDATEDSTATEMENTOFOPERATIONS_105916">
              <w:r>
                <w:rPr>
                  <w:rStyle w:val="InternetLink"/>
                  <w:rFonts w:ascii="Times New Roman;Times;serif" w:hAnsi="Times New Roman;Times;serif"/>
                  <w:b w:val="false"/>
                  <w:i w:val="false"/>
                  <w:caps w:val="false"/>
                  <w:smallCaps w:val="false"/>
                  <w:sz w:val="20"/>
                </w:rPr>
                <w:t>Condensed Consolidated Statements of Operations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COMPREHENSIVELOSS">
              <w:r>
                <w:rPr>
                  <w:rStyle w:val="InternetLink"/>
                  <w:rFonts w:ascii="Times New Roman;Times;serif" w:hAnsi="Times New Roman;Times;serif"/>
                  <w:b w:val="false"/>
                  <w:i w:val="false"/>
                  <w:caps w:val="false"/>
                  <w:smallCaps w:val="false"/>
                  <w:sz w:val="20"/>
                </w:rPr>
                <w:t>Condensed Consolidated Statements of Comprehensive Income (Loss)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UNITHOLDERSDEFICI">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CASHFLOWS_338430">
              <w:r>
                <w:rPr>
                  <w:rStyle w:val="InternetLink"/>
                  <w:rFonts w:ascii="Times New Roman;Times;serif" w:hAnsi="Times New Roman;Times;serif"/>
                  <w:b w:val="false"/>
                  <w:i w:val="false"/>
                  <w:caps w:val="false"/>
                  <w:smallCaps w:val="false"/>
                  <w:sz w:val="20"/>
                </w:rPr>
                <w:t>Condensed Consolidated Statements of Cash Flows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1. Organization and Description of Business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2BasisofPresentationandConsolidation">
              <w:r>
                <w:rPr>
                  <w:rStyle w:val="InternetLink"/>
                  <w:rFonts w:ascii="Times New Roman;Times;serif" w:hAnsi="Times New Roman;Times;serif"/>
                  <w:b w:val="false"/>
                  <w:i w:val="false"/>
                  <w:caps w:val="false"/>
                  <w:smallCaps w:val="false"/>
                  <w:sz w:val="20"/>
                </w:rPr>
                <w:t>2. Basis of Presentation and Consolidation</w:t>
              </w:r>
            </w:hyperlink>
            <w:r>
              <w:rPr>
                <w:rFonts w:ascii="Times New Roman;Times;serif" w:hAnsi="Times New Roman;Times;serif"/>
                <w:sz w:val="20"/>
              </w:rPr>
              <w:t xml:space="preserve"> </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3SummaryofSignificantAccountingPolic">
              <w:r>
                <w:rPr>
                  <w:rStyle w:val="InternetLink"/>
                  <w:rFonts w:ascii="Times New Roman;Times;serif" w:hAnsi="Times New Roman;Times;serif"/>
                  <w:b w:val="false"/>
                  <w:i w:val="false"/>
                  <w:caps w:val="false"/>
                  <w:smallCaps w:val="false"/>
                  <w:sz w:val="20"/>
                </w:rPr>
                <w:t>3. Summary of Significant Accounting Policies</w:t>
              </w:r>
            </w:hyperlink>
            <w:r>
              <w:rPr>
                <w:rFonts w:ascii="Times New Roman;Times;serif" w:hAnsi="Times New Roman;Times;serif"/>
                <w:sz w:val="20"/>
              </w:rPr>
              <w:t xml:space="preserve"> </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5Revenue_380696">
              <w:r>
                <w:rPr>
                  <w:rStyle w:val="InternetLink"/>
                  <w:rFonts w:ascii="Times New Roman;Times;serif" w:hAnsi="Times New Roman;Times;serif"/>
                  <w:b w:val="false"/>
                  <w:i w:val="false"/>
                  <w:caps w:val="false"/>
                  <w:smallCaps w:val="false"/>
                  <w:sz w:val="20"/>
                </w:rPr>
                <w:t>4. Revenue</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6Acquisition">
              <w:r>
                <w:rPr>
                  <w:rStyle w:val="InternetLink"/>
                  <w:rFonts w:ascii="Times New Roman;Times;serif" w:hAnsi="Times New Roman;Times;serif"/>
                  <w:b w:val="false"/>
                  <w:i w:val="false"/>
                  <w:caps w:val="false"/>
                  <w:smallCaps w:val="false"/>
                  <w:sz w:val="20"/>
                </w:rPr>
                <w:t>5. Acquisitions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6Inventories_518642">
              <w:r>
                <w:rPr>
                  <w:rStyle w:val="InternetLink"/>
                  <w:rFonts w:ascii="Times New Roman;Times;serif" w:hAnsi="Times New Roman;Times;serif"/>
                  <w:b w:val="false"/>
                  <w:i w:val="false"/>
                  <w:caps w:val="false"/>
                  <w:smallCaps w:val="false"/>
                  <w:sz w:val="20"/>
                </w:rPr>
                <w:t>6. Inventories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7PropertyPlantandEquipmentNet_819358">
              <w:r>
                <w:rPr>
                  <w:rStyle w:val="InternetLink"/>
                  <w:rFonts w:ascii="Times New Roman;Times;serif" w:hAnsi="Times New Roman;Times;serif"/>
                  <w:b w:val="false"/>
                  <w:i w:val="false"/>
                  <w:caps w:val="false"/>
                  <w:smallCaps w:val="false"/>
                  <w:sz w:val="20"/>
                </w:rPr>
                <w:t>7. Property, Plant and Equipment, Net</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8Goodwill_242269">
              <w:r>
                <w:rPr>
                  <w:rStyle w:val="InternetLink"/>
                  <w:rFonts w:ascii="Times New Roman;Times;serif" w:hAnsi="Times New Roman;Times;serif"/>
                  <w:b w:val="false"/>
                  <w:i w:val="false"/>
                  <w:caps w:val="false"/>
                  <w:smallCaps w:val="false"/>
                  <w:sz w:val="20"/>
                </w:rPr>
                <w:t>8. Goodwill</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9IntangibleAssetsNet_958231">
              <w:r>
                <w:rPr>
                  <w:rStyle w:val="InternetLink"/>
                  <w:rFonts w:ascii="Times New Roman;Times;serif" w:hAnsi="Times New Roman;Times;serif"/>
                  <w:b w:val="false"/>
                  <w:i w:val="false"/>
                  <w:caps w:val="false"/>
                  <w:smallCaps w:val="false"/>
                  <w:sz w:val="20"/>
                </w:rPr>
                <w:t>9. Intangible Assets, Net</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0Leases_707775">
              <w:r>
                <w:rPr>
                  <w:rStyle w:val="InternetLink"/>
                  <w:rFonts w:ascii="Times New Roman;Times;serif" w:hAnsi="Times New Roman;Times;serif"/>
                  <w:b w:val="false"/>
                  <w:i w:val="false"/>
                  <w:caps w:val="false"/>
                  <w:smallCaps w:val="false"/>
                  <w:sz w:val="20"/>
                </w:rPr>
                <w:t>10. Leases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1Debt_937033">
              <w:r>
                <w:rPr>
                  <w:rStyle w:val="InternetLink"/>
                  <w:rFonts w:ascii="Times New Roman;Times;serif" w:hAnsi="Times New Roman;Times;serif"/>
                  <w:b w:val="false"/>
                  <w:i w:val="false"/>
                  <w:caps w:val="false"/>
                  <w:smallCaps w:val="false"/>
                  <w:sz w:val="20"/>
                </w:rPr>
                <w:t>11. Debt</w:t>
              </w:r>
            </w:hyperlink>
            <w:r>
              <w:rPr>
                <w:rFonts w:ascii="Times New Roman;Times;serif" w:hAnsi="Times New Roman;Times;serif"/>
                <w:sz w:val="20"/>
              </w:rPr>
              <w:t xml:space="preserve"> </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2SeriesAPreferredShares">
              <w:r>
                <w:rPr>
                  <w:rStyle w:val="InternetLink"/>
                  <w:rFonts w:ascii="Times New Roman;Times;serif" w:hAnsi="Times New Roman;Times;serif"/>
                  <w:b w:val="false"/>
                  <w:i w:val="false"/>
                  <w:caps w:val="false"/>
                  <w:smallCaps w:val="false"/>
                  <w:sz w:val="20"/>
                </w:rPr>
                <w:t>12. Series A Preferred Shares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3CommonStockWarrants">
              <w:r>
                <w:rPr>
                  <w:rStyle w:val="InternetLink"/>
                  <w:rFonts w:ascii="Times New Roman;Times;serif" w:hAnsi="Times New Roman;Times;serif"/>
                  <w:b w:val="false"/>
                  <w:i w:val="false"/>
                  <w:caps w:val="false"/>
                  <w:smallCaps w:val="false"/>
                  <w:sz w:val="20"/>
                </w:rPr>
                <w:t>13. Common Stock Warrants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3Derivatives_643440">
              <w:r>
                <w:rPr>
                  <w:rStyle w:val="InternetLink"/>
                  <w:rFonts w:ascii="Times New Roman;Times;serif" w:hAnsi="Times New Roman;Times;serif"/>
                  <w:b w:val="false"/>
                  <w:i w:val="false"/>
                  <w:caps w:val="false"/>
                  <w:smallCaps w:val="false"/>
                  <w:sz w:val="20"/>
                </w:rPr>
                <w:t>14. Derivatives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4FairValueMeasurements_1544">
              <w:r>
                <w:rPr>
                  <w:rStyle w:val="InternetLink"/>
                  <w:rFonts w:ascii="Times New Roman;Times;serif" w:hAnsi="Times New Roman;Times;serif"/>
                  <w:b w:val="false"/>
                  <w:i w:val="false"/>
                  <w:caps w:val="false"/>
                  <w:smallCaps w:val="false"/>
                  <w:sz w:val="20"/>
                </w:rPr>
                <w:t>15. Fair Value Measurements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5AccumulatedOtherComprehensiveIncom">
              <w:r>
                <w:rPr>
                  <w:rStyle w:val="InternetLink"/>
                  <w:rFonts w:ascii="Times New Roman;Times;serif" w:hAnsi="Times New Roman;Times;serif"/>
                  <w:b w:val="false"/>
                  <w:i w:val="false"/>
                  <w:caps w:val="false"/>
                  <w:smallCaps w:val="false"/>
                  <w:sz w:val="20"/>
                </w:rPr>
                <w:t>16. Accumulated Other Comprehensive Income (Loss)</w:t>
              </w:r>
            </w:hyperlink>
            <w:r>
              <w:rPr>
                <w:rFonts w:ascii="Times New Roman;Times;serif" w:hAnsi="Times New Roman;Times;serif"/>
                <w:sz w:val="20"/>
              </w:rPr>
              <w:t xml:space="preserve"> </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6EquityBasedCompensation">
              <w:r>
                <w:rPr>
                  <w:rStyle w:val="InternetLink"/>
                  <w:rFonts w:ascii="Times New Roman;Times;serif" w:hAnsi="Times New Roman;Times;serif"/>
                  <w:b w:val="false"/>
                  <w:i w:val="false"/>
                  <w:caps w:val="false"/>
                  <w:smallCaps w:val="false"/>
                  <w:sz w:val="20"/>
                </w:rPr>
                <w:t>17. Equity-Based Compensation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7EarningsPerShare">
              <w:r>
                <w:rPr>
                  <w:rStyle w:val="InternetLink"/>
                  <w:rFonts w:ascii="Times New Roman;Times;serif" w:hAnsi="Times New Roman;Times;serif"/>
                  <w:b w:val="false"/>
                  <w:i w:val="false"/>
                  <w:caps w:val="false"/>
                  <w:smallCaps w:val="false"/>
                  <w:sz w:val="20"/>
                </w:rPr>
                <w:t>18. Earnings per Share</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8SegmentInformation_197889">
              <w:r>
                <w:rPr>
                  <w:rStyle w:val="InternetLink"/>
                  <w:rFonts w:ascii="Times New Roman;Times;serif" w:hAnsi="Times New Roman;Times;serif"/>
                  <w:b w:val="false"/>
                  <w:i w:val="false"/>
                  <w:caps w:val="false"/>
                  <w:smallCaps w:val="false"/>
                  <w:sz w:val="20"/>
                </w:rPr>
                <w:t>19. Segment Information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9CommitmentsandContingencies_748093">
              <w:r>
                <w:rPr>
                  <w:rStyle w:val="InternetLink"/>
                  <w:rFonts w:ascii="Times New Roman;Times;serif" w:hAnsi="Times New Roman;Times;serif"/>
                  <w:b w:val="false"/>
                  <w:i w:val="false"/>
                  <w:caps w:val="false"/>
                  <w:smallCaps w:val="false"/>
                  <w:sz w:val="20"/>
                </w:rPr>
                <w:t>20. Commitments and Contingencies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20RelatedPartyTransactions_229332">
              <w:r>
                <w:rPr>
                  <w:rStyle w:val="InternetLink"/>
                  <w:rFonts w:ascii="Times New Roman;Times;serif" w:hAnsi="Times New Roman;Times;serif"/>
                  <w:b w:val="false"/>
                  <w:i w:val="false"/>
                  <w:caps w:val="false"/>
                  <w:smallCaps w:val="false"/>
                  <w:sz w:val="20"/>
                </w:rPr>
                <w:t>21. Related Party Transactions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lineRule="atLeast" w:line="220" w:before="0" w:after="0"/>
              <w:ind w:left="0" w:right="0" w:hanging="0"/>
              <w:jc w:val="left"/>
              <w:rPr/>
            </w:pPr>
            <w:hyperlink w:anchor="Item2ManagementsDiscussionandAnalysis_5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pBdr/>
              <w:bidi w:val="0"/>
              <w:spacing w:lineRule="atLeast" w:line="220" w:before="0" w:after="0"/>
              <w:ind w:left="0" w:right="0" w:hanging="0"/>
              <w:jc w:val="left"/>
              <w:rPr/>
            </w:pPr>
            <w:hyperlink w:anchor="Item2ManagementsDiscussionandAnalysis_5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Overview_251396">
              <w:r>
                <w:rPr>
                  <w:rStyle w:val="InternetLink"/>
                  <w:rFonts w:ascii="Times New Roman;Times;serif" w:hAnsi="Times New Roman;Times;serif"/>
                  <w:b w:val="false"/>
                  <w:i w:val="false"/>
                  <w:caps w:val="false"/>
                  <w:smallCaps w:val="false"/>
                  <w:sz w:val="20"/>
                </w:rPr>
                <w:t>Overview</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KeyBusinessMetrics_637621">
              <w:r>
                <w:rPr>
                  <w:rStyle w:val="InternetLink"/>
                  <w:rFonts w:ascii="Times New Roman;Times;serif" w:hAnsi="Times New Roman;Times;serif"/>
                  <w:b w:val="false"/>
                  <w:i w:val="false"/>
                  <w:caps w:val="false"/>
                  <w:smallCaps w:val="false"/>
                  <w:sz w:val="20"/>
                </w:rPr>
                <w:t>Key Business Metrics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SignificantDevelopments_873684">
              <w:r>
                <w:rPr>
                  <w:rStyle w:val="InternetLink"/>
                  <w:rFonts w:ascii="Times New Roman;Times;serif" w:hAnsi="Times New Roman;Times;serif"/>
                  <w:b w:val="false"/>
                  <w:i w:val="false"/>
                  <w:caps w:val="false"/>
                  <w:smallCaps w:val="false"/>
                  <w:sz w:val="20"/>
                </w:rPr>
                <w:t>Significant Developments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ResultsofOperations_357823">
              <w:r>
                <w:rPr>
                  <w:rStyle w:val="InternetLink"/>
                  <w:rFonts w:ascii="Times New Roman;Times;serif" w:hAnsi="Times New Roman;Times;serif"/>
                  <w:b w:val="false"/>
                  <w:i w:val="false"/>
                  <w:caps w:val="false"/>
                  <w:smallCaps w:val="false"/>
                  <w:sz w:val="20"/>
                </w:rPr>
                <w:t>Results of Operations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CriticalAccountingPoliciesandEstimates_6">
              <w:r>
                <w:rPr>
                  <w:rStyle w:val="InternetLink"/>
                  <w:rFonts w:ascii="Times New Roman;Times;serif" w:hAnsi="Times New Roman;Times;serif"/>
                  <w:b w:val="false"/>
                  <w:i w:val="false"/>
                  <w:caps w:val="false"/>
                  <w:smallCaps w:val="false"/>
                  <w:sz w:val="20"/>
                </w:rPr>
                <w:t>Critical Accounting Estimates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LiquidityandCapitalResources_895697">
              <w:r>
                <w:rPr>
                  <w:rStyle w:val="InternetLink"/>
                  <w:rFonts w:ascii="Times New Roman;Times;serif" w:hAnsi="Times New Roman;Times;serif"/>
                  <w:b w:val="false"/>
                  <w:i w:val="false"/>
                  <w:caps w:val="false"/>
                  <w:smallCaps w:val="false"/>
                  <w:sz w:val="20"/>
                </w:rPr>
                <w:t>Liquidity and Capital Resources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RecentAccountingPronouncements_271628">
              <w:r>
                <w:rPr>
                  <w:rStyle w:val="InternetLink"/>
                  <w:rFonts w:ascii="Times New Roman;Times;serif" w:hAnsi="Times New Roman;Times;serif"/>
                  <w:b w:val="false"/>
                  <w:i w:val="false"/>
                  <w:caps w:val="false"/>
                  <w:smallCaps w:val="false"/>
                  <w:sz w:val="20"/>
                </w:rPr>
                <w:t>Recent Accounting Pronouncements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pBdr/>
              <w:bidi w:val="0"/>
              <w:spacing w:lineRule="atLeast" w:line="220" w:before="0" w:after="0"/>
              <w:ind w:left="0" w:right="0" w:hanging="0"/>
              <w:jc w:val="left"/>
              <w:rPr/>
            </w:pPr>
            <w:hyperlink w:anchor="Item3QuantitativeandQualitative_40627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pBdr/>
              <w:bidi w:val="0"/>
              <w:spacing w:lineRule="atLeast" w:line="220" w:before="0" w:after="0"/>
              <w:ind w:left="0" w:right="0" w:hanging="0"/>
              <w:jc w:val="left"/>
              <w:rPr/>
            </w:pPr>
            <w:hyperlink w:anchor="Item3QuantitativeandQualitative_40627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pBdr/>
              <w:bidi w:val="0"/>
              <w:spacing w:lineRule="atLeast" w:line="220" w:before="0" w:after="0"/>
              <w:ind w:left="0" w:right="0" w:hanging="0"/>
              <w:jc w:val="left"/>
              <w:rPr/>
            </w:pPr>
            <w:hyperlink w:anchor="Item4ControlsandProcedures_63086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tLeast" w:line="220" w:before="0" w:after="0"/>
              <w:ind w:left="0" w:right="0" w:hanging="0"/>
              <w:jc w:val="left"/>
              <w:rPr/>
            </w:pPr>
            <w:hyperlink w:anchor="Item4ControlsandProcedures_630864">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pBdr/>
              <w:bidi w:val="0"/>
              <w:spacing w:lineRule="atLeast" w:line="220" w:before="0" w:after="0"/>
              <w:ind w:left="0" w:right="0" w:hanging="0"/>
              <w:jc w:val="left"/>
              <w:rPr/>
            </w:pPr>
            <w:hyperlink w:anchor="PartIIOtherInformation_30627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lineRule="atLeast" w:line="220" w:before="0" w:after="0"/>
              <w:ind w:left="0" w:right="0" w:hanging="0"/>
              <w:jc w:val="left"/>
              <w:rPr/>
            </w:pPr>
            <w:hyperlink w:anchor="PartIIOtherInformation_306270">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pBdr/>
              <w:bidi w:val="0"/>
              <w:spacing w:lineRule="atLeast" w:line="220" w:before="0" w:after="0"/>
              <w:ind w:left="0" w:right="0" w:hanging="0"/>
              <w:jc w:val="left"/>
              <w:rPr/>
            </w:pPr>
            <w:hyperlink w:anchor="Item1LegalProceedings_521705">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tLeast" w:line="220" w:before="0" w:after="0"/>
              <w:ind w:left="0" w:right="0" w:hanging="0"/>
              <w:jc w:val="left"/>
              <w:rPr/>
            </w:pPr>
            <w:hyperlink w:anchor="Item1LegalProceedings_52170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pBdr/>
              <w:bidi w:val="0"/>
              <w:spacing w:lineRule="atLeast" w:line="220" w:before="0" w:after="0"/>
              <w:ind w:left="0" w:right="0" w:hanging="0"/>
              <w:jc w:val="left"/>
              <w:rPr/>
            </w:pPr>
            <w:hyperlink w:anchor="Item1ARiskFactors_173375">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tLeast" w:line="220" w:before="0" w:after="0"/>
              <w:ind w:left="0" w:right="0" w:hanging="0"/>
              <w:jc w:val="left"/>
              <w:rPr/>
            </w:pPr>
            <w:hyperlink w:anchor="Item1ARiskFactors_173375">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pBdr/>
              <w:bidi w:val="0"/>
              <w:spacing w:lineRule="atLeast" w:line="22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tLeast" w:line="22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pBdr/>
              <w:bidi w:val="0"/>
              <w:spacing w:lineRule="atLeast" w:line="220" w:before="0" w:after="0"/>
              <w:ind w:left="0" w:right="0" w:hanging="0"/>
              <w:jc w:val="left"/>
              <w:rPr/>
            </w:pPr>
            <w:hyperlink w:anchor="Item3DefaultsUponSeniorSecurities_886089">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tLeast" w:line="220" w:before="0" w:after="0"/>
              <w:ind w:left="0" w:right="0" w:hanging="0"/>
              <w:jc w:val="left"/>
              <w:rPr/>
            </w:pPr>
            <w:hyperlink w:anchor="Item3DefaultsUponSeniorSecurities_886089">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lineRule="atLeast" w:line="220" w:before="0" w:after="0"/>
              <w:ind w:left="0" w:right="0" w:hanging="0"/>
              <w:jc w:val="left"/>
              <w:rPr/>
            </w:pPr>
            <w:hyperlink w:anchor="Item4MineSafetyDisclosures_77533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tLeast" w:line="220" w:before="0" w:after="0"/>
              <w:ind w:left="0" w:right="0" w:hanging="0"/>
              <w:jc w:val="left"/>
              <w:rPr/>
            </w:pPr>
            <w:hyperlink w:anchor="Item4MineSafetyDisclosures_775335">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lineRule="atLeast" w:line="220" w:before="0" w:after="0"/>
              <w:ind w:left="0" w:right="0" w:hanging="0"/>
              <w:jc w:val="left"/>
              <w:rPr/>
            </w:pPr>
            <w:hyperlink w:anchor="Item5OtherInformation_838386">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tLeast" w:line="220" w:before="0" w:after="0"/>
              <w:ind w:left="0" w:right="0" w:hanging="0"/>
              <w:jc w:val="left"/>
              <w:rPr/>
            </w:pPr>
            <w:hyperlink w:anchor="Item5OtherInformation_838386">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lineRule="atLeast" w:line="220" w:before="0" w:after="0"/>
              <w:ind w:left="0" w:right="0" w:hanging="0"/>
              <w:jc w:val="left"/>
              <w:rPr/>
            </w:pPr>
            <w:hyperlink w:anchor="Item6Exhibits_35448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tLeast" w:line="220" w:before="0" w:after="0"/>
              <w:ind w:left="0" w:right="0" w:hanging="0"/>
              <w:jc w:val="left"/>
              <w:rPr/>
            </w:pPr>
            <w:hyperlink w:anchor="Item6Exhibits_354488">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77" w:type="dxa"/>
            <w:gridSpan w:val="2"/>
            <w:tcBorders/>
            <w:vAlign w:val="center"/>
          </w:tcPr>
          <w:p>
            <w:pPr>
              <w:pStyle w:val="TableContents"/>
              <w:pBdr/>
              <w:bidi w:val="0"/>
              <w:spacing w:lineRule="atLeast" w:line="220" w:before="0" w:after="0"/>
              <w:ind w:left="0" w:right="0" w:hanging="0"/>
              <w:jc w:val="left"/>
              <w:rPr/>
            </w:pPr>
            <w:hyperlink w:anchor="Signatures_760028">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5" w:name="PartIFinancial_155967"/>
      <w:bookmarkStart w:id="46" w:name="_87761dc0_b37a_4179_9199_a5d042c62f81"/>
      <w:bookmarkEnd w:id="45"/>
      <w:bookmarkEnd w:id="46"/>
      <w:r>
        <w:rPr>
          <w:rFonts w:ascii="Times New Roman;Times;serif" w:hAnsi="Times New Roman;Times;serif"/>
          <w:b/>
          <w:sz w:val="20"/>
        </w:rPr>
        <w:t>Part I. Financial Information</w:t>
      </w:r>
    </w:p>
    <w:p>
      <w:pPr>
        <w:pStyle w:val="TextBody"/>
        <w:bidi w:val="0"/>
        <w:spacing w:before="0" w:after="0"/>
        <w:ind w:left="0" w:right="0" w:hanging="0"/>
        <w:jc w:val="left"/>
        <w:rPr>
          <w:rFonts w:ascii="Times New Roman;Times;serif" w:hAnsi="Times New Roman;Times;serif"/>
          <w:b/>
          <w:sz w:val="20"/>
        </w:rPr>
      </w:pPr>
      <w:bookmarkStart w:id="47" w:name="Item1FinancialStatements_846547"/>
      <w:bookmarkEnd w:id="47"/>
      <w:r>
        <w:rPr>
          <w:rFonts w:ascii="Times New Roman;Times;serif" w:hAnsi="Times New Roman;Times;serif"/>
          <w:b/>
          <w:sz w:val="20"/>
        </w:rPr>
        <w:t>Item 1.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48" w:name="BalanceSheets"/>
      <w:bookmarkEnd w:id="48"/>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9" w:name="Tc_HSm1yKGaiEa0GSTbbZZkng_47_5"/>
      <w:bookmarkStart w:id="50" w:name="Tc_M6uRbc8R80SXOL1o8XKJ5w_47_2"/>
      <w:bookmarkStart w:id="51" w:name="Tc___HEtBsICkeXoLspxOsuuA_47_0"/>
      <w:bookmarkStart w:id="52" w:name="Tc_ec3uqpBTxU268JK2Se6EtA_45_0"/>
      <w:bookmarkStart w:id="53" w:name="Tc_kOFPB76WJkaLHdFGFG2Omw_44_0"/>
      <w:bookmarkStart w:id="54" w:name="Tc_igV43HV6jU6Onwokk1k_ww_43_0"/>
      <w:bookmarkStart w:id="55" w:name="Tc_cYUcDQmNe0Con18-tcP0eg_42_0"/>
      <w:bookmarkStart w:id="56" w:name="Tc_B4aBPxxw8UyIXzQyV0iWWw_41_0"/>
      <w:bookmarkStart w:id="57" w:name="_36d0b019_6263_48da_9da3_1c627889e08f_3"/>
      <w:bookmarkStart w:id="58" w:name="_36d0b019_6263_48da_9da3_1c627889e08f_2"/>
      <w:bookmarkStart w:id="59" w:name="_36d0b019_6263_48da_9da3_1c627889e08f"/>
      <w:bookmarkStart w:id="60" w:name="Tc_J9MszKcWwUqTExAtHKJA-A_40_0"/>
      <w:bookmarkStart w:id="61" w:name="Tc_sLmrsGcMpUOIBwe04wErog_39_0"/>
      <w:bookmarkStart w:id="62" w:name="_04eecba7_aef5_4947_a4bd_6998b747a025_3"/>
      <w:bookmarkStart w:id="63" w:name="_04eecba7_aef5_4947_a4bd_6998b747a025_2"/>
      <w:bookmarkStart w:id="64" w:name="_04eecba7_aef5_4947_a4bd_6998b747a025"/>
      <w:bookmarkStart w:id="65" w:name="Tc_drWmheoO7Ue52fKMoHsEzA_37_0"/>
      <w:bookmarkStart w:id="66" w:name="Tc_LXi392dDdEq7gebj3z33rQ_35_0"/>
      <w:bookmarkStart w:id="67" w:name="Tc_oLs3ewkcZ0ecN09TibH3OA_33_0"/>
      <w:bookmarkStart w:id="68" w:name="Tc__aaHKCTSWEqDCNh61RXQGQ_32_0"/>
      <w:bookmarkStart w:id="69" w:name="Tc_OXEfR0XSRkKLszj7Mxn7SA_31_0"/>
      <w:bookmarkStart w:id="70" w:name="Tc_oAneml8hRES-7wQZenkQeQ_30_0"/>
      <w:bookmarkStart w:id="71" w:name="Tc_5ezx5rm_KkGIUYRr0vCscg_29_0"/>
      <w:bookmarkStart w:id="72" w:name="Tc_Cg0Kqdx3r0mZcP89ZnmYOw_28_6"/>
      <w:bookmarkStart w:id="73" w:name="Tc_ciuc-qNMDku3GKTHM_xSMA_28_0"/>
      <w:bookmarkStart w:id="74" w:name="Tc_geV9OkR0Yke-qCWVCd0Lng_27_0"/>
      <w:bookmarkStart w:id="75" w:name="Tc_Oi2E4CJVxUCqggX9PdX0JA_25_0"/>
      <w:bookmarkStart w:id="76" w:name="Tc_hcocKV8aR0CrweSm7rdrMA_24_0"/>
      <w:bookmarkStart w:id="77" w:name="Tc_JficWlGfIE-dRGwmRC_U4Q_23_0"/>
      <w:bookmarkStart w:id="78" w:name="Tc_IW_2KHGeSkalu3YvB4fzkg_22_0"/>
      <w:bookmarkStart w:id="79" w:name="Tc_h3M8EHicpkKW6iM-mlQvYA_21_0"/>
      <w:bookmarkStart w:id="80" w:name="Tc__5QGcvNmjkWQ6Mu48nI84Q_20_0"/>
      <w:bookmarkStart w:id="81" w:name="Tc_BH59cGjxH0i8_BaHEvojCQ_19_5"/>
      <w:bookmarkStart w:id="82" w:name="Tc_kU8HVFi9_EyGkZ-5yZLkSw_19_2"/>
      <w:bookmarkStart w:id="83" w:name="Tc_xYNeONhaUEyw0lUWafU_sg_19_0"/>
      <w:bookmarkStart w:id="84" w:name="Tc_qhYnYwWxG0yefFtoteQVrA_18_0"/>
      <w:bookmarkStart w:id="85" w:name="Tc_2IAlnpTSW06HOPkNLlk0_g_16_5"/>
      <w:bookmarkStart w:id="86" w:name="Tc_Laqo6AQQiEqtfJ0RkZxIaQ_16_2"/>
      <w:bookmarkStart w:id="87" w:name="Tc_CDVHKsE3J02C0qh1e6dQcw_16_0"/>
      <w:bookmarkStart w:id="88" w:name="Tc_OR3Q4jiVSEyp5sNOsj2WCw_15_0"/>
      <w:bookmarkStart w:id="89" w:name="Tc_zH3u_TrxN0C5BW-m97cEAA_14_0"/>
      <w:bookmarkStart w:id="90" w:name="Tc_1uZY7YwUnE-BNpwxkQsVtg_13_0"/>
      <w:bookmarkStart w:id="91" w:name="Tc__YMinwiwmkqvbQQVs76rqQ_12_0"/>
      <w:bookmarkStart w:id="92" w:name="Tc_mWjHjI6sqU293b10R-TZvQ_11_0"/>
      <w:bookmarkStart w:id="93" w:name="Tc_F_qxmkiG60St17d3SKWcLg_9_0"/>
      <w:bookmarkStart w:id="94" w:name="Tc_knvxFOo-2UCvNiDVg6vAoA_8_0"/>
      <w:bookmarkStart w:id="95" w:name="Tc_Kws3gyg23UmS1gkrVNtgIg_7_0"/>
      <w:bookmarkStart w:id="96" w:name="Tc_M7Oc4lhtjE-pmhpRZ7EZ5w_6_0"/>
      <w:bookmarkStart w:id="97" w:name="Tc_a5hzC8UqgU65vqVSUN-8Gg_5_0"/>
      <w:bookmarkStart w:id="98" w:name="Tc_3Mr0FR4lYUK9s40B0QVr7A_4_0"/>
      <w:bookmarkStart w:id="99" w:name="Tc_RTKjp5EuOkKeRn6Mi_Aj6g_3_5"/>
      <w:bookmarkStart w:id="100" w:name="Tc_-KPbWHPvG0inm48KwKQADw_3_2"/>
      <w:bookmarkStart w:id="101" w:name="Tc_OjGHF6X4tkWGfp61MYJwnQ_3_0"/>
      <w:bookmarkStart w:id="102" w:name="Tc_J1GhHRuvp0C5rddOI_sbeQ_2_0"/>
      <w:bookmarkStart w:id="103" w:name="Tc_TZ2w5on2aUG_MA8yd4IJig_1_5"/>
      <w:bookmarkStart w:id="104" w:name="Tc_BlAAXuoYiUGC3Ci42A6Q0w_1_2"/>
      <w:bookmarkStart w:id="105" w:name="Tc_JOEAAubkmkO3OQikL9HT3Q_1_0"/>
      <w:bookmarkStart w:id="106" w:name="_b30f15d2_4638_4eff_9b9a_44dca1abdf23"/>
      <w:bookmarkStart w:id="107" w:name="Tc_HSm1yKGaiEa0GSTbbZZkng_47_5"/>
      <w:bookmarkStart w:id="108" w:name="Tc_M6uRbc8R80SXOL1o8XKJ5w_47_2"/>
      <w:bookmarkStart w:id="109" w:name="Tc___HEtBsICkeXoLspxOsuuA_47_0"/>
      <w:bookmarkStart w:id="110" w:name="Tc_ec3uqpBTxU268JK2Se6EtA_45_0"/>
      <w:bookmarkStart w:id="111" w:name="Tc_kOFPB76WJkaLHdFGFG2Omw_44_0"/>
      <w:bookmarkStart w:id="112" w:name="Tc_igV43HV6jU6Onwokk1k_ww_43_0"/>
      <w:bookmarkStart w:id="113" w:name="Tc_cYUcDQmNe0Con18-tcP0eg_42_0"/>
      <w:bookmarkStart w:id="114" w:name="Tc_B4aBPxxw8UyIXzQyV0iWWw_41_0"/>
      <w:bookmarkStart w:id="115" w:name="_36d0b019_6263_48da_9da3_1c627889e08f_3"/>
      <w:bookmarkStart w:id="116" w:name="_36d0b019_6263_48da_9da3_1c627889e08f_2"/>
      <w:bookmarkStart w:id="117" w:name="_36d0b019_6263_48da_9da3_1c627889e08f"/>
      <w:bookmarkStart w:id="118" w:name="Tc_J9MszKcWwUqTExAtHKJA-A_40_0"/>
      <w:bookmarkStart w:id="119" w:name="Tc_sLmrsGcMpUOIBwe04wErog_39_0"/>
      <w:bookmarkStart w:id="120" w:name="_04eecba7_aef5_4947_a4bd_6998b747a025_3"/>
      <w:bookmarkStart w:id="121" w:name="_04eecba7_aef5_4947_a4bd_6998b747a025_2"/>
      <w:bookmarkStart w:id="122" w:name="_04eecba7_aef5_4947_a4bd_6998b747a025"/>
      <w:bookmarkStart w:id="123" w:name="Tc_drWmheoO7Ue52fKMoHsEzA_37_0"/>
      <w:bookmarkStart w:id="124" w:name="Tc_LXi392dDdEq7gebj3z33rQ_35_0"/>
      <w:bookmarkStart w:id="125" w:name="Tc_oLs3ewkcZ0ecN09TibH3OA_33_0"/>
      <w:bookmarkStart w:id="126" w:name="Tc__aaHKCTSWEqDCNh61RXQGQ_32_0"/>
      <w:bookmarkStart w:id="127" w:name="Tc_OXEfR0XSRkKLszj7Mxn7SA_31_0"/>
      <w:bookmarkStart w:id="128" w:name="Tc_oAneml8hRES-7wQZenkQeQ_30_0"/>
      <w:bookmarkStart w:id="129" w:name="Tc_5ezx5rm_KkGIUYRr0vCscg_29_0"/>
      <w:bookmarkStart w:id="130" w:name="Tc_Cg0Kqdx3r0mZcP89ZnmYOw_28_6"/>
      <w:bookmarkStart w:id="131" w:name="Tc_ciuc-qNMDku3GKTHM_xSMA_28_0"/>
      <w:bookmarkStart w:id="132" w:name="Tc_geV9OkR0Yke-qCWVCd0Lng_27_0"/>
      <w:bookmarkStart w:id="133" w:name="Tc_Oi2E4CJVxUCqggX9PdX0JA_25_0"/>
      <w:bookmarkStart w:id="134" w:name="Tc_hcocKV8aR0CrweSm7rdrMA_24_0"/>
      <w:bookmarkStart w:id="135" w:name="Tc_JficWlGfIE-dRGwmRC_U4Q_23_0"/>
      <w:bookmarkStart w:id="136" w:name="Tc_IW_2KHGeSkalu3YvB4fzkg_22_0"/>
      <w:bookmarkStart w:id="137" w:name="Tc_h3M8EHicpkKW6iM-mlQvYA_21_0"/>
      <w:bookmarkStart w:id="138" w:name="Tc__5QGcvNmjkWQ6Mu48nI84Q_20_0"/>
      <w:bookmarkStart w:id="139" w:name="Tc_BH59cGjxH0i8_BaHEvojCQ_19_5"/>
      <w:bookmarkStart w:id="140" w:name="Tc_kU8HVFi9_EyGkZ-5yZLkSw_19_2"/>
      <w:bookmarkStart w:id="141" w:name="Tc_xYNeONhaUEyw0lUWafU_sg_19_0"/>
      <w:bookmarkStart w:id="142" w:name="Tc_qhYnYwWxG0yefFtoteQVrA_18_0"/>
      <w:bookmarkStart w:id="143" w:name="Tc_2IAlnpTSW06HOPkNLlk0_g_16_5"/>
      <w:bookmarkStart w:id="144" w:name="Tc_Laqo6AQQiEqtfJ0RkZxIaQ_16_2"/>
      <w:bookmarkStart w:id="145" w:name="Tc_CDVHKsE3J02C0qh1e6dQcw_16_0"/>
      <w:bookmarkStart w:id="146" w:name="Tc_OR3Q4jiVSEyp5sNOsj2WCw_15_0"/>
      <w:bookmarkStart w:id="147" w:name="Tc_zH3u_TrxN0C5BW-m97cEAA_14_0"/>
      <w:bookmarkStart w:id="148" w:name="Tc_1uZY7YwUnE-BNpwxkQsVtg_13_0"/>
      <w:bookmarkStart w:id="149" w:name="Tc__YMinwiwmkqvbQQVs76rqQ_12_0"/>
      <w:bookmarkStart w:id="150" w:name="Tc_mWjHjI6sqU293b10R-TZvQ_11_0"/>
      <w:bookmarkStart w:id="151" w:name="Tc_F_qxmkiG60St17d3SKWcLg_9_0"/>
      <w:bookmarkStart w:id="152" w:name="Tc_knvxFOo-2UCvNiDVg6vAoA_8_0"/>
      <w:bookmarkStart w:id="153" w:name="Tc_Kws3gyg23UmS1gkrVNtgIg_7_0"/>
      <w:bookmarkStart w:id="154" w:name="Tc_M7Oc4lhtjE-pmhpRZ7EZ5w_6_0"/>
      <w:bookmarkStart w:id="155" w:name="Tc_a5hzC8UqgU65vqVSUN-8Gg_5_0"/>
      <w:bookmarkStart w:id="156" w:name="Tc_3Mr0FR4lYUK9s40B0QVr7A_4_0"/>
      <w:bookmarkStart w:id="157" w:name="Tc_RTKjp5EuOkKeRn6Mi_Aj6g_3_5"/>
      <w:bookmarkStart w:id="158" w:name="Tc_-KPbWHPvG0inm48KwKQADw_3_2"/>
      <w:bookmarkStart w:id="159" w:name="Tc_OjGHF6X4tkWGfp61MYJwnQ_3_0"/>
      <w:bookmarkStart w:id="160" w:name="Tc_J1GhHRuvp0C5rddOI_sbeQ_2_0"/>
      <w:bookmarkStart w:id="161" w:name="Tc_TZ2w5on2aUG_MA8yd4IJig_1_5"/>
      <w:bookmarkStart w:id="162" w:name="Tc_BlAAXuoYiUGC3Ci42A6Q0w_1_2"/>
      <w:bookmarkStart w:id="163" w:name="Tc_JOEAAubkmkO3OQikL9HT3Q_1_0"/>
      <w:bookmarkStart w:id="164" w:name="_b30f15d2_4638_4eff_9b9a_44dca1abdf23"/>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10205" w:type="dxa"/>
        <w:jc w:val="left"/>
        <w:tblInd w:w="0" w:type="dxa"/>
        <w:tblLayout w:type="fixed"/>
        <w:tblCellMar>
          <w:top w:w="0" w:type="dxa"/>
          <w:left w:w="0" w:type="dxa"/>
          <w:bottom w:w="0" w:type="dxa"/>
          <w:right w:w="0" w:type="dxa"/>
        </w:tblCellMar>
      </w:tblPr>
      <w:tblGrid>
        <w:gridCol w:w="7196"/>
        <w:gridCol w:w="326"/>
        <w:gridCol w:w="201"/>
        <w:gridCol w:w="805"/>
        <w:gridCol w:w="326"/>
        <w:gridCol w:w="280"/>
        <w:gridCol w:w="1071"/>
      </w:tblGrid>
      <w:tr>
        <w:trPr/>
        <w:tc>
          <w:tcPr>
            <w:tcW w:w="7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569460" cy="175260"/>
                      <wp:effectExtent l="0" t="0" r="0" b="0"/>
                      <wp:wrapNone/>
                      <wp:docPr id="5" name="Frame4"/>
                      <a:graphic xmlns:a="http://schemas.openxmlformats.org/drawingml/2006/main">
                        <a:graphicData uri="http://schemas.microsoft.com/office/word/2010/wordprocessingShape">
                          <wps:wsp>
                            <wps:cNvSpPr txBox="1"/>
                            <wps:spPr>
                              <a:xfrm>
                                <a:off x="0" y="0"/>
                                <a:ext cx="456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7635" cy="175260"/>
                      <wp:effectExtent l="0" t="0" r="0" b="0"/>
                      <wp:wrapNone/>
                      <wp:docPr id="7" name="Frame6"/>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11175" cy="175260"/>
                      <wp:effectExtent l="0" t="0" r="0" b="0"/>
                      <wp:wrapNone/>
                      <wp:docPr id="8" name="Frame7"/>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77800" cy="175260"/>
                      <wp:effectExtent l="0" t="0" r="0" b="0"/>
                      <wp:wrapNone/>
                      <wp:docPr id="10" name="Frame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80085" cy="175260"/>
                      <wp:effectExtent l="0" t="0" r="0" b="0"/>
                      <wp:wrapNone/>
                      <wp:docPr id="11" name="Frame10"/>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 except par value)</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June 30, 2024</w:t>
            </w:r>
          </w:p>
        </w:tc>
        <w:tc>
          <w:tcPr>
            <w:tcW w:w="326" w:type="dxa"/>
            <w:tcBorders/>
            <w:vAlign w:val="center"/>
          </w:tcPr>
          <w:p>
            <w:pPr>
              <w:pStyle w:val="TableContents"/>
              <w:bidi w:val="0"/>
              <w:spacing w:before="0" w:after="1"/>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2023</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24,316</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37,196</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1,711</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644</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Accounts receivable, net of allowance for credit losses of $3,941</w:t>
            </w:r>
            <w:r>
              <w:rPr>
                <w:rFonts w:ascii="Times New Roman;Times;serif" w:hAnsi="Times New Roman;Times;serif"/>
                <w:sz w:val="14"/>
              </w:rPr>
              <w:t xml:space="preserve"> </w:t>
            </w:r>
            <w:r>
              <w:rPr>
                <w:rFonts w:ascii="Times New Roman;Times;serif" w:hAnsi="Times New Roman;Times;serif"/>
                <w:sz w:val="15"/>
              </w:rPr>
              <w:t>and $2,915, respectively</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102,071</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99,158</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163,703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149,921</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assets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17,751</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13,658</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22,973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12,473</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current assets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332,525</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313,050</w:t>
            </w:r>
          </w:p>
        </w:tc>
      </w:tr>
      <w:tr>
        <w:trPr/>
        <w:tc>
          <w:tcPr>
            <w:tcW w:w="71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Property, plant and equipment, net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418,247</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344,038</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116,111</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116,111</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118,953</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122,945</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62,643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67,601</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assets</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7,894</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7,769</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1,056,373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971,514</w:t>
            </w:r>
          </w:p>
        </w:tc>
      </w:tr>
      <w:tr>
        <w:trPr/>
        <w:tc>
          <w:tcPr>
            <w:tcW w:w="7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left"/>
              <w:rPr/>
            </w:pPr>
            <w:r>
              <w:rPr/>
              <w:t>​</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LIABILITIES, CONVERTIBLE PREFERRED SHARES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Current maturities of long-term debt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12,137</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9,811</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Short-term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54,552</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43,694</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43,091</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69,106</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Supply chain finance program</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76,336</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78,076</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5,044</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3,731</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62,707</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35,217</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current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253,867</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239,635</w:t>
            </w:r>
          </w:p>
        </w:tc>
      </w:tr>
      <w:tr>
        <w:trPr/>
        <w:tc>
          <w:tcPr>
            <w:tcW w:w="71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Long-term debt, net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280,255</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223,092</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Convertible notes payable - related party,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49,671</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income taxes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13,288</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10,847</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59,287</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63,554</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Warrant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43,148</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44,801</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1,287</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1,629</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700,803</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583,558</w:t>
            </w:r>
          </w:p>
        </w:tc>
      </w:tr>
      <w:tr>
        <w:trPr/>
        <w:tc>
          <w:tcPr>
            <w:tcW w:w="71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Commitments and contingencies (Note 20)</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left"/>
              <w:rPr/>
            </w:pPr>
            <w:r>
              <w:rPr/>
              <w:t>​</w:t>
            </w:r>
          </w:p>
        </w:tc>
      </w:tr>
      <w:tr>
        <w:trPr/>
        <w:tc>
          <w:tcPr>
            <w:tcW w:w="71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Series A Convertible Preferred Shares, $0.01</w:t>
            </w:r>
            <w:r>
              <w:rPr>
                <w:rFonts w:ascii="Times New Roman;Times;serif" w:hAnsi="Times New Roman;Times;serif"/>
                <w:sz w:val="14"/>
              </w:rPr>
              <w:t xml:space="preserve"> </w:t>
            </w:r>
            <w:r>
              <w:rPr>
                <w:rFonts w:ascii="Times New Roman;Times;serif" w:hAnsi="Times New Roman;Times;serif"/>
                <w:sz w:val="15"/>
              </w:rPr>
              <w:t>par value, 24,000</w:t>
            </w:r>
            <w:r>
              <w:rPr>
                <w:rFonts w:ascii="Times New Roman;Times;serif" w:hAnsi="Times New Roman;Times;serif"/>
                <w:sz w:val="14"/>
              </w:rPr>
              <w:t xml:space="preserve"> </w:t>
            </w:r>
            <w:r>
              <w:rPr>
                <w:rFonts w:ascii="Times New Roman;Times;serif" w:hAnsi="Times New Roman;Times;serif"/>
                <w:sz w:val="15"/>
              </w:rPr>
              <w:t>shares authorized, 23,512</w:t>
            </w:r>
            <w:r>
              <w:rPr>
                <w:rFonts w:ascii="Times New Roman;Times;serif" w:hAnsi="Times New Roman;Times;serif"/>
                <w:sz w:val="14"/>
              </w:rPr>
              <w:t xml:space="preserve"> </w:t>
            </w:r>
            <w:r>
              <w:rPr>
                <w:rFonts w:ascii="Times New Roman;Times;serif" w:hAnsi="Times New Roman;Times;serif"/>
                <w:sz w:val="15"/>
              </w:rPr>
              <w:t>shares issued and outstanding</w:t>
            </w:r>
            <w:r>
              <w:rPr>
                <w:rFonts w:ascii="Times New Roman;Times;serif" w:hAnsi="Times New Roman;Times;serif"/>
                <w:sz w:val="14"/>
              </w:rPr>
              <w:t xml:space="preserve"> </w:t>
            </w:r>
            <w:r>
              <w:rPr>
                <w:rFonts w:ascii="Times New Roman;Times;serif" w:hAnsi="Times New Roman;Times;serif"/>
                <w:sz w:val="15"/>
              </w:rPr>
              <w:t>at June 30, 2024 and December 31, 2023, respectively, $11.50</w:t>
            </w:r>
            <w:r>
              <w:rPr>
                <w:rFonts w:ascii="Times New Roman;Times;serif" w:hAnsi="Times New Roman;Times;serif"/>
                <w:sz w:val="14"/>
              </w:rPr>
              <w:t xml:space="preserve"> </w:t>
            </w:r>
            <w:r>
              <w:rPr>
                <w:rFonts w:ascii="Times New Roman;Times;serif" w:hAnsi="Times New Roman;Times;serif"/>
                <w:sz w:val="15"/>
              </w:rPr>
              <w:t xml:space="preserve">liquidation value </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274,042</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274,216</w:t>
            </w:r>
          </w:p>
        </w:tc>
      </w:tr>
      <w:tr>
        <w:trPr/>
        <w:tc>
          <w:tcPr>
            <w:tcW w:w="71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b/>
                <w:i/>
                <w:sz w:val="15"/>
              </w:rPr>
            </w:pPr>
            <w:r>
              <w:rPr>
                <w:rFonts w:ascii="Times New Roman;Times;serif" w:hAnsi="Times New Roman;Times;serif"/>
                <w:b/>
                <w:i/>
                <w:sz w:val="15"/>
              </w:rPr>
              <w:t>Shareholders' Equity</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left"/>
              <w:rPr/>
            </w:pPr>
            <w:r>
              <w:rPr/>
              <w:t>​</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Preferred stock, $0.01</w:t>
            </w:r>
            <w:r>
              <w:rPr>
                <w:rFonts w:ascii="Times New Roman;Times;serif" w:hAnsi="Times New Roman;Times;serif"/>
                <w:sz w:val="14"/>
              </w:rPr>
              <w:t xml:space="preserve"> </w:t>
            </w:r>
            <w:r>
              <w:rPr>
                <w:rFonts w:ascii="Times New Roman;Times;serif" w:hAnsi="Times New Roman;Times;serif"/>
                <w:sz w:val="15"/>
              </w:rPr>
              <w:t>par value, 26,000</w:t>
            </w:r>
            <w:r>
              <w:rPr>
                <w:rFonts w:ascii="Times New Roman;Times;serif" w:hAnsi="Times New Roman;Times;serif"/>
                <w:sz w:val="14"/>
              </w:rPr>
              <w:t xml:space="preserve"> </w:t>
            </w:r>
            <w:r>
              <w:rPr>
                <w:rFonts w:ascii="Times New Roman;Times;serif" w:hAnsi="Times New Roman;Times;serif"/>
                <w:sz w:val="15"/>
              </w:rPr>
              <w:t>shares authorized, no</w:t>
            </w:r>
            <w:r>
              <w:rPr>
                <w:rFonts w:ascii="Times New Roman;Times;serif" w:hAnsi="Times New Roman;Times;serif"/>
                <w:sz w:val="14"/>
              </w:rPr>
              <w:t xml:space="preserve"> </w:t>
            </w:r>
            <w:r>
              <w:rPr>
                <w:rFonts w:ascii="Times New Roman;Times;serif" w:hAnsi="Times New Roman;Times;serif"/>
                <w:sz w:val="15"/>
              </w:rPr>
              <w:t>shares issued and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Common stock, $0.01</w:t>
            </w:r>
            <w:r>
              <w:rPr>
                <w:rFonts w:ascii="Times New Roman;Times;serif" w:hAnsi="Times New Roman;Times;serif"/>
                <w:sz w:val="20"/>
              </w:rPr>
              <w:t xml:space="preserve"> </w:t>
            </w:r>
            <w:r>
              <w:rPr>
                <w:rFonts w:ascii="Times New Roman;Times;serif" w:hAnsi="Times New Roman;Times;serif"/>
                <w:sz w:val="15"/>
              </w:rPr>
              <w:t>par value, 300,000</w:t>
            </w:r>
            <w:r>
              <w:rPr>
                <w:rFonts w:ascii="Times New Roman;Times;serif" w:hAnsi="Times New Roman;Times;serif"/>
                <w:sz w:val="20"/>
              </w:rPr>
              <w:t xml:space="preserve"> </w:t>
            </w:r>
            <w:r>
              <w:rPr>
                <w:rFonts w:ascii="Times New Roman;Times;serif" w:hAnsi="Times New Roman;Times;serif"/>
                <w:sz w:val="15"/>
              </w:rPr>
              <w:t>shares authorized, 88,366</w:t>
            </w:r>
            <w:r>
              <w:rPr>
                <w:rFonts w:ascii="Times New Roman;Times;serif" w:hAnsi="Times New Roman;Times;serif"/>
                <w:sz w:val="20"/>
              </w:rPr>
              <w:t xml:space="preserve"> </w:t>
            </w:r>
            <w:r>
              <w:rPr>
                <w:rFonts w:ascii="Times New Roman;Times;serif" w:hAnsi="Times New Roman;Times;serif"/>
                <w:sz w:val="15"/>
              </w:rPr>
              <w:t>shares and 88,051</w:t>
            </w:r>
            <w:r>
              <w:rPr>
                <w:rFonts w:ascii="Times New Roman;Times;serif" w:hAnsi="Times New Roman;Times;serif"/>
                <w:sz w:val="20"/>
              </w:rPr>
              <w:t xml:space="preserve"> </w:t>
            </w:r>
            <w:r>
              <w:rPr>
                <w:rFonts w:ascii="Times New Roman;Times;serif" w:hAnsi="Times New Roman;Times;serif"/>
                <w:sz w:val="15"/>
              </w:rPr>
              <w:t xml:space="preserve">shares </w:t>
            </w:r>
            <w:r>
              <w:rPr>
                <w:rFonts w:ascii="Times New Roman;Times;serif" w:hAnsi="Times New Roman;Times;serif"/>
                <w:b w:val="false"/>
                <w:i w:val="false"/>
                <w:caps w:val="false"/>
                <w:smallCaps w:val="false"/>
                <w:sz w:val="15"/>
              </w:rPr>
              <w:t>issued</w:t>
            </w:r>
            <w:r>
              <w:rPr>
                <w:rFonts w:ascii="Times New Roman;Times;serif" w:hAnsi="Times New Roman;Times;serif"/>
                <w:sz w:val="20"/>
              </w:rPr>
              <w:t xml:space="preserve"> </w:t>
            </w:r>
            <w:r>
              <w:rPr>
                <w:rFonts w:ascii="Times New Roman;Times;serif" w:hAnsi="Times New Roman;Times;serif"/>
                <w:sz w:val="15"/>
              </w:rPr>
              <w:t xml:space="preserve">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at June 30,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884</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880</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Additional paid-in-capital</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476,795</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471,666</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(404,056)</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(362,624)</w:t>
            </w:r>
          </w:p>
        </w:tc>
      </w:tr>
      <w:tr>
        <w:trPr/>
        <w:tc>
          <w:tcPr>
            <w:tcW w:w="719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7,905</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3,818</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shareholders' equity</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81,528</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113,740</w:t>
            </w:r>
          </w:p>
        </w:tc>
      </w:tr>
      <w:tr>
        <w:trPr/>
        <w:tc>
          <w:tcPr>
            <w:tcW w:w="71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719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 Convertible Preferred Shares and Shareholders' Equity</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1,056,373</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971,514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5" w:name="_4a90008a_3c19_4e5d_b892_c5590519c702"/>
      <w:bookmarkEnd w:id="165"/>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166" w:name="CONSOLIDATEDSTATEMENTOFOPERATIONS_105916"/>
      <w:bookmarkEnd w:id="166"/>
      <w:r>
        <w:rPr>
          <w:rFonts w:ascii="Times New Roman;Times;serif" w:hAnsi="Times New Roman;Times;serif"/>
          <w:b/>
          <w:sz w:val="20"/>
        </w:rPr>
        <w:t>CONDENSED 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7" w:name="Tc_H5wsYSWJI0qHmaTa-MUzTQ_33_0"/>
      <w:bookmarkStart w:id="168" w:name="Tc_wdWPUlxUgkiT2DyW7l_JEQ_32_0"/>
      <w:bookmarkStart w:id="169" w:name="Tc_jhChwgPiF0aF6idvIAxVHQ_31_0"/>
      <w:bookmarkStart w:id="170" w:name="Tc_hrqva7ixTE67jDGxRFJQ9Q_29_11"/>
      <w:bookmarkStart w:id="171" w:name="Tc_wee7CRLvfk-wXDF6XNB6XQ_29_8"/>
      <w:bookmarkStart w:id="172" w:name="Tc_a26WsC3NGkmGYgDmJArxWA_29_5"/>
      <w:bookmarkStart w:id="173" w:name="Tc_A1XLbNTnV0eGQz0MLRXu6Q_29_2"/>
      <w:bookmarkStart w:id="174" w:name="Tc_kA7TXWNYREqf8YYGiZePtg_29_0"/>
      <w:bookmarkStart w:id="175" w:name="Tc_VFbGxjmk8UGAFtl9oac_hQ_28_11"/>
      <w:bookmarkStart w:id="176" w:name="Tc_cH9D4wxdOk2XuF6UZJnI5Q_28_8"/>
      <w:bookmarkStart w:id="177" w:name="Tc_d7A-WXp2rEmuuhJXa-xC_w_28_5"/>
      <w:bookmarkStart w:id="178" w:name="Tc_HD4C1QbvmUKM5inVl1VwpA_28_2"/>
      <w:bookmarkStart w:id="179" w:name="Tc_pHGQqZvSrUK3v6GGDugDrg_28_0"/>
      <w:bookmarkStart w:id="180" w:name="Tc_qsUftL6OY0SReLWgOZ-2wA_27_0"/>
      <w:bookmarkStart w:id="181" w:name="Tc_LKCNNncekk-3eikv9ULkfg_25_11"/>
      <w:bookmarkStart w:id="182" w:name="Tc_667g7P_Wc0mB_gqbdZSDsw_25_8"/>
      <w:bookmarkStart w:id="183" w:name="Tc_soAUnz3wXUCnK7VE5l4rtw_25_5"/>
      <w:bookmarkStart w:id="184" w:name="Tc_nTU_w9F1JEq4aDuLnGoQgQ_25_2"/>
      <w:bookmarkStart w:id="185" w:name="Tc_-uZvw0ks_0Kl3QGq5DYMrg_25_0"/>
      <w:bookmarkStart w:id="186" w:name="Tc_DuS1zlGw0EK8pc3m5hLyWw_24_0"/>
      <w:bookmarkStart w:id="187" w:name="Tc_x-nsNAvQHEqHOOI3pmkFdA_23_0"/>
      <w:bookmarkStart w:id="188" w:name="Tc_LtcR8W_JukaGZsmmoc0zOg_22_9"/>
      <w:bookmarkStart w:id="189" w:name="Tc_83UkFJmplkO6MLglSG7DpQ_22_6"/>
      <w:bookmarkStart w:id="190" w:name="Tc_u9juN_r4ckywk3EaJdWLWw_22_3"/>
      <w:bookmarkStart w:id="191" w:name="Tc_Ug6vHWCCyUWJlOdCZ38ROA_22_0"/>
      <w:bookmarkStart w:id="192" w:name="Tc_ftVZ830aukCoPghY1vbIGA_21_11"/>
      <w:bookmarkStart w:id="193" w:name="Tc_H9b3Iy2UtEKTsWrVWBB_Pg_21_8"/>
      <w:bookmarkStart w:id="194" w:name="Tc_TAm17hygz0CIO8M8jLhDHg_21_5"/>
      <w:bookmarkStart w:id="195" w:name="Tc_fw_yjqrKpU-fIbA7W7yocw_21_2"/>
      <w:bookmarkStart w:id="196" w:name="Tc_c0xvCC2OQ0KwsJD2VUbJng_21_0"/>
      <w:bookmarkStart w:id="197" w:name="Tc_beB2GZVQeESiavSDbxRIJw_20_12"/>
      <w:bookmarkStart w:id="198" w:name="Tc_WB-BYS5MCk2e5qzMnk3IJg_20_6"/>
      <w:bookmarkStart w:id="199" w:name="Tc__A0cnajGzEOsF4JFdh6mqA_20_0"/>
      <w:bookmarkStart w:id="200" w:name="Tc_fEEfnXS8O0KunoRygw2VBg_19_0"/>
      <w:bookmarkStart w:id="201" w:name="Tc_T_6jT0fd3kappscNteJ_eA_18_0"/>
      <w:bookmarkStart w:id="202" w:name="Tc_m7o_2ryHlkipY3g8J5hyFA_17_0"/>
      <w:bookmarkStart w:id="203" w:name="Tc_YSH7VZjn30yEa49m7pdqvA_16_0"/>
      <w:bookmarkStart w:id="204" w:name="Tc_Q9Rj9K1xg0-hqcDMMZxLhQ_15_0"/>
      <w:bookmarkStart w:id="205" w:name="Tc_Q6r1hhwfl02OWXKUQuBV3Q_14_0"/>
      <w:bookmarkStart w:id="206" w:name="Tc_M1pMP95oRUy4GktbN7IG0A_12_0"/>
      <w:bookmarkStart w:id="207" w:name="Tc_YC7ShewflEK8dZSkm5thlA_11_0"/>
      <w:bookmarkStart w:id="208" w:name="Tc_XjDLyvsJzkWE4ws1i6ulvQ_10_6"/>
      <w:bookmarkStart w:id="209" w:name="Tc_Mpqxux7Kgk-_cKB0R14CXA_10_0"/>
      <w:bookmarkStart w:id="210" w:name="Tc_cq_r7DYRjEiC_E_bwc948g_9_12"/>
      <w:bookmarkStart w:id="211" w:name="Tc_923VOYxwP0qSL8U9zoQ9MQ_9_6"/>
      <w:bookmarkStart w:id="212" w:name="Tc_hUPQuVyN_0mGR31XSWcxtA_9_0"/>
      <w:bookmarkStart w:id="213" w:name="Tc_Da9jn5jHnUmt6EMPiwV0gg_8_0"/>
      <w:bookmarkStart w:id="214" w:name="Tc_tjGVqfSVN0Gyv06_8FqTZw_7_0"/>
      <w:bookmarkStart w:id="215" w:name="Tc_jZWyJo_oHkyU9D2Ptzgk0Q_5_0"/>
      <w:bookmarkStart w:id="216" w:name="Tc_z_DyDBlyd0q0oQy8AN-a5w_4_0"/>
      <w:bookmarkStart w:id="217" w:name="Tc_oOv_C6zttkqr_1o8fZ5IZw_3_11"/>
      <w:bookmarkStart w:id="218" w:name="Tc_t7INy103B0Cvgmv9uzSs2g_3_8"/>
      <w:bookmarkStart w:id="219" w:name="Tc_NuT4AFafdUuBFIHZKn4PTg_3_5"/>
      <w:bookmarkStart w:id="220" w:name="Tc_im_quEEYwEyCagP_7gKu3w_3_2"/>
      <w:bookmarkStart w:id="221" w:name="Tc_sIgAGkfcfUSyzVe4fALeig_3_0"/>
      <w:bookmarkStart w:id="222" w:name="Tc_85pc92nWkECyBWb7a_xwPw_2_11"/>
      <w:bookmarkStart w:id="223" w:name="Tc_gRm0-D_nwkG7OVteG56gLQ_2_8"/>
      <w:bookmarkStart w:id="224" w:name="Tc_Cq0lPu5NYUya7g2vzm4yGA_2_5"/>
      <w:bookmarkStart w:id="225" w:name="Tc_HQOAP75yQ0aXMct0o8Na9Q_2_2"/>
      <w:bookmarkStart w:id="226" w:name="Tc_bwfNqfG3pkCnnfnPDtZMRA_2_0"/>
      <w:bookmarkStart w:id="227" w:name="Tc_tWE6M4M1Pk2kqy4bUKZf7Q_1_8"/>
      <w:bookmarkStart w:id="228" w:name="Tc_KqsH6vPoh0i3rW9dS4FdKg_1_2"/>
      <w:bookmarkStart w:id="229" w:name="_2a6f20de_93ac_4df9_8ea6_3e15d663d50c"/>
      <w:bookmarkStart w:id="230" w:name="Tc_H5wsYSWJI0qHmaTa-MUzTQ_33_0"/>
      <w:bookmarkStart w:id="231" w:name="Tc_wdWPUlxUgkiT2DyW7l_JEQ_32_0"/>
      <w:bookmarkStart w:id="232" w:name="Tc_jhChwgPiF0aF6idvIAxVHQ_31_0"/>
      <w:bookmarkStart w:id="233" w:name="Tc_hrqva7ixTE67jDGxRFJQ9Q_29_11"/>
      <w:bookmarkStart w:id="234" w:name="Tc_wee7CRLvfk-wXDF6XNB6XQ_29_8"/>
      <w:bookmarkStart w:id="235" w:name="Tc_a26WsC3NGkmGYgDmJArxWA_29_5"/>
      <w:bookmarkStart w:id="236" w:name="Tc_A1XLbNTnV0eGQz0MLRXu6Q_29_2"/>
      <w:bookmarkStart w:id="237" w:name="Tc_kA7TXWNYREqf8YYGiZePtg_29_0"/>
      <w:bookmarkStart w:id="238" w:name="Tc_VFbGxjmk8UGAFtl9oac_hQ_28_11"/>
      <w:bookmarkStart w:id="239" w:name="Tc_cH9D4wxdOk2XuF6UZJnI5Q_28_8"/>
      <w:bookmarkStart w:id="240" w:name="Tc_d7A-WXp2rEmuuhJXa-xC_w_28_5"/>
      <w:bookmarkStart w:id="241" w:name="Tc_HD4C1QbvmUKM5inVl1VwpA_28_2"/>
      <w:bookmarkStart w:id="242" w:name="Tc_pHGQqZvSrUK3v6GGDugDrg_28_0"/>
      <w:bookmarkStart w:id="243" w:name="Tc_qsUftL6OY0SReLWgOZ-2wA_27_0"/>
      <w:bookmarkStart w:id="244" w:name="Tc_LKCNNncekk-3eikv9ULkfg_25_11"/>
      <w:bookmarkStart w:id="245" w:name="Tc_667g7P_Wc0mB_gqbdZSDsw_25_8"/>
      <w:bookmarkStart w:id="246" w:name="Tc_soAUnz3wXUCnK7VE5l4rtw_25_5"/>
      <w:bookmarkStart w:id="247" w:name="Tc_nTU_w9F1JEq4aDuLnGoQgQ_25_2"/>
      <w:bookmarkStart w:id="248" w:name="Tc_-uZvw0ks_0Kl3QGq5DYMrg_25_0"/>
      <w:bookmarkStart w:id="249" w:name="Tc_DuS1zlGw0EK8pc3m5hLyWw_24_0"/>
      <w:bookmarkStart w:id="250" w:name="Tc_x-nsNAvQHEqHOOI3pmkFdA_23_0"/>
      <w:bookmarkStart w:id="251" w:name="Tc_LtcR8W_JukaGZsmmoc0zOg_22_9"/>
      <w:bookmarkStart w:id="252" w:name="Tc_83UkFJmplkO6MLglSG7DpQ_22_6"/>
      <w:bookmarkStart w:id="253" w:name="Tc_u9juN_r4ckywk3EaJdWLWw_22_3"/>
      <w:bookmarkStart w:id="254" w:name="Tc_Ug6vHWCCyUWJlOdCZ38ROA_22_0"/>
      <w:bookmarkStart w:id="255" w:name="Tc_ftVZ830aukCoPghY1vbIGA_21_11"/>
      <w:bookmarkStart w:id="256" w:name="Tc_H9b3Iy2UtEKTsWrVWBB_Pg_21_8"/>
      <w:bookmarkStart w:id="257" w:name="Tc_TAm17hygz0CIO8M8jLhDHg_21_5"/>
      <w:bookmarkStart w:id="258" w:name="Tc_fw_yjqrKpU-fIbA7W7yocw_21_2"/>
      <w:bookmarkStart w:id="259" w:name="Tc_c0xvCC2OQ0KwsJD2VUbJng_21_0"/>
      <w:bookmarkStart w:id="260" w:name="Tc_beB2GZVQeESiavSDbxRIJw_20_12"/>
      <w:bookmarkStart w:id="261" w:name="Tc_WB-BYS5MCk2e5qzMnk3IJg_20_6"/>
      <w:bookmarkStart w:id="262" w:name="Tc__A0cnajGzEOsF4JFdh6mqA_20_0"/>
      <w:bookmarkStart w:id="263" w:name="Tc_fEEfnXS8O0KunoRygw2VBg_19_0"/>
      <w:bookmarkStart w:id="264" w:name="Tc_T_6jT0fd3kappscNteJ_eA_18_0"/>
      <w:bookmarkStart w:id="265" w:name="Tc_m7o_2ryHlkipY3g8J5hyFA_17_0"/>
      <w:bookmarkStart w:id="266" w:name="Tc_YSH7VZjn30yEa49m7pdqvA_16_0"/>
      <w:bookmarkStart w:id="267" w:name="Tc_Q9Rj9K1xg0-hqcDMMZxLhQ_15_0"/>
      <w:bookmarkStart w:id="268" w:name="Tc_Q6r1hhwfl02OWXKUQuBV3Q_14_0"/>
      <w:bookmarkStart w:id="269" w:name="Tc_M1pMP95oRUy4GktbN7IG0A_12_0"/>
      <w:bookmarkStart w:id="270" w:name="Tc_YC7ShewflEK8dZSkm5thlA_11_0"/>
      <w:bookmarkStart w:id="271" w:name="Tc_XjDLyvsJzkWE4ws1i6ulvQ_10_6"/>
      <w:bookmarkStart w:id="272" w:name="Tc_Mpqxux7Kgk-_cKB0R14CXA_10_0"/>
      <w:bookmarkStart w:id="273" w:name="Tc_cq_r7DYRjEiC_E_bwc948g_9_12"/>
      <w:bookmarkStart w:id="274" w:name="Tc_923VOYxwP0qSL8U9zoQ9MQ_9_6"/>
      <w:bookmarkStart w:id="275" w:name="Tc_hUPQuVyN_0mGR31XSWcxtA_9_0"/>
      <w:bookmarkStart w:id="276" w:name="Tc_Da9jn5jHnUmt6EMPiwV0gg_8_0"/>
      <w:bookmarkStart w:id="277" w:name="Tc_tjGVqfSVN0Gyv06_8FqTZw_7_0"/>
      <w:bookmarkStart w:id="278" w:name="Tc_jZWyJo_oHkyU9D2Ptzgk0Q_5_0"/>
      <w:bookmarkStart w:id="279" w:name="Tc_z_DyDBlyd0q0oQy8AN-a5w_4_0"/>
      <w:bookmarkStart w:id="280" w:name="Tc_oOv_C6zttkqr_1o8fZ5IZw_3_11"/>
      <w:bookmarkStart w:id="281" w:name="Tc_t7INy103B0Cvgmv9uzSs2g_3_8"/>
      <w:bookmarkStart w:id="282" w:name="Tc_NuT4AFafdUuBFIHZKn4PTg_3_5"/>
      <w:bookmarkStart w:id="283" w:name="Tc_im_quEEYwEyCagP_7gKu3w_3_2"/>
      <w:bookmarkStart w:id="284" w:name="Tc_sIgAGkfcfUSyzVe4fALeig_3_0"/>
      <w:bookmarkStart w:id="285" w:name="Tc_85pc92nWkECyBWb7a_xwPw_2_11"/>
      <w:bookmarkStart w:id="286" w:name="Tc_gRm0-D_nwkG7OVteG56gLQ_2_8"/>
      <w:bookmarkStart w:id="287" w:name="Tc_Cq0lPu5NYUya7g2vzm4yGA_2_5"/>
      <w:bookmarkStart w:id="288" w:name="Tc_HQOAP75yQ0aXMct0o8Na9Q_2_2"/>
      <w:bookmarkStart w:id="289" w:name="Tc_bwfNqfG3pkCnnfnPDtZMRA_2_0"/>
      <w:bookmarkStart w:id="290" w:name="Tc_tWE6M4M1Pk2kqy4bUKZf7Q_1_8"/>
      <w:bookmarkStart w:id="291" w:name="Tc_KqsH6vPoh0i3rW9dS4FdKg_1_2"/>
      <w:bookmarkStart w:id="292" w:name="_2a6f20de_93ac_4df9_8ea6_3e15d663d50c"/>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tbl>
      <w:tblPr>
        <w:tblW w:w="9936" w:type="dxa"/>
        <w:jc w:val="left"/>
        <w:tblInd w:w="0" w:type="dxa"/>
        <w:tblLayout w:type="fixed"/>
        <w:tblCellMar>
          <w:top w:w="0" w:type="dxa"/>
          <w:left w:w="0" w:type="dxa"/>
          <w:bottom w:w="0" w:type="dxa"/>
          <w:right w:w="0" w:type="dxa"/>
        </w:tblCellMar>
      </w:tblPr>
      <w:tblGrid>
        <w:gridCol w:w="5116"/>
        <w:gridCol w:w="326"/>
        <w:gridCol w:w="202"/>
        <w:gridCol w:w="688"/>
        <w:gridCol w:w="364"/>
        <w:gridCol w:w="202"/>
        <w:gridCol w:w="688"/>
        <w:gridCol w:w="326"/>
        <w:gridCol w:w="186"/>
        <w:gridCol w:w="635"/>
        <w:gridCol w:w="336"/>
        <w:gridCol w:w="186"/>
        <w:gridCol w:w="68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248660" cy="175260"/>
                      <wp:effectExtent l="0" t="0" r="0" b="0"/>
                      <wp:wrapNone/>
                      <wp:docPr id="12" name="Frame11"/>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8270" cy="175260"/>
                      <wp:effectExtent l="0" t="0" r="0" b="0"/>
                      <wp:wrapNone/>
                      <wp:docPr id="14" name="Frame13"/>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6880" cy="175260"/>
                      <wp:effectExtent l="0" t="0" r="0" b="0"/>
                      <wp:wrapNone/>
                      <wp:docPr id="15" name="Frame14"/>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31140" cy="175260"/>
                      <wp:effectExtent l="0" t="0" r="0" b="0"/>
                      <wp:wrapNone/>
                      <wp:docPr id="16" name="Frame1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8270" cy="175260"/>
                      <wp:effectExtent l="0" t="0" r="0" b="0"/>
                      <wp:wrapNone/>
                      <wp:docPr id="17" name="Frame16"/>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6880" cy="175260"/>
                      <wp:effectExtent l="0" t="0" r="0" b="0"/>
                      <wp:wrapNone/>
                      <wp:docPr id="18" name="Frame1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18110" cy="175260"/>
                      <wp:effectExtent l="0" t="0" r="0" b="0"/>
                      <wp:wrapNone/>
                      <wp:docPr id="20" name="Frame19"/>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03225" cy="175260"/>
                      <wp:effectExtent l="0" t="0" r="0" b="0"/>
                      <wp:wrapNone/>
                      <wp:docPr id="21" name="Frame20"/>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3360" cy="175260"/>
                      <wp:effectExtent l="0" t="0" r="0" b="0"/>
                      <wp:wrapNone/>
                      <wp:docPr id="22" name="Frame2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18110" cy="175260"/>
                      <wp:effectExtent l="0" t="0" r="0" b="0"/>
                      <wp:wrapNone/>
                      <wp:docPr id="23" name="Frame22"/>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2435" cy="175260"/>
                      <wp:effectExtent l="0" t="0" r="0" b="0"/>
                      <wp:wrapNone/>
                      <wp:docPr id="24" name="Frame23"/>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0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51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 except per share data)</w:t>
            </w:r>
          </w:p>
        </w:tc>
        <w:tc>
          <w:tcPr>
            <w:tcW w:w="326" w:type="dxa"/>
            <w:tcBorders/>
            <w:vAlign w:val="center"/>
          </w:tcPr>
          <w:p>
            <w:pPr>
              <w:pStyle w:val="TableContents"/>
              <w:bidi w:val="0"/>
              <w:spacing w:before="0" w:after="1"/>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64" w:type="dxa"/>
            <w:tcBorders/>
            <w:vAlign w:val="center"/>
          </w:tcPr>
          <w:p>
            <w:pPr>
              <w:pStyle w:val="TableContents"/>
              <w:bidi w:val="0"/>
              <w:spacing w:before="0" w:after="1"/>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26" w:type="dxa"/>
            <w:tcBorders/>
            <w:vAlign w:val="center"/>
          </w:tcPr>
          <w:p>
            <w:pPr>
              <w:pStyle w:val="TableContents"/>
              <w:bidi w:val="0"/>
              <w:spacing w:before="0" w:after="1"/>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36" w:type="dxa"/>
            <w:tcBorders/>
            <w:vAlign w:val="center"/>
          </w:tcPr>
          <w:p>
            <w:pPr>
              <w:pStyle w:val="TableContents"/>
              <w:bidi w:val="0"/>
              <w:spacing w:before="0" w:after="1"/>
              <w:ind w:left="0" w:right="0" w:hanging="0"/>
              <w:jc w:val="left"/>
              <w:rPr/>
            </w:pPr>
            <w:r>
              <w:rPr/>
              <w:t>    </w:t>
            </w:r>
          </w:p>
        </w:tc>
        <w:tc>
          <w:tcPr>
            <w:tcW w:w="8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208,389</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224,694</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400,889</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430,136</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Costs of sales</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166,986</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189,018</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322,212</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360,162</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41,403</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35,676</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78,677</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69,974</w:t>
            </w:r>
          </w:p>
        </w:tc>
      </w:tr>
      <w:tr>
        <w:trPr/>
        <w:tc>
          <w:tcPr>
            <w:tcW w:w="5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Selling, general and administrative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51,610</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34,170</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96,050</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68,292</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Transaction, restructuring and integration expense</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4,399</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2,901</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7,363</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9,545</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Impairment charges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831</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831</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disposal of property, plant and equipment</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971</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973</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896</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57,811</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37,071</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105,217</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78,733</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Loss from operations</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(16,408)</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(1,395)</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(26,540)</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(8,759)</w:t>
            </w:r>
          </w:p>
        </w:tc>
      </w:tr>
      <w:tr>
        <w:trPr/>
        <w:tc>
          <w:tcPr>
            <w:tcW w:w="51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(income) expense</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7,453</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7,385</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15,032</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13,414</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fair value of warrant liabilities</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(1,612)</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11,800</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(1,653)</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6,272</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233</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811</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Loss before income taxes and equity in earnings from unconsolidated entities</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(22,347)</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(20,571)</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(40,152)</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(29,256)</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 expense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(4,645)</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6,240</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1,170</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1,881</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 in (earnings) loss from unconsolidated entities</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(17,759)</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(26,811)</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(41,432)</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(31,137)</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 attributable to non-controlling interest</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loss attributable to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(17,759)</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(26,811)</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(41,432)</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(31,152)</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174</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(341)</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loss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(17,672)</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(26,724)</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(41,258)</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(31,493)</w:t>
            </w:r>
          </w:p>
        </w:tc>
      </w:tr>
      <w:tr>
        <w:trPr/>
        <w:tc>
          <w:tcPr>
            <w:tcW w:w="5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Loss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(0.20)</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(0.35)</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(0.47)</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(0.42)</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(0.20)</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(0.35)</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(0.47)</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(0.42)</w:t>
            </w:r>
          </w:p>
        </w:tc>
      </w:tr>
      <w:tr>
        <w:trPr/>
        <w:tc>
          <w:tcPr>
            <w:tcW w:w="5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Weighted-average number of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lef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88,323</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75,726</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88,209</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75,543</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88,323</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75,726</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88,209</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75,543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3" w:name="_3bf664c7_e7b1_4910_ac6e_9be17bdf2ee1"/>
      <w:bookmarkEnd w:id="293"/>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294" w:name="CONSOLIDATEDSTATEMENTOFCOMPREHENSIVELOSS"/>
      <w:bookmarkEnd w:id="294"/>
      <w:r>
        <w:rPr>
          <w:rFonts w:ascii="Times New Roman;Times;serif" w:hAnsi="Times New Roman;Times;serif"/>
          <w:b/>
          <w:sz w:val="20"/>
        </w:rPr>
        <w:t>CONDENSED CONSOLIDATED STATEMENTS OF COMPREHENSIVE INCOME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95" w:name="Tc_WQcHrMZ2H0eHYINpboGtFQ_12_11"/>
      <w:bookmarkStart w:id="296" w:name="Tc_DD_CHFMqf0mMKPguCNmAZw_12_8"/>
      <w:bookmarkStart w:id="297" w:name="Tc_-CR0ywlK-Em_mVBMTM-Vew_12_5"/>
      <w:bookmarkStart w:id="298" w:name="Tc_BD3XmuKma0CrY9a05NACzw_12_2"/>
      <w:bookmarkStart w:id="299" w:name="Tc_EttE5rXyukWIWfc7Gq8r4w_12_0"/>
      <w:bookmarkStart w:id="300" w:name="Tc_5A-b1rM79Um9b87npUiRoA_11_0"/>
      <w:bookmarkStart w:id="301" w:name="Tc_AI4zYmYEoUiAGdiMGJPrOQ_10_0"/>
      <w:bookmarkStart w:id="302" w:name="Tc_GUikNZsgAUaAPJbcYESAYQ_9_9"/>
      <w:bookmarkStart w:id="303" w:name="Tc_Ze2WLi-eOUeas6w35plPoQ_9_6"/>
      <w:bookmarkStart w:id="304" w:name="Tc_Ro9DZ701h06Q9IExutxwGw_9_3"/>
      <w:bookmarkStart w:id="305" w:name="Tc_tAt0ojzZXU6fzzTKv3Bneg_9_0"/>
      <w:bookmarkStart w:id="306" w:name="Tc_SmW9wZpe9kamcvTKUwLZHg_8_0"/>
      <w:bookmarkStart w:id="307" w:name="Tc_xKaPJKBTS0KL3m6EDrxWnw_7_0"/>
      <w:bookmarkStart w:id="308" w:name="Tc_nWzjnqKh4EaGnji1BdbFBQ_6_0"/>
      <w:bookmarkStart w:id="309" w:name="Tc_WsQhxy1wHkCw44TLW2WvoA_5_0"/>
      <w:bookmarkStart w:id="310" w:name="Tc_IaMMLRPCm0iOXxFDR1qV9Q_4_0"/>
      <w:bookmarkStart w:id="311" w:name="Tc_tuivH1tHrkG-5tjXWN5k9w_3_11"/>
      <w:bookmarkStart w:id="312" w:name="Tc_tf2sbCLItEykrlT4L1jxlA_3_8"/>
      <w:bookmarkStart w:id="313" w:name="Tc_mfxRUGDIwkuSV9tIcD4sbw_3_5"/>
      <w:bookmarkStart w:id="314" w:name="Tc_uHRu-gCQ5EeJnjPowiF96A_3_2"/>
      <w:bookmarkStart w:id="315" w:name="Tc_fN5Bk-PBmEGzPXkVCLZDKQ_3_0"/>
      <w:bookmarkStart w:id="316" w:name="Tc_5rMDImpcKEyrJCI3-Ama-g_2_11"/>
      <w:bookmarkStart w:id="317" w:name="Tc_qB547z4gIUq6n7VZl_4sCQ_2_8"/>
      <w:bookmarkStart w:id="318" w:name="Tc_5U0seHTVsEGRhdj06dbgtw_2_5"/>
      <w:bookmarkStart w:id="319" w:name="Tc_X5pOzOMkHU-Vpgmv1hUIXQ_2_2"/>
      <w:bookmarkStart w:id="320" w:name="Tc_ABJjns-gaUWMgP9VBhkDxA_2_0"/>
      <w:bookmarkStart w:id="321" w:name="Tc_0BYXVSew0U-ID8mCsCIMUw_1_8"/>
      <w:bookmarkStart w:id="322" w:name="Tc_af2NdGBr-U2pHIR1xsAkZQ_1_2"/>
      <w:bookmarkStart w:id="323" w:name="_a5559eab_a396_44c3_b941_ae08116807a9"/>
      <w:bookmarkStart w:id="324" w:name="Tc_WQcHrMZ2H0eHYINpboGtFQ_12_11"/>
      <w:bookmarkStart w:id="325" w:name="Tc_DD_CHFMqf0mMKPguCNmAZw_12_8"/>
      <w:bookmarkStart w:id="326" w:name="Tc_-CR0ywlK-Em_mVBMTM-Vew_12_5"/>
      <w:bookmarkStart w:id="327" w:name="Tc_BD3XmuKma0CrY9a05NACzw_12_2"/>
      <w:bookmarkStart w:id="328" w:name="Tc_EttE5rXyukWIWfc7Gq8r4w_12_0"/>
      <w:bookmarkStart w:id="329" w:name="Tc_5A-b1rM79Um9b87npUiRoA_11_0"/>
      <w:bookmarkStart w:id="330" w:name="Tc_AI4zYmYEoUiAGdiMGJPrOQ_10_0"/>
      <w:bookmarkStart w:id="331" w:name="Tc_GUikNZsgAUaAPJbcYESAYQ_9_9"/>
      <w:bookmarkStart w:id="332" w:name="Tc_Ze2WLi-eOUeas6w35plPoQ_9_6"/>
      <w:bookmarkStart w:id="333" w:name="Tc_Ro9DZ701h06Q9IExutxwGw_9_3"/>
      <w:bookmarkStart w:id="334" w:name="Tc_tAt0ojzZXU6fzzTKv3Bneg_9_0"/>
      <w:bookmarkStart w:id="335" w:name="Tc_SmW9wZpe9kamcvTKUwLZHg_8_0"/>
      <w:bookmarkStart w:id="336" w:name="Tc_xKaPJKBTS0KL3m6EDrxWnw_7_0"/>
      <w:bookmarkStart w:id="337" w:name="Tc_nWzjnqKh4EaGnji1BdbFBQ_6_0"/>
      <w:bookmarkStart w:id="338" w:name="Tc_WsQhxy1wHkCw44TLW2WvoA_5_0"/>
      <w:bookmarkStart w:id="339" w:name="Tc_IaMMLRPCm0iOXxFDR1qV9Q_4_0"/>
      <w:bookmarkStart w:id="340" w:name="Tc_tuivH1tHrkG-5tjXWN5k9w_3_11"/>
      <w:bookmarkStart w:id="341" w:name="Tc_tf2sbCLItEykrlT4L1jxlA_3_8"/>
      <w:bookmarkStart w:id="342" w:name="Tc_mfxRUGDIwkuSV9tIcD4sbw_3_5"/>
      <w:bookmarkStart w:id="343" w:name="Tc_uHRu-gCQ5EeJnjPowiF96A_3_2"/>
      <w:bookmarkStart w:id="344" w:name="Tc_fN5Bk-PBmEGzPXkVCLZDKQ_3_0"/>
      <w:bookmarkStart w:id="345" w:name="Tc_5rMDImpcKEyrJCI3-Ama-g_2_11"/>
      <w:bookmarkStart w:id="346" w:name="Tc_qB547z4gIUq6n7VZl_4sCQ_2_8"/>
      <w:bookmarkStart w:id="347" w:name="Tc_5U0seHTVsEGRhdj06dbgtw_2_5"/>
      <w:bookmarkStart w:id="348" w:name="Tc_X5pOzOMkHU-Vpgmv1hUIXQ_2_2"/>
      <w:bookmarkStart w:id="349" w:name="Tc_ABJjns-gaUWMgP9VBhkDxA_2_0"/>
      <w:bookmarkStart w:id="350" w:name="Tc_0BYXVSew0U-ID8mCsCIMUw_1_8"/>
      <w:bookmarkStart w:id="351" w:name="Tc_af2NdGBr-U2pHIR1xsAkZQ_1_2"/>
      <w:bookmarkStart w:id="352" w:name="_a5559eab_a396_44c3_b941_ae08116807a9"/>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tbl>
      <w:tblPr>
        <w:tblW w:w="9126" w:type="dxa"/>
        <w:jc w:val="left"/>
        <w:tblInd w:w="0" w:type="dxa"/>
        <w:tblLayout w:type="fixed"/>
        <w:tblCellMar>
          <w:top w:w="0" w:type="dxa"/>
          <w:left w:w="0" w:type="dxa"/>
          <w:bottom w:w="0" w:type="dxa"/>
          <w:right w:w="0" w:type="dxa"/>
        </w:tblCellMar>
      </w:tblPr>
      <w:tblGrid>
        <w:gridCol w:w="4306"/>
        <w:gridCol w:w="326"/>
        <w:gridCol w:w="202"/>
        <w:gridCol w:w="688"/>
        <w:gridCol w:w="364"/>
        <w:gridCol w:w="202"/>
        <w:gridCol w:w="688"/>
        <w:gridCol w:w="326"/>
        <w:gridCol w:w="186"/>
        <w:gridCol w:w="635"/>
        <w:gridCol w:w="336"/>
        <w:gridCol w:w="186"/>
        <w:gridCol w:w="681"/>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734310" cy="175260"/>
                      <wp:effectExtent l="0" t="0" r="0" b="0"/>
                      <wp:wrapNone/>
                      <wp:docPr id="25" name="Frame24"/>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8270" cy="175260"/>
                      <wp:effectExtent l="0" t="0" r="0" b="0"/>
                      <wp:wrapNone/>
                      <wp:docPr id="27" name="Frame26"/>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6880" cy="175260"/>
                      <wp:effectExtent l="0" t="0" r="0" b="0"/>
                      <wp:wrapNone/>
                      <wp:docPr id="28" name="Frame2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1140" cy="175260"/>
                      <wp:effectExtent l="0" t="0" r="0" b="0"/>
                      <wp:wrapNone/>
                      <wp:docPr id="29" name="Frame2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8270" cy="175260"/>
                      <wp:effectExtent l="0" t="0" r="0" b="0"/>
                      <wp:wrapNone/>
                      <wp:docPr id="30" name="Frame29"/>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6880" cy="175260"/>
                      <wp:effectExtent l="0" t="0" r="0" b="0"/>
                      <wp:wrapNone/>
                      <wp:docPr id="31" name="Frame3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8110" cy="175260"/>
                      <wp:effectExtent l="0" t="0" r="0" b="0"/>
                      <wp:wrapNone/>
                      <wp:docPr id="33" name="Frame32"/>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03225" cy="175260"/>
                      <wp:effectExtent l="0" t="0" r="0" b="0"/>
                      <wp:wrapNone/>
                      <wp:docPr id="34" name="Frame33"/>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3360" cy="175260"/>
                      <wp:effectExtent l="0" t="0" r="0" b="0"/>
                      <wp:wrapNone/>
                      <wp:docPr id="35" name="Frame34"/>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18110" cy="175260"/>
                      <wp:effectExtent l="0" t="0" r="0" b="0"/>
                      <wp:wrapNone/>
                      <wp:docPr id="36" name="Frame35"/>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2435" cy="175260"/>
                      <wp:effectExtent l="0" t="0" r="0" b="0"/>
                      <wp:wrapNone/>
                      <wp:docPr id="37" name="Frame3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0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43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1"/>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64" w:type="dxa"/>
            <w:tcBorders/>
            <w:vAlign w:val="center"/>
          </w:tcPr>
          <w:p>
            <w:pPr>
              <w:pStyle w:val="TableContents"/>
              <w:bidi w:val="0"/>
              <w:spacing w:before="0" w:after="1"/>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26" w:type="dxa"/>
            <w:tcBorders/>
            <w:vAlign w:val="center"/>
          </w:tcPr>
          <w:p>
            <w:pPr>
              <w:pStyle w:val="TableContents"/>
              <w:bidi w:val="0"/>
              <w:spacing w:before="0" w:after="1"/>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36" w:type="dxa"/>
            <w:tcBorders/>
            <w:vAlign w:val="center"/>
          </w:tcPr>
          <w:p>
            <w:pPr>
              <w:pStyle w:val="TableContents"/>
              <w:bidi w:val="0"/>
              <w:spacing w:before="0" w:after="1"/>
              <w:ind w:left="0" w:right="0" w:hanging="0"/>
              <w:jc w:val="left"/>
              <w:rPr/>
            </w:pPr>
            <w:r>
              <w:rPr/>
              <w:t>    </w:t>
            </w:r>
          </w:p>
        </w:tc>
        <w:tc>
          <w:tcPr>
            <w:tcW w:w="8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(17,759)</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(26,811)</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(41,432)</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(31,137)</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i/>
                <w:sz w:val="15"/>
              </w:rPr>
            </w:pPr>
            <w:r>
              <w:rPr>
                <w:rFonts w:ascii="Times New Roman;Times;serif" w:hAnsi="Times New Roman;Times;serif"/>
                <w:i/>
                <w:sz w:val="15"/>
              </w:rPr>
              <w:t xml:space="preserve">Other comprehensive income (loss), net of tax: </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Unrealized gain (loss) on derivative instruments </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3,820</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(717)</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4,006</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1,523</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Total other comprehensive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3,871</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(658)</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4,087</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1,564</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Comprehensive loss</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(13,888)</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(27,469)</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(37,345)</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(29,573)</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Comprehensive income (loss)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Comprehensive loss attributable to shareholders</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(13,888)</w:t>
            </w:r>
          </w:p>
        </w:tc>
        <w:tc>
          <w:tcPr>
            <w:tcW w:w="364"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(27,469)</w:t>
            </w:r>
          </w:p>
        </w:tc>
        <w:tc>
          <w:tcPr>
            <w:tcW w:w="32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(37,345)</w:t>
            </w:r>
          </w:p>
        </w:tc>
        <w:tc>
          <w:tcPr>
            <w:tcW w:w="33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(29,588)</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Series A Convertible Preferred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64"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174</w:t>
            </w:r>
          </w:p>
        </w:tc>
        <w:tc>
          <w:tcPr>
            <w:tcW w:w="336" w:type="dxa"/>
            <w:tcBorders/>
            <w:shd w:fill="CCEEFF" w:val="clear"/>
            <w:vAlign w:val="center"/>
          </w:tcPr>
          <w:p>
            <w:pPr>
              <w:pStyle w:val="TableContents"/>
              <w:bidi w:val="0"/>
              <w:spacing w:before="0" w:after="1"/>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(341)</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Comprehensive loss attributable to common shareholders</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(13,801)</w:t>
            </w:r>
          </w:p>
        </w:tc>
        <w:tc>
          <w:tcPr>
            <w:tcW w:w="364"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(27,382)</w:t>
            </w:r>
          </w:p>
        </w:tc>
        <w:tc>
          <w:tcPr>
            <w:tcW w:w="326" w:type="dxa"/>
            <w:tcBorders/>
            <w:vAlign w:val="center"/>
          </w:tcPr>
          <w:p>
            <w:pPr>
              <w:pStyle w:val="TableContents"/>
              <w:bidi w:val="0"/>
              <w:spacing w:before="0" w:after="1"/>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(37,171)</w:t>
            </w:r>
          </w:p>
        </w:tc>
        <w:tc>
          <w:tcPr>
            <w:tcW w:w="336" w:type="dxa"/>
            <w:tcBorders/>
            <w:vAlign w:val="center"/>
          </w:tcPr>
          <w:p>
            <w:pPr>
              <w:pStyle w:val="TableContents"/>
              <w:bidi w:val="0"/>
              <w:spacing w:before="0" w:after="1"/>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(29,929)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53" w:name="_84eaee16_2e21_4164_b065_042432ee5d9b"/>
      <w:bookmarkEnd w:id="353"/>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354" w:name="CONSOLIDATEDSTATEMENTOFUNITHOLDERSDEFICI"/>
      <w:bookmarkEnd w:id="354"/>
      <w:r>
        <w:rPr>
          <w:rFonts w:ascii="Times New Roman;Times;serif" w:hAnsi="Times New Roman;Times;serif"/>
          <w:b/>
          <w:sz w:val="20"/>
        </w:rPr>
        <w:t>CONDENSED CONSOLIDATED STATEMENTS OF SHAREHOLDERS’ EQUITY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5" w:name="Tc_Ze6_YwncNkCptZxaJ--Mlg_21_19"/>
      <w:bookmarkStart w:id="356" w:name="Tc_6Iv-B9cvG0adpmcc8HShBw_21_17"/>
      <w:bookmarkStart w:id="357" w:name="Tc_nMVLStsQfUK-7NLTw1WWwA_21_16"/>
      <w:bookmarkStart w:id="358" w:name="Tc_llWEKyrTbk2ww3P2ha8RpQ_21_13"/>
      <w:bookmarkStart w:id="359" w:name="Tc_kvyfZjnAPUy0IQcgbm1jQw_21_10"/>
      <w:bookmarkStart w:id="360" w:name="Tc_kFT4-_A8yEqEZ7kD-9dQUA_21_7"/>
      <w:bookmarkStart w:id="361" w:name="Tc_kWSYqovpj0qRkpcYIyKzqA_21_4"/>
      <w:bookmarkStart w:id="362" w:name="Tc_YE28OAVFLUassSimpVxYnw_21_0"/>
      <w:bookmarkStart w:id="363" w:name="Tc_TUcYVh-DGEejue1jgp9c3A_20_17"/>
      <w:bookmarkStart w:id="364" w:name="Tc_r4_VV9n5X0S34OKn1oC5Mw_20_14"/>
      <w:bookmarkStart w:id="365" w:name="Tc_rxZo0mkpbU6q4NppvQXClw_20_11"/>
      <w:bookmarkStart w:id="366" w:name="Tc_60x4ZBq1p0ykkm98m0gxMw_20_5"/>
      <w:bookmarkStart w:id="367" w:name="Tc_CNyH3w9ltEGque228DeT9g_20_2"/>
      <w:bookmarkStart w:id="368" w:name="Tc_uPKVdfLH9ECecxt8rzXcTA_20_0"/>
      <w:bookmarkStart w:id="369" w:name="Tc_oGKS5wQJmkmt3hHi-BSRGg_19_17"/>
      <w:bookmarkStart w:id="370" w:name="Tc_I_n0MA6VXkmZp7afRaI0mA_19_14"/>
      <w:bookmarkStart w:id="371" w:name="Tc_fi9yGBIEIUas4R-0ug40xQ_19_11"/>
      <w:bookmarkStart w:id="372" w:name="Tc_QRkbwRl1DEqeqhtdI1I8IQ_19_5"/>
      <w:bookmarkStart w:id="373" w:name="Tc_QqdR10qn5ky8l3XyLsTMyA_19_0"/>
      <w:bookmarkStart w:id="374" w:name="Tc_EON2mchfU0Czw47RMuXACw_18_17"/>
      <w:bookmarkStart w:id="375" w:name="Tc_mqSDN7u5x0SUKhgLVhaqZA_18_11"/>
      <w:bookmarkStart w:id="376" w:name="Tc_bKlxkaxyg0SMg5z5QO-jWw_18_8"/>
      <w:bookmarkStart w:id="377" w:name="Tc_1sIzJWsDlEWj_m5aqzq4ig_18_5"/>
      <w:bookmarkStart w:id="378" w:name="Tc_Cet76ZoDXEmjPwJL-6GneQ_18_2"/>
      <w:bookmarkStart w:id="379" w:name="Tc_BQckere-eUqSf7QDlxTp9A_18_0"/>
      <w:bookmarkStart w:id="380" w:name="Tc_xdI5SteNpEiR6L-aLgoqOw_17_17"/>
      <w:bookmarkStart w:id="381" w:name="Tc_I1YujakEakaEWhSfJZM2MQ_17_14"/>
      <w:bookmarkStart w:id="382" w:name="Tc_ylGe5qp4pUOgqu_7hDpJRA_17_11"/>
      <w:bookmarkStart w:id="383" w:name="Tc_Y8PCLEQmQU-l--HXFEqLPw_17_5"/>
      <w:bookmarkStart w:id="384" w:name="Tc_pNDEwEnNokWc21F5nEqQ6g_17_2"/>
      <w:bookmarkStart w:id="385" w:name="Tc_mrLZdoSPSUSd8t4ezIAeKg_17_0"/>
      <w:bookmarkStart w:id="386" w:name="Tc_zJHY4FdZ4Uq3H7DDI4VJvA_16_17"/>
      <w:bookmarkStart w:id="387" w:name="Tc_Cb_vvWyIeE-U5MpMulZDuw_16_14"/>
      <w:bookmarkStart w:id="388" w:name="Tc_5WNEe46MkU2yujXiKh_A_g_16_11"/>
      <w:bookmarkStart w:id="389" w:name="Tc_9rmZIiNwMEaL8gDeeOkceg_16_5"/>
      <w:bookmarkStart w:id="390" w:name="Tc_p3zH5KmTYE6LTiHdFWF_aw_16_0"/>
      <w:bookmarkStart w:id="391" w:name="Tc_1502v9iH1EiivpggZjwCQg_15_17"/>
      <w:bookmarkStart w:id="392" w:name="Tc_PhT31SioM0WdAZ4f0AJBuw_15_14"/>
      <w:bookmarkStart w:id="393" w:name="Tc_iKlT0DV6QUC59PDjLmQ9ig_15_11"/>
      <w:bookmarkStart w:id="394" w:name="Tc_JZHJZkKS10SiTz_08ZqsAA_15_0"/>
      <w:bookmarkStart w:id="395" w:name="Tc_18i_jkGucEqVdPyDp2x4RA_14_17"/>
      <w:bookmarkStart w:id="396" w:name="Tc_e47eEV31DEq6cXbXL4xNwg_14_14"/>
      <w:bookmarkStart w:id="397" w:name="Tc_Rz1f5w2J-kSvsGTqKcR5qw_14_8"/>
      <w:bookmarkStart w:id="398" w:name="Tc_fxAF7Ks8C0KQ1-auDut36w_14_5"/>
      <w:bookmarkStart w:id="399" w:name="Tc_Lo87Bzy12ESfSdpjt0kWDA_14_2"/>
      <w:bookmarkStart w:id="400" w:name="Tc_-M80_jyRjkaTxK2AdQNkNQ_14_0"/>
      <w:bookmarkStart w:id="401" w:name="Tc_mviUVtN72kmbayYoSSV_Fg_13_19"/>
      <w:bookmarkStart w:id="402" w:name="Tc_G7hhNqqloU-qAiRVNAtojw_13_17"/>
      <w:bookmarkStart w:id="403" w:name="Tc_L0OIp608F0KeRVhUnCIJTA_13_16"/>
      <w:bookmarkStart w:id="404" w:name="Tc_xjnsVxuEwUGiDZyjmALQTA_13_13"/>
      <w:bookmarkStart w:id="405" w:name="Tc_0yd1EG0TvEmYqTaLaHhN8Q_13_10"/>
      <w:bookmarkStart w:id="406" w:name="Tc_3lZy_snPQ06E-fSOXlKgMg_13_7"/>
      <w:bookmarkStart w:id="407" w:name="Tc_LA5Ejzc76km9gni_DenrMg_13_4"/>
      <w:bookmarkStart w:id="408" w:name="Tc_IiUbRL66Vku1N-X-70e_0Q_13_0"/>
      <w:bookmarkStart w:id="409" w:name="Tc_IaM3JDtE7UiDI_1U7r4x-A_11_19"/>
      <w:bookmarkStart w:id="410" w:name="Tc_O4u3v7MQBE2GnGbnmPlMgA_11_17"/>
      <w:bookmarkStart w:id="411" w:name="Tc_rVj27S-V7UWu_xxlvKya3g_11_16"/>
      <w:bookmarkStart w:id="412" w:name="Tc_Ll_Vy22p5k2p0XFQF5X0FQ_11_13"/>
      <w:bookmarkStart w:id="413" w:name="Tc_lyxSILjk-kaPH6gMnUZ1RA_11_10"/>
      <w:bookmarkStart w:id="414" w:name="Tc_3bxg6-do9kiec6wTT3VkTg_11_7"/>
      <w:bookmarkStart w:id="415" w:name="Tc_4WkDoQz06UOV3IIjtFAPgw_11_4"/>
      <w:bookmarkStart w:id="416" w:name="Tc_QTmOE4MYKkmsGhUWLYeVzg_11_0"/>
      <w:bookmarkStart w:id="417" w:name="Tc_ELM7vX0htUeKsIuGGpgGHA_10_17"/>
      <w:bookmarkStart w:id="418" w:name="Tc_LJlgC_5Z8EKC7mmrVXoTYQ_10_14"/>
      <w:bookmarkStart w:id="419" w:name="Tc_NzHZfu7hz0aT1EoMh2dKIw_10_11"/>
      <w:bookmarkStart w:id="420" w:name="Tc_Eb2ef_Tu8Ey2Y96CHid8Qw_10_5"/>
      <w:bookmarkStart w:id="421" w:name="Tc_25VgSkUoEUuUQDWFgELPig_10_2"/>
      <w:bookmarkStart w:id="422" w:name="Tc_sxA4b2cpQkyi53pbiy9Y_g_10_0"/>
      <w:bookmarkStart w:id="423" w:name="Tc_y0we0zx0YEiezYwmPdwijg_9_17"/>
      <w:bookmarkStart w:id="424" w:name="Tc_CrbnQsBjMkCfrk1rejP3Mg_9_11"/>
      <w:bookmarkStart w:id="425" w:name="Tc_IpOYMkbwLE2j2BNqhzr1ag_9_8"/>
      <w:bookmarkStart w:id="426" w:name="Tc_IZmNFIOBk0eru3tY3AzDKg_9_5"/>
      <w:bookmarkStart w:id="427" w:name="Tc_PIpmxBtz7k2PMKc0CKfVBg_9_2"/>
      <w:bookmarkStart w:id="428" w:name="Tc_PevY1-7hqkuouLhIJJaZPA_9_0"/>
      <w:bookmarkStart w:id="429" w:name="Tc_TcOlH7QY8kytZVF58hrrAg_8_17"/>
      <w:bookmarkStart w:id="430" w:name="Tc_N9MqtMkMJ0eW-uDO6d2RkA_8_14"/>
      <w:bookmarkStart w:id="431" w:name="Tc_8TyzzejzW0KrIKElftEHvg_8_11"/>
      <w:bookmarkStart w:id="432" w:name="Tc_jtZij3p3mkmmoyfEu7kCvg_8_5"/>
      <w:bookmarkStart w:id="433" w:name="Tc_K3YVLhuQ0kiHqwkxTNMO1Q_8_2"/>
      <w:bookmarkStart w:id="434" w:name="Tc_SnQoioI4Vk-YL8Ti7AB2MQ_8_0"/>
      <w:bookmarkStart w:id="435" w:name="Tc_84JcvbC_lUSuPgTPCAp5yQ_7_14"/>
      <w:bookmarkStart w:id="436" w:name="Tc_7PAmr4x9yUKEqyJtv6WspA_7_11"/>
      <w:bookmarkStart w:id="437" w:name="Tc_0hzmpDeKskCOS95copFfCw_7_0"/>
      <w:bookmarkStart w:id="438" w:name="Tc_OXTZpwWfHU2xRLQTsbjtJw_6_17"/>
      <w:bookmarkStart w:id="439" w:name="Tc_6pNFyRSweEi-lG7UeJCoug_6_14"/>
      <w:bookmarkStart w:id="440" w:name="Tc_vWvLeZq3g0yWmnq6JNZx1A_6_8"/>
      <w:bookmarkStart w:id="441" w:name="Tc_zd7sMNMmekmNDoQZa4gMEQ_6_5"/>
      <w:bookmarkStart w:id="442" w:name="Tc_mQjoI6dCRESAXA7nnhNjyg_6_2"/>
      <w:bookmarkStart w:id="443" w:name="Tc_GmjEnqrxOkKotg4mNjCGHw_6_0"/>
      <w:bookmarkStart w:id="444" w:name="Tc_PPGB3KzAIUOkOVBmir2RyQ_5_19"/>
      <w:bookmarkStart w:id="445" w:name="Tc_qKKMRPDAukeWWZASyBZTIg_5_16"/>
      <w:bookmarkStart w:id="446" w:name="Tc_kkUJC-zdmkuFdtr7rz4h4w_5_13"/>
      <w:bookmarkStart w:id="447" w:name="Tc_H3LwZH0hm0G8IBraRPQsWw_5_10"/>
      <w:bookmarkStart w:id="448" w:name="Tc_6QQmRjVQwkKI321mLssqyg_5_7"/>
      <w:bookmarkStart w:id="449" w:name="Tc_5Kj9dXJowEW-BQuzznSpYQ_5_4"/>
      <w:bookmarkStart w:id="450" w:name="Tc_EER9ZtZiS0etMTqMrAsZSw_5_0"/>
      <w:bookmarkStart w:id="451" w:name="Tc_UWA3uI4WrU-8Y3RLSaAjSw_4_19"/>
      <w:bookmarkStart w:id="452" w:name="Tc_7b8pbWnlhU6WhAyPSRBY3A_4_16"/>
      <w:bookmarkStart w:id="453" w:name="Tc_jLLE-Edn40WWu9j7SZqubw_4_13"/>
      <w:bookmarkStart w:id="454" w:name="Tc_U0IoD7NjdEy-ocUO2dkQ8A_4_10"/>
      <w:bookmarkStart w:id="455" w:name="Tc_yvgrZXs5IEWzAieTwFG1OA_4_7"/>
      <w:bookmarkStart w:id="456" w:name="Tc_akyruRKP7kKtTXUI0yDfag_4_4"/>
      <w:bookmarkStart w:id="457" w:name="Tc_LHCp48jmB0WyXX5zqg0T_g_4_2"/>
      <w:bookmarkStart w:id="458" w:name="Tc_5C2xETF-6ECG0FICv7rV6g_4_0"/>
      <w:bookmarkStart w:id="459" w:name="Tc_Qe5Odfp22EWJmsd_C3wSOA_3_19"/>
      <w:bookmarkStart w:id="460" w:name="Tc_sVjLWHungEe5Q4pCwisRFA_3_16"/>
      <w:bookmarkStart w:id="461" w:name="Tc_tGaI6hK8I0qIoaHXUFPoIQ_3_13"/>
      <w:bookmarkStart w:id="462" w:name="Tc_kI0lYPrpxEqchJj6D2kdvg_3_10"/>
      <w:bookmarkStart w:id="463" w:name="Tc_EkRgK-RSPkmB5wN9FZzaAQ_3_7"/>
      <w:bookmarkStart w:id="464" w:name="Tc_8kCI0Epl6UWWXzI3KPp0BQ_3_2"/>
      <w:bookmarkStart w:id="465" w:name="Tc_3tWYIEpcAEO_ZLB-kpDr6w_2_13"/>
      <w:bookmarkStart w:id="466" w:name="Tc_mamfbaXc7EGBUeuN3-JAsw_1_13"/>
      <w:bookmarkStart w:id="467" w:name="_09862b79_a64e_44a5_af94_01c3f288224e"/>
      <w:bookmarkStart w:id="468" w:name="Tc_Ze6_YwncNkCptZxaJ--Mlg_21_19"/>
      <w:bookmarkStart w:id="469" w:name="Tc_6Iv-B9cvG0adpmcc8HShBw_21_17"/>
      <w:bookmarkStart w:id="470" w:name="Tc_nMVLStsQfUK-7NLTw1WWwA_21_16"/>
      <w:bookmarkStart w:id="471" w:name="Tc_llWEKyrTbk2ww3P2ha8RpQ_21_13"/>
      <w:bookmarkStart w:id="472" w:name="Tc_kvyfZjnAPUy0IQcgbm1jQw_21_10"/>
      <w:bookmarkStart w:id="473" w:name="Tc_kFT4-_A8yEqEZ7kD-9dQUA_21_7"/>
      <w:bookmarkStart w:id="474" w:name="Tc_kWSYqovpj0qRkpcYIyKzqA_21_4"/>
      <w:bookmarkStart w:id="475" w:name="Tc_YE28OAVFLUassSimpVxYnw_21_0"/>
      <w:bookmarkStart w:id="476" w:name="Tc_TUcYVh-DGEejue1jgp9c3A_20_17"/>
      <w:bookmarkStart w:id="477" w:name="Tc_r4_VV9n5X0S34OKn1oC5Mw_20_14"/>
      <w:bookmarkStart w:id="478" w:name="Tc_rxZo0mkpbU6q4NppvQXClw_20_11"/>
      <w:bookmarkStart w:id="479" w:name="Tc_60x4ZBq1p0ykkm98m0gxMw_20_5"/>
      <w:bookmarkStart w:id="480" w:name="Tc_CNyH3w9ltEGque228DeT9g_20_2"/>
      <w:bookmarkStart w:id="481" w:name="Tc_uPKVdfLH9ECecxt8rzXcTA_20_0"/>
      <w:bookmarkStart w:id="482" w:name="Tc_oGKS5wQJmkmt3hHi-BSRGg_19_17"/>
      <w:bookmarkStart w:id="483" w:name="Tc_I_n0MA6VXkmZp7afRaI0mA_19_14"/>
      <w:bookmarkStart w:id="484" w:name="Tc_fi9yGBIEIUas4R-0ug40xQ_19_11"/>
      <w:bookmarkStart w:id="485" w:name="Tc_QRkbwRl1DEqeqhtdI1I8IQ_19_5"/>
      <w:bookmarkStart w:id="486" w:name="Tc_QqdR10qn5ky8l3XyLsTMyA_19_0"/>
      <w:bookmarkStart w:id="487" w:name="Tc_EON2mchfU0Czw47RMuXACw_18_17"/>
      <w:bookmarkStart w:id="488" w:name="Tc_mqSDN7u5x0SUKhgLVhaqZA_18_11"/>
      <w:bookmarkStart w:id="489" w:name="Tc_bKlxkaxyg0SMg5z5QO-jWw_18_8"/>
      <w:bookmarkStart w:id="490" w:name="Tc_1sIzJWsDlEWj_m5aqzq4ig_18_5"/>
      <w:bookmarkStart w:id="491" w:name="Tc_Cet76ZoDXEmjPwJL-6GneQ_18_2"/>
      <w:bookmarkStart w:id="492" w:name="Tc_BQckere-eUqSf7QDlxTp9A_18_0"/>
      <w:bookmarkStart w:id="493" w:name="Tc_xdI5SteNpEiR6L-aLgoqOw_17_17"/>
      <w:bookmarkStart w:id="494" w:name="Tc_I1YujakEakaEWhSfJZM2MQ_17_14"/>
      <w:bookmarkStart w:id="495" w:name="Tc_ylGe5qp4pUOgqu_7hDpJRA_17_11"/>
      <w:bookmarkStart w:id="496" w:name="Tc_Y8PCLEQmQU-l--HXFEqLPw_17_5"/>
      <w:bookmarkStart w:id="497" w:name="Tc_pNDEwEnNokWc21F5nEqQ6g_17_2"/>
      <w:bookmarkStart w:id="498" w:name="Tc_mrLZdoSPSUSd8t4ezIAeKg_17_0"/>
      <w:bookmarkStart w:id="499" w:name="Tc_zJHY4FdZ4Uq3H7DDI4VJvA_16_17"/>
      <w:bookmarkStart w:id="500" w:name="Tc_Cb_vvWyIeE-U5MpMulZDuw_16_14"/>
      <w:bookmarkStart w:id="501" w:name="Tc_5WNEe46MkU2yujXiKh_A_g_16_11"/>
      <w:bookmarkStart w:id="502" w:name="Tc_9rmZIiNwMEaL8gDeeOkceg_16_5"/>
      <w:bookmarkStart w:id="503" w:name="Tc_p3zH5KmTYE6LTiHdFWF_aw_16_0"/>
      <w:bookmarkStart w:id="504" w:name="Tc_1502v9iH1EiivpggZjwCQg_15_17"/>
      <w:bookmarkStart w:id="505" w:name="Tc_PhT31SioM0WdAZ4f0AJBuw_15_14"/>
      <w:bookmarkStart w:id="506" w:name="Tc_iKlT0DV6QUC59PDjLmQ9ig_15_11"/>
      <w:bookmarkStart w:id="507" w:name="Tc_JZHJZkKS10SiTz_08ZqsAA_15_0"/>
      <w:bookmarkStart w:id="508" w:name="Tc_18i_jkGucEqVdPyDp2x4RA_14_17"/>
      <w:bookmarkStart w:id="509" w:name="Tc_e47eEV31DEq6cXbXL4xNwg_14_14"/>
      <w:bookmarkStart w:id="510" w:name="Tc_Rz1f5w2J-kSvsGTqKcR5qw_14_8"/>
      <w:bookmarkStart w:id="511" w:name="Tc_fxAF7Ks8C0KQ1-auDut36w_14_5"/>
      <w:bookmarkStart w:id="512" w:name="Tc_Lo87Bzy12ESfSdpjt0kWDA_14_2"/>
      <w:bookmarkStart w:id="513" w:name="Tc_-M80_jyRjkaTxK2AdQNkNQ_14_0"/>
      <w:bookmarkStart w:id="514" w:name="Tc_mviUVtN72kmbayYoSSV_Fg_13_19"/>
      <w:bookmarkStart w:id="515" w:name="Tc_G7hhNqqloU-qAiRVNAtojw_13_17"/>
      <w:bookmarkStart w:id="516" w:name="Tc_L0OIp608F0KeRVhUnCIJTA_13_16"/>
      <w:bookmarkStart w:id="517" w:name="Tc_xjnsVxuEwUGiDZyjmALQTA_13_13"/>
      <w:bookmarkStart w:id="518" w:name="Tc_0yd1EG0TvEmYqTaLaHhN8Q_13_10"/>
      <w:bookmarkStart w:id="519" w:name="Tc_3lZy_snPQ06E-fSOXlKgMg_13_7"/>
      <w:bookmarkStart w:id="520" w:name="Tc_LA5Ejzc76km9gni_DenrMg_13_4"/>
      <w:bookmarkStart w:id="521" w:name="Tc_IiUbRL66Vku1N-X-70e_0Q_13_0"/>
      <w:bookmarkStart w:id="522" w:name="Tc_IaM3JDtE7UiDI_1U7r4x-A_11_19"/>
      <w:bookmarkStart w:id="523" w:name="Tc_O4u3v7MQBE2GnGbnmPlMgA_11_17"/>
      <w:bookmarkStart w:id="524" w:name="Tc_rVj27S-V7UWu_xxlvKya3g_11_16"/>
      <w:bookmarkStart w:id="525" w:name="Tc_Ll_Vy22p5k2p0XFQF5X0FQ_11_13"/>
      <w:bookmarkStart w:id="526" w:name="Tc_lyxSILjk-kaPH6gMnUZ1RA_11_10"/>
      <w:bookmarkStart w:id="527" w:name="Tc_3bxg6-do9kiec6wTT3VkTg_11_7"/>
      <w:bookmarkStart w:id="528" w:name="Tc_4WkDoQz06UOV3IIjtFAPgw_11_4"/>
      <w:bookmarkStart w:id="529" w:name="Tc_QTmOE4MYKkmsGhUWLYeVzg_11_0"/>
      <w:bookmarkStart w:id="530" w:name="Tc_ELM7vX0htUeKsIuGGpgGHA_10_17"/>
      <w:bookmarkStart w:id="531" w:name="Tc_LJlgC_5Z8EKC7mmrVXoTYQ_10_14"/>
      <w:bookmarkStart w:id="532" w:name="Tc_NzHZfu7hz0aT1EoMh2dKIw_10_11"/>
      <w:bookmarkStart w:id="533" w:name="Tc_Eb2ef_Tu8Ey2Y96CHid8Qw_10_5"/>
      <w:bookmarkStart w:id="534" w:name="Tc_25VgSkUoEUuUQDWFgELPig_10_2"/>
      <w:bookmarkStart w:id="535" w:name="Tc_sxA4b2cpQkyi53pbiy9Y_g_10_0"/>
      <w:bookmarkStart w:id="536" w:name="Tc_y0we0zx0YEiezYwmPdwijg_9_17"/>
      <w:bookmarkStart w:id="537" w:name="Tc_CrbnQsBjMkCfrk1rejP3Mg_9_11"/>
      <w:bookmarkStart w:id="538" w:name="Tc_IpOYMkbwLE2j2BNqhzr1ag_9_8"/>
      <w:bookmarkStart w:id="539" w:name="Tc_IZmNFIOBk0eru3tY3AzDKg_9_5"/>
      <w:bookmarkStart w:id="540" w:name="Tc_PIpmxBtz7k2PMKc0CKfVBg_9_2"/>
      <w:bookmarkStart w:id="541" w:name="Tc_PevY1-7hqkuouLhIJJaZPA_9_0"/>
      <w:bookmarkStart w:id="542" w:name="Tc_TcOlH7QY8kytZVF58hrrAg_8_17"/>
      <w:bookmarkStart w:id="543" w:name="Tc_N9MqtMkMJ0eW-uDO6d2RkA_8_14"/>
      <w:bookmarkStart w:id="544" w:name="Tc_8TyzzejzW0KrIKElftEHvg_8_11"/>
      <w:bookmarkStart w:id="545" w:name="Tc_jtZij3p3mkmmoyfEu7kCvg_8_5"/>
      <w:bookmarkStart w:id="546" w:name="Tc_K3YVLhuQ0kiHqwkxTNMO1Q_8_2"/>
      <w:bookmarkStart w:id="547" w:name="Tc_SnQoioI4Vk-YL8Ti7AB2MQ_8_0"/>
      <w:bookmarkStart w:id="548" w:name="Tc_84JcvbC_lUSuPgTPCAp5yQ_7_14"/>
      <w:bookmarkStart w:id="549" w:name="Tc_7PAmr4x9yUKEqyJtv6WspA_7_11"/>
      <w:bookmarkStart w:id="550" w:name="Tc_0hzmpDeKskCOS95copFfCw_7_0"/>
      <w:bookmarkStart w:id="551" w:name="Tc_OXTZpwWfHU2xRLQTsbjtJw_6_17"/>
      <w:bookmarkStart w:id="552" w:name="Tc_6pNFyRSweEi-lG7UeJCoug_6_14"/>
      <w:bookmarkStart w:id="553" w:name="Tc_vWvLeZq3g0yWmnq6JNZx1A_6_8"/>
      <w:bookmarkStart w:id="554" w:name="Tc_zd7sMNMmekmNDoQZa4gMEQ_6_5"/>
      <w:bookmarkStart w:id="555" w:name="Tc_mQjoI6dCRESAXA7nnhNjyg_6_2"/>
      <w:bookmarkStart w:id="556" w:name="Tc_GmjEnqrxOkKotg4mNjCGHw_6_0"/>
      <w:bookmarkStart w:id="557" w:name="Tc_PPGB3KzAIUOkOVBmir2RyQ_5_19"/>
      <w:bookmarkStart w:id="558" w:name="Tc_qKKMRPDAukeWWZASyBZTIg_5_16"/>
      <w:bookmarkStart w:id="559" w:name="Tc_kkUJC-zdmkuFdtr7rz4h4w_5_13"/>
      <w:bookmarkStart w:id="560" w:name="Tc_H3LwZH0hm0G8IBraRPQsWw_5_10"/>
      <w:bookmarkStart w:id="561" w:name="Tc_6QQmRjVQwkKI321mLssqyg_5_7"/>
      <w:bookmarkStart w:id="562" w:name="Tc_5Kj9dXJowEW-BQuzznSpYQ_5_4"/>
      <w:bookmarkStart w:id="563" w:name="Tc_EER9ZtZiS0etMTqMrAsZSw_5_0"/>
      <w:bookmarkStart w:id="564" w:name="Tc_UWA3uI4WrU-8Y3RLSaAjSw_4_19"/>
      <w:bookmarkStart w:id="565" w:name="Tc_7b8pbWnlhU6WhAyPSRBY3A_4_16"/>
      <w:bookmarkStart w:id="566" w:name="Tc_jLLE-Edn40WWu9j7SZqubw_4_13"/>
      <w:bookmarkStart w:id="567" w:name="Tc_U0IoD7NjdEy-ocUO2dkQ8A_4_10"/>
      <w:bookmarkStart w:id="568" w:name="Tc_yvgrZXs5IEWzAieTwFG1OA_4_7"/>
      <w:bookmarkStart w:id="569" w:name="Tc_akyruRKP7kKtTXUI0yDfag_4_4"/>
      <w:bookmarkStart w:id="570" w:name="Tc_LHCp48jmB0WyXX5zqg0T_g_4_2"/>
      <w:bookmarkStart w:id="571" w:name="Tc_5C2xETF-6ECG0FICv7rV6g_4_0"/>
      <w:bookmarkStart w:id="572" w:name="Tc_Qe5Odfp22EWJmsd_C3wSOA_3_19"/>
      <w:bookmarkStart w:id="573" w:name="Tc_sVjLWHungEe5Q4pCwisRFA_3_16"/>
      <w:bookmarkStart w:id="574" w:name="Tc_tGaI6hK8I0qIoaHXUFPoIQ_3_13"/>
      <w:bookmarkStart w:id="575" w:name="Tc_kI0lYPrpxEqchJj6D2kdvg_3_10"/>
      <w:bookmarkStart w:id="576" w:name="Tc_EkRgK-RSPkmB5wN9FZzaAQ_3_7"/>
      <w:bookmarkStart w:id="577" w:name="Tc_8kCI0Epl6UWWXzI3KPp0BQ_3_2"/>
      <w:bookmarkStart w:id="578" w:name="Tc_3tWYIEpcAEO_ZLB-kpDr6w_2_13"/>
      <w:bookmarkStart w:id="579" w:name="Tc_mamfbaXc7EGBUeuN3-JAsw_1_13"/>
      <w:bookmarkStart w:id="580" w:name="_09862b79_a64e_44a5_af94_01c3f288224e"/>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tbl>
      <w:tblPr>
        <w:tblW w:w="10205" w:type="dxa"/>
        <w:jc w:val="left"/>
        <w:tblInd w:w="0" w:type="dxa"/>
        <w:tblLayout w:type="fixed"/>
        <w:tblCellMar>
          <w:top w:w="0" w:type="dxa"/>
          <w:left w:w="0" w:type="dxa"/>
          <w:bottom w:w="0" w:type="dxa"/>
          <w:right w:w="0" w:type="dxa"/>
        </w:tblCellMar>
      </w:tblPr>
      <w:tblGrid>
        <w:gridCol w:w="1816"/>
        <w:gridCol w:w="326"/>
        <w:gridCol w:w="541"/>
        <w:gridCol w:w="326"/>
        <w:gridCol w:w="216"/>
        <w:gridCol w:w="415"/>
        <w:gridCol w:w="326"/>
        <w:gridCol w:w="198"/>
        <w:gridCol w:w="662"/>
        <w:gridCol w:w="326"/>
        <w:gridCol w:w="208"/>
        <w:gridCol w:w="744"/>
        <w:gridCol w:w="326"/>
        <w:gridCol w:w="291"/>
        <w:gridCol w:w="805"/>
        <w:gridCol w:w="326"/>
        <w:gridCol w:w="313"/>
        <w:gridCol w:w="858"/>
        <w:gridCol w:w="326"/>
        <w:gridCol w:w="191"/>
        <w:gridCol w:w="665"/>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153160" cy="175260"/>
                      <wp:effectExtent l="0" t="0" r="0" b="0"/>
                      <wp:wrapNone/>
                      <wp:docPr id="38" name="Frame37"/>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3535" cy="175260"/>
                      <wp:effectExtent l="0" t="0" r="0" b="0"/>
                      <wp:wrapNone/>
                      <wp:docPr id="40" name="Frame3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7160" cy="175260"/>
                      <wp:effectExtent l="0" t="0" r="0" b="0"/>
                      <wp:wrapNone/>
                      <wp:docPr id="42" name="Frame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3525" cy="175260"/>
                      <wp:effectExtent l="0" t="0" r="0" b="0"/>
                      <wp:wrapNone/>
                      <wp:docPr id="43" name="Frame4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5730" cy="175260"/>
                      <wp:effectExtent l="0" t="0" r="0" b="0"/>
                      <wp:wrapNone/>
                      <wp:docPr id="45" name="Frame44"/>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0370" cy="175260"/>
                      <wp:effectExtent l="0" t="0" r="0" b="0"/>
                      <wp:wrapNone/>
                      <wp:docPr id="46" name="Frame45"/>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2080" cy="175260"/>
                      <wp:effectExtent l="0" t="0" r="0" b="0"/>
                      <wp:wrapNone/>
                      <wp:docPr id="48" name="Frame47"/>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72440" cy="175260"/>
                      <wp:effectExtent l="0" t="0" r="0" b="0"/>
                      <wp:wrapNone/>
                      <wp:docPr id="49" name="Frame48"/>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84785" cy="175260"/>
                      <wp:effectExtent l="0" t="0" r="0" b="0"/>
                      <wp:wrapNone/>
                      <wp:docPr id="51" name="Frame50"/>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11175" cy="175260"/>
                      <wp:effectExtent l="0" t="0" r="0" b="0"/>
                      <wp:wrapNone/>
                      <wp:docPr id="52" name="Frame51"/>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8755" cy="175260"/>
                      <wp:effectExtent l="0" t="0" r="0" b="0"/>
                      <wp:wrapNone/>
                      <wp:docPr id="54" name="Frame53"/>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44830" cy="175260"/>
                      <wp:effectExtent l="0" t="0" r="0" b="0"/>
                      <wp:wrapNone/>
                      <wp:docPr id="55" name="Frame54"/>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1285" cy="175260"/>
                      <wp:effectExtent l="0" t="0" r="0" b="0"/>
                      <wp:wrapNone/>
                      <wp:docPr id="57" name="Frame5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22275" cy="175260"/>
                      <wp:effectExtent l="0" t="0" r="0" b="0"/>
                      <wp:wrapNone/>
                      <wp:docPr id="58" name="Frame57"/>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center"/>
              <w:rPr/>
            </w:pPr>
            <w:r>
              <w:rPr/>
              <w:t>​</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8" w:type="dxa"/>
            <w:gridSpan w:val="4"/>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8" w:type="dxa"/>
            <w:tcBorders/>
            <w:vAlign w:val="center"/>
          </w:tcPr>
          <w:p>
            <w:pPr>
              <w:pStyle w:val="TableContents"/>
              <w:bidi w:val="0"/>
              <w:spacing w:before="0" w:after="1"/>
              <w:ind w:left="0" w:right="0" w:hanging="0"/>
              <w:jc w:val="center"/>
              <w:rPr/>
            </w:pPr>
            <w:r>
              <w:rPr/>
              <w:t>​</w:t>
            </w:r>
          </w:p>
        </w:tc>
        <w:tc>
          <w:tcPr>
            <w:tcW w:w="66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center"/>
              <w:rPr/>
            </w:pPr>
            <w:r>
              <w:rPr/>
              <w:t>​</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center"/>
              <w:rPr/>
            </w:pPr>
            <w:r>
              <w:rPr/>
              <w:t>​</w:t>
            </w:r>
          </w:p>
        </w:tc>
        <w:tc>
          <w:tcPr>
            <w:tcW w:w="860"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26" w:type="dxa"/>
            <w:tcBorders/>
            <w:vAlign w:val="center"/>
          </w:tcPr>
          <w:p>
            <w:pPr>
              <w:pStyle w:val="TableContents"/>
              <w:bidi w:val="0"/>
              <w:spacing w:before="0" w:after="1"/>
              <w:ind w:left="0" w:right="0" w:hanging="0"/>
              <w:jc w:val="left"/>
              <w:rPr/>
            </w:pPr>
            <w:r>
              <w:rPr/>
              <w:t>​</w:t>
            </w:r>
          </w:p>
        </w:tc>
        <w:tc>
          <w:tcPr>
            <w:tcW w:w="95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Non-Controlling</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8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 Capital</w:t>
            </w:r>
          </w:p>
        </w:tc>
        <w:tc>
          <w:tcPr>
            <w:tcW w:w="326" w:type="dxa"/>
            <w:tcBorders/>
            <w:vAlign w:val="center"/>
          </w:tcPr>
          <w:p>
            <w:pPr>
              <w:pStyle w:val="TableContents"/>
              <w:bidi w:val="0"/>
              <w:spacing w:before="0" w:after="1"/>
              <w:ind w:left="0" w:right="0" w:hanging="0"/>
              <w:jc w:val="left"/>
              <w:rPr/>
            </w:pPr>
            <w:r>
              <w:rPr/>
              <w:t>    </w:t>
            </w:r>
          </w:p>
        </w:tc>
        <w:tc>
          <w:tcPr>
            <w:tcW w:w="9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Interest</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75,628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759</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345,840</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(332,383)</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(3,881)</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2,475</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12,810</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(26,811)</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(26,811)</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purchase of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474</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7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(2,475)</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(2,000)</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7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(658)</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(658)</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2,310</w:t>
            </w:r>
          </w:p>
        </w:tc>
        <w:tc>
          <w:tcPr>
            <w:tcW w:w="326" w:type="dxa"/>
            <w:tcBorders/>
            <w:vAlign w:val="center"/>
          </w:tcPr>
          <w:p>
            <w:pPr>
              <w:pStyle w:val="TableContents"/>
              <w:bidi w:val="0"/>
              <w:spacing w:before="0" w:after="1"/>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2,310</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75,728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760</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348,711</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(359,194)</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(4,539)</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(14,262)</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left"/>
              <w:rPr/>
            </w:pPr>
            <w:r>
              <w:rPr/>
              <w:t>​</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88,282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473,064</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(386,297)</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4,034</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91,684</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(17,759)</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(17,759)</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"at-the-market" offering program, net of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624</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7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stock options exercised</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Series A Convertible Preferred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7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3,871</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6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3,871</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3,025</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w:t>
            </w:r>
          </w:p>
        </w:tc>
        <w:tc>
          <w:tcPr>
            <w:tcW w:w="7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c>
          <w:tcPr>
            <w:tcW w:w="66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3,025</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2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w:t>
            </w:r>
          </w:p>
        </w:tc>
        <w:tc>
          <w:tcPr>
            <w:tcW w:w="326" w:type="dxa"/>
            <w:tcBorders/>
            <w:vAlign w:val="center"/>
          </w:tcPr>
          <w:p>
            <w:pPr>
              <w:pStyle w:val="TableContents"/>
              <w:bidi w:val="0"/>
              <w:spacing w:before="0" w:after="1"/>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88,366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884</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476,795</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(404,056)</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7,905</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65"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81,528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 (continued)</w:t>
      </w:r>
    </w:p>
    <w:p>
      <w:pPr>
        <w:pStyle w:val="Normal"/>
        <w:bidi w:val="0"/>
        <w:spacing w:before="0" w:after="0"/>
        <w:jc w:val="left"/>
        <w:rPr>
          <w:sz w:val="4"/>
          <w:szCs w:val="4"/>
        </w:rPr>
      </w:pPr>
      <w:r>
        <w:rPr>
          <w:sz w:val="4"/>
          <w:szCs w:val="4"/>
        </w:rPr>
      </w:r>
      <w:bookmarkStart w:id="581" w:name="Tc_kYVMbD1dRUOFcNb8OZJT-A_26_19"/>
      <w:bookmarkStart w:id="582" w:name="Tc_oZKoLFUss0-DPqOXrFFWUA_26_17"/>
      <w:bookmarkStart w:id="583" w:name="Tc_Wxj-pC091EKgR433yFXj3w_26_16"/>
      <w:bookmarkStart w:id="584" w:name="Tc_OPewvl--Z0m_eBRaLrmi0g_26_13"/>
      <w:bookmarkStart w:id="585" w:name="Tc_DT6hgK1UH0aCj4knaxkb8w_26_10"/>
      <w:bookmarkStart w:id="586" w:name="Tc_4I64vFWsukOBvq-03pT2mg_26_7"/>
      <w:bookmarkStart w:id="587" w:name="Tc_r72BFABrTUGl8b1jRKg8HQ_26_4"/>
      <w:bookmarkStart w:id="588" w:name="Tc_cCg767YxOkCUhrUMqgZgdg_26_0"/>
      <w:bookmarkStart w:id="589" w:name="Tc_M3v9rPGkmkWb62OYBzNDNw_25_17"/>
      <w:bookmarkStart w:id="590" w:name="Tc_YaLK2HPn_0yqXW3VvJvqtQ_25_14"/>
      <w:bookmarkStart w:id="591" w:name="Tc_sxi6e6wg6E6TYg2CadJZ-Q_25_11"/>
      <w:bookmarkStart w:id="592" w:name="Tc_iJyewEnY-0KT3uL45Sjs0w_25_5"/>
      <w:bookmarkStart w:id="593" w:name="Tc_oOUlAZtvS0OY7iadr7-GHg_25_2"/>
      <w:bookmarkStart w:id="594" w:name="Tc_asa1OLCOqkqpk1MvxDAprw_25_0"/>
      <w:bookmarkStart w:id="595" w:name="Tc_CEx-Tpc480C7tc71E7h_uA_24_17"/>
      <w:bookmarkStart w:id="596" w:name="Tc_PB8PW0mbY0SPSWiWbeeCKw_24_14"/>
      <w:bookmarkStart w:id="597" w:name="Tc_ib79BgZegkull16jo_KGXg_24_11"/>
      <w:bookmarkStart w:id="598" w:name="Tc_QXF7N9uoWk22leW3b9BprA_24_0"/>
      <w:bookmarkStart w:id="599" w:name="Tc_9S1cPQ6FoEaZ99ly19xUhg_23_17"/>
      <w:bookmarkStart w:id="600" w:name="Tc_DJz2L4QF5kCO0IuwCHzDrg_23_11"/>
      <w:bookmarkStart w:id="601" w:name="Tc_EePdwgd4IUWtOhtlcsHO_A_23_8"/>
      <w:bookmarkStart w:id="602" w:name="Tc_bHlwayblDkeEOZ8RUWrTLA_23_5"/>
      <w:bookmarkStart w:id="603" w:name="Tc_vUOz-6jq4ky-X2nPWSQbaA_23_2"/>
      <w:bookmarkStart w:id="604" w:name="Tc_qp3iIBOTGkS69Y_ZRyKUPA_23_0"/>
      <w:bookmarkStart w:id="605" w:name="Tc_uRPu7AHlNUKNNN-YIaxaig_22_17"/>
      <w:bookmarkStart w:id="606" w:name="Tc_Ly-yMpzA2kab0bLO9MUCpQ_22_14"/>
      <w:bookmarkStart w:id="607" w:name="Tc_Irh0u4b5lUC6pK6CcJPQTQ_22_11"/>
      <w:bookmarkStart w:id="608" w:name="Tc_NEOr-H5FZUW5b7Oxscz3MQ_22_5"/>
      <w:bookmarkStart w:id="609" w:name="Tc_vL8BtVK1DkapnL2pRpDfhg_22_2"/>
      <w:bookmarkStart w:id="610" w:name="Tc_kOlhhKTamU6kl66MufusNA_22_0"/>
      <w:bookmarkStart w:id="611" w:name="Tc_Yy13uQK5REOHc-iIhwmHOA_21_17"/>
      <w:bookmarkStart w:id="612" w:name="Tc_VzSIenFrOU64nDMfvTcPOg_21_14"/>
      <w:bookmarkStart w:id="613" w:name="Tc_68z4mCJMi0iCig0uddsDRg_21_11"/>
      <w:bookmarkStart w:id="614" w:name="Tc_juTEVPkhhEC0dnGMwWYzCQ_21_5"/>
      <w:bookmarkStart w:id="615" w:name="Tc_j6FiAYCW2kiz_1mGyEFZ6A_21_0"/>
      <w:bookmarkStart w:id="616" w:name="Tc_Xt7odKQsJ0W9HTG6THcC1g_20_17"/>
      <w:bookmarkStart w:id="617" w:name="Tc_WiKBKl61R0-LIK8BdJ97wg_20_14"/>
      <w:bookmarkStart w:id="618" w:name="Tc_jTgOWkwnBUiIkapAGX_7xw_20_11"/>
      <w:bookmarkStart w:id="619" w:name="Tc_wxL6zvCZpkeTLs8rYNGX5Q_20_0"/>
      <w:bookmarkStart w:id="620" w:name="Tc_IWq_fNIK5UCA8ADWjYOO6A_19_17"/>
      <w:bookmarkStart w:id="621" w:name="Tc_XnX6APQUekS-vMbY4aHdqg_19_14"/>
      <w:bookmarkStart w:id="622" w:name="Tc_8SeJyJ9Yf0K62BlJsnQNcA_19_8"/>
      <w:bookmarkStart w:id="623" w:name="Tc__WyXKj-IckegGqa0k6Pgaw_19_5"/>
      <w:bookmarkStart w:id="624" w:name="Tc_QoAys4kiwUOuJ1ItoKozoQ_19_2"/>
      <w:bookmarkStart w:id="625" w:name="Tc_0iwNjKOlrEy7nt8L7xS6nA_19_0"/>
      <w:bookmarkStart w:id="626" w:name="Tc_yAqy_5mQ7EeUoTzPT68nxQ_18_17"/>
      <w:bookmarkStart w:id="627" w:name="Tc_zq9Gri_SAkq8JIdlzwHeww_18_0"/>
      <w:bookmarkStart w:id="628" w:name="Tc_km_Yi2TrT0ODs0GbzLTBdA_16_19"/>
      <w:bookmarkStart w:id="629" w:name="Tc_SiTM7vUB8UKVs2n6azAeJA_16_17"/>
      <w:bookmarkStart w:id="630" w:name="Tc_ZI_G2trqy0-JlTnth7p_lg_16_16"/>
      <w:bookmarkStart w:id="631" w:name="Tc_jR14zpue7Em54TSdzK_LfA_16_13"/>
      <w:bookmarkStart w:id="632" w:name="Tc_8GjObLm02UuG4EpVZOzeMg_16_10"/>
      <w:bookmarkStart w:id="633" w:name="Tc_rREb4Z-tTUm5FxFcFPrzqQ_16_7"/>
      <w:bookmarkStart w:id="634" w:name="Tc_oJkZAC2IfUGZWqXSeWvPEg_16_4"/>
      <w:bookmarkStart w:id="635" w:name="Tc_JEIQLjQXtUWJ63NHCqtf0g_16_0"/>
      <w:bookmarkStart w:id="636" w:name="Tc_toZCN7y6vkCdBhpIYJPMqA_15_17"/>
      <w:bookmarkStart w:id="637" w:name="Tc_TNleNZallEmTWpKdZDHyHg_15_14"/>
      <w:bookmarkStart w:id="638" w:name="Tc_TL4sGaOwZ0yQAE7PCktRsg_15_11"/>
      <w:bookmarkStart w:id="639" w:name="Tc_se7uPrdrTUC0taYN30o-2g_15_5"/>
      <w:bookmarkStart w:id="640" w:name="Tc_HkY7nf_2wUeczZj0_B35Ug_15_2"/>
      <w:bookmarkStart w:id="641" w:name="Tc_DkrKccmOgE2GL1MKlxcsCA_15_0"/>
      <w:bookmarkStart w:id="642" w:name="Tc_7b11vZPk8k2WqfiEewaKCg_14_17"/>
      <w:bookmarkStart w:id="643" w:name="Tc_Rq8HiVKEMkWxY15tm5og8w_14_14"/>
      <w:bookmarkStart w:id="644" w:name="Tc_q1Rg2RYm9E-aqIyrGy84jg_14_11"/>
      <w:bookmarkStart w:id="645" w:name="Tc_pYdlUgEWGkyFW420LrL1Og_14_0"/>
      <w:bookmarkStart w:id="646" w:name="Tc__IwTXS242U-i5wYwwUob9Q_13_17"/>
      <w:bookmarkStart w:id="647" w:name="Tc_TOyD8eDqSkqMSKedZi5e_w_13_11"/>
      <w:bookmarkStart w:id="648" w:name="Tc_esoQGZQR1UqMZRE18AqiiQ_13_8"/>
      <w:bookmarkStart w:id="649" w:name="Tc_RuHSfrW9SECOoWG5w60BUQ_13_5"/>
      <w:bookmarkStart w:id="650" w:name="Tc_POKh7kNkoEyu7LvJ-BcYHQ_13_2"/>
      <w:bookmarkStart w:id="651" w:name="Tc_m9f8egRVL0mf46rbdVu1Uw_13_0"/>
      <w:bookmarkStart w:id="652" w:name="Tc_hetZ36XKSUOjTcueibizag_12_17"/>
      <w:bookmarkStart w:id="653" w:name="Tc_HREUS33I3E2hdIzvWkSwPA_12_14"/>
      <w:bookmarkStart w:id="654" w:name="Tc_RvDyt8TOzkqe37cgiMAm2w_12_11"/>
      <w:bookmarkStart w:id="655" w:name="Tc_mVfPTASbSEas2yltwZ9pOg_12_5"/>
      <w:bookmarkStart w:id="656" w:name="Tc_j8q4KYdY_Uu62bc57Z46cQ_12_2"/>
      <w:bookmarkStart w:id="657" w:name="Tc_KBP2LmCGC0WagbUPjfxBUw_12_0"/>
      <w:bookmarkStart w:id="658" w:name="Tc_LwkiuaR5R0-EpsTkcEvE9g_11_14"/>
      <w:bookmarkStart w:id="659" w:name="Tc_fGCono-FYEyld3HlC3UPgQ_11_11"/>
      <w:bookmarkStart w:id="660" w:name="Tc_m9hu8yGeeEWcC0zajdsYsA_11_0"/>
      <w:bookmarkStart w:id="661" w:name="Tc_O4dsTRhEoEyG_eXIjlK-Gw_10_17"/>
      <w:bookmarkStart w:id="662" w:name="Tc_EHKUpBuf7k2ZEmPGe8BuOw_10_14"/>
      <w:bookmarkStart w:id="663" w:name="Tc_nNmSzT1aNUCAdpszLymwQQ_10_11"/>
      <w:bookmarkStart w:id="664" w:name="Tc_tq1TgyPgCkiDaqSoxfkkgg_10_0"/>
      <w:bookmarkStart w:id="665" w:name="Tc_H3cREguTkUOflXCvXijjOQ_9_17"/>
      <w:bookmarkStart w:id="666" w:name="Tc_8sB86yjhvU6oMOnoj1jN8g_9_14"/>
      <w:bookmarkStart w:id="667" w:name="Tc_SiIK1SsOm0mbz_x8mqPhdQ_9_11"/>
      <w:bookmarkStart w:id="668" w:name="Tc_eGoFQb9HOEyWAFOr7Fiiww_9_0"/>
      <w:bookmarkStart w:id="669" w:name="Tc_PynhLcKR0kGqCkFEJJENZg_8_17"/>
      <w:bookmarkStart w:id="670" w:name="Tc_ZvwE3TjmaECMokmFWz8TKw_8_14"/>
      <w:bookmarkStart w:id="671" w:name="Tc_JA1l4mllgkK8hSB_Q-tq9g_8_11"/>
      <w:bookmarkStart w:id="672" w:name="Tc_3GsdgZTUH0iVXRp8iLb6_A_8_0"/>
      <w:bookmarkStart w:id="673" w:name="Tc_wOX2TN1-OEGA6u2km9D8OQ_7_17"/>
      <w:bookmarkStart w:id="674" w:name="Tc_4Z-xtrgaFEKhYJoUpnMrig_7_14"/>
      <w:bookmarkStart w:id="675" w:name="Tc_WQOeyeKz9UGmXsIDKLYFnQ_7_11"/>
      <w:bookmarkStart w:id="676" w:name="Tc_QVBVsiU10kC__6-c60jSdA_7_0"/>
      <w:bookmarkStart w:id="677" w:name="Tc_DPKe1grsskiY-CzBumyH9g_6_14"/>
      <w:bookmarkStart w:id="678" w:name="Tc_DUawQsJg9Euq3Id2Znnokw_6_8"/>
      <w:bookmarkStart w:id="679" w:name="Tc_hoyyh6pyGEGzCsRkEgaqhw_6_5"/>
      <w:bookmarkStart w:id="680" w:name="Tc_E58hFaFzi06kxwvBSA2-JQ_6_2"/>
      <w:bookmarkStart w:id="681" w:name="Tc_539PeYMnxk2LFrgUA7e2Vg_6_0"/>
      <w:bookmarkStart w:id="682" w:name="Tc_KhwrT4qTpUizjXodYyTxqw_5_19"/>
      <w:bookmarkStart w:id="683" w:name="Tc_35ngvALAHUW21ZP2SrsedA_5_16"/>
      <w:bookmarkStart w:id="684" w:name="Tc_amt7xUvlakySDqe-lNCexA_5_13"/>
      <w:bookmarkStart w:id="685" w:name="Tc_FBhh0-vCgkSnZr1UPrF5jg_5_10"/>
      <w:bookmarkStart w:id="686" w:name="Tc_BeY6tbzcyUaC7DciAbf4_A_5_7"/>
      <w:bookmarkStart w:id="687" w:name="Tc_x2DoM7oTAkKh7EQfEpEopQ_5_4"/>
      <w:bookmarkStart w:id="688" w:name="Tc_Rcmw26CwYkaRLT9TAd9LDQ_5_0"/>
      <w:bookmarkStart w:id="689" w:name="Tc_aUQgzkUO8EKeNyrKrObkDw_4_19"/>
      <w:bookmarkStart w:id="690" w:name="Tc_A419oYvxskaLMvc6E4oJ9A_4_16"/>
      <w:bookmarkStart w:id="691" w:name="Tc_RKc_sjA1pkqKdGtG-3L31w_4_13"/>
      <w:bookmarkStart w:id="692" w:name="Tc_XilVV3H6dkCpJj-ih4e87A_4_10"/>
      <w:bookmarkStart w:id="693" w:name="Tc_r2U8bduH1UGKrYF8aHfN_w_4_7"/>
      <w:bookmarkStart w:id="694" w:name="Tc_-0dMlvEE50SCP7WJ5OdM4Q_4_4"/>
      <w:bookmarkStart w:id="695" w:name="Tc_GJ8vgqIrVEm7XimPhdOxmw_4_2"/>
      <w:bookmarkStart w:id="696" w:name="Tc_odF3KFaEIkq7WvQnW9HXcA_4_0"/>
      <w:bookmarkStart w:id="697" w:name="Tc_OFX1FySF-EiSvtEPlsh9Mg_3_19"/>
      <w:bookmarkStart w:id="698" w:name="Tc_pU5TqmK6JUKRyw_B0qzPbQ_3_16"/>
      <w:bookmarkStart w:id="699" w:name="Tc_-PtUM_KwH0OuiGrGTjAevA_3_13"/>
      <w:bookmarkStart w:id="700" w:name="Tc_WXa9HCdB8UKVjQnp7Wn3gQ_3_10"/>
      <w:bookmarkStart w:id="701" w:name="Tc_NjH3TbIUDke96Z3GUlpPgw_3_7"/>
      <w:bookmarkStart w:id="702" w:name="Tc_6Cx5wtOpXkqEMy-VEeoPGA_3_2"/>
      <w:bookmarkStart w:id="703" w:name="Tc_PRLGp2FGTEa8I9KLLKTZHQ_2_13"/>
      <w:bookmarkStart w:id="704" w:name="Tc_BIMI2WKkl0mB8QV6jTmp6g_1_13"/>
      <w:bookmarkStart w:id="705" w:name="_fad58e3e_cfd6_40b8_a5ba_abe96d58fb16"/>
      <w:bookmarkStart w:id="706" w:name="Tc_kYVMbD1dRUOFcNb8OZJT-A_26_19"/>
      <w:bookmarkStart w:id="707" w:name="Tc_oZKoLFUss0-DPqOXrFFWUA_26_17"/>
      <w:bookmarkStart w:id="708" w:name="Tc_Wxj-pC091EKgR433yFXj3w_26_16"/>
      <w:bookmarkStart w:id="709" w:name="Tc_OPewvl--Z0m_eBRaLrmi0g_26_13"/>
      <w:bookmarkStart w:id="710" w:name="Tc_DT6hgK1UH0aCj4knaxkb8w_26_10"/>
      <w:bookmarkStart w:id="711" w:name="Tc_4I64vFWsukOBvq-03pT2mg_26_7"/>
      <w:bookmarkStart w:id="712" w:name="Tc_r72BFABrTUGl8b1jRKg8HQ_26_4"/>
      <w:bookmarkStart w:id="713" w:name="Tc_cCg767YxOkCUhrUMqgZgdg_26_0"/>
      <w:bookmarkStart w:id="714" w:name="Tc_M3v9rPGkmkWb62OYBzNDNw_25_17"/>
      <w:bookmarkStart w:id="715" w:name="Tc_YaLK2HPn_0yqXW3VvJvqtQ_25_14"/>
      <w:bookmarkStart w:id="716" w:name="Tc_sxi6e6wg6E6TYg2CadJZ-Q_25_11"/>
      <w:bookmarkStart w:id="717" w:name="Tc_iJyewEnY-0KT3uL45Sjs0w_25_5"/>
      <w:bookmarkStart w:id="718" w:name="Tc_oOUlAZtvS0OY7iadr7-GHg_25_2"/>
      <w:bookmarkStart w:id="719" w:name="Tc_asa1OLCOqkqpk1MvxDAprw_25_0"/>
      <w:bookmarkStart w:id="720" w:name="Tc_CEx-Tpc480C7tc71E7h_uA_24_17"/>
      <w:bookmarkStart w:id="721" w:name="Tc_PB8PW0mbY0SPSWiWbeeCKw_24_14"/>
      <w:bookmarkStart w:id="722" w:name="Tc_ib79BgZegkull16jo_KGXg_24_11"/>
      <w:bookmarkStart w:id="723" w:name="Tc_QXF7N9uoWk22leW3b9BprA_24_0"/>
      <w:bookmarkStart w:id="724" w:name="Tc_9S1cPQ6FoEaZ99ly19xUhg_23_17"/>
      <w:bookmarkStart w:id="725" w:name="Tc_DJz2L4QF5kCO0IuwCHzDrg_23_11"/>
      <w:bookmarkStart w:id="726" w:name="Tc_EePdwgd4IUWtOhtlcsHO_A_23_8"/>
      <w:bookmarkStart w:id="727" w:name="Tc_bHlwayblDkeEOZ8RUWrTLA_23_5"/>
      <w:bookmarkStart w:id="728" w:name="Tc_vUOz-6jq4ky-X2nPWSQbaA_23_2"/>
      <w:bookmarkStart w:id="729" w:name="Tc_qp3iIBOTGkS69Y_ZRyKUPA_23_0"/>
      <w:bookmarkStart w:id="730" w:name="Tc_uRPu7AHlNUKNNN-YIaxaig_22_17"/>
      <w:bookmarkStart w:id="731" w:name="Tc_Ly-yMpzA2kab0bLO9MUCpQ_22_14"/>
      <w:bookmarkStart w:id="732" w:name="Tc_Irh0u4b5lUC6pK6CcJPQTQ_22_11"/>
      <w:bookmarkStart w:id="733" w:name="Tc_NEOr-H5FZUW5b7Oxscz3MQ_22_5"/>
      <w:bookmarkStart w:id="734" w:name="Tc_vL8BtVK1DkapnL2pRpDfhg_22_2"/>
      <w:bookmarkStart w:id="735" w:name="Tc_kOlhhKTamU6kl66MufusNA_22_0"/>
      <w:bookmarkStart w:id="736" w:name="Tc_Yy13uQK5REOHc-iIhwmHOA_21_17"/>
      <w:bookmarkStart w:id="737" w:name="Tc_VzSIenFrOU64nDMfvTcPOg_21_14"/>
      <w:bookmarkStart w:id="738" w:name="Tc_68z4mCJMi0iCig0uddsDRg_21_11"/>
      <w:bookmarkStart w:id="739" w:name="Tc_juTEVPkhhEC0dnGMwWYzCQ_21_5"/>
      <w:bookmarkStart w:id="740" w:name="Tc_j6FiAYCW2kiz_1mGyEFZ6A_21_0"/>
      <w:bookmarkStart w:id="741" w:name="Tc_Xt7odKQsJ0W9HTG6THcC1g_20_17"/>
      <w:bookmarkStart w:id="742" w:name="Tc_WiKBKl61R0-LIK8BdJ97wg_20_14"/>
      <w:bookmarkStart w:id="743" w:name="Tc_jTgOWkwnBUiIkapAGX_7xw_20_11"/>
      <w:bookmarkStart w:id="744" w:name="Tc_wxL6zvCZpkeTLs8rYNGX5Q_20_0"/>
      <w:bookmarkStart w:id="745" w:name="Tc_IWq_fNIK5UCA8ADWjYOO6A_19_17"/>
      <w:bookmarkStart w:id="746" w:name="Tc_XnX6APQUekS-vMbY4aHdqg_19_14"/>
      <w:bookmarkStart w:id="747" w:name="Tc_8SeJyJ9Yf0K62BlJsnQNcA_19_8"/>
      <w:bookmarkStart w:id="748" w:name="Tc__WyXKj-IckegGqa0k6Pgaw_19_5"/>
      <w:bookmarkStart w:id="749" w:name="Tc_QoAys4kiwUOuJ1ItoKozoQ_19_2"/>
      <w:bookmarkStart w:id="750" w:name="Tc_0iwNjKOlrEy7nt8L7xS6nA_19_0"/>
      <w:bookmarkStart w:id="751" w:name="Tc_yAqy_5mQ7EeUoTzPT68nxQ_18_17"/>
      <w:bookmarkStart w:id="752" w:name="Tc_zq9Gri_SAkq8JIdlzwHeww_18_0"/>
      <w:bookmarkStart w:id="753" w:name="Tc_km_Yi2TrT0ODs0GbzLTBdA_16_19"/>
      <w:bookmarkStart w:id="754" w:name="Tc_SiTM7vUB8UKVs2n6azAeJA_16_17"/>
      <w:bookmarkStart w:id="755" w:name="Tc_ZI_G2trqy0-JlTnth7p_lg_16_16"/>
      <w:bookmarkStart w:id="756" w:name="Tc_jR14zpue7Em54TSdzK_LfA_16_13"/>
      <w:bookmarkStart w:id="757" w:name="Tc_8GjObLm02UuG4EpVZOzeMg_16_10"/>
      <w:bookmarkStart w:id="758" w:name="Tc_rREb4Z-tTUm5FxFcFPrzqQ_16_7"/>
      <w:bookmarkStart w:id="759" w:name="Tc_oJkZAC2IfUGZWqXSeWvPEg_16_4"/>
      <w:bookmarkStart w:id="760" w:name="Tc_JEIQLjQXtUWJ63NHCqtf0g_16_0"/>
      <w:bookmarkStart w:id="761" w:name="Tc_toZCN7y6vkCdBhpIYJPMqA_15_17"/>
      <w:bookmarkStart w:id="762" w:name="Tc_TNleNZallEmTWpKdZDHyHg_15_14"/>
      <w:bookmarkStart w:id="763" w:name="Tc_TL4sGaOwZ0yQAE7PCktRsg_15_11"/>
      <w:bookmarkStart w:id="764" w:name="Tc_se7uPrdrTUC0taYN30o-2g_15_5"/>
      <w:bookmarkStart w:id="765" w:name="Tc_HkY7nf_2wUeczZj0_B35Ug_15_2"/>
      <w:bookmarkStart w:id="766" w:name="Tc_DkrKccmOgE2GL1MKlxcsCA_15_0"/>
      <w:bookmarkStart w:id="767" w:name="Tc_7b11vZPk8k2WqfiEewaKCg_14_17"/>
      <w:bookmarkStart w:id="768" w:name="Tc_Rq8HiVKEMkWxY15tm5og8w_14_14"/>
      <w:bookmarkStart w:id="769" w:name="Tc_q1Rg2RYm9E-aqIyrGy84jg_14_11"/>
      <w:bookmarkStart w:id="770" w:name="Tc_pYdlUgEWGkyFW420LrL1Og_14_0"/>
      <w:bookmarkStart w:id="771" w:name="Tc__IwTXS242U-i5wYwwUob9Q_13_17"/>
      <w:bookmarkStart w:id="772" w:name="Tc_TOyD8eDqSkqMSKedZi5e_w_13_11"/>
      <w:bookmarkStart w:id="773" w:name="Tc_esoQGZQR1UqMZRE18AqiiQ_13_8"/>
      <w:bookmarkStart w:id="774" w:name="Tc_RuHSfrW9SECOoWG5w60BUQ_13_5"/>
      <w:bookmarkStart w:id="775" w:name="Tc_POKh7kNkoEyu7LvJ-BcYHQ_13_2"/>
      <w:bookmarkStart w:id="776" w:name="Tc_m9f8egRVL0mf46rbdVu1Uw_13_0"/>
      <w:bookmarkStart w:id="777" w:name="Tc_hetZ36XKSUOjTcueibizag_12_17"/>
      <w:bookmarkStart w:id="778" w:name="Tc_HREUS33I3E2hdIzvWkSwPA_12_14"/>
      <w:bookmarkStart w:id="779" w:name="Tc_RvDyt8TOzkqe37cgiMAm2w_12_11"/>
      <w:bookmarkStart w:id="780" w:name="Tc_mVfPTASbSEas2yltwZ9pOg_12_5"/>
      <w:bookmarkStart w:id="781" w:name="Tc_j8q4KYdY_Uu62bc57Z46cQ_12_2"/>
      <w:bookmarkStart w:id="782" w:name="Tc_KBP2LmCGC0WagbUPjfxBUw_12_0"/>
      <w:bookmarkStart w:id="783" w:name="Tc_LwkiuaR5R0-EpsTkcEvE9g_11_14"/>
      <w:bookmarkStart w:id="784" w:name="Tc_fGCono-FYEyld3HlC3UPgQ_11_11"/>
      <w:bookmarkStart w:id="785" w:name="Tc_m9hu8yGeeEWcC0zajdsYsA_11_0"/>
      <w:bookmarkStart w:id="786" w:name="Tc_O4dsTRhEoEyG_eXIjlK-Gw_10_17"/>
      <w:bookmarkStart w:id="787" w:name="Tc_EHKUpBuf7k2ZEmPGe8BuOw_10_14"/>
      <w:bookmarkStart w:id="788" w:name="Tc_nNmSzT1aNUCAdpszLymwQQ_10_11"/>
      <w:bookmarkStart w:id="789" w:name="Tc_tq1TgyPgCkiDaqSoxfkkgg_10_0"/>
      <w:bookmarkStart w:id="790" w:name="Tc_H3cREguTkUOflXCvXijjOQ_9_17"/>
      <w:bookmarkStart w:id="791" w:name="Tc_8sB86yjhvU6oMOnoj1jN8g_9_14"/>
      <w:bookmarkStart w:id="792" w:name="Tc_SiIK1SsOm0mbz_x8mqPhdQ_9_11"/>
      <w:bookmarkStart w:id="793" w:name="Tc_eGoFQb9HOEyWAFOr7Fiiww_9_0"/>
      <w:bookmarkStart w:id="794" w:name="Tc_PynhLcKR0kGqCkFEJJENZg_8_17"/>
      <w:bookmarkStart w:id="795" w:name="Tc_ZvwE3TjmaECMokmFWz8TKw_8_14"/>
      <w:bookmarkStart w:id="796" w:name="Tc_JA1l4mllgkK8hSB_Q-tq9g_8_11"/>
      <w:bookmarkStart w:id="797" w:name="Tc_3GsdgZTUH0iVXRp8iLb6_A_8_0"/>
      <w:bookmarkStart w:id="798" w:name="Tc_wOX2TN1-OEGA6u2km9D8OQ_7_17"/>
      <w:bookmarkStart w:id="799" w:name="Tc_4Z-xtrgaFEKhYJoUpnMrig_7_14"/>
      <w:bookmarkStart w:id="800" w:name="Tc_WQOeyeKz9UGmXsIDKLYFnQ_7_11"/>
      <w:bookmarkStart w:id="801" w:name="Tc_QVBVsiU10kC__6-c60jSdA_7_0"/>
      <w:bookmarkStart w:id="802" w:name="Tc_DPKe1grsskiY-CzBumyH9g_6_14"/>
      <w:bookmarkStart w:id="803" w:name="Tc_DUawQsJg9Euq3Id2Znnokw_6_8"/>
      <w:bookmarkStart w:id="804" w:name="Tc_hoyyh6pyGEGzCsRkEgaqhw_6_5"/>
      <w:bookmarkStart w:id="805" w:name="Tc_E58hFaFzi06kxwvBSA2-JQ_6_2"/>
      <w:bookmarkStart w:id="806" w:name="Tc_539PeYMnxk2LFrgUA7e2Vg_6_0"/>
      <w:bookmarkStart w:id="807" w:name="Tc_KhwrT4qTpUizjXodYyTxqw_5_19"/>
      <w:bookmarkStart w:id="808" w:name="Tc_35ngvALAHUW21ZP2SrsedA_5_16"/>
      <w:bookmarkStart w:id="809" w:name="Tc_amt7xUvlakySDqe-lNCexA_5_13"/>
      <w:bookmarkStart w:id="810" w:name="Tc_FBhh0-vCgkSnZr1UPrF5jg_5_10"/>
      <w:bookmarkStart w:id="811" w:name="Tc_BeY6tbzcyUaC7DciAbf4_A_5_7"/>
      <w:bookmarkStart w:id="812" w:name="Tc_x2DoM7oTAkKh7EQfEpEopQ_5_4"/>
      <w:bookmarkStart w:id="813" w:name="Tc_Rcmw26CwYkaRLT9TAd9LDQ_5_0"/>
      <w:bookmarkStart w:id="814" w:name="Tc_aUQgzkUO8EKeNyrKrObkDw_4_19"/>
      <w:bookmarkStart w:id="815" w:name="Tc_A419oYvxskaLMvc6E4oJ9A_4_16"/>
      <w:bookmarkStart w:id="816" w:name="Tc_RKc_sjA1pkqKdGtG-3L31w_4_13"/>
      <w:bookmarkStart w:id="817" w:name="Tc_XilVV3H6dkCpJj-ih4e87A_4_10"/>
      <w:bookmarkStart w:id="818" w:name="Tc_r2U8bduH1UGKrYF8aHfN_w_4_7"/>
      <w:bookmarkStart w:id="819" w:name="Tc_-0dMlvEE50SCP7WJ5OdM4Q_4_4"/>
      <w:bookmarkStart w:id="820" w:name="Tc_GJ8vgqIrVEm7XimPhdOxmw_4_2"/>
      <w:bookmarkStart w:id="821" w:name="Tc_odF3KFaEIkq7WvQnW9HXcA_4_0"/>
      <w:bookmarkStart w:id="822" w:name="Tc_OFX1FySF-EiSvtEPlsh9Mg_3_19"/>
      <w:bookmarkStart w:id="823" w:name="Tc_pU5TqmK6JUKRyw_B0qzPbQ_3_16"/>
      <w:bookmarkStart w:id="824" w:name="Tc_-PtUM_KwH0OuiGrGTjAevA_3_13"/>
      <w:bookmarkStart w:id="825" w:name="Tc_WXa9HCdB8UKVjQnp7Wn3gQ_3_10"/>
      <w:bookmarkStart w:id="826" w:name="Tc_NjH3TbIUDke96Z3GUlpPgw_3_7"/>
      <w:bookmarkStart w:id="827" w:name="Tc_6Cx5wtOpXkqEMy-VEeoPGA_3_2"/>
      <w:bookmarkStart w:id="828" w:name="Tc_PRLGp2FGTEa8I9KLLKTZHQ_2_13"/>
      <w:bookmarkStart w:id="829" w:name="Tc_BIMI2WKkl0mB8QV6jTmp6g_1_13"/>
      <w:bookmarkStart w:id="830" w:name="_fad58e3e_cfd6_40b8_a5ba_abe96d58fb16"/>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tbl>
      <w:tblPr>
        <w:tblW w:w="10205" w:type="dxa"/>
        <w:jc w:val="left"/>
        <w:tblInd w:w="0" w:type="dxa"/>
        <w:tblLayout w:type="fixed"/>
        <w:tblCellMar>
          <w:top w:w="0" w:type="dxa"/>
          <w:left w:w="0" w:type="dxa"/>
          <w:bottom w:w="0" w:type="dxa"/>
          <w:right w:w="0" w:type="dxa"/>
        </w:tblCellMar>
      </w:tblPr>
      <w:tblGrid>
        <w:gridCol w:w="1824"/>
        <w:gridCol w:w="326"/>
        <w:gridCol w:w="541"/>
        <w:gridCol w:w="326"/>
        <w:gridCol w:w="216"/>
        <w:gridCol w:w="415"/>
        <w:gridCol w:w="326"/>
        <w:gridCol w:w="194"/>
        <w:gridCol w:w="650"/>
        <w:gridCol w:w="326"/>
        <w:gridCol w:w="208"/>
        <w:gridCol w:w="743"/>
        <w:gridCol w:w="326"/>
        <w:gridCol w:w="291"/>
        <w:gridCol w:w="805"/>
        <w:gridCol w:w="326"/>
        <w:gridCol w:w="313"/>
        <w:gridCol w:w="858"/>
        <w:gridCol w:w="326"/>
        <w:gridCol w:w="188"/>
        <w:gridCol w:w="677"/>
      </w:tblGrid>
      <w:tr>
        <w:trPr/>
        <w:tc>
          <w:tcPr>
            <w:tcW w:w="1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158240" cy="175260"/>
                      <wp:effectExtent l="0" t="0" r="0" b="0"/>
                      <wp:wrapNone/>
                      <wp:docPr id="59" name="Frame58"/>
                      <a:graphic xmlns:a="http://schemas.openxmlformats.org/drawingml/2006/main">
                        <a:graphicData uri="http://schemas.microsoft.com/office/word/2010/wordprocessingShape">
                          <wps:wsp>
                            <wps:cNvSpPr txBox="1"/>
                            <wps:spPr>
                              <a:xfrm>
                                <a:off x="0" y="0"/>
                                <a:ext cx="1158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43535" cy="175260"/>
                      <wp:effectExtent l="0" t="0" r="0" b="0"/>
                      <wp:wrapNone/>
                      <wp:docPr id="61" name="Frame6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7160" cy="175260"/>
                      <wp:effectExtent l="0" t="0" r="0" b="0"/>
                      <wp:wrapNone/>
                      <wp:docPr id="63" name="Frame6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63525" cy="175260"/>
                      <wp:effectExtent l="0" t="0" r="0" b="0"/>
                      <wp:wrapNone/>
                      <wp:docPr id="64" name="Frame6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3190" cy="175260"/>
                      <wp:effectExtent l="0" t="0" r="0" b="0"/>
                      <wp:wrapNone/>
                      <wp:docPr id="66" name="Frame65"/>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12750" cy="175260"/>
                      <wp:effectExtent l="0" t="0" r="0" b="0"/>
                      <wp:wrapNone/>
                      <wp:docPr id="67" name="Frame66"/>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2080" cy="175260"/>
                      <wp:effectExtent l="0" t="0" r="0" b="0"/>
                      <wp:wrapNone/>
                      <wp:docPr id="69" name="Frame68"/>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1805" cy="175260"/>
                      <wp:effectExtent l="0" t="0" r="0" b="0"/>
                      <wp:wrapNone/>
                      <wp:docPr id="70" name="Frame69"/>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4785" cy="175260"/>
                      <wp:effectExtent l="0" t="0" r="0" b="0"/>
                      <wp:wrapNone/>
                      <wp:docPr id="72" name="Frame71"/>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11175" cy="175260"/>
                      <wp:effectExtent l="0" t="0" r="0" b="0"/>
                      <wp:wrapNone/>
                      <wp:docPr id="73" name="Frame72"/>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8755" cy="175260"/>
                      <wp:effectExtent l="0" t="0" r="0" b="0"/>
                      <wp:wrapNone/>
                      <wp:docPr id="75" name="Frame74"/>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44830" cy="175260"/>
                      <wp:effectExtent l="0" t="0" r="0" b="0"/>
                      <wp:wrapNone/>
                      <wp:docPr id="76" name="Frame75"/>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19380" cy="175260"/>
                      <wp:effectExtent l="0" t="0" r="0" b="0"/>
                      <wp:wrapNone/>
                      <wp:docPr id="78" name="Frame77"/>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29895" cy="175260"/>
                      <wp:effectExtent l="0" t="0" r="0" b="0"/>
                      <wp:wrapNone/>
                      <wp:docPr id="79" name="Frame7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center"/>
              <w:rPr/>
            </w:pPr>
            <w:r>
              <w:rPr/>
              <w:t>​</w:t>
            </w:r>
          </w:p>
        </w:tc>
      </w:tr>
      <w:tr>
        <w:trPr/>
        <w:tc>
          <w:tcPr>
            <w:tcW w:w="1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8"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center"/>
              <w:rPr/>
            </w:pPr>
            <w:r>
              <w:rPr/>
              <w:t>​</w:t>
            </w:r>
          </w:p>
        </w:tc>
      </w:tr>
      <w:tr>
        <w:trPr/>
        <w:tc>
          <w:tcPr>
            <w:tcW w:w="18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left"/>
              <w:rPr/>
            </w:pPr>
            <w:r>
              <w:rPr/>
              <w:t>​</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26" w:type="dxa"/>
            <w:tcBorders/>
            <w:vAlign w:val="center"/>
          </w:tcPr>
          <w:p>
            <w:pPr>
              <w:pStyle w:val="TableContents"/>
              <w:bidi w:val="0"/>
              <w:spacing w:before="0" w:after="0"/>
              <w:ind w:left="0" w:right="0" w:hanging="0"/>
              <w:jc w:val="left"/>
              <w:rPr/>
            </w:pPr>
            <w:r>
              <w:rPr/>
              <w:t>​</w:t>
            </w:r>
          </w:p>
        </w:tc>
        <w:tc>
          <w:tcPr>
            <w:tcW w:w="9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Non-Controlling</w:t>
            </w:r>
          </w:p>
        </w:tc>
        <w:tc>
          <w:tcPr>
            <w:tcW w:w="326" w:type="dxa"/>
            <w:tcBorders/>
            <w:vAlign w:val="center"/>
          </w:tcPr>
          <w:p>
            <w:pPr>
              <w:pStyle w:val="TableContents"/>
              <w:bidi w:val="0"/>
              <w:spacing w:before="0" w:after="0"/>
              <w:ind w:left="0" w:right="0" w:hanging="0"/>
              <w:jc w:val="left"/>
              <w:rPr/>
            </w:pPr>
            <w:r>
              <w:rPr/>
              <w:t>​</w:t>
            </w:r>
          </w:p>
        </w:tc>
        <w:tc>
          <w:tcPr>
            <w:tcW w:w="865"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8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0"/>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 Capital</w:t>
            </w:r>
          </w:p>
        </w:tc>
        <w:tc>
          <w:tcPr>
            <w:tcW w:w="326" w:type="dxa"/>
            <w:tcBorders/>
            <w:vAlign w:val="center"/>
          </w:tcPr>
          <w:p>
            <w:pPr>
              <w:pStyle w:val="TableContents"/>
              <w:bidi w:val="0"/>
              <w:spacing w:before="0" w:after="0"/>
              <w:ind w:left="0" w:right="0" w:hanging="0"/>
              <w:jc w:val="left"/>
              <w:rPr/>
            </w:pPr>
            <w:r>
              <w:rPr/>
              <w:t>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Interest</w:t>
            </w:r>
          </w:p>
        </w:tc>
        <w:tc>
          <w:tcPr>
            <w:tcW w:w="326" w:type="dxa"/>
            <w:tcBorders/>
            <w:vAlign w:val="center"/>
          </w:tcPr>
          <w:p>
            <w:pPr>
              <w:pStyle w:val="TableContents"/>
              <w:bidi w:val="0"/>
              <w:spacing w:before="0" w:after="0"/>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75,020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750</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342,664</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(328,042)</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(6,103)</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2,460</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11,729</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(31,152)</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(31,137)</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shares related to acquisitions</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444</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446</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shares related to Public Warrant exercise</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3,142</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3,144</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shares related to stock options 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shares related to conversion of Series A Convertible Preferred Shares</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shares related to purchase of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474</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(2,475)</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(2,000)</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Accretion of Series A Convertible Preferred Shares</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1,564</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1,564</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3,854</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3,857</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(1,841)</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(1,841)</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June 30, 2023</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75,728</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760</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348,711</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(359,194)</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(4,539)</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(14,262)</w:t>
            </w:r>
          </w:p>
        </w:tc>
      </w:tr>
      <w:tr>
        <w:trPr/>
        <w:tc>
          <w:tcPr>
            <w:tcW w:w="182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December 31, 2023</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88,051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471,666</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(362,624)</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3,818</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113,740</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(41,432)</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(41,432)</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shares related to "at-the-market" offering program, net of issuance costs</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624</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shares related to stock options 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Accretion of Series A Convertible Preferred Shares</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174</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174</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4,087</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4,087</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5,478</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5,481</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(1,159)</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(1,159)</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at June 30, 2024</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88,366</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884</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476,795</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(404,056)</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7,905</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77"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81,528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31" w:name="_a6b149af_de59_40b1_ac54_93d7e2f4979e"/>
      <w:bookmarkEnd w:id="831"/>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832" w:name="CONSOLIDATEDSTATEMENTOFCASHFLOWS_338430"/>
      <w:bookmarkEnd w:id="83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33" w:name="Tc_dpHu4OsTlEq08bJaj7KS1A_54_5"/>
      <w:bookmarkStart w:id="834" w:name="Tc_K8syGQFYoU25WViHl7jyKg_54_2"/>
      <w:bookmarkStart w:id="835" w:name="Tc_srwYlHWBSEieaUgbDR_Akw_54_0"/>
      <w:bookmarkStart w:id="836" w:name="Tc_CqO4CpN4D0a4vm5ixO6yXw_53_0"/>
      <w:bookmarkStart w:id="837" w:name="Tc_MliuShYe90SUc0VJp0K_0A_51_5"/>
      <w:bookmarkStart w:id="838" w:name="Tc_5ToKlZxXTU2Dui0glUv1wQ_51_2"/>
      <w:bookmarkStart w:id="839" w:name="Tc_apT1rIL2Mku69Eyb4dQMRQ_51_0"/>
      <w:bookmarkStart w:id="840" w:name="Tc_98LLYaJKSk-sPTCz4U-4Jg_50_0"/>
      <w:bookmarkStart w:id="841" w:name="Tc_yyc0M-52VkCHy2-6rRbdZw_49_0"/>
      <w:bookmarkStart w:id="842" w:name="Tc_pKcaXNGBgUi4ZYp8ew5ybg_48_0"/>
      <w:bookmarkStart w:id="843" w:name="Tc_WPEIqbgGwkuP-X-EmBRpwg_47_0"/>
      <w:bookmarkStart w:id="844" w:name="Tc_NhNRE85Sf0WoJVk29SuutQ_46_0"/>
      <w:bookmarkStart w:id="845" w:name="Tc_4tp_-m_AGEyZphLQ4cGfSw_45_3"/>
      <w:bookmarkStart w:id="846" w:name="Tc_XcSYuzacJ0qsRAGlwfd70A_45_0"/>
      <w:bookmarkStart w:id="847" w:name="Tc_HO1FPw6_bEmBHBQIklEzCA_44_6"/>
      <w:bookmarkStart w:id="848" w:name="Tc_hmf3FfxytEab1_nrZ95X7Q_44_0"/>
      <w:bookmarkStart w:id="849" w:name="Tc_GrUxAZ7YVEqMAkeF7zBuVA_43_6"/>
      <w:bookmarkStart w:id="850" w:name="Tc_CKK8a_LLAUWj17y2kMRTIw_43_0"/>
      <w:bookmarkStart w:id="851" w:name="Tc_puwcl-B8OkaGbRukC1mJzQ_42_3"/>
      <w:bookmarkStart w:id="852" w:name="Tc_hoLBrdCkkUWJSmwHK52Llw_42_0"/>
      <w:bookmarkStart w:id="853" w:name="Tc_XgglrAPXhkGsLr2upn418A_41_0"/>
      <w:bookmarkStart w:id="854" w:name="Tc_bOUAsWC-8UC94lpiNcDDGg_40_0"/>
      <w:bookmarkStart w:id="855" w:name="Tc_Tt6ifEafMUSRGCattOiGiw_39_6"/>
      <w:bookmarkStart w:id="856" w:name="Tc_FuNPPi7hOkiGn1tafD64XA_39_0"/>
      <w:bookmarkStart w:id="857" w:name="Tc_7at_v5vbnEGLdKxkdFPv6w_38_0"/>
      <w:bookmarkStart w:id="858" w:name="Tc_YR0xMEwEck6kdEmZABuDdQ_37_6"/>
      <w:bookmarkStart w:id="859" w:name="Tc_AF4yLTxA_UeMHNBkBbHSVw_37_0"/>
      <w:bookmarkStart w:id="860" w:name="Tc_0Exi2A-V7EyhPcH7EnqN6Q_36_6"/>
      <w:bookmarkStart w:id="861" w:name="Tc_kPLuOCTbokCRJusfn5NBJg_36_0"/>
      <w:bookmarkStart w:id="862" w:name="Tc_TAVD7CUQI0aLAWZegOjUcQ_35_0"/>
      <w:bookmarkStart w:id="863" w:name="Tc_6DRktkKiTEO31GWIVpKG5A_34_6"/>
      <w:bookmarkStart w:id="864" w:name="Tc_QnM2NzSF6E6bEDaBTmNh9g_34_0"/>
      <w:bookmarkStart w:id="865" w:name="Tc_7kHnUwRNf0CM9unxIMMS4w_33_0"/>
      <w:bookmarkStart w:id="866" w:name="Tc_Z0k7bWb_Q0aXlzBsyKn9Bw_32_0"/>
      <w:bookmarkStart w:id="867" w:name="Tc_8BohJnO8b0mdNjjXYR291w_31_0"/>
      <w:bookmarkStart w:id="868" w:name="Tc_jhyhI6FNPkKrsuk2J08VoQ_30_0"/>
      <w:bookmarkStart w:id="869" w:name="Tc_mkoPPLpIvUyyWmm8qcHboQ_29_0"/>
      <w:bookmarkStart w:id="870" w:name="Tc_59NQue70fkilMey6absDew_28_3"/>
      <w:bookmarkStart w:id="871" w:name="Tc_zVrIPrSD1EGGUU8wi5xKqQ_28_0"/>
      <w:bookmarkStart w:id="872" w:name="Tc_ZwdnPoWph0SlLSJD7QJzqQ_27_0"/>
      <w:bookmarkStart w:id="873" w:name="Tc_Lz4xp6pW8k-FMjUsC7xAjw_26_0"/>
      <w:bookmarkStart w:id="874" w:name="Tc_Rx7CLwDtgUW5vMfpvj6Gcw_25_0"/>
      <w:bookmarkStart w:id="875" w:name="Tc_lgCT7o2fRkOBmYM2cOp2Ig_24_0"/>
      <w:bookmarkStart w:id="876" w:name="Tc_3UGON4YtcUmevV1v0c_5DA_23_0"/>
      <w:bookmarkStart w:id="877" w:name="Tc_3EkVf53Jl0W0VPWDYI8zcA_22_0"/>
      <w:bookmarkStart w:id="878" w:name="Tc_iYEC8l8EMkOVx8jZUlbkyw_21_0"/>
      <w:bookmarkStart w:id="879" w:name="Tc_vmoOt7VTA0a6mQBzlhHnOw_20_0"/>
      <w:bookmarkStart w:id="880" w:name="Tc_hLQRkUGnXEiTXqw0BxUBPw_19_0"/>
      <w:bookmarkStart w:id="881" w:name="Tc_0VbYz8nfs0SbAqZn5XU64Q_18_0"/>
      <w:bookmarkStart w:id="882" w:name="Tc_F8zINJKNpECvRT9BA17rTA_17_0"/>
      <w:bookmarkStart w:id="883" w:name="Tc_CBux8PyDd0Ss4SkwlmGYpg_16_0"/>
      <w:bookmarkStart w:id="884" w:name="Tc_cRQlS9xctUKYKK1JaL-ZdA_15_0"/>
      <w:bookmarkStart w:id="885" w:name="Tc_UrQu79F6DkOPb4cugEUduQ_14_0"/>
      <w:bookmarkStart w:id="886" w:name="Tc_JUikv0U17Uuw8qQrz7Fm9A_13_0"/>
      <w:bookmarkStart w:id="887" w:name="Tc_nLYSIDS87Eiu6R8trPvThw_12_0"/>
      <w:bookmarkStart w:id="888" w:name="Tc_GPWGSg9CE0qu2iym5fgqUg_11_0"/>
      <w:bookmarkStart w:id="889" w:name="Tc_lWcLfTAqUkC6ZbCEttzh-w_10_0"/>
      <w:bookmarkStart w:id="890" w:name="Tc_PjFJbzlrA0yupzlwP8NkfQ_9_0"/>
      <w:bookmarkStart w:id="891" w:name="Tc_Sf-4jE6MY0mhvWzoGjmCtw_8_0"/>
      <w:bookmarkStart w:id="892" w:name="Tc_OHKMx1h9P0iwlNHLp7B1WA_7_6"/>
      <w:bookmarkStart w:id="893" w:name="Tc_Yh6Hq0w4N0exFtyCf6LBUg_7_0"/>
      <w:bookmarkStart w:id="894" w:name="Tc_ONoNCD_wcEmh2lLQOYuJqA_6_0"/>
      <w:bookmarkStart w:id="895" w:name="Tc_3Fvzz8RMHEOOb6P9Vja6RQ_5_0"/>
      <w:bookmarkStart w:id="896" w:name="Tc_R7hn03c10UOy6ki2sWa8iA_4_5"/>
      <w:bookmarkStart w:id="897" w:name="Tc_3zPkyUKVbEufFAgdq8y8tQ_4_2"/>
      <w:bookmarkStart w:id="898" w:name="Tc_Tc_gPIXqpECXvA85UlR2Ww_4_0"/>
      <w:bookmarkStart w:id="899" w:name="Tc_gl8XevctaUS_UbLPNmUd3w_3_0"/>
      <w:bookmarkStart w:id="900" w:name="Tc_3ULgMcQB7Eq5P-iEz5azbg_2_5"/>
      <w:bookmarkStart w:id="901" w:name="Tc_pEQhcHCRhk-tCJi6fBlxeA_2_2"/>
      <w:bookmarkStart w:id="902" w:name="Tc_WGGvhJR2RE-VwL6jyAMzeQ_2_0"/>
      <w:bookmarkStart w:id="903" w:name="Tc_LsU9rOoAj0qpZ7rLDm_JbQ_1_2"/>
      <w:bookmarkStart w:id="904" w:name="_cc0ddde7_3ec3_4d30_ad3b_180631efdede"/>
      <w:bookmarkStart w:id="905" w:name="Tc_dpHu4OsTlEq08bJaj7KS1A_54_5"/>
      <w:bookmarkStart w:id="906" w:name="Tc_K8syGQFYoU25WViHl7jyKg_54_2"/>
      <w:bookmarkStart w:id="907" w:name="Tc_srwYlHWBSEieaUgbDR_Akw_54_0"/>
      <w:bookmarkStart w:id="908" w:name="Tc_CqO4CpN4D0a4vm5ixO6yXw_53_0"/>
      <w:bookmarkStart w:id="909" w:name="Tc_MliuShYe90SUc0VJp0K_0A_51_5"/>
      <w:bookmarkStart w:id="910" w:name="Tc_5ToKlZxXTU2Dui0glUv1wQ_51_2"/>
      <w:bookmarkStart w:id="911" w:name="Tc_apT1rIL2Mku69Eyb4dQMRQ_51_0"/>
      <w:bookmarkStart w:id="912" w:name="Tc_98LLYaJKSk-sPTCz4U-4Jg_50_0"/>
      <w:bookmarkStart w:id="913" w:name="Tc_yyc0M-52VkCHy2-6rRbdZw_49_0"/>
      <w:bookmarkStart w:id="914" w:name="Tc_pKcaXNGBgUi4ZYp8ew5ybg_48_0"/>
      <w:bookmarkStart w:id="915" w:name="Tc_WPEIqbgGwkuP-X-EmBRpwg_47_0"/>
      <w:bookmarkStart w:id="916" w:name="Tc_NhNRE85Sf0WoJVk29SuutQ_46_0"/>
      <w:bookmarkStart w:id="917" w:name="Tc_4tp_-m_AGEyZphLQ4cGfSw_45_3"/>
      <w:bookmarkStart w:id="918" w:name="Tc_XcSYuzacJ0qsRAGlwfd70A_45_0"/>
      <w:bookmarkStart w:id="919" w:name="Tc_HO1FPw6_bEmBHBQIklEzCA_44_6"/>
      <w:bookmarkStart w:id="920" w:name="Tc_hmf3FfxytEab1_nrZ95X7Q_44_0"/>
      <w:bookmarkStart w:id="921" w:name="Tc_GrUxAZ7YVEqMAkeF7zBuVA_43_6"/>
      <w:bookmarkStart w:id="922" w:name="Tc_CKK8a_LLAUWj17y2kMRTIw_43_0"/>
      <w:bookmarkStart w:id="923" w:name="Tc_puwcl-B8OkaGbRukC1mJzQ_42_3"/>
      <w:bookmarkStart w:id="924" w:name="Tc_hoLBrdCkkUWJSmwHK52Llw_42_0"/>
      <w:bookmarkStart w:id="925" w:name="Tc_XgglrAPXhkGsLr2upn418A_41_0"/>
      <w:bookmarkStart w:id="926" w:name="Tc_bOUAsWC-8UC94lpiNcDDGg_40_0"/>
      <w:bookmarkStart w:id="927" w:name="Tc_Tt6ifEafMUSRGCattOiGiw_39_6"/>
      <w:bookmarkStart w:id="928" w:name="Tc_FuNPPi7hOkiGn1tafD64XA_39_0"/>
      <w:bookmarkStart w:id="929" w:name="Tc_7at_v5vbnEGLdKxkdFPv6w_38_0"/>
      <w:bookmarkStart w:id="930" w:name="Tc_YR0xMEwEck6kdEmZABuDdQ_37_6"/>
      <w:bookmarkStart w:id="931" w:name="Tc_AF4yLTxA_UeMHNBkBbHSVw_37_0"/>
      <w:bookmarkStart w:id="932" w:name="Tc_0Exi2A-V7EyhPcH7EnqN6Q_36_6"/>
      <w:bookmarkStart w:id="933" w:name="Tc_kPLuOCTbokCRJusfn5NBJg_36_0"/>
      <w:bookmarkStart w:id="934" w:name="Tc_TAVD7CUQI0aLAWZegOjUcQ_35_0"/>
      <w:bookmarkStart w:id="935" w:name="Tc_6DRktkKiTEO31GWIVpKG5A_34_6"/>
      <w:bookmarkStart w:id="936" w:name="Tc_QnM2NzSF6E6bEDaBTmNh9g_34_0"/>
      <w:bookmarkStart w:id="937" w:name="Tc_7kHnUwRNf0CM9unxIMMS4w_33_0"/>
      <w:bookmarkStart w:id="938" w:name="Tc_Z0k7bWb_Q0aXlzBsyKn9Bw_32_0"/>
      <w:bookmarkStart w:id="939" w:name="Tc_8BohJnO8b0mdNjjXYR291w_31_0"/>
      <w:bookmarkStart w:id="940" w:name="Tc_jhyhI6FNPkKrsuk2J08VoQ_30_0"/>
      <w:bookmarkStart w:id="941" w:name="Tc_mkoPPLpIvUyyWmm8qcHboQ_29_0"/>
      <w:bookmarkStart w:id="942" w:name="Tc_59NQue70fkilMey6absDew_28_3"/>
      <w:bookmarkStart w:id="943" w:name="Tc_zVrIPrSD1EGGUU8wi5xKqQ_28_0"/>
      <w:bookmarkStart w:id="944" w:name="Tc_ZwdnPoWph0SlLSJD7QJzqQ_27_0"/>
      <w:bookmarkStart w:id="945" w:name="Tc_Lz4xp6pW8k-FMjUsC7xAjw_26_0"/>
      <w:bookmarkStart w:id="946" w:name="Tc_Rx7CLwDtgUW5vMfpvj6Gcw_25_0"/>
      <w:bookmarkStart w:id="947" w:name="Tc_lgCT7o2fRkOBmYM2cOp2Ig_24_0"/>
      <w:bookmarkStart w:id="948" w:name="Tc_3UGON4YtcUmevV1v0c_5DA_23_0"/>
      <w:bookmarkStart w:id="949" w:name="Tc_3EkVf53Jl0W0VPWDYI8zcA_22_0"/>
      <w:bookmarkStart w:id="950" w:name="Tc_iYEC8l8EMkOVx8jZUlbkyw_21_0"/>
      <w:bookmarkStart w:id="951" w:name="Tc_vmoOt7VTA0a6mQBzlhHnOw_20_0"/>
      <w:bookmarkStart w:id="952" w:name="Tc_hLQRkUGnXEiTXqw0BxUBPw_19_0"/>
      <w:bookmarkStart w:id="953" w:name="Tc_0VbYz8nfs0SbAqZn5XU64Q_18_0"/>
      <w:bookmarkStart w:id="954" w:name="Tc_F8zINJKNpECvRT9BA17rTA_17_0"/>
      <w:bookmarkStart w:id="955" w:name="Tc_CBux8PyDd0Ss4SkwlmGYpg_16_0"/>
      <w:bookmarkStart w:id="956" w:name="Tc_cRQlS9xctUKYKK1JaL-ZdA_15_0"/>
      <w:bookmarkStart w:id="957" w:name="Tc_UrQu79F6DkOPb4cugEUduQ_14_0"/>
      <w:bookmarkStart w:id="958" w:name="Tc_JUikv0U17Uuw8qQrz7Fm9A_13_0"/>
      <w:bookmarkStart w:id="959" w:name="Tc_nLYSIDS87Eiu6R8trPvThw_12_0"/>
      <w:bookmarkStart w:id="960" w:name="Tc_GPWGSg9CE0qu2iym5fgqUg_11_0"/>
      <w:bookmarkStart w:id="961" w:name="Tc_lWcLfTAqUkC6ZbCEttzh-w_10_0"/>
      <w:bookmarkStart w:id="962" w:name="Tc_PjFJbzlrA0yupzlwP8NkfQ_9_0"/>
      <w:bookmarkStart w:id="963" w:name="Tc_Sf-4jE6MY0mhvWzoGjmCtw_8_0"/>
      <w:bookmarkStart w:id="964" w:name="Tc_OHKMx1h9P0iwlNHLp7B1WA_7_6"/>
      <w:bookmarkStart w:id="965" w:name="Tc_Yh6Hq0w4N0exFtyCf6LBUg_7_0"/>
      <w:bookmarkStart w:id="966" w:name="Tc_ONoNCD_wcEmh2lLQOYuJqA_6_0"/>
      <w:bookmarkStart w:id="967" w:name="Tc_3Fvzz8RMHEOOb6P9Vja6RQ_5_0"/>
      <w:bookmarkStart w:id="968" w:name="Tc_R7hn03c10UOy6ki2sWa8iA_4_5"/>
      <w:bookmarkStart w:id="969" w:name="Tc_3zPkyUKVbEufFAgdq8y8tQ_4_2"/>
      <w:bookmarkStart w:id="970" w:name="Tc_Tc_gPIXqpECXvA85UlR2Ww_4_0"/>
      <w:bookmarkStart w:id="971" w:name="Tc_gl8XevctaUS_UbLPNmUd3w_3_0"/>
      <w:bookmarkStart w:id="972" w:name="Tc_3ULgMcQB7Eq5P-iEz5azbg_2_5"/>
      <w:bookmarkStart w:id="973" w:name="Tc_pEQhcHCRhk-tCJi6fBlxeA_2_2"/>
      <w:bookmarkStart w:id="974" w:name="Tc_WGGvhJR2RE-VwL6jyAMzeQ_2_0"/>
      <w:bookmarkStart w:id="975" w:name="Tc_LsU9rOoAj0qpZ7rLDm_JbQ_1_2"/>
      <w:bookmarkStart w:id="976" w:name="_cc0ddde7_3ec3_4d30_ad3b_180631efdede"/>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p>
    <w:tbl>
      <w:tblPr>
        <w:tblW w:w="7812" w:type="dxa"/>
        <w:jc w:val="left"/>
        <w:tblInd w:w="0" w:type="dxa"/>
        <w:tblLayout w:type="fixed"/>
        <w:tblCellMar>
          <w:top w:w="0" w:type="dxa"/>
          <w:left w:w="0" w:type="dxa"/>
          <w:bottom w:w="0" w:type="dxa"/>
          <w:right w:w="0" w:type="dxa"/>
        </w:tblCellMar>
      </w:tblPr>
      <w:tblGrid>
        <w:gridCol w:w="5446"/>
        <w:gridCol w:w="326"/>
        <w:gridCol w:w="181"/>
        <w:gridCol w:w="691"/>
        <w:gridCol w:w="326"/>
        <w:gridCol w:w="181"/>
        <w:gridCol w:w="66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458210" cy="175260"/>
                      <wp:effectExtent l="0" t="0" r="0" b="0"/>
                      <wp:wrapNone/>
                      <wp:docPr id="80" name="Frame79"/>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14935" cy="175260"/>
                      <wp:effectExtent l="0" t="0" r="0" b="0"/>
                      <wp:wrapNone/>
                      <wp:docPr id="82" name="Frame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38785" cy="175260"/>
                      <wp:effectExtent l="0" t="0" r="0" b="0"/>
                      <wp:wrapNone/>
                      <wp:docPr id="83" name="Frame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14935" cy="175260"/>
                      <wp:effectExtent l="0" t="0" r="0" b="0"/>
                      <wp:wrapNone/>
                      <wp:docPr id="85" name="Frame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19735" cy="175260"/>
                      <wp:effectExtent l="0" t="0" r="0" b="0"/>
                      <wp:wrapNone/>
                      <wp:docPr id="86" name="Frame8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(41,432)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(31,137)</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 xml:space="preserve">Adjustments to reconcile net loss to net cash provided by (used in) operating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15,516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12,055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5,481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3,857</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Provision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653</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deferred financing fees included in interest expense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988</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896</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Mark-to-market adjustments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(3,162)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(2,205)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(1,653)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6,272</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currency transactions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907</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1,881</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992</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Change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(3,954)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649</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(12,912)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(6,874)</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Derivative assets and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4,709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693</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(8,529)</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(20,211)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(24,080)</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34,936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7,314</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(15,691)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(35,668)</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Additions to property, plant and equipment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(105,105)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(55,745)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Additions to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Acquisition of business, net of cash acquired</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(2,392)</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(104,760)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(58,175)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debt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(134,634)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(79,795)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debt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184,124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156,118</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on supply chain financing program</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(49,612)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supply chain financing program</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47,872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29,026</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convertible notes payable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convertible notes payable -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debt issuance costs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(2,965)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(2,582)</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convertible notes payable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proceeds from (repayments of) repurchase agreements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(7,343)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(5,236)</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exercise of Public Warrants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2,632</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equity issuance costs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for purchase of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(2,000)</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for taxes for net share settlement of equity awards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(1,841)</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108,409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96,385</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Effect of exchange rate changes on cash</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(decrease) increase in cash and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(11,813)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2,377</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37,840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26,405</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and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26,027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28,782</w: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Supplemental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Property, plant and equipment acquired but not yet paid</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16,191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61" w:type="dxa"/>
            <w:tcBorders/>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17,958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15"/>
        </w:rPr>
      </w:pPr>
      <w:r>
        <w:rPr>
          <w:rFonts w:ascii="Times New Roman;Times;serif" w:hAnsi="Times New Roman;Times;serif"/>
          <w:sz w:val="15"/>
        </w:rPr>
        <w:t>The total cash and cash equivalents and restricted cash at June 30, 2024 and 2023 is as follows:</w:t>
      </w:r>
    </w:p>
    <w:p>
      <w:pPr>
        <w:pStyle w:val="Normal"/>
        <w:bidi w:val="0"/>
        <w:spacing w:before="0" w:after="0"/>
        <w:jc w:val="left"/>
        <w:rPr>
          <w:sz w:val="4"/>
          <w:szCs w:val="4"/>
        </w:rPr>
      </w:pPr>
      <w:r>
        <w:rPr>
          <w:sz w:val="4"/>
          <w:szCs w:val="4"/>
        </w:rPr>
      </w:r>
      <w:bookmarkStart w:id="977" w:name="Tc_foRXVT6KdkuRCoksUE1aCg_4_5"/>
      <w:bookmarkStart w:id="978" w:name="Tc_jeFPkT02IESGofwGV1J4Cg_4_2"/>
      <w:bookmarkStart w:id="979" w:name="Tc_7fslp08UZE6o_Dpme60WhA_4_0"/>
      <w:bookmarkStart w:id="980" w:name="Tc_T1kB8SilTEevMVSUXubPNA_3_0"/>
      <w:bookmarkStart w:id="981" w:name="Tc_Be6R3vY-B06i2ts2IC8AdQ_2_5"/>
      <w:bookmarkStart w:id="982" w:name="Tc__YJekjAUY0C502vErKf8lA_2_2"/>
      <w:bookmarkStart w:id="983" w:name="Tc_XNgMLIS8IE2sE76EQUgEvg_2_0"/>
      <w:bookmarkStart w:id="984" w:name="Tc_mhUX2BOO-ky9TYCeeU8Upg_1_5"/>
      <w:bookmarkStart w:id="985" w:name="Tc_A5pL4lOr9EqYxuZrjvLClA_1_2"/>
      <w:bookmarkStart w:id="986" w:name="Tc_2NrYi2VLBEeNghrq8zkZCg_1_0"/>
      <w:bookmarkStart w:id="987" w:name="_3b84fd19_da09_4e3a_b8bd_3c997b1c0dd1"/>
      <w:bookmarkStart w:id="988" w:name="Tc_foRXVT6KdkuRCoksUE1aCg_4_5"/>
      <w:bookmarkStart w:id="989" w:name="Tc_jeFPkT02IESGofwGV1J4Cg_4_2"/>
      <w:bookmarkStart w:id="990" w:name="Tc_7fslp08UZE6o_Dpme60WhA_4_0"/>
      <w:bookmarkStart w:id="991" w:name="Tc_T1kB8SilTEevMVSUXubPNA_3_0"/>
      <w:bookmarkStart w:id="992" w:name="Tc_Be6R3vY-B06i2ts2IC8AdQ_2_5"/>
      <w:bookmarkStart w:id="993" w:name="Tc__YJekjAUY0C502vErKf8lA_2_2"/>
      <w:bookmarkStart w:id="994" w:name="Tc_XNgMLIS8IE2sE76EQUgEvg_2_0"/>
      <w:bookmarkStart w:id="995" w:name="Tc_mhUX2BOO-ky9TYCeeU8Upg_1_5"/>
      <w:bookmarkStart w:id="996" w:name="Tc_A5pL4lOr9EqYxuZrjvLClA_1_2"/>
      <w:bookmarkStart w:id="997" w:name="Tc_2NrYi2VLBEeNghrq8zkZCg_1_0"/>
      <w:bookmarkStart w:id="998" w:name="_3b84fd19_da09_4e3a_b8bd_3c997b1c0dd1"/>
      <w:bookmarkEnd w:id="988"/>
      <w:bookmarkEnd w:id="989"/>
      <w:bookmarkEnd w:id="990"/>
      <w:bookmarkEnd w:id="991"/>
      <w:bookmarkEnd w:id="992"/>
      <w:bookmarkEnd w:id="993"/>
      <w:bookmarkEnd w:id="994"/>
      <w:bookmarkEnd w:id="995"/>
      <w:bookmarkEnd w:id="996"/>
      <w:bookmarkEnd w:id="997"/>
      <w:bookmarkEnd w:id="998"/>
    </w:p>
    <w:tbl>
      <w:tblPr>
        <w:tblW w:w="4450" w:type="dxa"/>
        <w:jc w:val="left"/>
        <w:tblInd w:w="0" w:type="dxa"/>
        <w:tblLayout w:type="fixed"/>
        <w:tblCellMar>
          <w:top w:w="0" w:type="dxa"/>
          <w:left w:w="0" w:type="dxa"/>
          <w:bottom w:w="0" w:type="dxa"/>
          <w:right w:w="0" w:type="dxa"/>
        </w:tblCellMar>
      </w:tblPr>
      <w:tblGrid>
        <w:gridCol w:w="1741"/>
        <w:gridCol w:w="326"/>
        <w:gridCol w:w="257"/>
        <w:gridCol w:w="749"/>
        <w:gridCol w:w="326"/>
        <w:gridCol w:w="238"/>
        <w:gridCol w:w="813"/>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105535" cy="175260"/>
                      <wp:effectExtent l="0" t="0" r="0" b="0"/>
                      <wp:wrapNone/>
                      <wp:docPr id="87" name="Frame8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3195" cy="175260"/>
                      <wp:effectExtent l="0" t="0" r="0" b="0"/>
                      <wp:wrapNone/>
                      <wp:docPr id="89" name="Frame8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75615" cy="175260"/>
                      <wp:effectExtent l="0" t="0" r="0" b="0"/>
                      <wp:wrapNone/>
                      <wp:docPr id="90" name="Frame89"/>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1130" cy="175260"/>
                      <wp:effectExtent l="0" t="0" r="0" b="0"/>
                      <wp:wrapNone/>
                      <wp:docPr id="92" name="Frame9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16255" cy="175260"/>
                      <wp:effectExtent l="0" t="0" r="0" b="0"/>
                      <wp:wrapNone/>
                      <wp:docPr id="93" name="Frame92"/>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2024</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2023</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24,316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25,245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1,711</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3,537</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26,027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28,782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99" w:name="_7494fec9_27cc_4b6c_ad36_509d3aae48f8"/>
      <w:bookmarkEnd w:id="999"/>
      <w:r>
        <w:rPr>
          <w:rFonts w:ascii="Times New Roman;Times;serif" w:hAnsi="Times New Roman;Times;serif"/>
          <w:b/>
          <w:sz w:val="20"/>
        </w:rPr>
        <w:t>WESTROCK COFFEE COMPANY</w:t>
      </w:r>
    </w:p>
    <w:p>
      <w:pPr>
        <w:pStyle w:val="TextBody"/>
        <w:bidi w:val="0"/>
        <w:spacing w:before="0" w:after="0"/>
        <w:ind w:left="0" w:right="0" w:firstLine="720"/>
        <w:jc w:val="center"/>
        <w:rPr>
          <w:rFonts w:ascii="Times New Roman;Times;serif" w:hAnsi="Times New Roman;Times;serif"/>
          <w:b/>
          <w:sz w:val="20"/>
        </w:rPr>
      </w:pPr>
      <w:bookmarkStart w:id="1000" w:name="NOTESTOCONDENSEDCONSOLIDATEDFINANCIALSTA"/>
      <w:bookmarkEnd w:id="1000"/>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01" w:name="Notes"/>
      <w:bookmarkEnd w:id="1001"/>
      <w:r>
        <w:rPr>
          <w:rFonts w:ascii="Times New Roman;Times;serif" w:hAnsi="Times New Roman;Times;serif"/>
          <w:b/>
          <w:sz w:val="20"/>
        </w:rPr>
        <w:t>Note 1. Organization and 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Beverage Solutions: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Sustainable Sourcing &amp; Traceability: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pStyle w:val="TextBody"/>
        <w:bidi w:val="0"/>
        <w:spacing w:before="0" w:after="240"/>
        <w:ind w:left="0" w:right="0" w:hanging="0"/>
        <w:jc w:val="left"/>
        <w:rPr>
          <w:rFonts w:ascii="Times New Roman;Times;serif" w:hAnsi="Times New Roman;Times;serif"/>
          <w:b/>
          <w:sz w:val="20"/>
        </w:rPr>
      </w:pPr>
      <w:bookmarkStart w:id="1002" w:name="Note2BasisofPresentationandConsolidation"/>
      <w:bookmarkEnd w:id="1002"/>
      <w:r>
        <w:rPr>
          <w:rFonts w:ascii="Times New Roman;Times;serif" w:hAnsi="Times New Roman;Times;serif"/>
          <w:b/>
          <w:sz w:val="20"/>
        </w:rPr>
        <w:t>Note 2. Basis of Presentation and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2023 was derived from the audited financial statements, but does not include all disclosures required by GAAP.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3, 2023, the Company purchased the remaining 15% of the equity interests of Falcon Coffees Limited (“Falcon”) that it did not previously own, resulting in Falcon becoming a wholly owned subsidiary of the Company. Aggregate consideration paid for the interest totaled $3.2 million and included $2.0 million in cash and 100,000 shares of common stock, par value $0.01 per share, of the Company (“Common Shares”). Due to the Company’s controlling financial interest in Falcon prior to the purchase, the transaction was accounted for as an equity transaction. For periods prior to April 3, 2023, equity interests not owned by us are reflected as non-controlling interests. In the Condensed Consolidated Statements of Operations, we allocate net income (loss) attributable to non-controlling interest to arrive at net income (loss) attributable to common shareholders based on their proportionate share. Falcon operates our trading business and is reported within our Sustainable Sourcing &amp; Traceability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2023 consolidated financial statements and notes thereto included in our Annual Report on Form 10-K filed with the U.S. Securities and Exchange Commission (“SEC”) on March 15, 2024. Accordingly, certain significant accounting policies and other disclosures normally provided have been omitted from the accompanying Condensed Consolidated Financial Statements and related notes since such items are disclosed in our audited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03" w:name="Note3SummaryofSignificantAccountingPolic"/>
      <w:bookmarkEnd w:id="1003"/>
      <w:r>
        <w:rPr>
          <w:rFonts w:ascii="Times New Roman;Times;serif" w:hAnsi="Times New Roman;Times;serif"/>
          <w:b/>
          <w:sz w:val="20"/>
        </w:rPr>
        <w:t>Note 3. Summary of Significant Accounting Policies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Use of Estimates </w:t>
      </w:r>
    </w:p>
    <w:p>
      <w:pPr>
        <w:pStyle w:val="TextBody"/>
        <w:bidi w:val="0"/>
        <w:spacing w:before="24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preparation of consolidated financial statements in conformity with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warrant liabilities,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Going Concern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accordance with Accounting Standards Update (“ASU”) 2014-15, </w:t>
      </w:r>
      <w:r>
        <w:rPr>
          <w:rFonts w:ascii="Times New Roman;Times;serif" w:hAnsi="Times New Roman;Times;serif"/>
          <w:i/>
          <w:sz w:val="20"/>
        </w:rPr>
        <w:t>Disclosure of Uncertainties about an Entity’s Ability to Continue as a Going Concern (Subtopic 205-40)</w:t>
      </w:r>
      <w:r>
        <w:rPr>
          <w:rFonts w:ascii="Times New Roman;Times;serif" w:hAnsi="Times New Roman;Times;serif"/>
          <w:sz w:val="20"/>
        </w:rPr>
        <w:t xml:space="preserve">, the Company has the responsibility to evaluate whether conditions and/or events raise substantial doubt about its ability to meet its obligations as they become due within one year after the date that the financial statements are available to be issued. The Company is dependent on borrowings under its Credit Agreement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will be sufficient to fund operations for at least the next twelve months. However, during the six months ended June 30, 2024, the Company incurred net losses of $41.4 million and net cash outflows from operating activities of $15.7 million. If we are unable to achieve our profitability growth projections and maintain our minimum liquidity requirements, as a result of, for example, experiencing any adverse impact of changes or delays in the estimated timing and volume of products to be commercialized in our Conway Facility over the next twelve months, and generate sufficient cash flows from operations, it may restrict our liquidity and capital resources and our ability to maintain compliance with our financial covenants.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management’s ability to amend its financial covenants cannot be assured, if necessary, management has committed to delay growth capital expenditures and/or reduce operating expenses, including headcount, salary and/or bonus reductions, all of which are in the Company’s control, as necessary, in order to have adequate liquidity and to remain in compliance with its debt covenants. As further discussed in </w:t>
      </w:r>
      <w:r>
        <w:rPr>
          <w:rFonts w:ascii="Times New Roman;Times;serif" w:hAnsi="Times New Roman;Times;serif"/>
          <w:i/>
          <w:sz w:val="20"/>
        </w:rPr>
        <w:t>Restructuring Activities</w:t>
      </w:r>
      <w:r>
        <w:rPr>
          <w:rFonts w:ascii="Times New Roman;Times;serif" w:hAnsi="Times New Roman;Times;serif"/>
          <w:sz w:val="20"/>
        </w:rPr>
        <w:t xml:space="preserve"> below, the Company has recently committed to a plan to consolidate its manufacturing operations and a targeted reduction in excess workforce capacity, which are designed to improve operational efficiency. If required, the Company will further reduce operating costs to ensure compliance with its financial covenants. The accompanying Condensed Consolidated Financial Statements have been prepared assuming that the Company will continue as a going concern, which contemplates the realization of assets and satisfaction of liabilities in the ordinary course of business.</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Accounts Receivable and Allowance for Credit Losses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Accounts receivable consist principally of amounts billed and currently due from customers and are generally unsecured and due within 30 to </w:t>
      </w:r>
      <w:r>
        <w:rPr>
          <w:rFonts w:ascii="Times New Roman;Times;serif" w:hAnsi="Times New Roman;Times;serif"/>
          <w:b w:val="false"/>
          <w:i w:val="false"/>
          <w:caps w:val="false"/>
          <w:smallCaps w:val="false"/>
          <w:sz w:val="20"/>
        </w:rPr>
        <w:t>60 days</w:t>
      </w:r>
      <w:r>
        <w:rPr>
          <w:rFonts w:ascii="Times New Roman;Times;serif" w:hAnsi="Times New Roman;Times;serif"/>
          <w:sz w:val="20"/>
        </w:rPr>
        <w:t>.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04" w:name="Tc_TcoXyfNIBUCk3SviMRkKLQ_6_11"/>
      <w:bookmarkStart w:id="1005" w:name="Tc__lWFzKN9sUuznk5fnNloUw_6_8"/>
      <w:bookmarkStart w:id="1006" w:name="Tc_Wza96hKhZEmYvXbePHokyg_6_5"/>
      <w:bookmarkStart w:id="1007" w:name="Tc_86eK2_Dg2UyE6ZLwEcOLgQ_6_2"/>
      <w:bookmarkStart w:id="1008" w:name="Tc_3P9qSYnD5EakzH-ZfEAZVg_6_0"/>
      <w:bookmarkStart w:id="1009" w:name="Tc_vYIqlcZcTUih618kTPhRfA_5_9"/>
      <w:bookmarkStart w:id="1010" w:name="Tc_ON_QpjKc3ky5zB20985AIA_5_6"/>
      <w:bookmarkStart w:id="1011" w:name="Tc_znyh5Y5gF0GL7fexbLm1CA_5_3"/>
      <w:bookmarkStart w:id="1012" w:name="Tc_QCdMHP4EjUeGKh47S56dxg_5_0"/>
      <w:bookmarkStart w:id="1013" w:name="Tc_XsGMJRPWw0m65ePCcmFmxg_4_0"/>
      <w:bookmarkStart w:id="1014" w:name="Tc_QU8bkELrdESEZMk5c43bCA_3_11"/>
      <w:bookmarkStart w:id="1015" w:name="Tc_qYBAK3QSe0WLyYpZmw1fAw_3_8"/>
      <w:bookmarkStart w:id="1016" w:name="Tc_lvRl324FNUK7am1aV7qVcA_3_5"/>
      <w:bookmarkStart w:id="1017" w:name="Tc_k6k9Nz9nMkyUl6HrasJwKg_3_2"/>
      <w:bookmarkStart w:id="1018" w:name="Tc_82BzdT_m-U-Ul7Y3I_saJw_3_0"/>
      <w:bookmarkStart w:id="1019" w:name="Tc_6PKCr1NthEyHaxD8V-9NDQ_2_11"/>
      <w:bookmarkStart w:id="1020" w:name="Tc_Iq5vFLwAs02AdOgHzbVfRA_2_8"/>
      <w:bookmarkStart w:id="1021" w:name="Tc_IMeuhqvT4ECXv1fWoAO_SA_2_5"/>
      <w:bookmarkStart w:id="1022" w:name="Tc_SO-LTYS2DkSj1WGzMoFDBg_2_2"/>
      <w:bookmarkStart w:id="1023" w:name="Tc_KPUvG92L0E-4akm1dipMsQ_2_0"/>
      <w:bookmarkStart w:id="1024" w:name="Tc_28ff0S4j7kakO1HcyRQfzQ_1_8"/>
      <w:bookmarkStart w:id="1025" w:name="Tc_bdfTgG7TvU2tf60CrE0nLA_1_2"/>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Times New Roman;Times;serif" w:hAnsi="Times New Roman;Times;serif"/>
          <w:sz w:val="20"/>
        </w:rPr>
        <w:t>Activity in the allowance for credit losses for the periods indicated was as follows:</w:t>
      </w:r>
    </w:p>
    <w:p>
      <w:pPr>
        <w:pStyle w:val="TextBody"/>
        <w:bidi w:val="0"/>
        <w:spacing w:before="0" w:after="0"/>
        <w:ind w:left="0" w:right="0" w:hanging="0"/>
        <w:jc w:val="left"/>
        <w:rPr/>
      </w:pPr>
      <w:r>
        <w:rPr/>
        <w:t>​</w:t>
      </w:r>
    </w:p>
    <w:tbl>
      <w:tblPr>
        <w:tblW w:w="9695" w:type="dxa"/>
        <w:jc w:val="left"/>
        <w:tblInd w:w="0" w:type="dxa"/>
        <w:tblLayout w:type="fixed"/>
        <w:tblCellMar>
          <w:top w:w="0" w:type="dxa"/>
          <w:left w:w="0" w:type="dxa"/>
          <w:bottom w:w="0" w:type="dxa"/>
          <w:right w:w="0" w:type="dxa"/>
        </w:tblCellMar>
      </w:tblPr>
      <w:tblGrid>
        <w:gridCol w:w="4576"/>
        <w:gridCol w:w="326"/>
        <w:gridCol w:w="258"/>
        <w:gridCol w:w="698"/>
        <w:gridCol w:w="398"/>
        <w:gridCol w:w="258"/>
        <w:gridCol w:w="698"/>
        <w:gridCol w:w="326"/>
        <w:gridCol w:w="221"/>
        <w:gridCol w:w="600"/>
        <w:gridCol w:w="342"/>
        <w:gridCol w:w="221"/>
        <w:gridCol w:w="773"/>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905760" cy="175260"/>
                      <wp:effectExtent l="0" t="0" r="0" b="0"/>
                      <wp:wrapNone/>
                      <wp:docPr id="94" name="Frame93"/>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3830" cy="175260"/>
                      <wp:effectExtent l="0" t="0" r="0" b="0"/>
                      <wp:wrapNone/>
                      <wp:docPr id="96" name="Frame9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43230" cy="175260"/>
                      <wp:effectExtent l="0" t="0" r="0" b="0"/>
                      <wp:wrapNone/>
                      <wp:docPr id="97" name="Frame96"/>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52730" cy="175260"/>
                      <wp:effectExtent l="0" t="0" r="0" b="0"/>
                      <wp:wrapNone/>
                      <wp:docPr id="98" name="Frame97"/>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3830" cy="175260"/>
                      <wp:effectExtent l="0" t="0" r="0" b="0"/>
                      <wp:wrapNone/>
                      <wp:docPr id="99" name="Frame9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43230" cy="175260"/>
                      <wp:effectExtent l="0" t="0" r="0" b="0"/>
                      <wp:wrapNone/>
                      <wp:docPr id="100" name="Frame99"/>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0335" cy="175260"/>
                      <wp:effectExtent l="0" t="0" r="0" b="0"/>
                      <wp:wrapNone/>
                      <wp:docPr id="102" name="Frame10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81000" cy="175260"/>
                      <wp:effectExtent l="0" t="0" r="0" b="0"/>
                      <wp:wrapNone/>
                      <wp:docPr id="103" name="Frame102"/>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7170" cy="175260"/>
                      <wp:effectExtent l="0" t="0" r="0" b="0"/>
                      <wp:wrapNone/>
                      <wp:docPr id="104" name="Frame10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0335" cy="175260"/>
                      <wp:effectExtent l="0" t="0" r="0" b="0"/>
                      <wp:wrapNone/>
                      <wp:docPr id="105" name="Frame10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0855" cy="175260"/>
                      <wp:effectExtent l="0" t="0" r="0" b="0"/>
                      <wp:wrapNone/>
                      <wp:docPr id="106" name="Frame105"/>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1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5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1"/>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8" w:type="dxa"/>
            <w:tcBorders/>
            <w:vAlign w:val="center"/>
          </w:tcPr>
          <w:p>
            <w:pPr>
              <w:pStyle w:val="TableContents"/>
              <w:bidi w:val="0"/>
              <w:spacing w:before="0" w:after="1"/>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2" w:type="dxa"/>
            <w:tcBorders/>
            <w:vAlign w:val="center"/>
          </w:tcPr>
          <w:p>
            <w:pPr>
              <w:pStyle w:val="TableContents"/>
              <w:bidi w:val="0"/>
              <w:spacing w:before="0" w:after="1"/>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3,356</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2,915</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Charged to 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98"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w:t>
            </w:r>
          </w:p>
        </w:tc>
        <w:tc>
          <w:tcPr>
            <w:tcW w:w="398"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w:t>
            </w:r>
          </w:p>
        </w:tc>
        <w:tc>
          <w:tcPr>
            <w:tcW w:w="342"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2,672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Inventories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Accounting Standards Codification (“ASC”) 815, </w:t>
      </w:r>
      <w:r>
        <w:rPr>
          <w:rFonts w:ascii="Times New Roman;Times;serif" w:hAnsi="Times New Roman;Times;serif"/>
          <w:i/>
          <w:sz w:val="20"/>
        </w:rPr>
        <w:t>Derivatives and Hedging</w:t>
      </w:r>
      <w:r>
        <w:rPr>
          <w:rFonts w:ascii="Times New Roman;Times;serif" w:hAnsi="Times New Roman;Times;serif"/>
          <w:sz w:val="20"/>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and six months ended June 30, 2024, we recognized $1.7 million and $1.0 million of net unrealized gains, respectively, on green coffee inventory associated with our forward sales and purchase contracts. For the three and six months ended June 30, 2023, we recognized $1.1 million of net unrealized losses and $1.1 million of net unrealized gains, respectively, on green coffee inventory associated with our forward sales and purchase contracts.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Capitalized Interest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three and six months ended June 30, 2024, we capitalized $4.3 million and $7.2 million of interest costs, respectively. No such interest was capitalized during the three or six months ended June 30, 2023.</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Supply Chain Finance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w:t>
      </w:r>
      <w:r>
        <w:rPr>
          <w:rFonts w:ascii="Times New Roman;Times;serif" w:hAnsi="Times New Roman;Times;serif"/>
          <w:b w:val="false"/>
          <w:i w:val="false"/>
          <w:caps w:val="false"/>
          <w:smallCaps w:val="false"/>
          <w:sz w:val="20"/>
        </w:rPr>
        <w:t>180</w:t>
      </w:r>
      <w:r>
        <w:rPr>
          <w:rFonts w:ascii="Times New Roman;Times;serif" w:hAnsi="Times New Roman;Times;serif"/>
          <w:sz w:val="20"/>
        </w:rPr>
        <w:t xml:space="preserve">-day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At June 30, 2024 and December 31, 2023, there were $76.3 million and $78.1 million of obligations outstanding under the Program,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Accrued Expenses and Other Current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2024 and December 31, 2023, there was $25.0 million and $2.1 million, respectively, of received not billed liabilities within accrued expenses and other current liabilities in the Condensed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Restructuring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accounts for exit or disposal activities in accordance with ASC 420, Exit or Disposal Cost Obligations (“ASC 420”). Restructuring charges may include one-time termination benefits related to employee separations, contract termination costs, long-lived asset impairments, and other related costs with exit or disposal activities.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recognition of restructuring charges requires the Company to make certain judgements and estimates regarding the nature, timing and amount of costs associated with the planned exit activity. To the extent the Company’s actual results differ from its estimates and assumptions, the Company may be required to revise the estimates of future liabilities, require the recognition of additional restructuring charges or the reduction of liabilities already recognized. Such changes to previously estimated amounts may be material to the Condensed Consolidated Financial Statements. Restructuring charges are not included in the Company’s measurement of segment profitability as discussed in Note 19.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second quarter of 2024, the Company committed to a plan to consolidate its manufacturing operations in its Beverage Solutions segment, which will result in the closure and sale of its West Winds manufacturing facility in Concord, NC, and the closure of its manufacturing facility in Richmond, CA. All production from the impacted facilities will be consolidated into other facilities operated by the Company in Concord, NC and Conway, AR. The closure of the West Winds facility was completed as of June 30, 2024, and the sale of the land and buildings is expected to be completed within the next 12 months. Production in our Richmond, CA facility is expected to cease during the third quarter of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currently estimates total charges related to the plant consolidations to be in the range of $5.0 million to $10.0 million, of which no </w:t>
      </w:r>
      <w:r>
        <w:rPr>
          <w:rFonts w:ascii="Times New Roman;Times;serif" w:hAnsi="Times New Roman;Times;serif"/>
          <w:b w:val="false"/>
          <w:i w:val="false"/>
          <w:caps w:val="false"/>
          <w:smallCaps w:val="false"/>
          <w:sz w:val="20"/>
        </w:rPr>
        <w:t>amounts</w:t>
      </w:r>
      <w:r>
        <w:rPr>
          <w:rFonts w:ascii="Times New Roman;Times;serif" w:hAnsi="Times New Roman;Times;serif"/>
          <w:sz w:val="20"/>
        </w:rPr>
        <w:t xml:space="preserve"> have been incurred during the three months ended June 30, 2024. These charges primarily relate to costs to remove and re-install production equipment into other manufacturing facilities. At June 30, 2024, the Company classified approximately $9.1 million of land and buildings as held-for-sale, which are reported within prepaid expenses and other current assets on the Condensed Consolidated Balance Sheets. During the three and six months ended June 30, 2024, the Company incurred impairment charges of approximately $0.8 million on equipment associated with the plant consolidations, which is reported within impairment charges on the Condensed Consolidated Statements of Operations. The Company is continuing to evaluate which plant assets will be moved to other manufacturing facilities and which plant assets will be disposed of; therefore, there may be additional impairment charges in the future related to the consolidation of our manufacturing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during the second quarter of 2024, the Company committed to targeted restructuring activities to improve operational efficiency by reducing excess workforce capacity. As a result of this reduction, and the impacts of the consolidation of manufacturing facilities noted above, the Company recognized approximately $4.1 million of one-time employee severance costs during the three months ended June 30, 2024, which are recorded in transaction, restructuring and integration expense in the Condensed Consolidated Statements of Operations, of which $0.5 million was paid during the three months ended June 30, 2024. At June 30, 2024, approximately $3.6 million of such termination benefits were accrued for within accrued expenses and other current liabilities in the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12, 2024, following the completion of its 530,000 square foot distribution center in Conway, AR, the Company entered into a lease termination agreement for its distribution center located in North Little Rock, AR (the “Gregory Distribution Center”). The Gregory Distribution Center lease terminated, by mutual agreement, on June 30, 2024. No costs were incurred as a result of the lease termination. During the first quarter of 2024, the Company remeasured the Gregory Distribution Center lease liability, and related right-of-use asset, in accordance with ASC 842, </w:t>
      </w:r>
      <w:r>
        <w:rPr>
          <w:rFonts w:ascii="Times New Roman;Times;serif" w:hAnsi="Times New Roman;Times;serif"/>
          <w:i/>
          <w:sz w:val="20"/>
        </w:rPr>
        <w:t>Leases</w:t>
      </w:r>
      <w:r>
        <w:rPr>
          <w:rFonts w:ascii="Times New Roman;Times;serif" w:hAnsi="Times New Roman;Times;serif"/>
          <w:sz w:val="20"/>
        </w:rPr>
        <w:t>, resulting in a reduction of the lease liability and right-of-use asset of approximately $3.0 million. At June 30, 2024, there was no remaining lease liability or right-of-use assets related to the Gregory Distribution Center recorded in the Condensed Consolidated Balance Sheets.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settled. The Company’s foreign subsidiaries file income tax returns and are subject to tax provisions in their respective foreign tax jurisdictions.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 income tax rates for the six months ended June 30, 2024 and 2023 were (2.9%) and (6.4%), respectively.  The Company’s effective tax rate for the current period differs from the federal statutory rate primarily due to an increase in the valuation allowance against domestic deferred tax assets and certain permanent differences, including nondeductible expenses related to executive compensation. The effective tax rate for the six months ended June 30, 2024 differs from the effective tax rate for the same period in 2023 primarily due to the Company’s full year forecasted ordinary income (loss) in the periods and the permanent difference for changes in the fair value of warrants.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20, 2021, the Organization for Economic Co-operation and Development ("OECD") released Pillar Two Model Rules, which provide for a global minimum tax of 15% on multinational entities. Although the United States has not yet adopted the Pillar Two Model Rules, several foreign countries enacted Pillar Two legislation in 2023 with an initial effective date of January 1, 2024. The impact of Pillar Two legislation on the Company's 2024 effective tax rate is expected to be minimal. Management will continue to monitor future Pillar Two legislation in relevant jurisdictions for any impacts to the Company's effective tax rate.</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2022-04 - Liabilities—Supplier Finance Programs (Subtopic 405-50): Disclosure of Supplier Finance Program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 forward information, which is effective for fiscal years beginning after December 15, 2023. The Company adopted the amendments within ASU 2022-04 on a retrospective basis effective January 1, 2023. The amendments to ASU 2022-04 do not affect the recognition, measurement or financial statement presentation of obligations covered by supplier finance programs.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2023-07 – Segment Reporting (Topic 280): Improvements to Reportable Segment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2023, the FASB issued ASU 2023-07, “Segment Reporting (Topic 280): Improvements to Reportable Segment Disclosures”. The amendments in the update are intended to improve reportable segment disclosure requirements, primarily through enhanced disclosures about significant expenses. ASU 2023-07 requires disclosure to include significant segment expenses that are regularly provided to the chief operating decision maker and a description of other segment items by reportable segment. ASU 2023-07 also requires all annual disclosures currently required by Topic 280 to be included in interim periods. The amendments in the update are effective for fiscal years beginning after December 31, 2023, and interim periods within fiscal years beginning after December 31, 2024, with early adoption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26" w:name="_Hlk173484345"/>
      <w:bookmarkEnd w:id="1026"/>
      <w:r>
        <w:rPr>
          <w:rFonts w:ascii="Times New Roman;Times;serif" w:hAnsi="Times New Roman;Times;serif"/>
          <w:sz w:val="20"/>
        </w:rPr>
        <w:t>permitted. The amendments in the update require retrospective application to all prior periods presented in the financial statements. The Company is currently evaluating the impact that ASU 2023-07 will have on our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2023-09 – Income Taxes (Topic 740): Improvements to Income Tax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The amendments in the update relate to the rate reconciliation and income taxes paid disclosure and are intended to improve transparency of income tax disclosures by requiring (1) consistent categories and greater disaggregation of information in the tax reconciliation and (2) income taxes paid disaggregated by jurisdiction. The other amendments in the update are intended to improve comparability of disclosures by (1) adding disclosures of pretax income (or loss) and income tax expense (or benefit) and (2) removing disclosures that no longer are considered cost beneficial or relevant. ASU 2023-09 is effective for annual periods beginning after December 15, 2024, with early adoption permitted for annual financial statements that have not yet been issued or made available for issuance. The amendments in the update should be applied on a prospective basis, with retrospective application permitted. The Company is currently evaluating the impact that ASU 2023-09 will have on our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2023-05 – Business Combinations – Joint Venture Formations (Subtopic 805-60): Recognition and Initial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August 2023, the FASB issued ASU 2023-05, “Business Combinations – Joint Venture Formations (Subtopic 805-60): Recognition and Initial Measurement”. The amendments in this update require that a joint venture recognize and initially measure assets contributed and liabilities assumed at fair value upon its formation in the joint venture’s separate financial statements. The amendments in this update are effective prospectively for all joint venture formations with a formation date on or after January 1, 2025, with early adoption permitted. The Company will apply the provisions of ASU 2023-05 to new joint ventures, as applicable, but does not believe the adoption of ASU 2023-05 will have a material impact on our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Enhancement and Standardization of Climate-Related Disclosure for Investors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2024, the SEC adopted final rules requiring registrants to provide certain climate-related disclosures, including Scope 1 and Scope 2 greenhouse gas emissions to the extent they are material. These rules require certain disclosures related to severe weather events and other natural conditions in the notes to audited financial statements. These disclosures are required to phase-in over multiple years beginning with fiscal 2025 for large accelerated filers and fiscal 2026 for accelerated filers. On April 4, 2024, the SEC determined to voluntarily stay the final rules pending certain legal challenges. The Company is currently evaluating the impact of the new rules.</w:t>
      </w:r>
    </w:p>
    <w:p>
      <w:pPr>
        <w:pStyle w:val="TextBody"/>
        <w:bidi w:val="0"/>
        <w:spacing w:before="0" w:after="240"/>
        <w:ind w:left="0" w:right="0" w:hanging="0"/>
        <w:jc w:val="left"/>
        <w:rPr>
          <w:rFonts w:ascii="Times New Roman;Times;serif" w:hAnsi="Times New Roman;Times;serif"/>
          <w:b/>
          <w:sz w:val="20"/>
        </w:rPr>
      </w:pPr>
      <w:bookmarkStart w:id="1027" w:name="Note5Revenue_380696"/>
      <w:bookmarkEnd w:id="1027"/>
      <w:r>
        <w:rPr>
          <w:rFonts w:ascii="Times New Roman;Times;serif" w:hAnsi="Times New Roman;Times;serif"/>
          <w:b/>
          <w:sz w:val="20"/>
        </w:rPr>
        <w:t>Note 4.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Contracts with Customers (ASC 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Substantially all our client contracts require that we be compensated for services performed to date. This is upon shipment of goods or upon delivery to the customer, depending on contractual terms. Shipping and handling costs paid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pStyle w:val="TextBody"/>
        <w:shd w:fill="FFFFFF" w:val="clear"/>
        <w:bidi w:val="0"/>
        <w:spacing w:before="0" w:after="240"/>
        <w:ind w:left="0" w:right="0" w:hanging="0"/>
        <w:jc w:val="left"/>
        <w:rPr>
          <w:rFonts w:ascii="Calibri;Helvetica;sans-serif" w:hAnsi="Calibri;Helvetica;sans-serif"/>
          <w:sz w:val="20"/>
        </w:rPr>
      </w:pPr>
      <w:r>
        <w:rPr>
          <w:rFonts w:ascii="Times New Roman;Times;serif" w:hAnsi="Times New Roman;Times;serif"/>
          <w:sz w:val="20"/>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June 30, 2024 and December 31, 2023, the Company has $1.0</w:t>
      </w:r>
      <w:r>
        <w:rPr>
          <w:rFonts w:ascii="Calibri;Helvetica;sans-serif" w:hAnsi="Calibri;Helvetica;sans-serif"/>
          <w:sz w:val="20"/>
        </w:rPr>
        <w:t xml:space="preserve"> </w:t>
      </w:r>
      <w:r>
        <w:rPr>
          <w:rFonts w:ascii="Times New Roman;Times;serif" w:hAnsi="Times New Roman;Times;serif"/>
          <w:sz w:val="20"/>
        </w:rPr>
        <w:t>million and $8.3</w:t>
      </w:r>
      <w:r>
        <w:rPr>
          <w:rFonts w:ascii="Calibri;Helvetica;sans-serif" w:hAnsi="Calibri;Helvetica;sans-serif"/>
          <w:sz w:val="20"/>
        </w:rPr>
        <w:t xml:space="preserve"> </w:t>
      </w:r>
      <w:r>
        <w:rPr>
          <w:rFonts w:ascii="Times New Roman;Times;serif" w:hAnsi="Times New Roman;Times;serif"/>
          <w:sz w:val="20"/>
        </w:rPr>
        <w:t>million, respectively, of such repurchase agreement obligations, collateralized by the corresponding 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Forward Contracts (ASC 815)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Condensed Consolidated Statements of Operations. For the three and six months ended June 30, 2024, we recorded $0.1 million of net unrealized losses and $2.2 million of net unrealized gains, respectively, within costs of sales. For the three and six months ended June 30, 2023, we recorded $2.1 million and $1.1 million of net unrealized gains, respectively, within costs of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2024, the Company recognized $44.1 million and $79.1 million in revenues under ASC 815, respectively, and for the three and six months ended June 30, 2023, the Company recognized $34.7 million and $59.1 million in revenues under ASC 815, respectively, which are reported within the Company’s Sustainable Sourcing &amp; Traceability segment.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nature of the Company’s contracts gives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$1.9 million and $1.5 million at June 30, 2024 and December 31, 2023, respectively. Other accrued deductions were $2.7 million and $2.7 million at June 30, 2024 and December 31, 2023, respectively, and are included as a reduction to accounts receivable, net in the Condensed Consolidated Balance Sheets.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 balances relate primarily to advances received from the Company’s customers before revenue is recognized. The Company does not have any material contract liabilities as of June 30, 2024 or December 31, 2023. Receivables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28" w:name="Tc_H65Dn8s-a02EFKOgvIVRmw_5_11"/>
      <w:bookmarkStart w:id="1029" w:name="Tc_jlKZ5k6FhU6yXfSyHN46qA_5_8"/>
      <w:bookmarkStart w:id="1030" w:name="Tc_W46FiZqiP0O780Uae_mcqQ_5_5"/>
      <w:bookmarkStart w:id="1031" w:name="Tc_nXkV2rYhhEGGjbI1Ouy8cw_5_2"/>
      <w:bookmarkStart w:id="1032" w:name="Tc_fq1R2SOyEkGLGf6VLWwflQ_5_0"/>
      <w:bookmarkStart w:id="1033" w:name="Tc__ITdmdENSUuPq-jWaqYCNA_4_0"/>
      <w:bookmarkStart w:id="1034" w:name="Tc_YLlVG3CqV0GsN6_xXtffOw_3_11"/>
      <w:bookmarkStart w:id="1035" w:name="Tc_0V1SB-1JE0OCjE6-2DIXvg_3_8"/>
      <w:bookmarkStart w:id="1036" w:name="Tc_fVkdt1oUcUyBtFVyxqbdXg_3_5"/>
      <w:bookmarkStart w:id="1037" w:name="Tc_raRfhmTCAUKP9KT02DS4Qw_3_2"/>
      <w:bookmarkStart w:id="1038" w:name="Tc_KcgvqWXhxEOJIn4cilElxw_3_0"/>
      <w:bookmarkStart w:id="1039" w:name="Tc_f0iLBpZhU0eLPSxtd3jcZA_2_11"/>
      <w:bookmarkStart w:id="1040" w:name="Tc_TRJxkuwHkUGIc1GDi4MMDA_2_8"/>
      <w:bookmarkStart w:id="1041" w:name="Tc_ABT3wsfKBEuCHsm327d8oA_2_5"/>
      <w:bookmarkStart w:id="1042" w:name="Tc_qksB_rojA0Osg7dLonPVlg_2_2"/>
      <w:bookmarkStart w:id="1043" w:name="Tc_1sZWq3k_jEazVTB8hMZrSA_2_0"/>
      <w:bookmarkStart w:id="1044" w:name="Tc_RRPWACeVTUOITntuiDYODw_1_8"/>
      <w:bookmarkStart w:id="1045" w:name="Tc_ILOkouTyLU2dGF0B-Nrqkg_1_2"/>
      <w:bookmarkStart w:id="1046" w:name="_fba07dad_04be_4dd3_85ba_0e942ee81250"/>
      <w:bookmarkStart w:id="1047" w:name="Tc_QAhLA7dVzEiRkzY8Rbp9fw_7_11"/>
      <w:bookmarkStart w:id="1048" w:name="Tc_zA4BF01ZeUiKBaINorZ8DQ_7_8"/>
      <w:bookmarkStart w:id="1049" w:name="Tc_TwSC9wRw80G3E_b2fVramA_7_5"/>
      <w:bookmarkStart w:id="1050" w:name="Tc_jbKhKxioVEOulsiedjRFRA_7_2"/>
      <w:bookmarkStart w:id="1051" w:name="Tc_qMEHrqLk806-mx7Igx-VYA_7_0"/>
      <w:bookmarkStart w:id="1052" w:name="Tc_pO01RA-fZ0WabKb6Vj1xzQ_6_0"/>
      <w:bookmarkStart w:id="1053" w:name="Tc_bqTnkfUmqk-R5t9QI1BdKA_5_0"/>
      <w:bookmarkStart w:id="1054" w:name="Tc_iC4DVgo2NUiCgiYDvbsLOw_4_0"/>
      <w:bookmarkStart w:id="1055" w:name="Tc_oojTEUYGl0SLkHEnsG-z8Q_3_11"/>
      <w:bookmarkStart w:id="1056" w:name="Tc_cfiUvyiurEOKpc1gIU07Ww_3_8"/>
      <w:bookmarkStart w:id="1057" w:name="Tc_Zvf9FVDQmUOEEDFDIhWZ_A_3_5"/>
      <w:bookmarkStart w:id="1058" w:name="Tc_qLJxLsBXzES-PNzDXN1B4g_3_2"/>
      <w:bookmarkStart w:id="1059" w:name="Tc_eZHWNjQOD0-46RDEVEoQtg_3_0"/>
      <w:bookmarkStart w:id="1060" w:name="Tc_XWlTfSeWvkenjm4oM1YeGQ_2_11"/>
      <w:bookmarkStart w:id="1061" w:name="Tc_U0bMPJ-GDEqVt8p-TfTAAg_2_8"/>
      <w:bookmarkStart w:id="1062" w:name="Tc_-p461YsaskShU8H_1n81og_2_5"/>
      <w:bookmarkStart w:id="1063" w:name="Tc_YCzoDZh-iUKuET7nIHARdA_2_2"/>
      <w:bookmarkStart w:id="1064" w:name="Tc_MWk81T-o-k2GL4EYbF0DUg_2_0"/>
      <w:bookmarkStart w:id="1065" w:name="Tc_MwMe7HKhxk2T4oGIfUMcRw_1_8"/>
      <w:bookmarkStart w:id="1066" w:name="Tc_PCt7tiopH0SOEYlE88SOSA_1_2"/>
      <w:bookmarkStart w:id="1067" w:name="_187e24a3_a1d8_4937_92d1_5d93d07e30c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ascii="Times New Roman;Times;serif" w:hAnsi="Times New Roman;Times;serif"/>
          <w:sz w:val="20"/>
        </w:rPr>
        <w:t>from contracts with customers are included in accounts receivable, net on the Company’s Condensed Consolidated Balance Sheets. At June 30, 2024 and December 31, 2023, accounts receivable, net included $107.4 million and $104.8 million in receivables from contracts with customers,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Contract acquisition costs for obtaining contracts that are deemed recoverable are capitalized as contract costs. Such costs result from the payment of sales incentives and are amortized over the contract life. As of June 30, 2024 and December 31, 2023, no costs were capitalized as all arrangements were less than a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Disaggregated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general, the Company’s business segmentation is aligned according to the nature and economic characteristics of its products and customer relationships and provides meaningful disaggregation of each business segment’s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disaggregation of revenues from sales to external customers by type and geographic area, based on customer location, for the periods indicated is as follows:</w:t>
      </w:r>
    </w:p>
    <w:p>
      <w:pPr>
        <w:pStyle w:val="TextBody"/>
        <w:bidi w:val="0"/>
        <w:spacing w:before="0" w:after="0"/>
        <w:ind w:left="0" w:right="0" w:hanging="0"/>
        <w:jc w:val="left"/>
        <w:rPr/>
      </w:pPr>
      <w:r>
        <w:rPr/>
        <w:t>​</w:t>
      </w:r>
    </w:p>
    <w:tbl>
      <w:tblPr>
        <w:tblW w:w="7973"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781"/>
        <w:gridCol w:w="326"/>
        <w:gridCol w:w="211"/>
        <w:gridCol w:w="88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48460" cy="175260"/>
                      <wp:effectExtent l="0" t="0" r="0" b="0"/>
                      <wp:wrapNone/>
                      <wp:docPr id="107" name="Frame10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2610" cy="175260"/>
                      <wp:effectExtent l="0" t="0" r="0" b="0"/>
                      <wp:wrapNone/>
                      <wp:docPr id="119" name="Frame11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&amp; tea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144,604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233,845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291,753</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Flavors, extracts &amp; ingredients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77,682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59,208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400,889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430,136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7013" w:type="dxa"/>
        <w:jc w:val="left"/>
        <w:tblInd w:w="0" w:type="dxa"/>
        <w:tblLayout w:type="fixed"/>
        <w:tblCellMar>
          <w:top w:w="0" w:type="dxa"/>
          <w:left w:w="0" w:type="dxa"/>
          <w:bottom w:w="0" w:type="dxa"/>
          <w:right w:w="0" w:type="dxa"/>
        </w:tblCellMar>
      </w:tblPr>
      <w:tblGrid>
        <w:gridCol w:w="1636"/>
        <w:gridCol w:w="326"/>
        <w:gridCol w:w="211"/>
        <w:gridCol w:w="781"/>
        <w:gridCol w:w="326"/>
        <w:gridCol w:w="211"/>
        <w:gridCol w:w="781"/>
        <w:gridCol w:w="326"/>
        <w:gridCol w:w="211"/>
        <w:gridCol w:w="781"/>
        <w:gridCol w:w="326"/>
        <w:gridCol w:w="211"/>
        <w:gridCol w:w="88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038860" cy="175260"/>
                      <wp:effectExtent l="0" t="0" r="0" b="0"/>
                      <wp:wrapNone/>
                      <wp:docPr id="120" name="Frame119"/>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23" name="Frame1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6" name="Frame1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95935" cy="175260"/>
                      <wp:effectExtent l="0" t="0" r="0" b="0"/>
                      <wp:wrapNone/>
                      <wp:docPr id="129" name="Frame1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2610" cy="175260"/>
                      <wp:effectExtent l="0" t="0" r="0" b="0"/>
                      <wp:wrapNone/>
                      <wp:docPr id="132" name="Frame1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6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166,936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327,070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378,667</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51,469</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400,889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430,136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068" w:name="Note6Acquisition"/>
      <w:bookmarkEnd w:id="1068"/>
      <w:r>
        <w:rPr>
          <w:rFonts w:ascii="Times New Roman;Times;serif" w:hAnsi="Times New Roman;Times;serif"/>
          <w:b/>
          <w:sz w:val="20"/>
        </w:rPr>
        <w:t>Note 5. Acquisitions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Bixby Roasting Co.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w:t>
      </w:r>
      <w:r>
        <w:rPr>
          <w:rFonts w:ascii="Times New Roman;Times;serif" w:hAnsi="Times New Roman;Times;serif"/>
          <w:i/>
          <w:sz w:val="20"/>
        </w:rPr>
        <w:t>Business Combinations</w:t>
      </w:r>
      <w:r>
        <w:rPr>
          <w:rFonts w:ascii="Times New Roman;Times;serif" w:hAnsi="Times New Roman;Times;serif"/>
          <w:sz w:val="20"/>
        </w:rPr>
        <w:t>.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The Company finalized its purchase price allocation during the second quarter of 2023, recognizing approximately $2.0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69" w:name="Tc_PRI9GE5_lUSQjHfPRMiOyA_5_5"/>
      <w:bookmarkStart w:id="1070" w:name="Tc_6oGn9_PGOkWpkN6KezPtRw_5_2"/>
      <w:bookmarkStart w:id="1071" w:name="Tc_OvKJImXoZEqks1lk37ecVA_5_0"/>
      <w:bookmarkStart w:id="1072" w:name="Tc_gZHawNUaVkmuSkOIjlDsIQ_4_0"/>
      <w:bookmarkStart w:id="1073" w:name="Tc_qTXuwHQRBkWfcdUP8OrMKA_3_0"/>
      <w:bookmarkStart w:id="1074" w:name="Tc_3OLLUjT0tEWqFwZJb3_efw_2_5"/>
      <w:bookmarkStart w:id="1075" w:name="Tc_h1yclnOx10q-eHquXPNWVQ_2_2"/>
      <w:bookmarkStart w:id="1076" w:name="Tc_ydqvWGI7oUGNdcp8T2uRYQ_2_0"/>
      <w:bookmarkStart w:id="1077" w:name="Tc_6_T_xAY4fkukLyMTe2jC0A_1_5"/>
      <w:bookmarkStart w:id="1078" w:name="Tc_yc6xh2VG20q5KCZnq9c0dQ_1_2"/>
      <w:bookmarkStart w:id="1079" w:name="Tc_zZ7k9YZuSUq7SzRFanh_6Q_1_0"/>
      <w:bookmarkStart w:id="1080" w:name="Note6Inventories_518642"/>
      <w:bookmarkEnd w:id="1069"/>
      <w:bookmarkEnd w:id="1070"/>
      <w:bookmarkEnd w:id="1071"/>
      <w:bookmarkEnd w:id="1072"/>
      <w:bookmarkEnd w:id="1073"/>
      <w:bookmarkEnd w:id="1074"/>
      <w:bookmarkEnd w:id="1075"/>
      <w:bookmarkEnd w:id="1076"/>
      <w:bookmarkEnd w:id="1077"/>
      <w:bookmarkEnd w:id="1078"/>
      <w:bookmarkEnd w:id="1079"/>
      <w:bookmarkEnd w:id="1080"/>
      <w:r>
        <w:rPr>
          <w:rFonts w:ascii="Times New Roman;Times;serif" w:hAnsi="Times New Roman;Times;serif"/>
          <w:b/>
          <w:sz w:val="20"/>
        </w:rPr>
        <w:t>Note 6. Inventories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inventories as of June 30, 2024 and December 31, 2023:</w:t>
      </w:r>
    </w:p>
    <w:p>
      <w:pPr>
        <w:pStyle w:val="TextBody"/>
        <w:bidi w:val="0"/>
        <w:spacing w:before="0" w:after="0"/>
        <w:ind w:left="0" w:right="0" w:hanging="0"/>
        <w:jc w:val="left"/>
        <w:rPr/>
      </w:pPr>
      <w:r>
        <w:rPr/>
        <w:t>​</w:t>
      </w:r>
    </w:p>
    <w:tbl>
      <w:tblPr>
        <w:tblW w:w="4840" w:type="dxa"/>
        <w:jc w:val="left"/>
        <w:tblInd w:w="0" w:type="dxa"/>
        <w:tblLayout w:type="fixed"/>
        <w:tblCellMar>
          <w:top w:w="0" w:type="dxa"/>
          <w:left w:w="0" w:type="dxa"/>
          <w:bottom w:w="0" w:type="dxa"/>
          <w:right w:w="0" w:type="dxa"/>
        </w:tblCellMar>
      </w:tblPr>
      <w:tblGrid>
        <w:gridCol w:w="1516"/>
        <w:gridCol w:w="326"/>
        <w:gridCol w:w="239"/>
        <w:gridCol w:w="887"/>
        <w:gridCol w:w="326"/>
        <w:gridCol w:w="297"/>
        <w:gridCol w:w="1249"/>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62660" cy="175260"/>
                      <wp:effectExtent l="0" t="0" r="0" b="0"/>
                      <wp:wrapNone/>
                      <wp:docPr id="133" name="Frame132"/>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1765" cy="175260"/>
                      <wp:effectExtent l="0" t="0" r="0" b="0"/>
                      <wp:wrapNone/>
                      <wp:docPr id="135" name="Frame13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3245" cy="175260"/>
                      <wp:effectExtent l="0" t="0" r="0" b="0"/>
                      <wp:wrapNone/>
                      <wp:docPr id="136" name="Frame13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88595" cy="175260"/>
                      <wp:effectExtent l="0" t="0" r="0" b="0"/>
                      <wp:wrapNone/>
                      <wp:docPr id="138" name="Frame13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93115" cy="175260"/>
                      <wp:effectExtent l="0" t="0" r="0" b="0"/>
                      <wp:wrapNone/>
                      <wp:docPr id="139" name="Frame138"/>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86,350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78,882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33,410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26,857</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43,943</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44,182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163,703</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149,921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Green coffee inventories represent green coffee held for resale. At June 30, 2024 and December 31, 2023, all green coffee held for resale was included within our Sustainable Sourcing &amp; Traceability segment.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1" w:name="Tc_YLy8nkrjFEeu28k6ZOZm8A_14_7"/>
      <w:bookmarkStart w:id="1082" w:name="Tc_JMcjhydgzkaMzCdcIUAo0A_14_4"/>
      <w:bookmarkStart w:id="1083" w:name="Tc_2VhoHApDKkquRvKY82CSpg_14_0"/>
      <w:bookmarkStart w:id="1084" w:name="Tc_6fNBG8-g2EG0TPM5UHHbCw_13_0"/>
      <w:bookmarkStart w:id="1085" w:name="Tc_uEAYFoOijEaHmUYBRtWRGw_11_0"/>
      <w:bookmarkStart w:id="1086" w:name="Tc_WDwpFUP7LEWMZBBdmK1A9A_10_0"/>
      <w:bookmarkStart w:id="1087" w:name="Tc_o_ZkCvXWTkyfAuL-e9YqBw_9_2"/>
      <w:bookmarkStart w:id="1088" w:name="Tc_uuRvOp_F7ECi-K2b72NCKw_9_0"/>
      <w:bookmarkStart w:id="1089" w:name="Tc_uM0iDx0nvEu496BjtxLxIg_8_2"/>
      <w:bookmarkStart w:id="1090" w:name="Tc_FOhjWFkGKkOS2VRUH2bs0A_8_0"/>
      <w:bookmarkStart w:id="1091" w:name="Tc_NM9r0psxoUiBasXiqrmUNQ_7_2"/>
      <w:bookmarkStart w:id="1092" w:name="Tc_pebmRFiy20KJtZIUffKb7w_7_0"/>
      <w:bookmarkStart w:id="1093" w:name="Tc_Vcm8N__PEUWMTJNY7ApA-w_6_2"/>
      <w:bookmarkStart w:id="1094" w:name="Tc_w7k21ktv80WCx3ghjcvDZA_6_0"/>
      <w:bookmarkStart w:id="1095" w:name="Tc_HHfNEAqQ2USTYY7IzIZW6Q_5_2"/>
      <w:bookmarkStart w:id="1096" w:name="Tc_xpK6xmYwyEmN6QcrB7n-cA_5_0"/>
      <w:bookmarkStart w:id="1097" w:name="Tc_cF1Mp0d7hEe8h_XkJhZPbQ_4_0"/>
      <w:bookmarkStart w:id="1098" w:name="Tc_u8eu_xKxAkuSJuJLbiBOrQ_3_2"/>
      <w:bookmarkStart w:id="1099" w:name="Tc_xU_el3roYUW9Ttjnyb9wzA_3_0"/>
      <w:bookmarkStart w:id="1100" w:name="Tc_CJ_OQvPcIEy-RvNpD8wXQA_2_7"/>
      <w:bookmarkStart w:id="1101" w:name="Tc_jeSzguRnH0q6w7uzBUlkZQ_2_4"/>
      <w:bookmarkStart w:id="1102" w:name="Tc_MUM_ZG_79U-NsoYF2ya_Aw_2_0"/>
      <w:bookmarkStart w:id="1103" w:name="Tc_uCJzaI4HZ0m7eDg4oQsM9w_1_7"/>
      <w:bookmarkStart w:id="1104" w:name="Tc_mV5ZHo-37kW0dTZAwBPi9A_1_4"/>
      <w:bookmarkStart w:id="1105" w:name="Tc_bntdLBpK3Ui9GgmUHJG5wg_1_2"/>
      <w:bookmarkStart w:id="1106" w:name="Tc_oMGCB9NF4EyXqWGZ5P-rJw_1_0"/>
      <w:bookmarkStart w:id="1107" w:name="_a3e8f6bc_7216_42b7_824d_10c0b24fa0e5"/>
      <w:bookmarkStart w:id="1108" w:name="Note7PropertyPlantandEquipmentNet_819358"/>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Times New Roman;Times;serif" w:hAnsi="Times New Roman;Times;serif"/>
          <w:b/>
          <w:sz w:val="20"/>
        </w:rPr>
        <w:t>Note 7. Property, Plant and Equipment,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property, plant and equipment, net as of June 30, 2024 and December 31, 2023:</w:t>
      </w:r>
    </w:p>
    <w:p>
      <w:pPr>
        <w:pStyle w:val="TextBody"/>
        <w:bidi w:val="0"/>
        <w:spacing w:before="0" w:after="0"/>
        <w:ind w:left="0" w:right="0" w:hanging="0"/>
        <w:jc w:val="left"/>
        <w:rPr/>
      </w:pPr>
      <w:r>
        <w:rPr/>
        <w:t>​</w:t>
      </w:r>
    </w:p>
    <w:tbl>
      <w:tblPr>
        <w:tblW w:w="9127" w:type="dxa"/>
        <w:jc w:val="left"/>
        <w:tblInd w:w="0" w:type="dxa"/>
        <w:tblLayout w:type="fixed"/>
        <w:tblCellMar>
          <w:top w:w="0" w:type="dxa"/>
          <w:left w:w="0" w:type="dxa"/>
          <w:bottom w:w="0" w:type="dxa"/>
          <w:right w:w="0" w:type="dxa"/>
        </w:tblCellMar>
      </w:tblPr>
      <w:tblGrid>
        <w:gridCol w:w="4096"/>
        <w:gridCol w:w="326"/>
        <w:gridCol w:w="1381"/>
        <w:gridCol w:w="326"/>
        <w:gridCol w:w="239"/>
        <w:gridCol w:w="887"/>
        <w:gridCol w:w="326"/>
        <w:gridCol w:w="297"/>
        <w:gridCol w:w="1249"/>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600960" cy="175260"/>
                      <wp:effectExtent l="0" t="0" r="0" b="0"/>
                      <wp:wrapNone/>
                      <wp:docPr id="140" name="Frame139"/>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76935" cy="175260"/>
                      <wp:effectExtent l="0" t="0" r="0" b="0"/>
                      <wp:wrapNone/>
                      <wp:docPr id="142" name="Frame14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1765" cy="175260"/>
                      <wp:effectExtent l="0" t="0" r="0" b="0"/>
                      <wp:wrapNone/>
                      <wp:docPr id="144" name="Frame14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3245" cy="175260"/>
                      <wp:effectExtent l="0" t="0" r="0" b="0"/>
                      <wp:wrapNone/>
                      <wp:docPr id="145" name="Frame14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8595" cy="175260"/>
                      <wp:effectExtent l="0" t="0" r="0" b="0"/>
                      <wp:wrapNone/>
                      <wp:docPr id="147" name="Frame146"/>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93115" cy="175260"/>
                      <wp:effectExtent l="0" t="0" r="0" b="0"/>
                      <wp:wrapNone/>
                      <wp:docPr id="148" name="Frame147"/>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Depreciable</w:t>
            </w:r>
            <w:r>
              <w:rPr>
                <w:rFonts w:ascii="Times New Roman;Times;serif" w:hAnsi="Times New Roman;Times;serif"/>
                <w:sz w:val="16"/>
              </w:rPr>
              <w:t> </w:t>
            </w:r>
            <w:r>
              <w:rPr>
                <w:rFonts w:ascii="Times New Roman;Times;serif" w:hAnsi="Times New Roman;Times;serif"/>
                <w:b/>
                <w:sz w:val="16"/>
              </w:rPr>
              <w:t>Lives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8,778</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10-40 years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38,164</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35,911</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12,764</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9,800</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equipment</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3-15 years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145,307</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128,639</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 and transportation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 systems</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years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12,853</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8,909</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3-10 years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7,002</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w:t>
            </w:r>
          </w:p>
        </w:tc>
      </w:tr>
      <w:tr>
        <w:trPr/>
        <w:tc>
          <w:tcPr>
            <w:tcW w:w="40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Customer beverage equipment</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23,089</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22,931</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 right-of-use assets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and equipment deposits</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265,161</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208,308</w:t>
            </w:r>
          </w:p>
        </w:tc>
      </w:tr>
      <w:tr>
        <w:trPr/>
        <w:tc>
          <w:tcPr>
            <w:tcW w:w="40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511,688</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427,299</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(93,441)</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(83,261)</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418,247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344,038</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1 - Leasehold improvements are amortized over the shorter of their estimated useful lives or the related lease life.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2 - Customer beverage equipment consists of brewers held on site at customer locations.</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3 - Lease right-of-use assets are amortized over the shorter of the useful life of the asset or the lease term.</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expense for the three and six months ended June 30, 2024 was $5.8 million and $11.3 million, respectively, and depreciation expense for the three and six months ended June 30, 2023 was $4.1 million and $8.0 million, respectively. Assets classified as construction in progress and equipment deposits are not depreciated, as they are not ready for production use. All assets classified as construction in progress and equipment deposits at June 30, 2024 are expected to be in production use.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09" w:name="Tc_ccPOZ4xybUmw2MMxH1xq_Q_10_5"/>
      <w:bookmarkStart w:id="1110" w:name="Tc_OWXWgdYVRU-cPWNZPoSB0A_10_2"/>
      <w:bookmarkStart w:id="1111" w:name="Tc_Krx83dI81ES-okMVLOM--g_9_0"/>
      <w:bookmarkStart w:id="1112" w:name="Tc_9oqCIy7kX0CbGUndk1Evuw_8_5"/>
      <w:bookmarkStart w:id="1113" w:name="Tc_h4JqJtdy70i0Eeu-cWsMYQ_8_2"/>
      <w:bookmarkStart w:id="1114" w:name="Tc_8ZYS4tHgzU2911WpOMiEiA_8_0"/>
      <w:bookmarkStart w:id="1115" w:name="Tc_CFCvcJc_y0aQj0d7sDME4g_7_0"/>
      <w:bookmarkStart w:id="1116" w:name="Tc_wUokuUeEGk-p4QSL2cBBXg_5_0"/>
      <w:bookmarkStart w:id="1117" w:name="Tc_O1-G8Gvb1k-6IcGxl6rhEw_4_5"/>
      <w:bookmarkStart w:id="1118" w:name="Tc_SFexGKTBEkiBNh2kCOstqw_4_2"/>
      <w:bookmarkStart w:id="1119" w:name="Tc_QU5boTGr9Euzc84q9mar2A_4_0"/>
      <w:bookmarkStart w:id="1120" w:name="Tc_k2O_2xDin0GdxfXezjsc7A_3_0"/>
      <w:bookmarkStart w:id="1121" w:name="Tc_HrKR4clVUkKHmGxh6tyjQw_2_5"/>
      <w:bookmarkStart w:id="1122" w:name="Tc_7vsrKZ28aEiOL0psxRf2gw_2_2"/>
      <w:bookmarkStart w:id="1123" w:name="Tc_ow-15kEmBUyiP6B5WCkchg_2_0"/>
      <w:bookmarkStart w:id="1124" w:name="Tc_oeIuGMKkDkSTzx6kQJJ4mQ_1_2"/>
      <w:bookmarkStart w:id="1125" w:name="Note8Goodwill_242269"/>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rFonts w:ascii="Times New Roman;Times;serif" w:hAnsi="Times New Roman;Times;serif"/>
          <w:b/>
          <w:sz w:val="20"/>
        </w:rPr>
        <w:t>Note 8. Goodwill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carrying amount of goodwill as of June 30, 2024 and December 31, 2023:</w:t>
      </w:r>
    </w:p>
    <w:p>
      <w:pPr>
        <w:pStyle w:val="TextBody"/>
        <w:bidi w:val="0"/>
        <w:spacing w:before="0" w:after="0"/>
        <w:ind w:left="0" w:right="0" w:hanging="0"/>
        <w:jc w:val="left"/>
        <w:rPr/>
      </w:pPr>
      <w:r>
        <w:rPr/>
        <w:t>​</w:t>
      </w:r>
    </w:p>
    <w:tbl>
      <w:tblPr>
        <w:tblW w:w="5352" w:type="dxa"/>
        <w:jc w:val="left"/>
        <w:tblInd w:w="0" w:type="dxa"/>
        <w:tblLayout w:type="fixed"/>
        <w:tblCellMar>
          <w:top w:w="0" w:type="dxa"/>
          <w:left w:w="0" w:type="dxa"/>
          <w:bottom w:w="0" w:type="dxa"/>
          <w:right w:w="0" w:type="dxa"/>
        </w:tblCellMar>
      </w:tblPr>
      <w:tblGrid>
        <w:gridCol w:w="2596"/>
        <w:gridCol w:w="326"/>
        <w:gridCol w:w="211"/>
        <w:gridCol w:w="796"/>
        <w:gridCol w:w="326"/>
        <w:gridCol w:w="211"/>
        <w:gridCol w:w="88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648460" cy="175260"/>
                      <wp:effectExtent l="0" t="0" r="0" b="0"/>
                      <wp:wrapNone/>
                      <wp:docPr id="149" name="Frame14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05460" cy="175260"/>
                      <wp:effectExtent l="0" t="0" r="0" b="0"/>
                      <wp:wrapNone/>
                      <wp:docPr id="152" name="Frame1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62610" cy="175260"/>
                      <wp:effectExtent l="0" t="0" r="0" b="0"/>
                      <wp:wrapNone/>
                      <wp:docPr id="155" name="Frame1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vAlign w:val="center"/>
          </w:tcPr>
          <w:p>
            <w:pPr>
              <w:pStyle w:val="TableContents"/>
              <w:bidi w:val="0"/>
              <w:spacing w:before="0" w:after="1"/>
              <w:ind w:left="0" w:right="0" w:hanging="0"/>
              <w:jc w:val="center"/>
              <w:rPr/>
            </w:pPr>
            <w:r>
              <w:rPr/>
              <w:t>​</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116,111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26" w:name="Tc_HFluoyH9SkmT0EzT9mH_4g_7_8"/>
      <w:bookmarkStart w:id="1127" w:name="Tc_IrCoqPhQzkKufjXiC1CcxQ_7_5"/>
      <w:bookmarkStart w:id="1128" w:name="Tc_WgI7Ew-Yu0Grwdc8FrHkVw_7_2"/>
      <w:bookmarkStart w:id="1129" w:name="Tc_AfbuZQV4nUu0MxgyXXHrxQ_7_0"/>
      <w:bookmarkStart w:id="1130" w:name="Tc_0EBaxHT-WUmd3vDARCUBXQ_6_0"/>
      <w:bookmarkStart w:id="1131" w:name="Tc_kOvlol97mkG1nwx9lwFqww_5_0"/>
      <w:bookmarkStart w:id="1132" w:name="Tc_t1Kvih4uo0WI_U8DG44DJw_4_8"/>
      <w:bookmarkStart w:id="1133" w:name="Tc_zj_8YaPoi0iVnu-FDFCBNA_4_5"/>
      <w:bookmarkStart w:id="1134" w:name="Tc_Ox6ApWcHwk64dmYhDFwumg_4_2"/>
      <w:bookmarkStart w:id="1135" w:name="Tc_0TzoglrrC0a64AydM8SHhQ_4_0"/>
      <w:bookmarkStart w:id="1136" w:name="Tc_DCaBEvIlekGwqf4h2BXovg_3_8"/>
      <w:bookmarkStart w:id="1137" w:name="Tc_dBlp5phwaku3I0TWbAYU8g_3_5"/>
      <w:bookmarkStart w:id="1138" w:name="Tc_TelxoYjlbUqmhrfM7JUG3w_3_2"/>
      <w:bookmarkStart w:id="1139" w:name="Tc_Pbp9DfgSak6O3_IZsF1lGg_3_0"/>
      <w:bookmarkStart w:id="1140" w:name="Tc_l23R44_8F02e5y7bJpxctA_2_5"/>
      <w:bookmarkStart w:id="1141" w:name="Tc_LGQuabmqwUKBIHafUI-IJw_1_2"/>
      <w:bookmarkStart w:id="1142" w:name="_95ebbf42_663a_423f_a848_fbc300b18529"/>
      <w:bookmarkStart w:id="1143" w:name="Tc_h2RotOQz9U-QWlIvvzX9GQ_7_8"/>
      <w:bookmarkStart w:id="1144" w:name="Tc_gpVoQLOUWk2CrN_qsu51gw_7_5"/>
      <w:bookmarkStart w:id="1145" w:name="Tc_JGIg8qWtzEiL1TA49HsYTA_7_2"/>
      <w:bookmarkStart w:id="1146" w:name="Tc__usN-l12NkW3jUV-d0PWFQ_7_0"/>
      <w:bookmarkStart w:id="1147" w:name="Tc_0Qaq0fO6HEuNLBAj8egV8g_6_0"/>
      <w:bookmarkStart w:id="1148" w:name="Tc_uCYGbx9l2U6NMnmPTGYoUA_5_0"/>
      <w:bookmarkStart w:id="1149" w:name="Tc_nQO8PiPs1U-ZeHcYE-LlEg_4_8"/>
      <w:bookmarkStart w:id="1150" w:name="Tc_D37Rpi_b90Wy4FO_qh9ahw_4_5"/>
      <w:bookmarkStart w:id="1151" w:name="Tc_yTegWg0amE-B915heBXjSg_4_2"/>
      <w:bookmarkStart w:id="1152" w:name="Tc_9i7VFeKzmE2tPpQ1_hH-Aw_4_0"/>
      <w:bookmarkStart w:id="1153" w:name="Tc_UQroNMKCTkKbm_uVKn7nvw_3_8"/>
      <w:bookmarkStart w:id="1154" w:name="Tc_5HlKed6IQU-ByKl3jltDsg_3_5"/>
      <w:bookmarkStart w:id="1155" w:name="Tc_pZ-WezmyFECCKB9GaKmgaQ_3_2"/>
      <w:bookmarkStart w:id="1156" w:name="Tc_37FfzfEy10KFdoagmGGUdA_3_0"/>
      <w:bookmarkStart w:id="1157" w:name="Tc_TqeZikQeK06zk1DsitGBTw_2_5"/>
      <w:bookmarkStart w:id="1158" w:name="Tc_BWXQyzsprUec8IQDTOEkTQ_1_2"/>
      <w:bookmarkStart w:id="1159" w:name="_bebf65ba_836b_4371_87c6_f0366bf66709"/>
      <w:bookmarkStart w:id="1160" w:name="Note9IntangibleAssetsNet_958231"/>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r>
        <w:rPr>
          <w:rFonts w:ascii="Times New Roman;Times;serif" w:hAnsi="Times New Roman;Times;serif"/>
          <w:b/>
          <w:sz w:val="20"/>
        </w:rPr>
        <w:t>Note 9. Intangible Assets,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intangible assets, net as of June 30, 2024 and December 31, 2023:</w:t>
      </w:r>
    </w:p>
    <w:p>
      <w:pPr>
        <w:pStyle w:val="TextBody"/>
        <w:bidi w:val="0"/>
        <w:spacing w:before="0" w:after="0"/>
        <w:ind w:left="0" w:right="0" w:hanging="0"/>
        <w:jc w:val="left"/>
        <w:rPr/>
      </w:pPr>
      <w:r>
        <w:rPr/>
        <w:t>​</w:t>
      </w:r>
    </w:p>
    <w:tbl>
      <w:tblPr>
        <w:tblW w:w="6144" w:type="dxa"/>
        <w:jc w:val="left"/>
        <w:tblInd w:w="0" w:type="dxa"/>
        <w:tblLayout w:type="fixed"/>
        <w:tblCellMar>
          <w:top w:w="0" w:type="dxa"/>
          <w:left w:w="0" w:type="dxa"/>
          <w:bottom w:w="0" w:type="dxa"/>
          <w:right w:w="0" w:type="dxa"/>
        </w:tblCellMar>
      </w:tblPr>
      <w:tblGrid>
        <w:gridCol w:w="1996"/>
        <w:gridCol w:w="326"/>
        <w:gridCol w:w="211"/>
        <w:gridCol w:w="781"/>
        <w:gridCol w:w="326"/>
        <w:gridCol w:w="240"/>
        <w:gridCol w:w="841"/>
        <w:gridCol w:w="32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67460" cy="175260"/>
                      <wp:effectExtent l="0" t="0" r="0" b="0"/>
                      <wp:wrapNone/>
                      <wp:docPr id="156" name="Frame15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59"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2400" cy="175260"/>
                      <wp:effectExtent l="0" t="0" r="0" b="0"/>
                      <wp:wrapNone/>
                      <wp:docPr id="161" name="Frame16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34035" cy="175260"/>
                      <wp:effectExtent l="0" t="0" r="0" b="0"/>
                      <wp:wrapNone/>
                      <wp:docPr id="162" name="Frame1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62610" cy="175260"/>
                      <wp:effectExtent l="0" t="0" r="0" b="0"/>
                      <wp:wrapNone/>
                      <wp:docPr id="165" name="Frame16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148,648</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118,306</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Favorable lease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150,617</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118,953</w:t>
            </w:r>
          </w:p>
        </w:tc>
      </w:tr>
    </w:tbl>
    <w:p>
      <w:pPr>
        <w:pStyle w:val="TextBody"/>
        <w:bidi w:val="0"/>
        <w:spacing w:before="0" w:after="240"/>
        <w:ind w:left="0" w:right="0" w:hanging="0"/>
        <w:jc w:val="left"/>
        <w:rPr/>
      </w:pPr>
      <w:r>
        <w:rPr/>
        <w:t>​</w:t>
      </w:r>
    </w:p>
    <w:tbl>
      <w:tblPr>
        <w:tblW w:w="6144" w:type="dxa"/>
        <w:jc w:val="left"/>
        <w:tblInd w:w="0" w:type="dxa"/>
        <w:tblLayout w:type="fixed"/>
        <w:tblCellMar>
          <w:top w:w="0" w:type="dxa"/>
          <w:left w:w="0" w:type="dxa"/>
          <w:bottom w:w="0" w:type="dxa"/>
          <w:right w:w="0" w:type="dxa"/>
        </w:tblCellMar>
      </w:tblPr>
      <w:tblGrid>
        <w:gridCol w:w="1996"/>
        <w:gridCol w:w="326"/>
        <w:gridCol w:w="211"/>
        <w:gridCol w:w="781"/>
        <w:gridCol w:w="326"/>
        <w:gridCol w:w="240"/>
        <w:gridCol w:w="841"/>
        <w:gridCol w:w="32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67460" cy="175260"/>
                      <wp:effectExtent l="0" t="0" r="0" b="0"/>
                      <wp:wrapNone/>
                      <wp:docPr id="166" name="Frame16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95935" cy="175260"/>
                      <wp:effectExtent l="0" t="0" r="0" b="0"/>
                      <wp:wrapNone/>
                      <wp:docPr id="169" name="Frame1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52400" cy="175260"/>
                      <wp:effectExtent l="0" t="0" r="0" b="0"/>
                      <wp:wrapNone/>
                      <wp:docPr id="171" name="Frame17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34035" cy="175260"/>
                      <wp:effectExtent l="0" t="0" r="0" b="0"/>
                      <wp:wrapNone/>
                      <wp:docPr id="172" name="Frame17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62610" cy="175260"/>
                      <wp:effectExtent l="0" t="0" r="0" b="0"/>
                      <wp:wrapNone/>
                      <wp:docPr id="175" name="Frame1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148,648</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122,161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Favorable lease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150,517</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122,945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of intangible assets was $2.1 million and $4.1 million for the three and six months ended June 30, 2024, respectively, and amortization expense of intangible assets was $2.0 million and $4.0 million for the three and six months ended June 30, 2023, respectively. As of June 30, 2024, the weighted average useful life for definite-lived intangibles is approximately 20 years.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61" w:name="Note10Leases_707775"/>
      <w:bookmarkEnd w:id="1161"/>
      <w:r>
        <w:rPr>
          <w:rFonts w:ascii="Times New Roman;Times;serif" w:hAnsi="Times New Roman;Times;serif"/>
          <w:b/>
          <w:sz w:val="20"/>
        </w:rPr>
        <w:t>Note 10.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w:t>
      </w:r>
      <w:r>
        <w:rPr>
          <w:rFonts w:ascii="Times New Roman;Times;serif" w:hAnsi="Times New Roman;Times;serif"/>
          <w:b w:val="false"/>
          <w:i w:val="false"/>
          <w:caps w:val="false"/>
          <w:smallCaps w:val="false"/>
          <w:sz w:val="20"/>
        </w:rPr>
        <w:t>1 year</w:t>
      </w:r>
      <w:r>
        <w:rPr>
          <w:rFonts w:ascii="Times New Roman;Times;serif" w:hAnsi="Times New Roman;Times;serif"/>
          <w:sz w:val="20"/>
        </w:rPr>
        <w:t xml:space="preserv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62" w:name="Tc_i58wQOmM4kSyVm9Avm4PIA_3_5"/>
      <w:bookmarkStart w:id="1163" w:name="Tc_RSo2c6lTM0GInRQTZjdX5A_3_2"/>
      <w:bookmarkStart w:id="1164" w:name="Tc_Rn4HLIwfak6jylgue0V7Kw_3_0"/>
      <w:bookmarkStart w:id="1165" w:name="Tc_8hjBptYo-0KAZsQxETlCBg_2_5"/>
      <w:bookmarkStart w:id="1166" w:name="Tc_IwUBiiRR506ZRjKXOG6C8Q_2_2"/>
      <w:bookmarkStart w:id="1167" w:name="Tc_SnlB9Tnxs0-IBivmcIQJNA_2_0"/>
      <w:bookmarkStart w:id="1168" w:name="Tc_MtkyBvVmOU647Xzcax0kRQ_1_2"/>
      <w:bookmarkStart w:id="1169" w:name="Tc_5o7m6FDHLUiGFIcKwZ3xnQ_3_6"/>
      <w:bookmarkStart w:id="1170" w:name="Tc_kdR74kW2RkKySGsXwCpGCA_3_3"/>
      <w:bookmarkStart w:id="1171" w:name="Tc_d6MnFNIwg0OWm0_xkmvo1g_3_0"/>
      <w:bookmarkStart w:id="1172" w:name="Tc_VqoYdlzzHkaVUVl4SU0yEw_2_0"/>
      <w:bookmarkStart w:id="1173" w:name="Tc_gQSLfYSKoUuNJEz3GwLV4Q_1_5"/>
      <w:bookmarkStart w:id="1174" w:name="Tc_EaLi6GBxJ0ijpJJe2HResA_1_2"/>
      <w:bookmarkStart w:id="1175" w:name="Tc_XHh8wdP4XE2w3c7w1FkPlA_5_11"/>
      <w:bookmarkStart w:id="1176" w:name="Tc_gtegOnh15E-jAqtuxP8kuA_5_8"/>
      <w:bookmarkStart w:id="1177" w:name="Tc_bpOgs_pgpkKHCgwaPuBOAQ_5_5"/>
      <w:bookmarkStart w:id="1178" w:name="Tc_F2jM6W8NcE6nOJQJcy-vHg_5_2"/>
      <w:bookmarkStart w:id="1179" w:name="Tc_ffeLPikTXkC28Xto3CQcDQ_5_0"/>
      <w:bookmarkStart w:id="1180" w:name="Tc_qyi9101Q3E-WlggeHorgRA_4_0"/>
      <w:bookmarkStart w:id="1181" w:name="Tc_esizUwC-PkS2mPzRUi5q1w_3_11"/>
      <w:bookmarkStart w:id="1182" w:name="Tc_6F1XW_KpUkuE8XLKeoyG1Q_3_8"/>
      <w:bookmarkStart w:id="1183" w:name="Tc_BsMaK-G-WU2VETLjJ0938g_3_5"/>
      <w:bookmarkStart w:id="1184" w:name="Tc_pRl3HJuoVkuqsIC6YfzJvw_3_2"/>
      <w:bookmarkStart w:id="1185" w:name="Tc_ermH_wZ0N0GYPA1u7broEg_3_0"/>
      <w:bookmarkStart w:id="1186" w:name="Tc_iH9qrhtvkk-jhcmhOS16OQ_2_11"/>
      <w:bookmarkStart w:id="1187" w:name="Tc_lKtB0gaPX0aHKYV6q24gwg_2_8"/>
      <w:bookmarkStart w:id="1188" w:name="Tc_asHEpVqWYEuGEm6q8KnBZQ_2_5"/>
      <w:bookmarkStart w:id="1189" w:name="Tc_Cju1wI7zrEKuqRxZhFm1iQ_2_2"/>
      <w:bookmarkStart w:id="1190" w:name="Tc_oeg2tXN_v0GAgVz6ySa3fw_2_0"/>
      <w:bookmarkStart w:id="1191" w:name="Tc_ZCV-azBBA0yZdGBSFMWo-Q_1_8"/>
      <w:bookmarkStart w:id="1192" w:name="Tc_IZi0_H_L5kml4MYzO2rx0Q_1_2"/>
      <w:bookmarkStart w:id="1193" w:name="Tc__FIyOTwcIUyGP20VB_bH0A_4_2"/>
      <w:bookmarkStart w:id="1194" w:name="Tc_hh8KOVFhYk-3zr8OUYzZiA_3_2"/>
      <w:bookmarkStart w:id="1195" w:name="Tc_B0asWw850UmLYKJClBGyxQ_2_7"/>
      <w:bookmarkStart w:id="1196" w:name="Tc_tolLjVedKEygevH_OGQH4A_2_4"/>
      <w:bookmarkStart w:id="1197" w:name="Tc_QFzq4DkjFEeXnZKu0CjKVA_2_2"/>
      <w:bookmarkStart w:id="1198" w:name="Tc_kXfe9WYfcUGsY6GvltpEpw_2_0"/>
      <w:bookmarkStart w:id="1199" w:name="Tc_OHXX3DN-NE68nVfZR07ZHA_1_7"/>
      <w:bookmarkStart w:id="1200" w:name="Tc_Lt59vQLJ90KpIBUGe1cGHg_1_4"/>
      <w:bookmarkStart w:id="1201" w:name="Tc_BKTjsJ1pLUKMm6XIFO9ZKQ_1_2"/>
      <w:bookmarkStart w:id="1202" w:name="Tc_zy36Ll1ANU-82Taq1-ZJuA_1_0"/>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Pr>
          <w:rFonts w:ascii="Times New Roman;Times;serif" w:hAnsi="Times New Roman;Times;serif"/>
          <w:sz w:val="20"/>
        </w:rPr>
        <w:t>The following table summarizes the amount of right-of-use lease assets and lease liabilities included in each respective line item on the Company’s Condensed Consolidated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26"/>
        <w:gridCol w:w="326"/>
        <w:gridCol w:w="3528"/>
        <w:gridCol w:w="326"/>
        <w:gridCol w:w="267"/>
        <w:gridCol w:w="859"/>
        <w:gridCol w:w="326"/>
        <w:gridCol w:w="328"/>
        <w:gridCol w:w="1219"/>
      </w:tblGrid>
      <w:tr>
        <w:trPr/>
        <w:tc>
          <w:tcPr>
            <w:tcW w:w="3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21510" cy="175260"/>
                      <wp:effectExtent l="0" t="0" r="0" b="0"/>
                      <wp:wrapNone/>
                      <wp:docPr id="176" name="Frame175"/>
                      <a:graphic xmlns:a="http://schemas.openxmlformats.org/drawingml/2006/main">
                        <a:graphicData uri="http://schemas.microsoft.com/office/word/2010/wordprocessingShape">
                          <wps:wsp>
                            <wps:cNvSpPr txBox="1"/>
                            <wps:spPr>
                              <a:xfrm>
                                <a:off x="0" y="0"/>
                                <a:ext cx="192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40280" cy="175260"/>
                      <wp:effectExtent l="0" t="0" r="0" b="0"/>
                      <wp:wrapNone/>
                      <wp:docPr id="178" name="Frame177"/>
                      <a:graphic xmlns:a="http://schemas.openxmlformats.org/drawingml/2006/main">
                        <a:graphicData uri="http://schemas.microsoft.com/office/word/2010/wordprocessingShape">
                          <wps:wsp>
                            <wps:cNvSpPr txBox="1"/>
                            <wps:spPr>
                              <a:xfrm>
                                <a:off x="0" y="0"/>
                                <a:ext cx="2240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9545" cy="175260"/>
                      <wp:effectExtent l="0" t="0" r="0" b="0"/>
                      <wp:wrapNone/>
                      <wp:docPr id="180" name="Frame17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45465" cy="175260"/>
                      <wp:effectExtent l="0" t="0" r="0" b="0"/>
                      <wp:wrapNone/>
                      <wp:docPr id="181" name="Frame180"/>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8280" cy="175260"/>
                      <wp:effectExtent l="0" t="0" r="0" b="0"/>
                      <wp:wrapNone/>
                      <wp:docPr id="183" name="Frame18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74065" cy="175260"/>
                      <wp:effectExtent l="0" t="0" r="0" b="0"/>
                      <wp:wrapNone/>
                      <wp:docPr id="184" name="Frame183"/>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35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2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62,643</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67,601</w:t>
            </w:r>
          </w:p>
        </w:tc>
      </w:tr>
      <w:tr>
        <w:trPr/>
        <w:tc>
          <w:tcPr>
            <w:tcW w:w="302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current</w:t>
            </w:r>
          </w:p>
        </w:tc>
        <w:tc>
          <w:tcPr>
            <w:tcW w:w="326" w:type="dxa"/>
            <w:tcBorders/>
            <w:vAlign w:val="center"/>
          </w:tcPr>
          <w:p>
            <w:pPr>
              <w:pStyle w:val="TableContents"/>
              <w:bidi w:val="0"/>
              <w:spacing w:before="0" w:after="1"/>
              <w:ind w:left="0" w:right="0" w:hanging="0"/>
              <w:jc w:val="left"/>
              <w:rPr/>
            </w:pPr>
            <w:r>
              <w:rPr/>
              <w:t>​</w:t>
            </w:r>
          </w:p>
        </w:tc>
        <w:tc>
          <w:tcPr>
            <w:tcW w:w="352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4,531</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4,809</w:t>
            </w:r>
          </w:p>
        </w:tc>
      </w:tr>
      <w:tr>
        <w:trPr/>
        <w:tc>
          <w:tcPr>
            <w:tcW w:w="302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352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59,287</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63,554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2024 and 2023, the Company obtained approximately $1.0 million and $6.0 million of right-of-use operating lease assets in exchange for lease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12, 2024, following the completion of its 530,000 square foot distribution center in Conway, Arkansas, the Company entered into a lease termination agreement for the Gregory Distribution Center lease. The Gregory Distribution Center lease terminated, by mutual agreement, on June 30, 2024. No costs were incurred as a result of the lease termination. This lease termination event does not significantly alter the Company’s operational capabilities or its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Depending on the nature of the lease, lease costs are classified within costs of sales or selling, general and administrative expense on the Company’s Condensed Consolidated Statements of Operations. The components of lease costs for the three and six months ended June 30, 2024 and 2023, respectively, are as follows:</w:t>
      </w:r>
    </w:p>
    <w:p>
      <w:pPr>
        <w:pStyle w:val="TextBody"/>
        <w:bidi w:val="0"/>
        <w:spacing w:before="0" w:after="0"/>
        <w:ind w:left="0" w:right="0" w:hanging="0"/>
        <w:jc w:val="left"/>
        <w:rPr/>
      </w:pPr>
      <w:r>
        <w:rPr/>
        <w:t>​</w:t>
      </w:r>
    </w:p>
    <w:tbl>
      <w:tblPr>
        <w:tblW w:w="6487" w:type="dxa"/>
        <w:jc w:val="left"/>
        <w:tblInd w:w="0" w:type="dxa"/>
        <w:tblLayout w:type="fixed"/>
        <w:tblCellMar>
          <w:top w:w="0" w:type="dxa"/>
          <w:left w:w="0" w:type="dxa"/>
          <w:bottom w:w="0" w:type="dxa"/>
          <w:right w:w="0" w:type="dxa"/>
        </w:tblCellMar>
      </w:tblPr>
      <w:tblGrid>
        <w:gridCol w:w="1801"/>
        <w:gridCol w:w="109"/>
        <w:gridCol w:w="258"/>
        <w:gridCol w:w="698"/>
        <w:gridCol w:w="398"/>
        <w:gridCol w:w="258"/>
        <w:gridCol w:w="698"/>
        <w:gridCol w:w="109"/>
        <w:gridCol w:w="256"/>
        <w:gridCol w:w="693"/>
        <w:gridCol w:w="132"/>
        <w:gridCol w:w="256"/>
        <w:gridCol w:w="82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143635" cy="175260"/>
                      <wp:effectExtent l="0" t="0" r="0" b="0"/>
                      <wp:wrapNone/>
                      <wp:docPr id="185" name="Frame184"/>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3830" cy="175260"/>
                      <wp:effectExtent l="0" t="0" r="0" b="0"/>
                      <wp:wrapNone/>
                      <wp:docPr id="187" name="Frame18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43230" cy="175260"/>
                      <wp:effectExtent l="0" t="0" r="0" b="0"/>
                      <wp:wrapNone/>
                      <wp:docPr id="188" name="Frame187"/>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52730" cy="175260"/>
                      <wp:effectExtent l="0" t="0" r="0" b="0"/>
                      <wp:wrapNone/>
                      <wp:docPr id="189" name="Frame18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3830" cy="175260"/>
                      <wp:effectExtent l="0" t="0" r="0" b="0"/>
                      <wp:wrapNone/>
                      <wp:docPr id="190" name="Frame18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43230" cy="175260"/>
                      <wp:effectExtent l="0" t="0" r="0" b="0"/>
                      <wp:wrapNone/>
                      <wp:docPr id="191" name="Frame19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62560" cy="175260"/>
                      <wp:effectExtent l="0" t="0" r="0" b="0"/>
                      <wp:wrapNone/>
                      <wp:docPr id="193" name="Frame19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40055" cy="175260"/>
                      <wp:effectExtent l="0" t="0" r="0" b="0"/>
                      <wp:wrapNone/>
                      <wp:docPr id="194" name="Frame193"/>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3820" cy="175260"/>
                      <wp:effectExtent l="0" t="0" r="0" b="0"/>
                      <wp:wrapNone/>
                      <wp:docPr id="195" name="Frame194"/>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2560" cy="175260"/>
                      <wp:effectExtent l="0" t="0" r="0" b="0"/>
                      <wp:wrapNone/>
                      <wp:docPr id="196" name="Frame19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21335" cy="175260"/>
                      <wp:effectExtent l="0" t="0" r="0" b="0"/>
                      <wp:wrapNone/>
                      <wp:docPr id="197" name="Frame196"/>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8" w:type="dxa"/>
            <w:tcBorders/>
            <w:vAlign w:val="center"/>
          </w:tcPr>
          <w:p>
            <w:pPr>
              <w:pStyle w:val="TableContents"/>
              <w:bidi w:val="0"/>
              <w:spacing w:before="0" w:after="1"/>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9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2" w:type="dxa"/>
            <w:tcBorders/>
            <w:vAlign w:val="center"/>
          </w:tcPr>
          <w:p>
            <w:pPr>
              <w:pStyle w:val="TableContents"/>
              <w:bidi w:val="0"/>
              <w:spacing w:before="0" w:after="1"/>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5,564</w:t>
            </w:r>
          </w:p>
        </w:tc>
        <w:tc>
          <w:tcPr>
            <w:tcW w:w="132"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2,430</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09"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98"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132"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6,025</w:t>
            </w:r>
          </w:p>
        </w:tc>
        <w:tc>
          <w:tcPr>
            <w:tcW w:w="132"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2,909</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information about the Company’s weighted average discount rate and remaining lease term as of June 30, 2024 and December 31, 2023:</w:t>
      </w:r>
    </w:p>
    <w:p>
      <w:pPr>
        <w:pStyle w:val="TextBody"/>
        <w:bidi w:val="0"/>
        <w:spacing w:before="0" w:after="0"/>
        <w:ind w:left="0" w:right="0" w:hanging="0"/>
        <w:jc w:val="left"/>
        <w:rPr/>
      </w:pPr>
      <w:r>
        <w:rPr/>
        <w:t>​</w:t>
      </w:r>
    </w:p>
    <w:tbl>
      <w:tblPr>
        <w:tblW w:w="6655" w:type="dxa"/>
        <w:jc w:val="left"/>
        <w:tblInd w:w="0" w:type="dxa"/>
        <w:tblLayout w:type="fixed"/>
        <w:tblCellMar>
          <w:top w:w="0" w:type="dxa"/>
          <w:left w:w="0" w:type="dxa"/>
          <w:bottom w:w="0" w:type="dxa"/>
          <w:right w:w="0" w:type="dxa"/>
        </w:tblCellMar>
      </w:tblPr>
      <w:tblGrid>
        <w:gridCol w:w="3331"/>
        <w:gridCol w:w="326"/>
        <w:gridCol w:w="193"/>
        <w:gridCol w:w="933"/>
        <w:gridCol w:w="326"/>
        <w:gridCol w:w="227"/>
        <w:gridCol w:w="1319"/>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15185" cy="175260"/>
                      <wp:effectExtent l="0" t="0" r="0" b="0"/>
                      <wp:wrapNone/>
                      <wp:docPr id="198" name="Frame197"/>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2555" cy="175260"/>
                      <wp:effectExtent l="0" t="0" r="0" b="0"/>
                      <wp:wrapNone/>
                      <wp:docPr id="200" name="Frame199"/>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92455" cy="175260"/>
                      <wp:effectExtent l="0" t="0" r="0" b="0"/>
                      <wp:wrapNone/>
                      <wp:docPr id="201" name="Frame20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4145" cy="175260"/>
                      <wp:effectExtent l="0" t="0" r="0" b="0"/>
                      <wp:wrapNone/>
                      <wp:docPr id="203" name="Frame20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37565" cy="175260"/>
                      <wp:effectExtent l="0" t="0" r="0" b="0"/>
                      <wp:wrapNone/>
                      <wp:docPr id="204" name="Frame203"/>
                      <a:graphic xmlns:a="http://schemas.openxmlformats.org/drawingml/2006/main">
                        <a:graphicData uri="http://schemas.microsoft.com/office/word/2010/wordprocessingShape">
                          <wps:wsp>
                            <wps:cNvSpPr txBox="1"/>
                            <wps:spPr>
                              <a:xfrm>
                                <a:off x="0" y="0"/>
                                <a:ext cx="837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bidi w:val="0"/>
              <w:spacing w:before="0" w:after="1"/>
              <w:ind w:left="0" w:right="0" w:hanging="0"/>
              <w:jc w:val="left"/>
              <w:rPr/>
            </w:pPr>
            <w:r>
              <w:rPr/>
              <w:t>​</w:t>
            </w:r>
          </w:p>
        </w:tc>
        <w:tc>
          <w:tcPr>
            <w:tcW w:w="193"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3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326" w:type="dxa"/>
            <w:tcBorders/>
            <w:vAlign w:val="center"/>
          </w:tcPr>
          <w:p>
            <w:pPr>
              <w:pStyle w:val="TableContents"/>
              <w:bidi w:val="0"/>
              <w:spacing w:before="0" w:after="1"/>
              <w:ind w:left="0" w:right="0" w:hanging="0"/>
              <w:jc w:val="left"/>
              <w:rPr/>
            </w:pPr>
            <w:r>
              <w:rPr/>
              <w:t>​</w:t>
            </w:r>
          </w:p>
        </w:tc>
        <w:tc>
          <w:tcPr>
            <w:tcW w:w="193"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 years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319"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 years</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Supplemental cash flow information about the Company’s leases as of June 30, 2024 and 2023, respectively, is as follows:</w:t>
      </w:r>
    </w:p>
    <w:p>
      <w:pPr>
        <w:pStyle w:val="TextBody"/>
        <w:bidi w:val="0"/>
        <w:spacing w:before="0" w:after="0"/>
        <w:ind w:left="0" w:right="0" w:hanging="0"/>
        <w:jc w:val="left"/>
        <w:rPr/>
      </w:pPr>
      <w:r>
        <w:rPr/>
        <w:t>​</w:t>
      </w:r>
    </w:p>
    <w:tbl>
      <w:tblPr>
        <w:tblW w:w="6326" w:type="dxa"/>
        <w:jc w:val="left"/>
        <w:tblInd w:w="0" w:type="dxa"/>
        <w:tblLayout w:type="fixed"/>
        <w:tblCellMar>
          <w:top w:w="0" w:type="dxa"/>
          <w:left w:w="0" w:type="dxa"/>
          <w:bottom w:w="0" w:type="dxa"/>
          <w:right w:w="0" w:type="dxa"/>
        </w:tblCellMar>
      </w:tblPr>
      <w:tblGrid>
        <w:gridCol w:w="3841"/>
        <w:gridCol w:w="326"/>
        <w:gridCol w:w="228"/>
        <w:gridCol w:w="618"/>
        <w:gridCol w:w="353"/>
        <w:gridCol w:w="228"/>
        <w:gridCol w:w="732"/>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439035" cy="175260"/>
                      <wp:effectExtent l="0" t="0" r="0" b="0"/>
                      <wp:wrapNone/>
                      <wp:docPr id="205" name="Frame204"/>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4780" cy="175260"/>
                      <wp:effectExtent l="0" t="0" r="0" b="0"/>
                      <wp:wrapNone/>
                      <wp:docPr id="207" name="Frame20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92430" cy="175260"/>
                      <wp:effectExtent l="0" t="0" r="0" b="0"/>
                      <wp:wrapNone/>
                      <wp:docPr id="208" name="Frame207"/>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4155" cy="175260"/>
                      <wp:effectExtent l="0" t="0" r="0" b="0"/>
                      <wp:wrapNone/>
                      <wp:docPr id="209" name="Frame208"/>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4780" cy="175260"/>
                      <wp:effectExtent l="0" t="0" r="0" b="0"/>
                      <wp:wrapNone/>
                      <wp:docPr id="210" name="Frame20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64820" cy="175260"/>
                      <wp:effectExtent l="0" t="0" r="0" b="0"/>
                      <wp:wrapNone/>
                      <wp:docPr id="211" name="Frame210"/>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8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3" w:type="dxa"/>
            <w:tcBorders/>
            <w:vAlign w:val="center"/>
          </w:tcPr>
          <w:p>
            <w:pPr>
              <w:pStyle w:val="TableContents"/>
              <w:bidi w:val="0"/>
              <w:spacing w:before="0" w:after="1"/>
              <w:ind w:left="0" w:right="0" w:hanging="0"/>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related to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4,981</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2,141</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June 30,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03" w:name="Tc_e0w9HODrKkOdk9RCelqgaQ_10_2"/>
      <w:bookmarkStart w:id="1204" w:name="Tc_GTIDOhHiokauaExUBTftow_10_0"/>
      <w:bookmarkStart w:id="1205" w:name="Tc_kWPq-rpTjEu2nZ92UrdyZg_9_0"/>
      <w:bookmarkStart w:id="1206" w:name="Tc_9WlnJOBCi0a-yFhJYZGu6Q_8_0"/>
      <w:bookmarkStart w:id="1207" w:name="Tc_LWZJepef6kGk5CR6oqWi5g_7_0"/>
      <w:bookmarkStart w:id="1208" w:name="Tc_0gAZqQ2il0aAhgMoIkBwhA_6_0"/>
      <w:bookmarkStart w:id="1209" w:name="Tc_WF-ya6tuY0qhu9vVFqZFMA_5_0"/>
      <w:bookmarkStart w:id="1210" w:name="Tc_eZYqRh_FD0e8oBzl-3KKxw_4_0"/>
      <w:bookmarkStart w:id="1211" w:name="Tc_6lG9lil5Lki__k0glwPbUQ_3_0"/>
      <w:bookmarkStart w:id="1212" w:name="Tc_xX0TCzAdGk68BC4DZli4Fw_2_2"/>
      <w:bookmarkStart w:id="1213" w:name="Tc_gIYBOU0KF0uLId3wDMZZrA_2_0"/>
      <w:bookmarkStart w:id="1214" w:name="Tc_OrwNwjim6UaXD9V30U_l0w_1_0"/>
      <w:bookmarkEnd w:id="1203"/>
      <w:bookmarkEnd w:id="1204"/>
      <w:bookmarkEnd w:id="1205"/>
      <w:bookmarkEnd w:id="1206"/>
      <w:bookmarkEnd w:id="1207"/>
      <w:bookmarkEnd w:id="1208"/>
      <w:bookmarkEnd w:id="1209"/>
      <w:bookmarkEnd w:id="1210"/>
      <w:bookmarkEnd w:id="1211"/>
      <w:bookmarkEnd w:id="1212"/>
      <w:bookmarkEnd w:id="1213"/>
      <w:bookmarkEnd w:id="1214"/>
      <w:r>
        <w:rPr>
          <w:rFonts w:ascii="Times New Roman;Times;serif" w:hAnsi="Times New Roman;Times;serif"/>
          <w:sz w:val="20"/>
        </w:rPr>
        <w:t>Future minimum lease payments under non-cancellable operating leases as of June 30, 2024 are as follows:</w:t>
      </w:r>
    </w:p>
    <w:p>
      <w:pPr>
        <w:pStyle w:val="TextBody"/>
        <w:bidi w:val="0"/>
        <w:spacing w:before="0" w:after="0"/>
        <w:ind w:left="0" w:right="0" w:hanging="0"/>
        <w:jc w:val="left"/>
        <w:rPr/>
      </w:pPr>
      <w:r>
        <w:rPr/>
        <w:t>​</w:t>
      </w:r>
    </w:p>
    <w:tbl>
      <w:tblPr>
        <w:tblW w:w="4889" w:type="dxa"/>
        <w:jc w:val="left"/>
        <w:tblInd w:w="0" w:type="dxa"/>
        <w:tblLayout w:type="fixed"/>
        <w:tblCellMar>
          <w:top w:w="0" w:type="dxa"/>
          <w:left w:w="0" w:type="dxa"/>
          <w:bottom w:w="0" w:type="dxa"/>
          <w:right w:w="0" w:type="dxa"/>
        </w:tblCellMar>
      </w:tblPr>
      <w:tblGrid>
        <w:gridCol w:w="3511"/>
        <w:gridCol w:w="326"/>
        <w:gridCol w:w="211"/>
        <w:gridCol w:w="84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29485" cy="175260"/>
                      <wp:effectExtent l="0" t="0" r="0" b="0"/>
                      <wp:wrapNone/>
                      <wp:docPr id="212" name="Frame211"/>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34035" cy="175260"/>
                      <wp:effectExtent l="0" t="0" r="0" b="0"/>
                      <wp:wrapNone/>
                      <wp:docPr id="215" name="Frame21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68,641</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103,935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(40,117)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63,818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15" w:name="Tc_XfdIy2Qj_0iNuCO0C7wjgQ_14_5"/>
      <w:bookmarkStart w:id="1216" w:name="Tc_Mi3gy7gcjEmW8waTEdyYIQ_14_2"/>
      <w:bookmarkStart w:id="1217" w:name="Tc_5nqoHokDSUiClbMf284MYQ_14_0"/>
      <w:bookmarkStart w:id="1218" w:name="Tc_gr2cfUmOoUioleHEGH5oWA_13_0"/>
      <w:bookmarkStart w:id="1219" w:name="Tc_m1yT4uR3zka_0c78-7Ykmg_12_6"/>
      <w:bookmarkStart w:id="1220" w:name="Tc_-a7JjeREz02Fj1rtw6f2IA_12_0"/>
      <w:bookmarkStart w:id="1221" w:name="Tc_MGsHXnSbxkWRWAwF_xn6bQ_11_0"/>
      <w:bookmarkStart w:id="1222" w:name="Tc_7zYfr6YYukiJHO23v98kmA_10_0"/>
      <w:bookmarkStart w:id="1223" w:name="Tc_PbBwceb4xEi0qNPp_TTFYw_9_0"/>
      <w:bookmarkStart w:id="1224" w:name="Tc_LDRnfme5Sk-qRvDDDCbJZw_8_0"/>
      <w:bookmarkStart w:id="1225" w:name="Tc_GadEWQ2sRE21KFdveCYhPw_7_0"/>
      <w:bookmarkStart w:id="1226" w:name="Tc_HUiWmkzh5UmWqVa59_YBjQ_6_0"/>
      <w:bookmarkStart w:id="1227" w:name="Tc_N0gjbVYRnE6uiM_iqDR7XA_5_6"/>
      <w:bookmarkStart w:id="1228" w:name="Tc_0TYnuYm0tUyBvInD95xunw_5_0"/>
      <w:bookmarkStart w:id="1229" w:name="Tc_wGZX87czMEiSgM2saDXXaQ_4_0"/>
      <w:bookmarkStart w:id="1230" w:name="Tc_Z_ALHdEQFk63Lz1VWnhNiA_3_6"/>
      <w:bookmarkStart w:id="1231" w:name="Tc_gkcWgt-59kSr1RuKjju8hA_3_0"/>
      <w:bookmarkStart w:id="1232" w:name="Tc_nfBrcj_Ci0CgRuZyEl4sqg_2_5"/>
      <w:bookmarkStart w:id="1233" w:name="Tc_UyKeOkO5aEWdfOtCRkPvLw_2_2"/>
      <w:bookmarkStart w:id="1234" w:name="Tc_OdEeAuDcp0-NDjPAMMnTSg_2_0"/>
      <w:bookmarkStart w:id="1235" w:name="Tc_QQgI5LlqgkaxcFIiGF5p4A_1_5"/>
      <w:bookmarkStart w:id="1236" w:name="Tc_bBGMZcyu8ES8RUI9TgYPrQ_1_2"/>
      <w:bookmarkStart w:id="1237" w:name="Tc_Dw6mq8eKrkW-SO7hhJU-NQ_1_0"/>
      <w:bookmarkStart w:id="1238" w:name="Note11Debt_937033"/>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rFonts w:ascii="Times New Roman;Times;serif" w:hAnsi="Times New Roman;Times;serif"/>
          <w:b/>
          <w:sz w:val="20"/>
        </w:rPr>
        <w:t>Note 11.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long-term debt at June 30, 2024 and December 31, 2023 is as follows:</w:t>
      </w:r>
    </w:p>
    <w:p>
      <w:pPr>
        <w:pStyle w:val="TextBody"/>
        <w:bidi w:val="0"/>
        <w:spacing w:before="0" w:after="0"/>
        <w:ind w:left="0" w:right="0" w:hanging="0"/>
        <w:jc w:val="left"/>
        <w:rPr/>
      </w:pPr>
      <w:r>
        <w:rPr/>
        <w:t>​</w:t>
      </w:r>
    </w:p>
    <w:tbl>
      <w:tblPr>
        <w:tblW w:w="7105" w:type="dxa"/>
        <w:jc w:val="left"/>
        <w:tblInd w:w="0" w:type="dxa"/>
        <w:tblLayout w:type="fixed"/>
        <w:tblCellMar>
          <w:top w:w="0" w:type="dxa"/>
          <w:left w:w="0" w:type="dxa"/>
          <w:bottom w:w="0" w:type="dxa"/>
          <w:right w:w="0" w:type="dxa"/>
        </w:tblCellMar>
      </w:tblPr>
      <w:tblGrid>
        <w:gridCol w:w="3781"/>
        <w:gridCol w:w="326"/>
        <w:gridCol w:w="239"/>
        <w:gridCol w:w="887"/>
        <w:gridCol w:w="326"/>
        <w:gridCol w:w="297"/>
        <w:gridCol w:w="1249"/>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400935" cy="175260"/>
                      <wp:effectExtent l="0" t="0" r="0" b="0"/>
                      <wp:wrapNone/>
                      <wp:docPr id="216" name="Frame215"/>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51765" cy="175260"/>
                      <wp:effectExtent l="0" t="0" r="0" b="0"/>
                      <wp:wrapNone/>
                      <wp:docPr id="218" name="Frame21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63245" cy="175260"/>
                      <wp:effectExtent l="0" t="0" r="0" b="0"/>
                      <wp:wrapNone/>
                      <wp:docPr id="219" name="Frame21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88595" cy="175260"/>
                      <wp:effectExtent l="0" t="0" r="0" b="0"/>
                      <wp:wrapNone/>
                      <wp:docPr id="221" name="Frame22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93115" cy="175260"/>
                      <wp:effectExtent l="0" t="0" r="0" b="0"/>
                      <wp:wrapNone/>
                      <wp:docPr id="222" name="Frame221"/>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159,688</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164,063</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Delayed draw term loan facility</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49,375</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59,000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72,000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trade finance lines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54,552</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43,694</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notes payable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5,801</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6,179</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loans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400,444</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278,975</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costs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(3,829)</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(12,137)</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(9,811)</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 net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(54,552)</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(43,694)</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 net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280,255</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223,092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June 30, 2024, we had $59.0 million of outstanding borrowings under the Revolving Credit Facility, with a weighted average interest rate of 9.1%, and we had $2.6 million of standby letters of credit outstanding. At June 30, 2024, the interest rate applicable to our Term Loan Facility was 9.2% and the interest rate applicable to our Delayed Draw Term Loan Facility was 8.7%.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As of the date of this Quarterly Report on Form 10-Q, the Company was in compliance with its financial covenants.</w:t>
      </w:r>
    </w:p>
    <w:p>
      <w:pPr>
        <w:pStyle w:val="TextBody"/>
        <w:bidi w:val="0"/>
        <w:spacing w:before="0" w:after="24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Term Loan Facility and Delayed Draw Term Loan Facility requires quarterly principal payments totaling approximately $2.8 million (1.25% of the original principal balance). Quarterly payments increase to approximately $4.2 million and $5.6 million (1.875% and 2.5% of the original principal balance) during the final two years of the agreements, respectively.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incurred a total of $2.4 million in financing fees in connection with the Third Amendment. Approximately $1.3 million of the fees were allocated to the Term Loan Facility and are being amortized over the remaining term of the Term Loan Facility utilizing the frozen effective yield method based on the interest rate in place at the issuance of the Term Loan Facility. Approximately $1.0 million of the fees were allocated to the Revolving Credit Facility, are reported within other long-term assets on the Condensed Consolidated Balance Sheets and are being amortized ratably over the remaining term of the Revolving Credit Facility.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15, 2024, the Company sold and issued in a private placement $72.0 million in aggregate principal amount of 5.00% convertible senior notes due 2029 (the “Convertible Notes”), of which $50.0 million was from related parties (See Note 21). The Convertible Notes are unsecured, senior obligations of the Company and accrue interest at a rate of 5.00% per annum.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Convertible Notes are carried at amortized cost and are recorded in long-term debt, net and convertible notes payable – related party, net on the Condensed Consolidated Balance Sheets. At June 30, 2024, the carrying value of the Convertible Notes was </w:t>
      </w:r>
      <w:r>
        <w:rPr>
          <w:rFonts w:ascii="Times New Roman;Times;serif" w:hAnsi="Times New Roman;Times;serif"/>
          <w:b w:val="false"/>
          <w:i w:val="false"/>
          <w:caps w:val="false"/>
          <w:smallCaps w:val="false"/>
          <w:sz w:val="20"/>
        </w:rPr>
        <w:t>$71.5</w:t>
      </w:r>
      <w:r>
        <w:rPr>
          <w:rFonts w:ascii="Times New Roman;Times;serif" w:hAnsi="Times New Roman;Times;serif"/>
          <w:sz w:val="20"/>
        </w:rPr>
        <w:t xml:space="preserve">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39" w:name="_Hlk141190246"/>
      <w:bookmarkStart w:id="1240" w:name="_Hlk164016437"/>
      <w:bookmarkEnd w:id="1239"/>
      <w:bookmarkEnd w:id="1240"/>
      <w:r>
        <w:rPr>
          <w:rFonts w:ascii="Times New Roman;Times;serif" w:hAnsi="Times New Roman;Times;serif"/>
          <w:sz w:val="20"/>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International Debt and Lending Facilities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21, 2023, we entered into a $70 million working capital trade finance facility with multiple financial institutions through our subsidiary, Falcon. The facility is uncommitted and repayable on demand, with certain of Falcon’s assets pledged as collateral against the facility. The facility was set to mature one year from inception. Borrowings under the facility bore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 of </w:t>
      </w:r>
      <w:r>
        <w:rPr>
          <w:rFonts w:ascii="Times New Roman;Times;serif" w:hAnsi="Times New Roman;Times;serif"/>
          <w:b w:val="false"/>
          <w:i w:val="false"/>
          <w:caps w:val="false"/>
          <w:smallCaps w:val="false"/>
          <w:sz w:val="20"/>
        </w:rPr>
        <w:t>1.00%</w:t>
      </w:r>
      <w:r>
        <w:rPr>
          <w:rFonts w:ascii="Times New Roman;Times;serif" w:hAnsi="Times New Roman;Times;serif"/>
          <w:sz w:val="20"/>
        </w:rPr>
        <w:t xml:space="preserve"> in excess of the Federal Funds Effective Rate, as defined in the facility, at such time, and (iii) Term SOFR for a one-month tenor in effect at such time plus 1.00%).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w:t>
      </w:r>
      <w:r>
        <w:rPr>
          <w:rFonts w:ascii="Times New Roman;Times;serif" w:hAnsi="Times New Roman;Times;serif"/>
          <w:sz w:val="20"/>
          <w:shd w:fill="FFFFFF" w:val="clear"/>
        </w:rPr>
        <w:t xml:space="preserve">At June 30, 2024, there was $41.7 million of outstanding borrowings under the facility, which is recorded in short-term debt in the Condensed Consolidated Balance Sheets. </w:t>
      </w:r>
      <w:r>
        <w:rPr>
          <w:rFonts w:ascii="Times New Roman;Times;serif" w:hAnsi="Times New Roman;Times;serif"/>
          <w:sz w:val="20"/>
        </w:rPr>
        <w:t>Falcon’s facility contains certain restrictive financial covenants which require Falcon to maintain certain levels of working capital, debt, and net worth. Falcon was in compliance with these financial covenants as of June 30, 2024.</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w:t>
      </w:r>
      <w:r>
        <w:rPr>
          <w:rFonts w:ascii="Times New Roman;Times;serif" w:hAnsi="Times New Roman;Times;serif"/>
          <w:b w:val="false"/>
          <w:i w:val="false"/>
          <w:caps w:val="false"/>
          <w:smallCaps w:val="false"/>
          <w:sz w:val="20"/>
        </w:rPr>
        <w:t>for</w:t>
      </w:r>
      <w:r>
        <w:rPr>
          <w:rFonts w:ascii="Times New Roman;Times;serif" w:hAnsi="Times New Roman;Times;serif"/>
          <w:sz w:val="20"/>
        </w:rPr>
        <w:t xml:space="preserve">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June 30, 2024, there was $5.0 million of outstanding borrowings under the facility, of which $4.5 million and $0.5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June 30,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41" w:name="_Hlk141190830"/>
      <w:bookmarkEnd w:id="1241"/>
      <w:r>
        <w:rPr>
          <w:rFonts w:ascii="Times New Roman;Times;serif" w:hAnsi="Times New Roman;Times;serif"/>
          <w:sz w:val="20"/>
        </w:rPr>
        <w:t>Westrock Coffee International, LLC, through its subsidiary Rwanda Trading Company, maintains two mortgage and inventory-backed lending facilities with a local bank in Rwanda: (a) a short-term trade finance facility with a balance of $8.4 million at June 30, 2024 and (b) a long-term note payable with a balance of $0.8 million at June 30, 2024. Additionally, Rwanda Trading Company maintains two short-term futures contract-based lending facilities from international institutions with outstanding balances of $2.5 million and $2.0 million at June 30, 2024.</w:t>
      </w:r>
    </w:p>
    <w:p>
      <w:pPr>
        <w:pStyle w:val="TextBody"/>
        <w:bidi w:val="0"/>
        <w:spacing w:before="0" w:after="240"/>
        <w:ind w:left="0" w:right="0" w:hanging="0"/>
        <w:jc w:val="left"/>
        <w:rPr>
          <w:rFonts w:ascii="Times New Roman;Times;serif" w:hAnsi="Times New Roman;Times;serif"/>
          <w:b/>
          <w:sz w:val="20"/>
        </w:rPr>
      </w:pPr>
      <w:bookmarkStart w:id="1242" w:name="Note12SeriesAPreferredShares"/>
      <w:bookmarkEnd w:id="1242"/>
      <w:r>
        <w:rPr>
          <w:rFonts w:ascii="Times New Roman;Times;serif" w:hAnsi="Times New Roman;Times;serif"/>
          <w:b/>
          <w:sz w:val="20"/>
        </w:rPr>
        <w:t>Note 12.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23,511,922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 (a) the liquidation preference and (b) the amount such holder would have received had they converted their Westrock Series A Preferred Shares into Common Shares immediately prior to such liquidation event.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Holders of Westrock Series A Preferred Shares may voluntarily convert their Westrock Series A Preferred Shares into a whole number of Common Shares at any time at a rate equal to the quotient of (a) the liquidation preference as of the applicable conversion date, divided by (b) the conversion price as of the applicable conversion date, which is currently $11.50 per Westrock Series A Preferred Share, plus cash in lieu of fractional shares. The initial conversion price of $11.50 per Westrock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February 26, 2028,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23,511,922 Series A Preferred Shares outstanding at June 30, 2024 remain outstanding after February 26, 2028, we estimate an aggregate redemption payment of at least approximately $270.4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At any time after February 26, 2028,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w:t>
      </w:r>
      <w:r>
        <w:rPr>
          <w:rFonts w:ascii="Times New Roman;Times;serif" w:hAnsi="Times New Roman;Times;serif"/>
          <w:b/>
          <w:sz w:val="20"/>
        </w:rPr>
        <w:t xml:space="preserve"> </w:t>
      </w:r>
      <w:r>
        <w:rPr>
          <w:rFonts w:ascii="Times New Roman;Times;serif" w:hAnsi="Times New Roman;Times;serif"/>
          <w:b w:val="false"/>
          <w:sz w:val="20"/>
        </w:rPr>
        <w:t>Westrock Series A Preferred Share on the date of the exercise of such call is notified by Westrock (including fractional shares for this purpose) and (y) the simple average of the daily volume weighted average price per Common Share for the ten</w:t>
      </w:r>
      <w:r>
        <w:rPr>
          <w:rFonts w:ascii="Times New Roman;Times;serif" w:hAnsi="Times New Roman;Times;serif"/>
          <w:b/>
          <w:sz w:val="20"/>
        </w:rPr>
        <w:t xml:space="preserve"> </w:t>
      </w:r>
      <w:r>
        <w:rPr>
          <w:rFonts w:ascii="Times New Roman;Times;serif" w:hAnsi="Times New Roman;Times;serif"/>
          <w:b w:val="false"/>
          <w:sz w:val="20"/>
        </w:rPr>
        <w:t>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w:t>
      </w:r>
      <w:r>
        <w:rPr>
          <w:rFonts w:ascii="Times New Roman;Times;serif" w:hAnsi="Times New Roman;Times;serif"/>
          <w:b/>
          <w:sz w:val="20"/>
        </w:rPr>
        <w:t xml:space="preserve"> </w:t>
      </w:r>
      <w:r>
        <w:rPr>
          <w:rFonts w:ascii="Times New Roman;Times;serif" w:hAnsi="Times New Roman;Times;serif"/>
          <w:b w:val="false"/>
          <w:sz w:val="20"/>
        </w:rPr>
        <w:t>per Westrock Series A Preferred Share (subject to adjustments); provided that, Westrock may redeem such shares in such a case if it pays an incremental price per share on the redemption date to the BBH Investors equal to the difference between $18.50</w:t>
      </w:r>
      <w:r>
        <w:rPr>
          <w:rFonts w:ascii="Times New Roman;Times;serif" w:hAnsi="Times New Roman;Times;serif"/>
          <w:b/>
          <w:sz w:val="20"/>
        </w:rPr>
        <w:t xml:space="preserve"> </w:t>
      </w:r>
      <w:r>
        <w:rPr>
          <w:rFonts w:ascii="Times New Roman;Times;serif" w:hAnsi="Times New Roman;Times;serif"/>
          <w:b w:val="false"/>
          <w:sz w:val="20"/>
        </w:rPr>
        <w:t>(subject to adjustments) and the redemption price otherwise.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issuance, the Westrock Series A Preferred Shares were recorded on our Condensed Consolidated Balance Sheets at fair value. Subsequently, the Company will accrete changes in the redemption value from the date of issuance to the earliest redemption date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and six months ended June 30, 2024, the Company recorded $0.1 million and $0.2 million of amortization, respectively, with respect to the Westrock Series A Preferred Shares. For the three and six months ended June 30, 2023, the Company recorded $0.1 million of amortization and $0.3 million of accretion, respectively, with respect to the Westrock Series A Preferred Shares.</w:t>
      </w:r>
    </w:p>
    <w:p>
      <w:pPr>
        <w:pStyle w:val="TextBody"/>
        <w:pBdr/>
        <w:bidi w:val="0"/>
        <w:spacing w:before="0" w:after="0"/>
        <w:ind w:left="0" w:right="0" w:hanging="0"/>
        <w:jc w:val="left"/>
        <w:rPr>
          <w:rFonts w:ascii="Times New Roman;Times;serif" w:hAnsi="Times New Roman;Times;serif"/>
          <w:b/>
          <w:sz w:val="20"/>
        </w:rPr>
      </w:pPr>
      <w:bookmarkStart w:id="1243" w:name="Note13CommonStockWarrants"/>
      <w:bookmarkEnd w:id="1243"/>
      <w:r>
        <w:rPr>
          <w:rFonts w:ascii="Times New Roman;Times;serif" w:hAnsi="Times New Roman;Times;serif"/>
          <w:b/>
          <w:sz w:val="20"/>
        </w:rPr>
        <w:t>Note 13. Common Stock Warrants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19,144,120 common stock warrants outstanding at June 30, 2024. 17,118,074 of the warrants are publicly-traded (the “Westrock Public Warrants”) and 2,026,046 of the warrants are private placements warrants (the “Westrock Private Warrants” and together with the Westrock Public Warrants, the “Westrock Warrants”). The Westrock Warrants are included in warrant liabilities on the Company’s Condensed Consolidated Balance Sheet. The Westrock Warrants entitle the holder to purchase one share of Common Share at an exercise price of $11.50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Westrock Warrants may only be exercised for a whole number of shares, and will expire on August 26, 2027, or earlier upon redemption or liquidation. Westrock may redeem the outstanding Westrock Public Warrants (i) in whole and not in part; (ii) at a price of $0.01 per warrant; (iii) upon not less than 30 days’ prior written notice of redemption to each warrant holder; and (iv) if, and only if, the reported last sale price of the Common Shares for any 20 trading days within a 30-trading day period ending three business days before Westrock sends the notice of redemption to the warrant holders equals or exceeds $18.00 per share. During any period when Westrock fails to maintain an effective registration statement registering the Common Shares issuable upon the exercise of the Westrock Warrants, Westrock is required to permit holders of Westrock Warrants to exercise their Westrock Warrants on a “cashless basis” in accordance with Section 3(a)(9) of the Securities Act of 1933, as amended, or another exemption.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and when the Westrock Public Warrants become redeemable by Westrock, Westrock may exercise its redemption right even if Westrock is unable to register or qualify the underlying securities for sale under all applicable state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Westrock Private Warrants are generally identical to the Westrock Public Warrants, except they cannot be redeemable by Westrock so long as they are held by the existing holders or its permitted transferees. Furthermore, the existing holders, or their permitted transferees, have the option to exercise the Westrock Private Warrants on a cashless basis.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account for the Westrock Warrants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Condensed Consolidated Statements of Operations.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re-measures the fair value of the Westrock Public Warrants based on the quoted market price of the Westrock Public Warrants. The Westrock Private Warrants are valued using a binomial lattice valuation model. For the three and six months ended June 30, 2024, the Company recognized $1.6 million and $1.7 million of gains, respectively, related to the change in fair value of warrant liabilities, which is recognized in other (income) expense in the Condensed Consolidated Statements of Operations. For the three and six months ended June 30, 2023, the Company recognized $11.8 million and $6.3 million of losses, respectively, related to the change in fair value of warrant liabilities.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44" w:name="_Hlk101959127"/>
      <w:bookmarkStart w:id="1245" w:name="Note13Derivatives_643440"/>
      <w:bookmarkEnd w:id="1244"/>
      <w:bookmarkEnd w:id="1245"/>
      <w:r>
        <w:rPr>
          <w:rFonts w:ascii="Times New Roman;Times;serif" w:hAnsi="Times New Roman;Times;serif"/>
          <w:b/>
          <w:sz w:val="20"/>
        </w:rPr>
        <w:t>Note 14.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six months ended June 30, 2024 or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Within our Beverage Solutions segment, we have entered into coffee futures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notional amount for the coffee futures contracts that were designated and qualified for our commodity cash flow hedging program was 15.5 million pounds and 11.5 million pounds as of June 30, 2024 and December 31, 2023, respectively. During the three and six months ended June 30, 2024, the Company purchased coffee futures contracts and coffee options contracts under our cash flow hedging program with aggregate notional amounts of 20.1 million pounds and 30.0 million pounds, respectively. During the three and six months ended June 30, 2023, the Company purchased coffee futures contracts and coffee options contracts under our cash flow hedging program with aggregate notional amounts of 15.2 million pounds and 23.6 million pounds,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Approximately $3.5 million and $3.6 million of net realized gains, representing the effective portion of the cash flow hedge, were subsequently reclassified from AOCI to earnings and recognized in costs of sales in the Condensed Consolidated Statements of Operations for the three and six months ended June 30, 2024, respectively. Approximately $1.4 million and $2.1 million of net realized losses, representing the effective portion of the cash flow hedge, were subsequently reclassified from AOCI to earnings and recognized in costs of sales in the Condensed Consolidated Statements of Operations for the three and six months ended June 30, 2023, respectively. As of June 30, 2024, the estimated amount of net gains reported in AOCI that is expected to be reclassified to the Condensed Consolidated Statements of Operations within the next twelve months is $8.7 million.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Within our Sustainable Sourcing &amp; Traceability segment, the Company’s forward sales and forward purchase contracts are for physical delivery of green coffee in a future period. While the Company considers these contracts to be effective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46" w:name="Tc_0FQeQcnBPEO3HtTz5Mtlwg_7_13"/>
      <w:bookmarkStart w:id="1247" w:name="Tc_WjMYkrBxJEq6TOyc2XL3jg_7_10"/>
      <w:bookmarkStart w:id="1248" w:name="Tc_1pXXDjBtPkmT5XwX22I8VA_7_7"/>
      <w:bookmarkStart w:id="1249" w:name="Tc_AULke1oebkyUuYdhJGoJow_7_4"/>
      <w:bookmarkStart w:id="1250" w:name="Tc_xF114C9v6EyPrScS8VOL6g_7_2"/>
      <w:bookmarkStart w:id="1251" w:name="Tc_T3Xgef7MZEmBoubbSLNRsg_7_0"/>
      <w:bookmarkStart w:id="1252" w:name="Tc_is7YMzuyBUaWNPJrUf7RaQ_6_0"/>
      <w:bookmarkStart w:id="1253" w:name="Tc_SgwxHFr4zEenY7HyR2eJYw_4_13"/>
      <w:bookmarkStart w:id="1254" w:name="Tc_j8_PAqr9LUiCy6KmwpXzLQ_4_10"/>
      <w:bookmarkStart w:id="1255" w:name="Tc_JwVcZg-NQ0mPmCoE9bQxyQ_4_7"/>
      <w:bookmarkStart w:id="1256" w:name="Tc_xLV0wSPTu0eBRRbln6HXNg_4_4"/>
      <w:bookmarkStart w:id="1257" w:name="Tc_ZU28PaHQzkWU1SWTbToWew_4_2"/>
      <w:bookmarkStart w:id="1258" w:name="Tc_hdT7pwYkM0O7tVBECOnaGw_4_0"/>
      <w:bookmarkStart w:id="1259" w:name="Tc_EwPxIjMZZUGsrC3pKeIybg_3_0"/>
      <w:bookmarkStart w:id="1260" w:name="Tc_ykr2jSPe70WQd9f9Mrb5_Q_2_13"/>
      <w:bookmarkStart w:id="1261" w:name="Tc_ZXks4OXI10WlO5Ypzr4gAQ_2_10"/>
      <w:bookmarkStart w:id="1262" w:name="Tc_vZ2oFu_9dEuczhDxRNuJVw_2_7"/>
      <w:bookmarkStart w:id="1263" w:name="Tc_6WwKto7EVECgKMCQMC9apw_2_4"/>
      <w:bookmarkStart w:id="1264" w:name="Tc_GhDaTBetK0aGziKulNdZww_2_2"/>
      <w:bookmarkStart w:id="1265" w:name="Tc_ml-PBQLItkKSROJeh-0yzQ_2_0"/>
      <w:bookmarkStart w:id="1266" w:name="Tc_PV2LWYmYO0Gwa3SRfuGr_Q_1_10"/>
      <w:bookmarkStart w:id="1267" w:name="Tc_lT1WWfs9t0CRDb37FmBz1A_1_4"/>
      <w:bookmarkStart w:id="1268" w:name="Tc_0d3i0Ep8ukKaVhXKu2tAyQ_14_7"/>
      <w:bookmarkStart w:id="1269" w:name="Tc_JZqmY6sA5UqFIUVURIGVqg_14_4"/>
      <w:bookmarkStart w:id="1270" w:name="Tc_ltp4Yz_b4E6q_gQZO6zYCw_14_0"/>
      <w:bookmarkStart w:id="1271" w:name="Tc_3KqrXCQ1lUGI1AKm-dAMnQ_13_7"/>
      <w:bookmarkStart w:id="1272" w:name="Tc_wndhOxrDyUqf_ipYcE6Mvg_13_4"/>
      <w:bookmarkStart w:id="1273" w:name="Tc_FxAoUs4XREaLMDm1olEB5w_13_2"/>
      <w:bookmarkStart w:id="1274" w:name="Tc_vZi7fPud80OHTZxSAb8iMw_13_0"/>
      <w:bookmarkStart w:id="1275" w:name="Tc_TmfXpTAbO0mDreG84mH13Q_12_0"/>
      <w:bookmarkStart w:id="1276" w:name="Tc_gceoiFN2LUagtVatQrpcTA_10_7"/>
      <w:bookmarkStart w:id="1277" w:name="Tc_K34-Er6-IkCb-YzkMXlBEg_10_4"/>
      <w:bookmarkStart w:id="1278" w:name="Tc_nWaUlzgADUWn_y0tunNsmA_10_0"/>
      <w:bookmarkStart w:id="1279" w:name="Tc_SgdanEk0Mk6XhonERn2PXg_9_0"/>
      <w:bookmarkStart w:id="1280" w:name="Tc_vc_biU7h30mv_Dtl8tZBxQ_8_7"/>
      <w:bookmarkStart w:id="1281" w:name="Tc_5X4gMfuBlk-A9kYkFVncCA_8_4"/>
      <w:bookmarkStart w:id="1282" w:name="Tc_KIfZf3j0C0qjuq68h7sscw_8_2"/>
      <w:bookmarkStart w:id="1283" w:name="Tc_BJJrLbNcmUWrQcFgZjYA8Q_8_0"/>
      <w:bookmarkStart w:id="1284" w:name="Tc_j1V6h4PcvkK85DXwyDr0vw_7_0"/>
      <w:bookmarkStart w:id="1285" w:name="Tc_bpkkLucQNEOFgN0UjewysQ_5_7"/>
      <w:bookmarkStart w:id="1286" w:name="Tc_GqT1tUmKU0O5YlXBnKHJAw_5_4"/>
      <w:bookmarkStart w:id="1287" w:name="Tc_2913PcG7CEa5F36n_jZAjw_5_0"/>
      <w:bookmarkStart w:id="1288" w:name="Tc_wlvDgxCKSEO1-P7dKewv7w_4_8"/>
      <w:bookmarkStart w:id="1289" w:name="Tc_MmvwJeRhck2d7AXmnEhmPw_4_2"/>
      <w:bookmarkStart w:id="1290" w:name="Tc__u20zIVlJk2d_ipRY_hCAw_4_0"/>
      <w:bookmarkStart w:id="1291" w:name="Tc_4yBqt0tZXUaWKa_fVaJhXA_3_7"/>
      <w:bookmarkStart w:id="1292" w:name="Tc_dAUSVVceoUKZsCIYTav1oQ_3_4"/>
      <w:bookmarkStart w:id="1293" w:name="Tc_s0W1lhQAJ0C79OOcEuMwhg_3_2"/>
      <w:bookmarkStart w:id="1294" w:name="Tc_4a4eU064S0ehur3tR2wRaw_3_0"/>
      <w:bookmarkStart w:id="1295" w:name="Tc_ivMjv7FLgEKh-cGVYZSf5g_2_0"/>
      <w:bookmarkStart w:id="1296" w:name="Tc_6TzCNKhaK0GMFuGQwAafqw_1_7"/>
      <w:bookmarkStart w:id="1297" w:name="Tc_wKvB-xPCxkycSySgZxN-cA_1_4"/>
      <w:bookmarkStart w:id="1298" w:name="Tc_aP7PVKQuRUiFvX7D_DlmeA_1_2"/>
      <w:bookmarkStart w:id="1299" w:name="Tc_qpwRDWb0ukqiKeUvEl8JIA_1_0"/>
      <w:bookmarkStart w:id="1300" w:name="_66c57f34_37dc_49ba_a5fe_d8a027a936c2"/>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r>
        <w:rPr>
          <w:rFonts w:ascii="Times New Roman;Times;serif" w:hAnsi="Times New Roman;Times;serif"/>
          <w:sz w:val="20"/>
        </w:rPr>
        <w:t>economic hedges, the Company does not designate or account for forward sales or forward purchase contracts as hedges as defined under current accounting standards. See Note 4 for a description of the treatment of realized and unrealized gains and losses on forward sales and forward purchase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our derivative assets and liabilities included in the Condensed Consolidated Balance Sheets are set forth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35"/>
        <w:gridCol w:w="326"/>
        <w:gridCol w:w="1619"/>
        <w:gridCol w:w="326"/>
        <w:gridCol w:w="267"/>
        <w:gridCol w:w="859"/>
        <w:gridCol w:w="326"/>
        <w:gridCol w:w="350"/>
        <w:gridCol w:w="1197"/>
      </w:tblGrid>
      <w:tr>
        <w:trPr/>
        <w:tc>
          <w:tcPr>
            <w:tcW w:w="4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133725" cy="175260"/>
                      <wp:effectExtent l="0" t="0" r="0" b="0"/>
                      <wp:wrapNone/>
                      <wp:docPr id="223" name="Frame222"/>
                      <a:graphic xmlns:a="http://schemas.openxmlformats.org/drawingml/2006/main">
                        <a:graphicData uri="http://schemas.microsoft.com/office/word/2010/wordprocessingShape">
                          <wps:wsp>
                            <wps:cNvSpPr txBox="1"/>
                            <wps:spPr>
                              <a:xfrm>
                                <a:off x="0" y="0"/>
                                <a:ext cx="313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028065" cy="175260"/>
                      <wp:effectExtent l="0" t="0" r="0" b="0"/>
                      <wp:wrapNone/>
                      <wp:docPr id="225" name="Frame224"/>
                      <a:graphic xmlns:a="http://schemas.openxmlformats.org/drawingml/2006/main">
                        <a:graphicData uri="http://schemas.microsoft.com/office/word/2010/wordprocessingShape">
                          <wps:wsp>
                            <wps:cNvSpPr txBox="1"/>
                            <wps:spPr>
                              <a:xfrm>
                                <a:off x="0" y="0"/>
                                <a:ext cx="1028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9545" cy="175260"/>
                      <wp:effectExtent l="0" t="0" r="0" b="0"/>
                      <wp:wrapNone/>
                      <wp:docPr id="227" name="Frame22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45465" cy="175260"/>
                      <wp:effectExtent l="0" t="0" r="0" b="0"/>
                      <wp:wrapNone/>
                      <wp:docPr id="228" name="Frame22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2250" cy="175260"/>
                      <wp:effectExtent l="0" t="0" r="0" b="0"/>
                      <wp:wrapNone/>
                      <wp:docPr id="230" name="Frame22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60095" cy="175260"/>
                      <wp:effectExtent l="0" t="0" r="0" b="0"/>
                      <wp:wrapNone/>
                      <wp:docPr id="231" name="Frame230"/>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61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93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61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center"/>
              <w:rPr/>
            </w:pPr>
            <w:r>
              <w:rPr/>
              <w:t>​</w:t>
            </w:r>
          </w:p>
        </w:tc>
      </w:tr>
      <w:tr>
        <w:trPr/>
        <w:tc>
          <w:tcPr>
            <w:tcW w:w="493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61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3,924</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4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61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161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4,636</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49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61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left"/>
              <w:rPr/>
            </w:pPr>
            <w:r>
              <w:rPr/>
              <w:t>​</w:t>
            </w:r>
          </w:p>
        </w:tc>
      </w:tr>
      <w:tr>
        <w:trPr/>
        <w:tc>
          <w:tcPr>
            <w:tcW w:w="493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not designated as cash flow hedging instruments:</w:t>
            </w:r>
          </w:p>
        </w:tc>
        <w:tc>
          <w:tcPr>
            <w:tcW w:w="326" w:type="dxa"/>
            <w:tcBorders/>
            <w:vAlign w:val="center"/>
          </w:tcPr>
          <w:p>
            <w:pPr>
              <w:pStyle w:val="TableContents"/>
              <w:bidi w:val="0"/>
              <w:spacing w:before="0" w:after="1"/>
              <w:ind w:left="0" w:right="0" w:hanging="0"/>
              <w:jc w:val="left"/>
              <w:rPr/>
            </w:pPr>
            <w:r>
              <w:rPr/>
              <w:t>​</w:t>
            </w:r>
          </w:p>
        </w:tc>
        <w:tc>
          <w:tcPr>
            <w:tcW w:w="161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left"/>
              <w:rPr/>
            </w:pPr>
            <w:r>
              <w:rPr/>
              <w:t>​</w:t>
            </w:r>
          </w:p>
        </w:tc>
      </w:tr>
      <w:tr>
        <w:trPr/>
        <w:tc>
          <w:tcPr>
            <w:tcW w:w="4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61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10,303</w:t>
            </w:r>
          </w:p>
        </w:tc>
      </w:tr>
      <w:tr>
        <w:trPr/>
        <w:tc>
          <w:tcPr>
            <w:tcW w:w="4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1"/>
              <w:ind w:left="0" w:right="0" w:hanging="0"/>
              <w:jc w:val="left"/>
              <w:rPr/>
            </w:pPr>
            <w:r>
              <w:rPr/>
              <w:t>​</w:t>
            </w:r>
          </w:p>
        </w:tc>
        <w:tc>
          <w:tcPr>
            <w:tcW w:w="16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10,303</w:t>
            </w:r>
          </w:p>
        </w:tc>
      </w:tr>
      <w:tr>
        <w:trPr/>
        <w:tc>
          <w:tcPr>
            <w:tcW w:w="4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derivative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61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17,751</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13,658</w:t>
            </w:r>
          </w:p>
        </w:tc>
      </w:tr>
      <w:tr>
        <w:trPr/>
        <w:tc>
          <w:tcPr>
            <w:tcW w:w="4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left"/>
              <w:rPr/>
            </w:pPr>
            <w:r>
              <w:rPr/>
              <w:t>​</w:t>
            </w:r>
          </w:p>
        </w:tc>
      </w:tr>
      <w:tr>
        <w:trPr/>
        <w:tc>
          <w:tcPr>
            <w:tcW w:w="493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liabilities not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61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left"/>
              <w:rPr/>
            </w:pPr>
            <w:r>
              <w:rPr/>
              <w:t>​</w:t>
            </w:r>
          </w:p>
        </w:tc>
      </w:tr>
      <w:tr>
        <w:trPr/>
        <w:tc>
          <w:tcPr>
            <w:tcW w:w="4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326" w:type="dxa"/>
            <w:tcBorders/>
            <w:vAlign w:val="center"/>
          </w:tcPr>
          <w:p>
            <w:pPr>
              <w:pStyle w:val="TableContents"/>
              <w:bidi w:val="0"/>
              <w:spacing w:before="0" w:after="1"/>
              <w:ind w:left="0" w:right="0" w:hanging="0"/>
              <w:jc w:val="left"/>
              <w:rPr/>
            </w:pPr>
            <w:r>
              <w:rPr/>
              <w:t>​</w:t>
            </w:r>
          </w:p>
        </w:tc>
        <w:tc>
          <w:tcPr>
            <w:tcW w:w="161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5,044</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3,731</w:t>
            </w:r>
          </w:p>
        </w:tc>
      </w:tr>
      <w:tr>
        <w:trPr/>
        <w:tc>
          <w:tcPr>
            <w:tcW w:w="4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61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5,044</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3,731</w:t>
            </w:r>
          </w:p>
        </w:tc>
      </w:tr>
    </w:tbl>
    <w:p>
      <w:pPr>
        <w:pStyle w:val="TextBody"/>
        <w:pBdr/>
        <w:bidi w:val="0"/>
        <w:spacing w:before="0" w:after="240"/>
        <w:ind w:left="0" w:right="0" w:hanging="288"/>
        <w:jc w:val="left"/>
        <w:rPr>
          <w:rFonts w:ascii="Times New Roman;Times;serif" w:hAnsi="Times New Roman;Times;serif"/>
          <w:sz w:val="16"/>
        </w:rPr>
      </w:pPr>
      <w:r>
        <w:rPr>
          <w:rFonts w:ascii="Times New Roman;Times;serif" w:hAnsi="Times New Roman;Times;serif"/>
          <w:sz w:val="16"/>
        </w:rPr>
        <w:t>1 - The fair value of coffee futures excludes amounts related to margin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pre-tax net gains and losses for our derivative instruments for the three and six months ended June 30, 2024 and 2023, respectively: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70"/>
        <w:gridCol w:w="326"/>
        <w:gridCol w:w="1598"/>
        <w:gridCol w:w="326"/>
        <w:gridCol w:w="223"/>
        <w:gridCol w:w="605"/>
        <w:gridCol w:w="345"/>
        <w:gridCol w:w="223"/>
        <w:gridCol w:w="697"/>
        <w:gridCol w:w="326"/>
        <w:gridCol w:w="215"/>
        <w:gridCol w:w="582"/>
        <w:gridCol w:w="332"/>
        <w:gridCol w:w="215"/>
        <w:gridCol w:w="722"/>
      </w:tblGrid>
      <w:tr>
        <w:trPr/>
        <w:tc>
          <w:tcPr>
            <w:tcW w:w="3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03450" cy="175260"/>
                      <wp:effectExtent l="0" t="0" r="0" b="0"/>
                      <wp:wrapNone/>
                      <wp:docPr id="232" name="Frame231"/>
                      <a:graphic xmlns:a="http://schemas.openxmlformats.org/drawingml/2006/main">
                        <a:graphicData uri="http://schemas.microsoft.com/office/word/2010/wordprocessingShape">
                          <wps:wsp>
                            <wps:cNvSpPr txBox="1"/>
                            <wps:spPr>
                              <a:xfrm>
                                <a:off x="0" y="0"/>
                                <a:ext cx="2203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014730" cy="175260"/>
                      <wp:effectExtent l="0" t="0" r="0" b="0"/>
                      <wp:wrapNone/>
                      <wp:docPr id="234" name="Frame233"/>
                      <a:graphic xmlns:a="http://schemas.openxmlformats.org/drawingml/2006/main">
                        <a:graphicData uri="http://schemas.microsoft.com/office/word/2010/wordprocessingShape">
                          <wps:wsp>
                            <wps:cNvSpPr txBox="1"/>
                            <wps:spPr>
                              <a:xfrm>
                                <a:off x="0" y="0"/>
                                <a:ext cx="1014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1605" cy="175260"/>
                      <wp:effectExtent l="0" t="0" r="0" b="0"/>
                      <wp:wrapNone/>
                      <wp:docPr id="236" name="Frame23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84175" cy="175260"/>
                      <wp:effectExtent l="0" t="0" r="0" b="0"/>
                      <wp:wrapNone/>
                      <wp:docPr id="237" name="Frame236"/>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075" cy="175260"/>
                      <wp:effectExtent l="0" t="0" r="0" b="0"/>
                      <wp:wrapNone/>
                      <wp:docPr id="238" name="Frame237"/>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41605" cy="175260"/>
                      <wp:effectExtent l="0" t="0" r="0" b="0"/>
                      <wp:wrapNone/>
                      <wp:docPr id="239" name="Frame23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42595" cy="175260"/>
                      <wp:effectExtent l="0" t="0" r="0" b="0"/>
                      <wp:wrapNone/>
                      <wp:docPr id="240" name="Frame239"/>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6525" cy="175260"/>
                      <wp:effectExtent l="0" t="0" r="0" b="0"/>
                      <wp:wrapNone/>
                      <wp:docPr id="242" name="Frame24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69570" cy="175260"/>
                      <wp:effectExtent l="0" t="0" r="0" b="0"/>
                      <wp:wrapNone/>
                      <wp:docPr id="243" name="Frame242"/>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0820" cy="175260"/>
                      <wp:effectExtent l="0" t="0" r="0" b="0"/>
                      <wp:wrapNone/>
                      <wp:docPr id="244" name="Frame24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6525" cy="175260"/>
                      <wp:effectExtent l="0" t="0" r="0" b="0"/>
                      <wp:wrapNone/>
                      <wp:docPr id="245" name="Frame24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58470" cy="175260"/>
                      <wp:effectExtent l="0" t="0" r="0" b="0"/>
                      <wp:wrapNone/>
                      <wp:docPr id="246" name="Frame24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0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7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Statement of Operations Location</w:t>
            </w:r>
          </w:p>
        </w:tc>
        <w:tc>
          <w:tcPr>
            <w:tcW w:w="326" w:type="dxa"/>
            <w:tcBorders/>
            <w:vAlign w:val="center"/>
          </w:tcPr>
          <w:p>
            <w:pPr>
              <w:pStyle w:val="TableContents"/>
              <w:bidi w:val="0"/>
              <w:spacing w:before="0" w:after="1"/>
              <w:ind w:left="0" w:right="0" w:hanging="0"/>
              <w:jc w:val="left"/>
              <w:rPr/>
            </w:pPr>
            <w:r>
              <w:rPr/>
              <w:t>    </w:t>
            </w:r>
          </w:p>
        </w:tc>
        <w:tc>
          <w:tcPr>
            <w:tcW w:w="8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5" w:type="dxa"/>
            <w:tcBorders/>
            <w:vAlign w:val="center"/>
          </w:tcPr>
          <w:p>
            <w:pPr>
              <w:pStyle w:val="TableContents"/>
              <w:bidi w:val="0"/>
              <w:spacing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2" w:type="dxa"/>
            <w:tcBorders/>
            <w:vAlign w:val="center"/>
          </w:tcPr>
          <w:p>
            <w:pPr>
              <w:pStyle w:val="TableContents"/>
              <w:bidi w:val="0"/>
              <w:spacing w:before="0" w:after="1"/>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7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59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605" w:type="dxa"/>
            <w:tcBorders/>
            <w:shd w:fill="CCEEFF" w:val="clear"/>
            <w:vAlign w:val="center"/>
          </w:tcPr>
          <w:p>
            <w:pPr>
              <w:pStyle w:val="TableContents"/>
              <w:bidi w:val="0"/>
              <w:spacing w:before="0" w:after="1"/>
              <w:ind w:left="0" w:right="0" w:hanging="0"/>
              <w:jc w:val="center"/>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center"/>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center"/>
              <w:rPr/>
            </w:pPr>
            <w:r>
              <w:rPr/>
              <w:t>​</w:t>
            </w:r>
          </w:p>
        </w:tc>
      </w:tr>
      <w:tr>
        <w:trPr/>
        <w:tc>
          <w:tcPr>
            <w:tcW w:w="34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realized gains (losses) on coffee derivatives</w:t>
            </w:r>
          </w:p>
        </w:tc>
        <w:tc>
          <w:tcPr>
            <w:tcW w:w="326" w:type="dxa"/>
            <w:tcBorders/>
            <w:vAlign w:val="center"/>
          </w:tcPr>
          <w:p>
            <w:pPr>
              <w:pStyle w:val="TableContents"/>
              <w:bidi w:val="0"/>
              <w:spacing w:before="0" w:after="1"/>
              <w:ind w:left="0" w:right="0" w:hanging="0"/>
              <w:jc w:val="left"/>
              <w:rPr/>
            </w:pPr>
            <w:r>
              <w:rPr/>
              <w:t>​</w:t>
            </w:r>
          </w:p>
        </w:tc>
        <w:tc>
          <w:tcPr>
            <w:tcW w:w="159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45"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w:t>
            </w:r>
          </w:p>
        </w:tc>
        <w:tc>
          <w:tcPr>
            <w:tcW w:w="332"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w:t>
            </w:r>
          </w:p>
        </w:tc>
      </w:tr>
      <w:tr>
        <w:trPr/>
        <w:tc>
          <w:tcPr>
            <w:tcW w:w="34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9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605"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left"/>
              <w:rPr/>
            </w:pPr>
            <w:r>
              <w:rPr/>
              <w:t>​</w:t>
            </w:r>
          </w:p>
        </w:tc>
      </w:tr>
      <w:tr>
        <w:trPr/>
        <w:tc>
          <w:tcPr>
            <w:tcW w:w="347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and liabilities not designated as cash flow hedging instruments:</w:t>
            </w:r>
          </w:p>
        </w:tc>
        <w:tc>
          <w:tcPr>
            <w:tcW w:w="326" w:type="dxa"/>
            <w:tcBorders/>
            <w:vAlign w:val="center"/>
          </w:tcPr>
          <w:p>
            <w:pPr>
              <w:pStyle w:val="TableContents"/>
              <w:bidi w:val="0"/>
              <w:spacing w:before="0" w:after="1"/>
              <w:ind w:left="0" w:right="0" w:hanging="0"/>
              <w:jc w:val="left"/>
              <w:rPr/>
            </w:pPr>
            <w:r>
              <w:rPr/>
              <w:t>​</w:t>
            </w:r>
          </w:p>
        </w:tc>
        <w:tc>
          <w:tcPr>
            <w:tcW w:w="15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r>
      <w:tr>
        <w:trPr/>
        <w:tc>
          <w:tcPr>
            <w:tcW w:w="34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gains (losses) on forward sales and purchase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59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Costs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4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2,200</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1,070</w:t>
            </w:r>
          </w:p>
        </w:tc>
      </w:tr>
    </w:tbl>
    <w:p>
      <w:pPr>
        <w:pStyle w:val="TextBody"/>
        <w:pBdr/>
        <w:bidi w:val="0"/>
        <w:spacing w:before="0" w:after="240"/>
        <w:ind w:left="0" w:right="0" w:hanging="288"/>
        <w:jc w:val="left"/>
        <w:rPr/>
      </w:pPr>
      <w:r>
        <w:rPr/>
        <w:t>​</w:t>
      </w:r>
    </w:p>
    <w:p>
      <w:pPr>
        <w:pStyle w:val="TextBody"/>
        <w:bidi w:val="0"/>
        <w:spacing w:before="240" w:after="240"/>
        <w:ind w:left="0" w:right="0" w:hanging="0"/>
        <w:jc w:val="left"/>
        <w:rPr>
          <w:rFonts w:ascii="Times New Roman;Times;serif" w:hAnsi="Times New Roman;Times;serif"/>
          <w:b/>
          <w:sz w:val="20"/>
        </w:rPr>
      </w:pPr>
      <w:bookmarkStart w:id="1301" w:name="Note14FairValueMeasurements_1544"/>
      <w:bookmarkEnd w:id="1301"/>
      <w:r>
        <w:rPr>
          <w:rFonts w:ascii="Times New Roman;Times;serif" w:hAnsi="Times New Roman;Times;serif"/>
          <w:b/>
          <w:sz w:val="20"/>
        </w:rPr>
        <w:t>Note 15.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ASC 820, </w:t>
      </w:r>
      <w:r>
        <w:rPr>
          <w:rFonts w:ascii="Times New Roman;Times;serif" w:hAnsi="Times New Roman;Times;serif"/>
          <w:i/>
          <w:sz w:val="20"/>
        </w:rPr>
        <w:t>Fair Value Measurements</w:t>
      </w:r>
      <w:r>
        <w:rPr>
          <w:rFonts w:ascii="Times New Roman;Times;serif" w:hAnsi="Times New Roman;Times;serif"/>
          <w:sz w:val="20"/>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02" w:name="Tc_8JFBrzYb60GvULolb8scpg_5_2"/>
      <w:bookmarkStart w:id="1303" w:name="Tc_Qe59ImvOmEyf6ialllX7Og_5_0"/>
      <w:bookmarkStart w:id="1304" w:name="Tc_XoExH70SVEeVM6kIu6tSqg_4_0"/>
      <w:bookmarkStart w:id="1305" w:name="Tc_fX3DDCPGpk6WZK7cKFdC9Q_3_2"/>
      <w:bookmarkStart w:id="1306" w:name="Tc_fHFWHm13i0G_SFGmuc7YUQ_3_0"/>
      <w:bookmarkStart w:id="1307" w:name="Tc_Ek36CC6VCkaJEztiiDRHWQ_2_2"/>
      <w:bookmarkStart w:id="1308" w:name="Tc_rtglX7r8q067UqMDsBc19g_2_0"/>
      <w:bookmarkStart w:id="1309" w:name="Tc_fsNrrjtDW0eGyQMGvlfIdA_1_2"/>
      <w:bookmarkStart w:id="1310" w:name="Tc_XMMmWXL8F0yOlbGCH364YA_14_11"/>
      <w:bookmarkStart w:id="1311" w:name="Tc_rFVtqQ_s-ESH1LqiD32DRA_14_8"/>
      <w:bookmarkStart w:id="1312" w:name="Tc_KV654y40PEu-O5R-_QNMfQ_14_5"/>
      <w:bookmarkStart w:id="1313" w:name="Tc_3CcGvWHoU0uH1AfH3WPMeA_14_2"/>
      <w:bookmarkStart w:id="1314" w:name="Tc_jhHo9uWiLEKaLS9WqNBJNg_14_0"/>
      <w:bookmarkStart w:id="1315" w:name="Tc_oEbvUHUMX0G2N7KB1LwQSw_13_6"/>
      <w:bookmarkStart w:id="1316" w:name="Tc_OPBMogqfRE2UQKn7WvErbw_13_3"/>
      <w:bookmarkStart w:id="1317" w:name="Tc_lsLxKxiiyUCHESk3VQVKhQ_13_0"/>
      <w:bookmarkStart w:id="1318" w:name="Tc_MugEn_aUp06SBzWPlLoaJg_12_9"/>
      <w:bookmarkStart w:id="1319" w:name="Tc_qstHW6iFy0u-Y3AWuDOjKw_12_6"/>
      <w:bookmarkStart w:id="1320" w:name="Tc_iNcUE8Uy4EKUyXY7rwIjqQ_12_0"/>
      <w:bookmarkStart w:id="1321" w:name="Tc_Oss1OF2rJUex564xv5mtZA_11_9"/>
      <w:bookmarkStart w:id="1322" w:name="Tc_Z9Kvht0LGUO93aRTIauRVA_11_3"/>
      <w:bookmarkStart w:id="1323" w:name="Tc__T4xfB0Ot0yghNvqTAPS2Q_11_0"/>
      <w:bookmarkStart w:id="1324" w:name="Tc_T65I-18Zl0qjU2hzENBOZg_10_0"/>
      <w:bookmarkStart w:id="1325" w:name="Tc_woQfFWcCRUmjVmb4Vo80ng_8_11"/>
      <w:bookmarkStart w:id="1326" w:name="Tc_c16sahVdqEOiwDoQJCRPyA_8_9"/>
      <w:bookmarkStart w:id="1327" w:name="Tc_6e3QqmB-Hk-ffIW35yA4HQ_8_8"/>
      <w:bookmarkStart w:id="1328" w:name="Tc_DC2wa9HXp0WtlQIvNyEczg_8_5"/>
      <w:bookmarkStart w:id="1329" w:name="Tc_4HWN9jZIf0eOisVrBRmFWg_8_2"/>
      <w:bookmarkStart w:id="1330" w:name="Tc_K3sGq-3dJEWMXV8Kgfy6gA_8_0"/>
      <w:bookmarkStart w:id="1331" w:name="Tc_N05kPo_5Z0-hIcpcG_14dw_7_9"/>
      <w:bookmarkStart w:id="1332" w:name="Tc_q0sn9lcK_kCLvPXHTjn14w_7_3"/>
      <w:bookmarkStart w:id="1333" w:name="Tc_iun2PlP4M064E13qeiEGZw_7_0"/>
      <w:bookmarkStart w:id="1334" w:name="Tc_u8A0RxfGL02jZqUGZiL7EA_6_9"/>
      <w:bookmarkStart w:id="1335" w:name="Tc_XCEUek6HMEuPVmRaJV6fuQ_6_6"/>
      <w:bookmarkStart w:id="1336" w:name="Tc_Wz9oW00VekStiHlVA3g4Ww_6_0"/>
      <w:bookmarkStart w:id="1337" w:name="Tc_c8Gm8Fjd30GwaroXdcOszQ_5_9"/>
      <w:bookmarkStart w:id="1338" w:name="Tc_-TIOGQ0tFUuJRPo-8n09QA_5_6"/>
      <w:bookmarkStart w:id="1339" w:name="Tc_5nu-H-Hps0SZ6V9hWnlJnQ_5_0"/>
      <w:bookmarkStart w:id="1340" w:name="Tc_BjHTITXlVki4CcLb8Wp3hw_4_11"/>
      <w:bookmarkStart w:id="1341" w:name="Tc_ul_DAOrM7kqCQQjTKYzO0w_4_9"/>
      <w:bookmarkStart w:id="1342" w:name="Tc_ChMrr9vtikqySXSHtP_-uw_4_8"/>
      <w:bookmarkStart w:id="1343" w:name="Tc_aoZWT7Sh_keXGoVgncgNiQ_4_5"/>
      <w:bookmarkStart w:id="1344" w:name="Tc_PglmWUOq00-uJ_i2ltqryQ_4_3"/>
      <w:bookmarkStart w:id="1345" w:name="Tc_p6VL3USi4Ea4B8ExdbaelA_4_2"/>
      <w:bookmarkStart w:id="1346" w:name="Tc_berAxB9y3E2aDZrsaaBX5w_4_0"/>
      <w:bookmarkStart w:id="1347" w:name="Tc_Zj2FkaifFEap9LSOUJ1AzA_3_0"/>
      <w:bookmarkStart w:id="1348" w:name="Tc_B95hm0gjmUakwXP6ZTCP4A_2_11"/>
      <w:bookmarkStart w:id="1349" w:name="Tc_kUxrsY8O1ki_YdDw-0_5EQ_2_8"/>
      <w:bookmarkStart w:id="1350" w:name="Tc_fJvpLFMPI0GiKlBNunYPRg_2_5"/>
      <w:bookmarkStart w:id="1351" w:name="Tc_BvIkBqMZ4Ey_XiIvxIPkxg_2_2"/>
      <w:bookmarkStart w:id="1352" w:name="Tc_cMJ9CV9jQUe0ABEbmkxmpA_2_0"/>
      <w:bookmarkStart w:id="1353" w:name="Tc_tU5nAyrkd0ieDxQYXCLvNQ_1_2"/>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rFonts w:ascii="Times New Roman;Times;serif" w:hAnsi="Times New Roman;Times;serif"/>
          <w:sz w:val="20"/>
        </w:rPr>
        <w:t>The Company groups its assets and liabilities at fair value in three levels, based on the markets in which the assets and liabilities are traded, and the reliability of the assumptions used to determine fair value. These levels are:</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1—Valuation is based upon quoted prices for identical instruments traded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fair value of financial instruments at June 30, 2024:</w:t>
      </w:r>
    </w:p>
    <w:p>
      <w:pPr>
        <w:pStyle w:val="TextBody"/>
        <w:bidi w:val="0"/>
        <w:spacing w:before="0" w:after="0"/>
        <w:ind w:left="0" w:right="0" w:hanging="0"/>
        <w:jc w:val="left"/>
        <w:rPr/>
      </w:pPr>
      <w:r>
        <w:rPr/>
        <w:t>​</w:t>
      </w:r>
    </w:p>
    <w:tbl>
      <w:tblPr>
        <w:tblW w:w="7855" w:type="dxa"/>
        <w:jc w:val="left"/>
        <w:tblInd w:w="0" w:type="dxa"/>
        <w:tblLayout w:type="fixed"/>
        <w:tblCellMar>
          <w:top w:w="0" w:type="dxa"/>
          <w:left w:w="0" w:type="dxa"/>
          <w:bottom w:w="0" w:type="dxa"/>
          <w:right w:w="0" w:type="dxa"/>
        </w:tblCellMar>
      </w:tblPr>
      <w:tblGrid>
        <w:gridCol w:w="3871"/>
        <w:gridCol w:w="109"/>
        <w:gridCol w:w="211"/>
        <w:gridCol w:w="676"/>
        <w:gridCol w:w="109"/>
        <w:gridCol w:w="211"/>
        <w:gridCol w:w="676"/>
        <w:gridCol w:w="109"/>
        <w:gridCol w:w="211"/>
        <w:gridCol w:w="571"/>
        <w:gridCol w:w="109"/>
        <w:gridCol w:w="211"/>
        <w:gridCol w:w="78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458085" cy="175260"/>
                      <wp:effectExtent l="0" t="0" r="0" b="0"/>
                      <wp:wrapNone/>
                      <wp:docPr id="247" name="Frame246"/>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29260" cy="175260"/>
                      <wp:effectExtent l="0" t="0" r="0" b="0"/>
                      <wp:wrapNone/>
                      <wp:docPr id="250" name="Frame2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9260" cy="175260"/>
                      <wp:effectExtent l="0" t="0" r="0" b="0"/>
                      <wp:wrapNone/>
                      <wp:docPr id="253" name="Frame2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62585" cy="175260"/>
                      <wp:effectExtent l="0" t="0" r="0" b="0"/>
                      <wp:wrapNone/>
                      <wp:docPr id="256"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95935" cy="175260"/>
                      <wp:effectExtent l="0" t="0" r="0" b="0"/>
                      <wp:wrapNone/>
                      <wp:docPr id="259" name="Frame2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7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 associated with forward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34,818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34,818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47,933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52,569</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Public Warrants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Private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48,192</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change in fair value of Level 3 Westrock Private Warrant liabilities:</w:t>
      </w:r>
    </w:p>
    <w:p>
      <w:pPr>
        <w:pStyle w:val="TextBody"/>
        <w:bidi w:val="0"/>
        <w:spacing w:before="0" w:after="0"/>
        <w:ind w:left="0" w:right="0" w:hanging="0"/>
        <w:jc w:val="left"/>
        <w:rPr/>
      </w:pPr>
      <w:r>
        <w:rPr/>
        <w:t>​</w:t>
      </w:r>
    </w:p>
    <w:tbl>
      <w:tblPr>
        <w:tblW w:w="4737" w:type="dxa"/>
        <w:jc w:val="left"/>
        <w:tblInd w:w="0" w:type="dxa"/>
        <w:tblLayout w:type="fixed"/>
        <w:tblCellMar>
          <w:top w:w="0" w:type="dxa"/>
          <w:left w:w="0" w:type="dxa"/>
          <w:bottom w:w="0" w:type="dxa"/>
          <w:right w:w="0" w:type="dxa"/>
        </w:tblCellMar>
      </w:tblPr>
      <w:tblGrid>
        <w:gridCol w:w="2971"/>
        <w:gridCol w:w="326"/>
        <w:gridCol w:w="342"/>
        <w:gridCol w:w="1098"/>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886585" cy="175260"/>
                      <wp:effectExtent l="0" t="0" r="0" b="0"/>
                      <wp:wrapNone/>
                      <wp:docPr id="260" name="Frame259"/>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7170" cy="175260"/>
                      <wp:effectExtent l="0" t="0" r="0" b="0"/>
                      <wp:wrapNone/>
                      <wp:docPr id="262" name="Frame261"/>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7230" cy="175260"/>
                      <wp:effectExtent l="0" t="0" r="0" b="0"/>
                      <wp:wrapNone/>
                      <wp:docPr id="263" name="Frame262"/>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Westrock</w:t>
            </w:r>
          </w:p>
        </w:tc>
      </w:tr>
      <w:tr>
        <w:trP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Private Warrants</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as of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Change in fair value </w:t>
            </w:r>
          </w:p>
        </w:tc>
        <w:tc>
          <w:tcPr>
            <w:tcW w:w="326"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as of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5,146</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54" w:name="Tc_8INQ7NlEHUaCKKRSvoz0QQ_7_0"/>
      <w:bookmarkStart w:id="1355" w:name="Tc_jTOGpGiZCky7VAaVh1SoSg_6_0"/>
      <w:bookmarkStart w:id="1356" w:name="Tc_ZqSddcbJekGnk469iTWooA_5_0"/>
      <w:bookmarkStart w:id="1357" w:name="Tc_5sBkufezeE2eCCmXj6StMg_4_0"/>
      <w:bookmarkStart w:id="1358" w:name="Tc_JdDhYkus50upirZfD8LsWw_3_0"/>
      <w:bookmarkStart w:id="1359" w:name="Tc_IA9nV2egi0yNkZtKOw18iA_2_5"/>
      <w:bookmarkStart w:id="1360" w:name="Tc__MfA5EVMdkG_hMt46ZB0fQ_2_2"/>
      <w:bookmarkStart w:id="1361" w:name="Tc_2Xg1YrDvkU25m1EsQylviQ_2_0"/>
      <w:bookmarkStart w:id="1362" w:name="Tc_TshPLDU3skCQmAn-cYZrtw_1_5"/>
      <w:bookmarkStart w:id="1363" w:name="Tc_dFR0fjufcUuTVTL4pZPGog_1_2"/>
      <w:bookmarkStart w:id="1364" w:name="Tc_agC2WYAnBEa1XFpYa9BYJQ_13_11"/>
      <w:bookmarkStart w:id="1365" w:name="Tc_t_uquwVB2UC9VUFzVIwByw_13_8"/>
      <w:bookmarkStart w:id="1366" w:name="Tc_ioj6WWyuvk-2tXch-QjeCA_13_5"/>
      <w:bookmarkStart w:id="1367" w:name="Tc_a71Kfo94XU6hDgLuEvceFw_13_2"/>
      <w:bookmarkStart w:id="1368" w:name="Tc_tcKm64VmXkuiQm1JBAKLMg_13_0"/>
      <w:bookmarkStart w:id="1369" w:name="Tc_Mw2oAULVREqAcPE_3vVr8A_12_6"/>
      <w:bookmarkStart w:id="1370" w:name="Tc_jAP0T4ttO06H59-VoV-6gQ_12_3"/>
      <w:bookmarkStart w:id="1371" w:name="Tc_jkZOLLOIwkuLP1-1S5BeBA_12_0"/>
      <w:bookmarkStart w:id="1372" w:name="Tc_3YJQSrZrOk-Wdb96VGdCHg_11_9"/>
      <w:bookmarkStart w:id="1373" w:name="Tc_OvAXo-1NT06SwflGxO2rrQ_11_6"/>
      <w:bookmarkStart w:id="1374" w:name="Tc_LK7Dnt4GckSRV_SvWEMlCA_11_0"/>
      <w:bookmarkStart w:id="1375" w:name="Tc_04SS60yFVkqNfw0mCnuBew_10_9"/>
      <w:bookmarkStart w:id="1376" w:name="Tc_i586xD28dkOtX7ZJTTJUlA_10_3"/>
      <w:bookmarkStart w:id="1377" w:name="Tc_rj8-mqV6uk6o3B_ZociFaw_10_0"/>
      <w:bookmarkStart w:id="1378" w:name="Tc_tYY38vpblEWsS4u2mE-P9Q_9_0"/>
      <w:bookmarkStart w:id="1379" w:name="Tc_Ravar1cA3k6CEwSLJQZ5sQ_7_11"/>
      <w:bookmarkStart w:id="1380" w:name="Tc_CX6uMhLtiE271HUm4cC1xw_7_9"/>
      <w:bookmarkStart w:id="1381" w:name="Tc_3Pc3SqyeakSAHphyFJNpFw_7_8"/>
      <w:bookmarkStart w:id="1382" w:name="Tc_UPJj1KLXj02T-qHJnvurNQ_7_5"/>
      <w:bookmarkStart w:id="1383" w:name="Tc_swGULhOOa0efuPUtWNnELw_7_2"/>
      <w:bookmarkStart w:id="1384" w:name="Tc_O3DU5oZ_3kSDC52I3Aa7SQ_7_0"/>
      <w:bookmarkStart w:id="1385" w:name="Tc_zPMtS0FwLEaP46Q5MaoJNw_6_9"/>
      <w:bookmarkStart w:id="1386" w:name="Tc_Vznfun3kEkC-vNK3FmLC9g_6_3"/>
      <w:bookmarkStart w:id="1387" w:name="Tc_rQ0sSnDUNE223Q8gsuilug_6_0"/>
      <w:bookmarkStart w:id="1388" w:name="Tc_9EVAW5V_akyiFBXHBm1rnw_5_9"/>
      <w:bookmarkStart w:id="1389" w:name="Tc_8p2K4jgMIU-sPLiyFEbcCw_5_6"/>
      <w:bookmarkStart w:id="1390" w:name="Tc_W9UfvGDbA0KjoDFK8i6Azw_5_0"/>
      <w:bookmarkStart w:id="1391" w:name="Tc_qYDPrjias02UzctQRcSCEA_4_11"/>
      <w:bookmarkStart w:id="1392" w:name="Tc_2D3bK9mXwESiz5HZiyljvg_4_9"/>
      <w:bookmarkStart w:id="1393" w:name="Tc_22wEScTwMEGFpX3sv-hDvQ_4_8"/>
      <w:bookmarkStart w:id="1394" w:name="Tc_JfOD4bqOrkaJ1qGGx7KYkA_4_5"/>
      <w:bookmarkStart w:id="1395" w:name="Tc_VjXRuhU0PkqhxVU3sNpXxw_4_3"/>
      <w:bookmarkStart w:id="1396" w:name="Tc_Y9zUsOnQzkOn5yj3olS8jw_4_2"/>
      <w:bookmarkStart w:id="1397" w:name="Tc_9beNCMTjdEGMai88JoCEcQ_4_0"/>
      <w:bookmarkStart w:id="1398" w:name="Tc_Q_JDSH--ZkeYyLQT8_h0rQ_3_0"/>
      <w:bookmarkStart w:id="1399" w:name="Tc_YIbu3nvfv0aPzGM6Xpk4tw_2_11"/>
      <w:bookmarkStart w:id="1400" w:name="Tc_jgnZPk7_i0iYbQYY3fVffw_2_8"/>
      <w:bookmarkStart w:id="1401" w:name="Tc_d4qAO3Hw0E24Z-AT6EB61w_2_5"/>
      <w:bookmarkStart w:id="1402" w:name="Tc_zrggiVRm8UGRcnIRU2hRXA_2_2"/>
      <w:bookmarkStart w:id="1403" w:name="Tc_trdwyE3Lfk6NMEwllfW3Sg_2_0"/>
      <w:bookmarkStart w:id="1404" w:name="Tc_duAZq4CEk0iWoQSlF8QY7Q_1_2"/>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r>
        <w:rPr>
          <w:rFonts w:ascii="Times New Roman;Times;serif" w:hAnsi="Times New Roman;Times;serif"/>
          <w:sz w:val="20"/>
        </w:rPr>
        <w:t>The following table summarizes the fair value of financial instruments at December 31, 2023:</w:t>
      </w:r>
    </w:p>
    <w:p>
      <w:pPr>
        <w:pStyle w:val="TextBody"/>
        <w:bidi w:val="0"/>
        <w:spacing w:before="0" w:after="0"/>
        <w:ind w:left="0" w:right="0" w:hanging="0"/>
        <w:jc w:val="left"/>
        <w:rPr/>
      </w:pPr>
      <w:r>
        <w:rPr/>
        <w:t>​</w:t>
      </w:r>
    </w:p>
    <w:tbl>
      <w:tblPr>
        <w:tblW w:w="7855" w:type="dxa"/>
        <w:jc w:val="left"/>
        <w:tblInd w:w="0" w:type="dxa"/>
        <w:tblLayout w:type="fixed"/>
        <w:tblCellMar>
          <w:top w:w="0" w:type="dxa"/>
          <w:left w:w="0" w:type="dxa"/>
          <w:bottom w:w="0" w:type="dxa"/>
          <w:right w:w="0" w:type="dxa"/>
        </w:tblCellMar>
      </w:tblPr>
      <w:tblGrid>
        <w:gridCol w:w="3871"/>
        <w:gridCol w:w="109"/>
        <w:gridCol w:w="211"/>
        <w:gridCol w:w="676"/>
        <w:gridCol w:w="109"/>
        <w:gridCol w:w="211"/>
        <w:gridCol w:w="676"/>
        <w:gridCol w:w="109"/>
        <w:gridCol w:w="211"/>
        <w:gridCol w:w="571"/>
        <w:gridCol w:w="109"/>
        <w:gridCol w:w="211"/>
        <w:gridCol w:w="78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458085" cy="175260"/>
                      <wp:effectExtent l="0" t="0" r="0" b="0"/>
                      <wp:wrapNone/>
                      <wp:docPr id="264" name="Frame26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9260" cy="175260"/>
                      <wp:effectExtent l="0" t="0" r="0" b="0"/>
                      <wp:wrapNone/>
                      <wp:docPr id="267"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29260" cy="175260"/>
                      <wp:effectExtent l="0" t="0" r="0" b="0"/>
                      <wp:wrapNone/>
                      <wp:docPr id="270" name="Frame2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62585" cy="175260"/>
                      <wp:effectExtent l="0" t="0" r="0" b="0"/>
                      <wp:wrapNone/>
                      <wp:docPr id="273" name="Frame2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95935" cy="175260"/>
                      <wp:effectExtent l="0" t="0" r="0" b="0"/>
                      <wp:wrapNone/>
                      <wp:docPr id="276" name="Frame2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7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 associated with forward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33,447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33,447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10,303</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47,105</w: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Public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39,371</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Private Warrants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5,430</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48,532</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Westrock Public Warrants are valued based on their quoted market price of $2.22 and $2.30 per warrant as of June 30, 2024 and December 31, 2023, respectively. Westrock Private Warrants price of $2.54 and $2.68 per warrant as of June 30, 2024 and December 31, 2023, respectively, are valued using a binomial lattice valuation model, which is considered to be a Level 3 fair value measurement. The primary unobservable inputs were as follows:</w:t>
      </w:r>
    </w:p>
    <w:p>
      <w:pPr>
        <w:pStyle w:val="TextBody"/>
        <w:bidi w:val="0"/>
        <w:spacing w:before="0" w:after="0"/>
        <w:ind w:left="0" w:right="0" w:hanging="0"/>
        <w:jc w:val="left"/>
        <w:rPr/>
      </w:pPr>
      <w:r>
        <w:rPr/>
        <w:t>​</w:t>
      </w:r>
    </w:p>
    <w:tbl>
      <w:tblPr>
        <w:tblW w:w="5260" w:type="dxa"/>
        <w:jc w:val="left"/>
        <w:tblInd w:w="0" w:type="dxa"/>
        <w:tblLayout w:type="fixed"/>
        <w:tblCellMar>
          <w:top w:w="0" w:type="dxa"/>
          <w:left w:w="0" w:type="dxa"/>
          <w:bottom w:w="0" w:type="dxa"/>
          <w:right w:w="0" w:type="dxa"/>
        </w:tblCellMar>
      </w:tblPr>
      <w:tblGrid>
        <w:gridCol w:w="1936"/>
        <w:gridCol w:w="326"/>
        <w:gridCol w:w="303"/>
        <w:gridCol w:w="823"/>
        <w:gridCol w:w="326"/>
        <w:gridCol w:w="394"/>
        <w:gridCol w:w="1152"/>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229360" cy="175260"/>
                      <wp:effectExtent l="0" t="0" r="0" b="0"/>
                      <wp:wrapNone/>
                      <wp:docPr id="277" name="Frame276"/>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92405" cy="175260"/>
                      <wp:effectExtent l="0" t="0" r="0" b="0"/>
                      <wp:wrapNone/>
                      <wp:docPr id="279" name="Frame27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22605" cy="175260"/>
                      <wp:effectExtent l="0" t="0" r="0" b="0"/>
                      <wp:wrapNone/>
                      <wp:docPr id="280" name="Frame27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50190" cy="175260"/>
                      <wp:effectExtent l="0" t="0" r="0" b="0"/>
                      <wp:wrapNone/>
                      <wp:docPr id="282" name="Frame281"/>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31520" cy="175260"/>
                      <wp:effectExtent l="0" t="0" r="0" b="0"/>
                      <wp:wrapNone/>
                      <wp:docPr id="283" name="Frame282"/>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34.20%</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of return</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most significant of these primary unobservable inputs utilized in determining the fair value of the Westrock Private Warrants is the expected volatility of the stock price, which is determined by use of an option pricing model.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Financial instruments consist primarily of cash, accounts receivable, accounts payable, a supply chain finance program,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Revolving Credit Facility and Delayed Draw Term Loan Facility are carried on the Condensed Consolidated Balance Sheets at amortized cost and are estimated by management to approximate fair value as of June 30, 2024 as the interest rate on these facilities is adjusted for changes in the market rates. The Convertible Notes are carried on the Condensed Consolidated Balance Sheets at amortized cost and are estimated by management to approximate fair value as of June 30, 2024. The fair value of the Term Loan Facility, Revolving Credit Facility, Delayed Draw Term Loan Facility and Convertible Notes was determined based on Level 2 inputs under the fair value hierarchy.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Non-financial assets and liabilities, including property, plant and equipment, goodwill and intangible assets are measured at fair value on a non-recurring basis. No events occurred during the three and six months ended June 30, 2024 or 2023, requiring these non-financial assets and liabilities to be subsequently recognized at fair value, with the exception of the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$0.8 million impairment charge on equipment related to the restructuring activities disclosed in Note 3. The equipment is </w:t>
      </w: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longer in use and was determined to have no salvage value.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2024, the Company had an equity investment with a carrying value of approximately $1.0 million, for which there is no readily determinable fair value. This investment is recorded at cost within other long-term assets on the Condensed Consolidated Balance Sheets. As of June 30, 2024, there have been no adjustments, upward or downward, to the carrying value.</w:t>
      </w:r>
    </w:p>
    <w:p>
      <w:pPr>
        <w:pStyle w:val="TextBody"/>
        <w:bidi w:val="0"/>
        <w:spacing w:before="0" w:after="240"/>
        <w:ind w:left="0" w:right="0" w:hanging="0"/>
        <w:jc w:val="left"/>
        <w:rPr>
          <w:rFonts w:ascii="Times New Roman;Times;serif" w:hAnsi="Times New Roman;Times;serif"/>
          <w:b/>
          <w:sz w:val="20"/>
        </w:rPr>
      </w:pPr>
      <w:bookmarkStart w:id="1405" w:name="Tc_118NATk_uUq-91Axt8-0iQ_19_11"/>
      <w:bookmarkStart w:id="1406" w:name="Tc_9fo2Ar4F20iQexeBc_0bMg_19_8"/>
      <w:bookmarkStart w:id="1407" w:name="Tc_dw86wUh2H0ybCKKEb7EbUA_19_5"/>
      <w:bookmarkStart w:id="1408" w:name="Tc_jYACH8j1_Eq_-F0LEIFakA_19_2"/>
      <w:bookmarkStart w:id="1409" w:name="Tc_zoisrsS3Gk6UPf-uWxPH6Q_19_0"/>
      <w:bookmarkStart w:id="1410" w:name="Tc_d_mro0mI1Uea6f2iKXtXzg_18_0"/>
      <w:bookmarkStart w:id="1411" w:name="Tc_dmLcO6IdSke0XWiNLHK3nA_17_12"/>
      <w:bookmarkStart w:id="1412" w:name="Tc_ggADSiU4gkai0OCkzffeEQ_17_9"/>
      <w:bookmarkStart w:id="1413" w:name="Tc_JKcAYB2NCkiSxYWSCCg3lg_17_6"/>
      <w:bookmarkStart w:id="1414" w:name="Tc_Pkece1N-yUuMt7ewjVktaQ_17_3"/>
      <w:bookmarkStart w:id="1415" w:name="Tc_NX1SQUf5Rkm7nZwsPjlmWA_17_0"/>
      <w:bookmarkStart w:id="1416" w:name="Tc_EyKFFBZlykiW2qzu0zCbCg_16_0"/>
      <w:bookmarkStart w:id="1417" w:name="Tc_PgMz_4uQ_0G1mx3zWY6YPw_15_12"/>
      <w:bookmarkStart w:id="1418" w:name="Tc_tpq4aq8iaEyJfD3vRdAuMg_15_9"/>
      <w:bookmarkStart w:id="1419" w:name="Tc_jrlF_MeB30y5WQjPCaiLUA_15_6"/>
      <w:bookmarkStart w:id="1420" w:name="Tc_4QMIl1qVy0-lZTf7bwbxtA_15_3"/>
      <w:bookmarkStart w:id="1421" w:name="Tc_19EwfSCTYESB16z1L4RcQA_15_0"/>
      <w:bookmarkStart w:id="1422" w:name="Tc_6LuHYSLDq0ahvz-m9f43Lg_14_12"/>
      <w:bookmarkStart w:id="1423" w:name="Tc_2yWZ3muZNkKDCFdhE7mmvw_14_9"/>
      <w:bookmarkStart w:id="1424" w:name="Tc_2eZWnzDb1E-QxzCGS_gjTQ_14_6"/>
      <w:bookmarkStart w:id="1425" w:name="Tc_8AZgStURw0ibr_Nk4jIk1g_14_3"/>
      <w:bookmarkStart w:id="1426" w:name="Tc_tZ4lEmjNGE2tdR1BLoIi1Q_14_0"/>
      <w:bookmarkStart w:id="1427" w:name="Tc_k2qfbrI3hEqNIq4kGmYZGg_13_0"/>
      <w:bookmarkStart w:id="1428" w:name="Tc_wN7Tgsb0jEm8IYxX62rNzg_12_0"/>
      <w:bookmarkStart w:id="1429" w:name="Tc_udzNWEGCjEy_Jzu-lrew4Q_11_0"/>
      <w:bookmarkStart w:id="1430" w:name="Tc_DKOCkUIm-0m4l6kbbfEfEA_10_0"/>
      <w:bookmarkStart w:id="1431" w:name="Tc_InQqt-p7RUOS1i7bvfiTEw_9_12"/>
      <w:bookmarkStart w:id="1432" w:name="Tc_MurzPpJtAkOIuymzSCjBRA_9_9"/>
      <w:bookmarkStart w:id="1433" w:name="Tc_9qhQ-wMSQE6MUxz9SAX4pw_9_6"/>
      <w:bookmarkStart w:id="1434" w:name="Tc_pCWQY0VqzE2XNQfDulndRg_9_3"/>
      <w:bookmarkStart w:id="1435" w:name="Tc_2ADcXH8C6kemOJGRvakqXQ_9_0"/>
      <w:bookmarkStart w:id="1436" w:name="Tc_kNnCgrxu20KPJo9-dgTeFg_8_0"/>
      <w:bookmarkStart w:id="1437" w:name="Tc_R2wUYUTHt0aCnNcryi25Bw_7_0"/>
      <w:bookmarkStart w:id="1438" w:name="Tc_eTNID3G2KkOVKzbNXaWOdA_6_0"/>
      <w:bookmarkStart w:id="1439" w:name="Tc_GrC_wOoE7U25dAew7I80PA_5_0"/>
      <w:bookmarkStart w:id="1440" w:name="Tc_Nl5gAF8ImUmtFK2ntQoZiw_4_11"/>
      <w:bookmarkStart w:id="1441" w:name="Tc_n72TZOcPB0mYHrhx7xUHhw_4_8"/>
      <w:bookmarkStart w:id="1442" w:name="Tc_6pRi1gdNGUSj6Gu7BkqU8Q_4_5"/>
      <w:bookmarkStart w:id="1443" w:name="Tc_CZZAf63nc0Gv3d6ANiri0w_4_2"/>
      <w:bookmarkStart w:id="1444" w:name="Tc_lLugzWvs6EeL7RZ2FomNRg_4_0"/>
      <w:bookmarkStart w:id="1445" w:name="Tc__0I_CI7XlE-JL9kBu8PwIg_3_0"/>
      <w:bookmarkStart w:id="1446" w:name="Tc_kHbZFo_SlkWw0CG3vs7eMQ_2_11"/>
      <w:bookmarkStart w:id="1447" w:name="Tc_AMrmrkjhp0igK61OBu9EZg_2_8"/>
      <w:bookmarkStart w:id="1448" w:name="Tc_Q1ik4q9rvUaeEWgmsE1SgQ_2_5"/>
      <w:bookmarkStart w:id="1449" w:name="Tc_nOrpWhXOCUWFm7KdFOSi7Q_2_2"/>
      <w:bookmarkStart w:id="1450" w:name="Tc_h4PuvAKwdUGs7ybYP4NCsw_2_0"/>
      <w:bookmarkStart w:id="1451" w:name="Tc_nfWTb9Vq80WAVHsANXLVqw_1_8"/>
      <w:bookmarkStart w:id="1452" w:name="Tc_DyyNGqzwVkSOwPy6G3hAbQ_1_2"/>
      <w:bookmarkStart w:id="1453" w:name="Note15AccumulatedOtherComprehensiveIncom"/>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Times New Roman;Times;serif" w:hAnsi="Times New Roman;Times;serif"/>
          <w:b/>
          <w:sz w:val="20"/>
        </w:rPr>
        <w:t>Note 16. Accumulated Other Comprehensive Income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net of tax by component for the three and six months ended June 30, 2024 and 2023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62"/>
        <w:gridCol w:w="326"/>
        <w:gridCol w:w="224"/>
        <w:gridCol w:w="723"/>
        <w:gridCol w:w="347"/>
        <w:gridCol w:w="224"/>
        <w:gridCol w:w="723"/>
        <w:gridCol w:w="326"/>
        <w:gridCol w:w="211"/>
        <w:gridCol w:w="677"/>
        <w:gridCol w:w="326"/>
        <w:gridCol w:w="211"/>
        <w:gridCol w:w="725"/>
      </w:tblGrid>
      <w:tr>
        <w:trPr/>
        <w:tc>
          <w:tcPr>
            <w:tcW w:w="5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277870" cy="175260"/>
                      <wp:effectExtent l="0" t="0" r="0" b="0"/>
                      <wp:wrapNone/>
                      <wp:docPr id="284" name="Frame283"/>
                      <a:graphic xmlns:a="http://schemas.openxmlformats.org/drawingml/2006/main">
                        <a:graphicData uri="http://schemas.microsoft.com/office/word/2010/wordprocessingShape">
                          <wps:wsp>
                            <wps:cNvSpPr txBox="1"/>
                            <wps:spPr>
                              <a:xfrm>
                                <a:off x="0" y="0"/>
                                <a:ext cx="3277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42240" cy="175260"/>
                      <wp:effectExtent l="0" t="0" r="0" b="0"/>
                      <wp:wrapNone/>
                      <wp:docPr id="286" name="Frame285"/>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59105" cy="175260"/>
                      <wp:effectExtent l="0" t="0" r="0" b="0"/>
                      <wp:wrapNone/>
                      <wp:docPr id="287" name="Frame286"/>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20345" cy="175260"/>
                      <wp:effectExtent l="0" t="0" r="0" b="0"/>
                      <wp:wrapNone/>
                      <wp:docPr id="288" name="Frame28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2240" cy="175260"/>
                      <wp:effectExtent l="0" t="0" r="0" b="0"/>
                      <wp:wrapNone/>
                      <wp:docPr id="289" name="Frame28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59105" cy="175260"/>
                      <wp:effectExtent l="0" t="0" r="0" b="0"/>
                      <wp:wrapNone/>
                      <wp:docPr id="290" name="Frame289"/>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29895" cy="175260"/>
                      <wp:effectExtent l="0" t="0" r="0" b="0"/>
                      <wp:wrapNone/>
                      <wp:docPr id="293" name="Frame292"/>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60375" cy="175260"/>
                      <wp:effectExtent l="0" t="0" r="0" b="0"/>
                      <wp:wrapNone/>
                      <wp:docPr id="296" name="Frame295"/>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1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7"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on derivative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center"/>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center"/>
              <w:rPr/>
            </w:pPr>
            <w:r>
              <w:rPr/>
              <w:t>​</w:t>
            </w:r>
          </w:p>
        </w:tc>
      </w:tr>
      <w:tr>
        <w:trPr/>
        <w:tc>
          <w:tcPr>
            <w:tcW w:w="5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3,548</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(6,355)</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8,541</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w:t>
            </w:r>
          </w:p>
        </w:tc>
      </w:tr>
      <w:tr>
        <w:trPr/>
        <w:tc>
          <w:tcPr>
            <w:tcW w:w="5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from accumulated comprehensive income</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w:t>
            </w:r>
          </w:p>
        </w:tc>
      </w:tr>
      <w:tr>
        <w:trPr/>
        <w:tc>
          <w:tcPr>
            <w:tcW w:w="5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accumulated other comprehensive income</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7,368</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Other comprehensive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7,368</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left"/>
              <w:rPr/>
            </w:pPr>
            <w:r>
              <w:rPr/>
              <w:t>​</w:t>
            </w:r>
          </w:p>
        </w:tc>
      </w:tr>
      <w:tr>
        <w:trPr/>
        <w:tc>
          <w:tcPr>
            <w:tcW w:w="5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5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from accumulated comprehensive income</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pPr>
            <w:r>
              <w:rPr/>
              <w:t>—</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accumulated other comprehensive income</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Other comprehensive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1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51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7,905</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(4,539)</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454" w:name="Note16EquityBasedCompensation"/>
      <w:bookmarkEnd w:id="1454"/>
      <w:r>
        <w:rPr>
          <w:rFonts w:ascii="Times New Roman;Times;serif" w:hAnsi="Times New Roman;Times;serif"/>
          <w:b/>
          <w:sz w:val="20"/>
        </w:rPr>
        <w:t>Note 17. Equity-Based Compensation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and six months ended June 30, 2024, the Company granted 0.1 million and 1.4 million restricted stock units (“RSUs”), respectively, under the Westrock Coffee Company 2022 Equity Incentive Plan (the “2022 Equity Plan”). The RSUs had a grant date fair value of $1.0 million and $13.2 million, respectively, which was calculated using the closing price of the Common Shares on the applicable date of grant. The RSUs are amortized on a straight-line basis to expense over the vesting period. For RSUs issued during 2024, the vesting period is four years, and for RSUs issued prior to 2024, the vesting period is three years. As of June 30, 2024, there were 2.7 million shares available for future issuance under the 2022 Equity Plan.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55" w:name="Tc_ft1OvhnHYkOXZZftOAUQZA_8_4"/>
      <w:bookmarkStart w:id="1456" w:name="Tc_sHS967aonECUBRJpAXrTew_8_0"/>
      <w:bookmarkStart w:id="1457" w:name="Tc_-2JvlIHlyUmfaaAwFdlVBQ_7_0"/>
      <w:bookmarkStart w:id="1458" w:name="Tc_8BlZ-rv_fEiS-fSwGFJjPQ_6_0"/>
      <w:bookmarkStart w:id="1459" w:name="Tc_FcGNbnafUkCz4magC2w59w_5_0"/>
      <w:bookmarkStart w:id="1460" w:name="Tc_JAI1AxuwMkuUhv0nJJ5wHg_4_4"/>
      <w:bookmarkStart w:id="1461" w:name="Tc_WccmIHpTkUyI8JVAA9sTSQ_4_0"/>
      <w:bookmarkStart w:id="1462" w:name="Tc_ARnanuGylkeg7I7c8s4rkg_3_4"/>
      <w:bookmarkStart w:id="1463" w:name="Tc_lu35rYlRgkWyZHcAAR3gbg_3_2"/>
      <w:bookmarkStart w:id="1464" w:name="Tc_v3zoDohiLEiC08iIxh7vfw_2_4"/>
      <w:bookmarkStart w:id="1465" w:name="Tc_ILtzBGA690ifSorb0dLa-Q_1_4"/>
      <w:bookmarkEnd w:id="1455"/>
      <w:bookmarkEnd w:id="1456"/>
      <w:bookmarkEnd w:id="1457"/>
      <w:bookmarkEnd w:id="1458"/>
      <w:bookmarkEnd w:id="1459"/>
      <w:bookmarkEnd w:id="1460"/>
      <w:bookmarkEnd w:id="1461"/>
      <w:bookmarkEnd w:id="1462"/>
      <w:bookmarkEnd w:id="1463"/>
      <w:bookmarkEnd w:id="1464"/>
      <w:bookmarkEnd w:id="1465"/>
      <w:r>
        <w:rPr>
          <w:rFonts w:ascii="Times New Roman;Times;serif" w:hAnsi="Times New Roman;Times;serif"/>
          <w:sz w:val="20"/>
        </w:rPr>
        <w:t>The following table sets forth the RSU activity under the 2022 Equity Plan for the six months ended June 30, 2024.</w:t>
      </w:r>
    </w:p>
    <w:p>
      <w:pPr>
        <w:pStyle w:val="TextBody"/>
        <w:bidi w:val="0"/>
        <w:spacing w:before="0" w:after="0"/>
        <w:ind w:left="0" w:right="0" w:hanging="0"/>
        <w:jc w:val="left"/>
        <w:rPr/>
      </w:pPr>
      <w:r>
        <w:rPr/>
        <w:t>​</w:t>
      </w:r>
    </w:p>
    <w:tbl>
      <w:tblPr>
        <w:tblW w:w="5606" w:type="dxa"/>
        <w:jc w:val="left"/>
        <w:tblInd w:w="0" w:type="dxa"/>
        <w:tblLayout w:type="fixed"/>
        <w:tblCellMar>
          <w:top w:w="0" w:type="dxa"/>
          <w:left w:w="0" w:type="dxa"/>
          <w:bottom w:w="0" w:type="dxa"/>
          <w:right w:w="0" w:type="dxa"/>
        </w:tblCellMar>
      </w:tblPr>
      <w:tblGrid>
        <w:gridCol w:w="2941"/>
        <w:gridCol w:w="109"/>
        <w:gridCol w:w="931"/>
        <w:gridCol w:w="109"/>
        <w:gridCol w:w="360"/>
        <w:gridCol w:w="115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867535" cy="175260"/>
                      <wp:effectExtent l="0" t="0" r="0" b="0"/>
                      <wp:wrapNone/>
                      <wp:docPr id="297" name="Frame29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91185" cy="175260"/>
                      <wp:effectExtent l="0" t="0" r="0" b="0"/>
                      <wp:wrapNone/>
                      <wp:docPr id="299" name="Frame2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28600" cy="175260"/>
                      <wp:effectExtent l="0" t="0" r="0" b="0"/>
                      <wp:wrapNone/>
                      <wp:docPr id="301" name="Frame30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34060" cy="175260"/>
                      <wp:effectExtent l="0" t="0" r="0" b="0"/>
                      <wp:wrapNone/>
                      <wp:docPr id="302" name="Frame30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at</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1,989,782</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1,367,139</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(128,150)</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(373,293)</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2024</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2,855,478</w:t>
            </w:r>
          </w:p>
        </w:tc>
        <w:tc>
          <w:tcPr>
            <w:tcW w:w="109"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66" w:name="Tc_X3np8W_EREeW0ZXRu4QQ3Q_6_0"/>
      <w:bookmarkStart w:id="1467" w:name="Tc_egdECPFmwk2RS4KF9Lptkw_5_0"/>
      <w:bookmarkStart w:id="1468" w:name="Tc_kn5hatF6q0eKIY82FOTYTg_4_0"/>
      <w:bookmarkStart w:id="1469" w:name="Tc_kU9svZTS7U2-dyrYiPJZhQ_3_0"/>
      <w:bookmarkStart w:id="1470" w:name="Tc_l7MDf8RmS02uAsgkWhtvvA_2_11"/>
      <w:bookmarkStart w:id="1471" w:name="Tc_zW6OvFzmhUKruPgjF5Ximg_2_8"/>
      <w:bookmarkStart w:id="1472" w:name="Tc_43GlLEjI-U6afjPvRzkRjg_2_5"/>
      <w:bookmarkStart w:id="1473" w:name="Tc_dZhYHSbZfESPPNhaSjx-0g_2_2"/>
      <w:bookmarkStart w:id="1474" w:name="Tc_d1Ju3n9sc0qfLCVncE-W4A_2_0"/>
      <w:bookmarkStart w:id="1475" w:name="Tc_fRB5U7pswESWCh42aF1kVg_1_8"/>
      <w:bookmarkStart w:id="1476" w:name="Tc_OAM6wQG7yE-HasDPPeegLw_1_2"/>
      <w:bookmarkStart w:id="1477" w:name="Note17EarningsPerShare"/>
      <w:bookmarkEnd w:id="1466"/>
      <w:bookmarkEnd w:id="1467"/>
      <w:bookmarkEnd w:id="1468"/>
      <w:bookmarkEnd w:id="1469"/>
      <w:bookmarkEnd w:id="1470"/>
      <w:bookmarkEnd w:id="1471"/>
      <w:bookmarkEnd w:id="1472"/>
      <w:bookmarkEnd w:id="1473"/>
      <w:bookmarkEnd w:id="1474"/>
      <w:bookmarkEnd w:id="1475"/>
      <w:bookmarkEnd w:id="1476"/>
      <w:bookmarkEnd w:id="1477"/>
      <w:r>
        <w:rPr>
          <w:rFonts w:ascii="Times New Roman;Times;serif" w:hAnsi="Times New Roman;Times;serif"/>
          <w:b/>
          <w:sz w:val="20"/>
        </w:rPr>
        <w:t>Note 18.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Westrock Series A Preferred Shares and our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Times;serif" w:hAnsi="Times New Roman;Times;serif"/>
          <w:i/>
          <w:sz w:val="20"/>
        </w:rPr>
        <w:t xml:space="preserve">Earnings per Share </w:t>
      </w:r>
      <w:r>
        <w:rPr>
          <w:rFonts w:ascii="Times New Roman;Times;serif" w:hAnsi="Times New Roman;Times;serif"/>
          <w:sz w:val="20"/>
        </w:rPr>
        <w:t>(“ASC 260”)</w:t>
      </w:r>
      <w:r>
        <w:rPr>
          <w:rFonts w:ascii="Times New Roman;Times;serif" w:hAnsi="Times New Roman;Times;serif"/>
          <w:i/>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dilutive effect of Westrock Series A Preferred Shares and the Convertible Notes is calculated using the if-converted method, which assumes an add-back of any accretion on preferred shares and interest expense associated with the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dilutive effect of time-based option awards and RSUs is calculated using the treasury stock method, while performance-based awards are treated as contingently issuable.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shares for the periods indicated because their inclusion would have an anti-dilutive effect on dilutive earnings (loss) per common share.</w:t>
      </w:r>
    </w:p>
    <w:p>
      <w:pPr>
        <w:pStyle w:val="TextBody"/>
        <w:bidi w:val="0"/>
        <w:spacing w:before="0" w:after="0"/>
        <w:ind w:left="0" w:right="0" w:hanging="0"/>
        <w:jc w:val="left"/>
        <w:rPr/>
      </w:pPr>
      <w:r>
        <w:rPr/>
        <w:t>​</w:t>
      </w:r>
    </w:p>
    <w:tbl>
      <w:tblPr>
        <w:tblW w:w="7039" w:type="dxa"/>
        <w:jc w:val="left"/>
        <w:tblInd w:w="0" w:type="dxa"/>
        <w:tblLayout w:type="fixed"/>
        <w:tblCellMar>
          <w:top w:w="0" w:type="dxa"/>
          <w:left w:w="0" w:type="dxa"/>
          <w:bottom w:w="0" w:type="dxa"/>
          <w:right w:w="0" w:type="dxa"/>
        </w:tblCellMar>
      </w:tblPr>
      <w:tblGrid>
        <w:gridCol w:w="1921"/>
        <w:gridCol w:w="326"/>
        <w:gridCol w:w="132"/>
        <w:gridCol w:w="823"/>
        <w:gridCol w:w="397"/>
        <w:gridCol w:w="132"/>
        <w:gridCol w:w="823"/>
        <w:gridCol w:w="326"/>
        <w:gridCol w:w="117"/>
        <w:gridCol w:w="730"/>
        <w:gridCol w:w="352"/>
        <w:gridCol w:w="117"/>
        <w:gridCol w:w="843"/>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19835" cy="175260"/>
                      <wp:effectExtent l="0" t="0" r="0" b="0"/>
                      <wp:wrapNone/>
                      <wp:docPr id="303" name="Frame302"/>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83820" cy="175260"/>
                      <wp:effectExtent l="0" t="0" r="0" b="0"/>
                      <wp:wrapNone/>
                      <wp:docPr id="305" name="Frame304"/>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22605" cy="175260"/>
                      <wp:effectExtent l="0" t="0" r="0" b="0"/>
                      <wp:wrapNone/>
                      <wp:docPr id="306" name="Frame305"/>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52095" cy="175260"/>
                      <wp:effectExtent l="0" t="0" r="0" b="0"/>
                      <wp:wrapNone/>
                      <wp:docPr id="307" name="Frame306"/>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83820" cy="175260"/>
                      <wp:effectExtent l="0" t="0" r="0" b="0"/>
                      <wp:wrapNone/>
                      <wp:docPr id="308" name="Frame307"/>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22605" cy="175260"/>
                      <wp:effectExtent l="0" t="0" r="0" b="0"/>
                      <wp:wrapNone/>
                      <wp:docPr id="309" name="Frame308"/>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4295" cy="175260"/>
                      <wp:effectExtent l="0" t="0" r="0" b="0"/>
                      <wp:wrapNone/>
                      <wp:docPr id="311" name="Frame310"/>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63550" cy="175260"/>
                      <wp:effectExtent l="0" t="0" r="0" b="0"/>
                      <wp:wrapNone/>
                      <wp:docPr id="312" name="Frame311"/>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23520" cy="175260"/>
                      <wp:effectExtent l="0" t="0" r="0" b="0"/>
                      <wp:wrapNone/>
                      <wp:docPr id="313" name="Frame31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4295" cy="175260"/>
                      <wp:effectExtent l="0" t="0" r="0" b="0"/>
                      <wp:wrapNone/>
                      <wp:docPr id="314" name="Frame313"/>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35305" cy="175260"/>
                      <wp:effectExtent l="0" t="0" r="0" b="0"/>
                      <wp:wrapNone/>
                      <wp:docPr id="315" name="Frame314"/>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7" w:type="dxa"/>
            <w:tcBorders/>
            <w:vAlign w:val="center"/>
          </w:tcPr>
          <w:p>
            <w:pPr>
              <w:pStyle w:val="TableContents"/>
              <w:bidi w:val="0"/>
              <w:spacing w:before="0" w:after="1"/>
              <w:ind w:left="0" w:right="0" w:hanging="0"/>
              <w:jc w:val="left"/>
              <w:rPr/>
            </w:pPr>
            <w:r>
              <w:rPr/>
              <w:t>    </w:t>
            </w:r>
          </w:p>
        </w:tc>
        <w:tc>
          <w:tcPr>
            <w:tcW w:w="9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2" w:type="dxa"/>
            <w:tcBorders/>
            <w:vAlign w:val="center"/>
          </w:tcPr>
          <w:p>
            <w:pPr>
              <w:pStyle w:val="TableContents"/>
              <w:bidi w:val="0"/>
              <w:spacing w:before="0" w:after="1"/>
              <w:ind w:left="0" w:right="0" w:hanging="0"/>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1"/>
              <w:ind w:left="0" w:right="0" w:hanging="0"/>
              <w:jc w:val="left"/>
              <w:rPr/>
            </w:pPr>
            <w:r>
              <w:rPr/>
              <w:t>​</w:t>
            </w:r>
          </w:p>
        </w:tc>
        <w:tc>
          <w:tcPr>
            <w:tcW w:w="132"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19,144</w:t>
            </w:r>
          </w:p>
        </w:tc>
        <w:tc>
          <w:tcPr>
            <w:tcW w:w="397" w:type="dxa"/>
            <w:tcBorders/>
            <w:shd w:fill="CCEEFF" w:val="clear"/>
            <w:vAlign w:val="center"/>
          </w:tcPr>
          <w:p>
            <w:pPr>
              <w:pStyle w:val="TableContents"/>
              <w:bidi w:val="0"/>
              <w:spacing w:before="0" w:after="1"/>
              <w:ind w:left="0" w:right="0" w:hanging="0"/>
              <w:jc w:val="left"/>
              <w:rPr/>
            </w:pPr>
            <w:r>
              <w:rPr/>
              <w:t>​</w:t>
            </w:r>
          </w:p>
        </w:tc>
        <w:tc>
          <w:tcPr>
            <w:tcW w:w="132"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19,144</w:t>
            </w:r>
          </w:p>
        </w:tc>
        <w:tc>
          <w:tcPr>
            <w:tcW w:w="326" w:type="dxa"/>
            <w:tcBorders/>
            <w:shd w:fill="CCEEFF" w:val="clear"/>
            <w:vAlign w:val="center"/>
          </w:tcPr>
          <w:p>
            <w:pPr>
              <w:pStyle w:val="TableContents"/>
              <w:bidi w:val="0"/>
              <w:spacing w:before="0" w:after="1"/>
              <w:ind w:left="0" w:right="0" w:hanging="0"/>
              <w:jc w:val="left"/>
              <w:rPr/>
            </w:pPr>
            <w:r>
              <w:rPr/>
              <w:t>​</w:t>
            </w:r>
          </w:p>
        </w:tc>
        <w:tc>
          <w:tcPr>
            <w:tcW w:w="117"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19,144</w:t>
            </w:r>
          </w:p>
        </w:tc>
        <w:tc>
          <w:tcPr>
            <w:tcW w:w="352" w:type="dxa"/>
            <w:tcBorders/>
            <w:shd w:fill="CCEEFF" w:val="clear"/>
            <w:vAlign w:val="center"/>
          </w:tcPr>
          <w:p>
            <w:pPr>
              <w:pStyle w:val="TableContents"/>
              <w:bidi w:val="0"/>
              <w:spacing w:before="0" w:after="1"/>
              <w:ind w:left="0" w:right="0" w:hanging="0"/>
              <w:jc w:val="left"/>
              <w:rPr/>
            </w:pPr>
            <w:r>
              <w:rPr/>
              <w:t>​</w:t>
            </w:r>
          </w:p>
        </w:tc>
        <w:tc>
          <w:tcPr>
            <w:tcW w:w="117"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19,155</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2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2,860</w:t>
            </w:r>
          </w:p>
        </w:tc>
        <w:tc>
          <w:tcPr>
            <w:tcW w:w="397"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vAlign w:val="center"/>
          </w:tcPr>
          <w:p>
            <w:pPr>
              <w:pStyle w:val="TableContents"/>
              <w:bidi w:val="0"/>
              <w:spacing w:before="0" w:after="1"/>
              <w:ind w:left="0" w:right="0" w:hanging="0"/>
              <w:jc w:val="left"/>
              <w:rPr/>
            </w:pPr>
            <w:r>
              <w:rPr/>
              <w:t>​</w:t>
            </w:r>
          </w:p>
        </w:tc>
        <w:tc>
          <w:tcPr>
            <w:tcW w:w="117"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2,504</w:t>
            </w:r>
          </w:p>
        </w:tc>
        <w:tc>
          <w:tcPr>
            <w:tcW w:w="352" w:type="dxa"/>
            <w:tcBorders/>
            <w:vAlign w:val="center"/>
          </w:tcPr>
          <w:p>
            <w:pPr>
              <w:pStyle w:val="TableContents"/>
              <w:bidi w:val="0"/>
              <w:spacing w:before="0" w:after="1"/>
              <w:ind w:left="0" w:right="0" w:hanging="0"/>
              <w:jc w:val="left"/>
              <w:rPr/>
            </w:pPr>
            <w:r>
              <w:rPr/>
              <w:t>​</w:t>
            </w:r>
          </w:p>
        </w:tc>
        <w:tc>
          <w:tcPr>
            <w:tcW w:w="117"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w:t>
            </w:r>
          </w:p>
        </w:tc>
        <w:tc>
          <w:tcPr>
            <w:tcW w:w="326" w:type="dxa"/>
            <w:tcBorders/>
            <w:shd w:fill="CCEEFF" w:val="clear"/>
            <w:vAlign w:val="center"/>
          </w:tcPr>
          <w:p>
            <w:pPr>
              <w:pStyle w:val="TableContents"/>
              <w:bidi w:val="0"/>
              <w:spacing w:before="0" w:after="1"/>
              <w:ind w:left="0" w:right="0" w:hanging="0"/>
              <w:jc w:val="left"/>
              <w:rPr/>
            </w:pPr>
            <w:r>
              <w:rPr/>
              <w:t>​</w:t>
            </w:r>
          </w:p>
        </w:tc>
        <w:tc>
          <w:tcPr>
            <w:tcW w:w="132"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97" w:type="dxa"/>
            <w:tcBorders/>
            <w:shd w:fill="CCEEFF" w:val="clear"/>
            <w:vAlign w:val="center"/>
          </w:tcPr>
          <w:p>
            <w:pPr>
              <w:pStyle w:val="TableContents"/>
              <w:bidi w:val="0"/>
              <w:spacing w:before="0" w:after="1"/>
              <w:ind w:left="0" w:right="0" w:hanging="0"/>
              <w:jc w:val="left"/>
              <w:rPr/>
            </w:pPr>
            <w:r>
              <w:rPr/>
              <w:t>​</w:t>
            </w:r>
          </w:p>
        </w:tc>
        <w:tc>
          <w:tcPr>
            <w:tcW w:w="132"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w:t>
            </w:r>
          </w:p>
        </w:tc>
        <w:tc>
          <w:tcPr>
            <w:tcW w:w="326" w:type="dxa"/>
            <w:tcBorders/>
            <w:shd w:fill="CCEEFF" w:val="clear"/>
            <w:vAlign w:val="center"/>
          </w:tcPr>
          <w:p>
            <w:pPr>
              <w:pStyle w:val="TableContents"/>
              <w:bidi w:val="0"/>
              <w:spacing w:before="0" w:after="1"/>
              <w:ind w:left="0" w:right="0" w:hanging="0"/>
              <w:jc w:val="left"/>
              <w:rPr/>
            </w:pPr>
            <w:r>
              <w:rPr/>
              <w:t>​</w:t>
            </w:r>
          </w:p>
        </w:tc>
        <w:tc>
          <w:tcPr>
            <w:tcW w:w="117"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w:t>
            </w:r>
          </w:p>
        </w:tc>
        <w:tc>
          <w:tcPr>
            <w:tcW w:w="352" w:type="dxa"/>
            <w:tcBorders/>
            <w:shd w:fill="CCEEFF" w:val="clear"/>
            <w:vAlign w:val="center"/>
          </w:tcPr>
          <w:p>
            <w:pPr>
              <w:pStyle w:val="TableContents"/>
              <w:bidi w:val="0"/>
              <w:spacing w:before="0" w:after="1"/>
              <w:ind w:left="0" w:right="0" w:hanging="0"/>
              <w:jc w:val="left"/>
              <w:rPr/>
            </w:pPr>
            <w:r>
              <w:rPr/>
              <w:t>​</w:t>
            </w:r>
          </w:p>
        </w:tc>
        <w:tc>
          <w:tcPr>
            <w:tcW w:w="117"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If-converted securities</w:t>
            </w:r>
          </w:p>
        </w:tc>
        <w:tc>
          <w:tcPr>
            <w:tcW w:w="32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30,517</w:t>
            </w:r>
          </w:p>
        </w:tc>
        <w:tc>
          <w:tcPr>
            <w:tcW w:w="397"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23,566</w:t>
            </w:r>
          </w:p>
        </w:tc>
        <w:tc>
          <w:tcPr>
            <w:tcW w:w="326" w:type="dxa"/>
            <w:tcBorders/>
            <w:vAlign w:val="center"/>
          </w:tcPr>
          <w:p>
            <w:pPr>
              <w:pStyle w:val="TableContents"/>
              <w:bidi w:val="0"/>
              <w:spacing w:before="0" w:after="1"/>
              <w:ind w:left="0" w:right="0" w:hanging="0"/>
              <w:jc w:val="left"/>
              <w:rPr/>
            </w:pPr>
            <w:r>
              <w:rPr/>
              <w:t>​</w:t>
            </w:r>
          </w:p>
        </w:tc>
        <w:tc>
          <w:tcPr>
            <w:tcW w:w="117"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25,278</w:t>
            </w:r>
          </w:p>
        </w:tc>
        <w:tc>
          <w:tcPr>
            <w:tcW w:w="352" w:type="dxa"/>
            <w:tcBorders/>
            <w:vAlign w:val="center"/>
          </w:tcPr>
          <w:p>
            <w:pPr>
              <w:pStyle w:val="TableContents"/>
              <w:bidi w:val="0"/>
              <w:spacing w:before="0" w:after="1"/>
              <w:ind w:left="0" w:right="0" w:hanging="0"/>
              <w:jc w:val="left"/>
              <w:rPr/>
            </w:pPr>
            <w:r>
              <w:rPr/>
              <w:t>​</w:t>
            </w:r>
          </w:p>
        </w:tc>
        <w:tc>
          <w:tcPr>
            <w:tcW w:w="117"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23,575</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78" w:name="Tc_0KhG1fWxl0a6A34zvHI44A_22_11"/>
      <w:bookmarkStart w:id="1479" w:name="Tc_EkCLWChsJUG_I3tVcfP9Ng_22_8"/>
      <w:bookmarkStart w:id="1480" w:name="Tc_a-AYKNwqbkyI7oP64zUU6g_22_5"/>
      <w:bookmarkStart w:id="1481" w:name="Tc_ggao8MkdTUepUbFL94gZJA_22_2"/>
      <w:bookmarkStart w:id="1482" w:name="Tc_11JRJb94-U6Q1qQZiXHdeA_22_0"/>
      <w:bookmarkStart w:id="1483" w:name="Tc_-D2azLEP60erd_cS8WcjFQ_20_0"/>
      <w:bookmarkStart w:id="1484" w:name="Tc_D7zSMJ-o9UGTXn4Ur7kMFQ_19_12"/>
      <w:bookmarkStart w:id="1485" w:name="Tc_GKeHx7VBCUmSWyRwInszBw_19_9"/>
      <w:bookmarkStart w:id="1486" w:name="Tc_qvZnvOWbNkWr7hT_ckWlmQ_19_6"/>
      <w:bookmarkStart w:id="1487" w:name="Tc_DJz5pf3TUUKsJ_gBtNm41w_19_3"/>
      <w:bookmarkStart w:id="1488" w:name="Tc_xVspF1fWGECOtnGIqiqC8Q_19_0"/>
      <w:bookmarkStart w:id="1489" w:name="Tc_66M3kfwn8kyOP6uab9ethw_18_12"/>
      <w:bookmarkStart w:id="1490" w:name="Tc_Ig6mpI2idUaLcK8YIKCnMw_18_9"/>
      <w:bookmarkStart w:id="1491" w:name="Tc_Qzu4ONiz1E2hno3V7mDfSQ_18_6"/>
      <w:bookmarkStart w:id="1492" w:name="Tc_tnNNmwqxk0eBT8UbZM9vNw_18_3"/>
      <w:bookmarkStart w:id="1493" w:name="Tc_0fI9KMAK5kOA9lofRgSikQ_18_0"/>
      <w:bookmarkStart w:id="1494" w:name="Tc__WbChJ9lIEOoh-Blxrl2bQ_17_0"/>
      <w:bookmarkStart w:id="1495" w:name="Tc_h_IM3eduiUq-QYhKYHuKYw_16_0"/>
      <w:bookmarkStart w:id="1496" w:name="Tc_yBzfdTWymkqUWFLa45TQTw_15_11"/>
      <w:bookmarkStart w:id="1497" w:name="Tc_TeKohl6DokyKqVxSkcu-Sg_15_8"/>
      <w:bookmarkStart w:id="1498" w:name="Tc_Hcq4o5tfrkyBfoaZlp4uYw_15_5"/>
      <w:bookmarkStart w:id="1499" w:name="Tc_CB-L7ncowEmpX0PCTZTtlA_15_2"/>
      <w:bookmarkStart w:id="1500" w:name="Tc_pl_YoOe1aESGpjypqgJRzw_15_0"/>
      <w:bookmarkStart w:id="1501" w:name="Tc_cNFJHwN-FkuXldQXt7y8Pw_14_12"/>
      <w:bookmarkStart w:id="1502" w:name="Tc_3icp7RzGwESA4_oHj3QIkA_14_9"/>
      <w:bookmarkStart w:id="1503" w:name="Tc_IYelKRi5g02O8I-lWzUqkQ_14_6"/>
      <w:bookmarkStart w:id="1504" w:name="Tc_sr4B7A7IU0O5kvcecUfnQQ_14_3"/>
      <w:bookmarkStart w:id="1505" w:name="Tc_dhxs2U4Pskec7uhLdpbhAw_14_0"/>
      <w:bookmarkStart w:id="1506" w:name="Tc_FeIvLYG2NU6o25vc1MFYmQ_13_12"/>
      <w:bookmarkStart w:id="1507" w:name="Tc_JbjLyDxkc0e3ksY7qDoM4w_13_9"/>
      <w:bookmarkStart w:id="1508" w:name="Tc_DcGXMUXt_0qcOIB9-ypjdQ_13_6"/>
      <w:bookmarkStart w:id="1509" w:name="Tc_REKzoIOQhUCQuJjF7DETHQ_13_3"/>
      <w:bookmarkStart w:id="1510" w:name="Tc_xLlSkckZ3ECqm_SdXLGpTA_13_0"/>
      <w:bookmarkStart w:id="1511" w:name="Tc_syaMzUMvTUG6a0ptprlEJQ_12_11"/>
      <w:bookmarkStart w:id="1512" w:name="Tc_QD6AMTUo10qAw2L2WZveNA_12_8"/>
      <w:bookmarkStart w:id="1513" w:name="Tc_CR-LOnPMJk-EJbRN4QzVtQ_12_5"/>
      <w:bookmarkStart w:id="1514" w:name="Tc_VztHzrD8zEqQ7-nVwYXQqw_12_2"/>
      <w:bookmarkStart w:id="1515" w:name="Tc_rTe97nUfXUG4z-1eMRWJXA_12_0"/>
      <w:bookmarkStart w:id="1516" w:name="Tc_erdkyOSm9EKROkkjqx5zCg_11_0"/>
      <w:bookmarkStart w:id="1517" w:name="Tc_uw3QSOkN5EicsZ83YvXkYg_10_0"/>
      <w:bookmarkStart w:id="1518" w:name="Tc_qOZPjJEjPkSJnRJtfjD0OQ_8_11"/>
      <w:bookmarkStart w:id="1519" w:name="Tc_ELspUWb_YE2BL4Rg-TtWoA_8_8"/>
      <w:bookmarkStart w:id="1520" w:name="Tc_ZXGFNBW6NU-wTLUicZLC1w_8_5"/>
      <w:bookmarkStart w:id="1521" w:name="Tc_7bv6SJzOKUilRGU8h7wXRg_8_2"/>
      <w:bookmarkStart w:id="1522" w:name="Tc_ffVn0ytuOU-rlTIUGsZThw_8_0"/>
      <w:bookmarkStart w:id="1523" w:name="Tc_cmFxnXfWHUeSDW5yMzRYfQ_7_0"/>
      <w:bookmarkStart w:id="1524" w:name="Tc_5ZJQ-kh-nUutpjkala4hrQ_6_0"/>
      <w:bookmarkStart w:id="1525" w:name="Tc_j6QYpxkPoEa_QZtEMZP4aA_5_11"/>
      <w:bookmarkStart w:id="1526" w:name="Tc_34cGSTf0K0esMEv0qxF6Ow_5_8"/>
      <w:bookmarkStart w:id="1527" w:name="Tc_eQB9ivzfLUqkG-rBlcYsNA_5_5"/>
      <w:bookmarkStart w:id="1528" w:name="Tc_UcVjqP_DlkirEyJGIe_5Xg_5_2"/>
      <w:bookmarkStart w:id="1529" w:name="Tc_qEhsJkt9Jk64NTOGhZphqA_5_0"/>
      <w:bookmarkStart w:id="1530" w:name="Tc_TnGa885OWUm6_uli9SA9Tw_4_0"/>
      <w:bookmarkStart w:id="1531" w:name="Tc_bquUXupYCECltCch2hocnw_3_0"/>
      <w:bookmarkStart w:id="1532" w:name="Tc_HAgcEMXJ90-7Y-x73Rt2qA_2_11"/>
      <w:bookmarkStart w:id="1533" w:name="Tc_IFKI5n6N1USx2M6eUsIPeg_2_8"/>
      <w:bookmarkStart w:id="1534" w:name="Tc_8yaLJP1cY02ykk6uTjFtYQ_2_5"/>
      <w:bookmarkStart w:id="1535" w:name="Tc_xwojliNo9E-3oSJqfUbVww_2_2"/>
      <w:bookmarkStart w:id="1536" w:name="Tc_JT6mmw8GOUSdKxcxIofxAg_2_0"/>
      <w:bookmarkStart w:id="1537" w:name="Tc_ri6THViGa0mP85aa38Ydxw_1_8"/>
      <w:bookmarkStart w:id="1538" w:name="Tc_xP8GeIaXw0Gl-US8unSysg_1_2"/>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r>
        <w:rPr>
          <w:rFonts w:ascii="Times New Roman;Times;serif" w:hAnsi="Times New Roman;Times;serif"/>
          <w:sz w:val="20"/>
        </w:rPr>
        <w:t>The following table sets forth the computation of basic and diluted earnings per share under the two-class method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55"/>
        <w:gridCol w:w="326"/>
        <w:gridCol w:w="211"/>
        <w:gridCol w:w="789"/>
        <w:gridCol w:w="326"/>
        <w:gridCol w:w="211"/>
        <w:gridCol w:w="789"/>
        <w:gridCol w:w="326"/>
        <w:gridCol w:w="211"/>
        <w:gridCol w:w="789"/>
        <w:gridCol w:w="326"/>
        <w:gridCol w:w="211"/>
        <w:gridCol w:w="835"/>
      </w:tblGrid>
      <w:tr>
        <w:trPr/>
        <w:tc>
          <w:tcPr>
            <w:tcW w:w="4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082925" cy="175260"/>
                      <wp:effectExtent l="0" t="0" r="0" b="0"/>
                      <wp:wrapNone/>
                      <wp:docPr id="316" name="Frame315"/>
                      <a:graphic xmlns:a="http://schemas.openxmlformats.org/drawingml/2006/main">
                        <a:graphicData uri="http://schemas.microsoft.com/office/word/2010/wordprocessingShape">
                          <wps:wsp>
                            <wps:cNvSpPr txBox="1"/>
                            <wps:spPr>
                              <a:xfrm>
                                <a:off x="0" y="0"/>
                                <a:ext cx="308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01015" cy="175260"/>
                      <wp:effectExtent l="0" t="0" r="0" b="0"/>
                      <wp:wrapNone/>
                      <wp:docPr id="319" name="Frame318"/>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01015" cy="175260"/>
                      <wp:effectExtent l="0" t="0" r="0" b="0"/>
                      <wp:wrapNone/>
                      <wp:docPr id="322" name="Frame321"/>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01015" cy="175260"/>
                      <wp:effectExtent l="0" t="0" r="0" b="0"/>
                      <wp:wrapNone/>
                      <wp:docPr id="325" name="Frame324"/>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30225" cy="175260"/>
                      <wp:effectExtent l="0" t="0" r="0" b="0"/>
                      <wp:wrapNone/>
                      <wp:docPr id="328" name="Frame327"/>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8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 except per share data)</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Earnings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center"/>
              <w:rPr/>
            </w:pPr>
            <w:r>
              <w:rPr/>
              <w:t>​</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center"/>
              <w:rPr/>
            </w:pPr>
            <w:r>
              <w:rPr/>
              <w:t>​</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(31,493)</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center"/>
              <w:rPr/>
            </w:pPr>
            <w:r>
              <w:rPr/>
              <w:t>​</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75,543</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r>
      <w:tr>
        <w:trPr/>
        <w:tc>
          <w:tcPr>
            <w:tcW w:w="48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center"/>
              <w:rPr/>
            </w:pPr>
            <w:r>
              <w:rPr/>
              <w:t>​</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Earnings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left"/>
              <w:rPr/>
            </w:pPr>
            <w:r>
              <w:rPr/>
              <w:t>​</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 - 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(31,493)</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participating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non-participating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(31,493)</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75,543</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participating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non-participating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75,543</w:t>
            </w:r>
          </w:p>
        </w:tc>
      </w:tr>
      <w:tr>
        <w:trPr/>
        <w:tc>
          <w:tcPr>
            <w:tcW w:w="48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39" w:name="Note18SegmentInformation_197889"/>
      <w:bookmarkEnd w:id="1539"/>
      <w:r>
        <w:rPr>
          <w:rFonts w:ascii="Times New Roman;Times;serif" w:hAnsi="Times New Roman;Times;serif"/>
          <w:b/>
          <w:sz w:val="20"/>
        </w:rPr>
        <w:t>Note 19. Segment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two operating segments, Beverage Solutions and Sustainable Sourcing &amp; Traceability, are evaluated using Adjusted EBITDA, which is a segment performance measure we define as net (loss) income determined in accordance with GAAP, before interest expense, provision for income taxes, depreciation and amortization, equity-based compensation expense and the impact, which may be recurring in nature, transaction, restructuring and integrations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540" w:name="Tc_VZnMpwerJ0S8f2vqQUiHMg_20_9"/>
      <w:bookmarkStart w:id="1541" w:name="Tc_K7KshyTpT0WEYysOd_Qssg_20_0"/>
      <w:bookmarkStart w:id="1542" w:name="Tc_3udBp9NNkEeDfCahTQwuXw_18_11"/>
      <w:bookmarkStart w:id="1543" w:name="Tc_Gv1nJaKUSkuFvQwszVCWmA_18_0"/>
      <w:bookmarkStart w:id="1544" w:name="Tc_dbrrqjk720aIfiblOXe1xQ_17_0"/>
      <w:bookmarkStart w:id="1545" w:name="Tc_yf3388q0r0W1eYwef0P95g_16_0"/>
      <w:bookmarkStart w:id="1546" w:name="Tc_-0WK5aowJUKnIqrfj4OFRA_15_0"/>
      <w:bookmarkStart w:id="1547" w:name="Tc_D0TlCdalb0-BJsGeS4RN0Q_14_0"/>
      <w:bookmarkStart w:id="1548" w:name="Tc_x6yylCV3OUS1ClYJCb404Q_13_0"/>
      <w:bookmarkStart w:id="1549" w:name="Tc_nMrH-wSKn0mNH2sd-W3FwA_12_0"/>
      <w:bookmarkStart w:id="1550" w:name="Tc_MTp-ltG2t0GFbsYrF5yFUw_11_0"/>
      <w:bookmarkStart w:id="1551" w:name="Tc_0-fv2oG_4Um8nOfRPWlGOw_10_0"/>
      <w:bookmarkStart w:id="1552" w:name="Tc_Tr5L-eTFw0K4j70jIy0xEA_9_0"/>
      <w:bookmarkStart w:id="1553" w:name="Tc_K_cYxSnekkSccCjdTlYu4A_8_0"/>
      <w:bookmarkStart w:id="1554" w:name="Tc_vcUE5ScZ8kKO2lZuc6ZZVA_7_9"/>
      <w:bookmarkStart w:id="1555" w:name="Tc_XXlDVFOuqEOdPGnMd4RndQ_7_0"/>
      <w:bookmarkStart w:id="1556" w:name="Tc_k2BYXGk3QEyNzZb4bZwr7w_5_11"/>
      <w:bookmarkStart w:id="1557" w:name="Tc_z56hP5CyikGASVVmJehOuA_5_8"/>
      <w:bookmarkStart w:id="1558" w:name="Tc_gD_bo716b0O9q2omIAa-_g_5_5"/>
      <w:bookmarkStart w:id="1559" w:name="Tc_AdjmQ4940kWc0_nXtJi7Jg_5_2"/>
      <w:bookmarkStart w:id="1560" w:name="Tc_Db_o32EDJ06goovJOKpnog_5_0"/>
      <w:bookmarkStart w:id="1561" w:name="Tc_OmldGAHEg0qk4ZGNz6_ApQ_4_11"/>
      <w:bookmarkStart w:id="1562" w:name="Tc_6yd1Up8JhkiAb2oAdgIOaw_4_8"/>
      <w:bookmarkStart w:id="1563" w:name="Tc_EIxxShAW-k-Icrfc00jdQA_4_5"/>
      <w:bookmarkStart w:id="1564" w:name="Tc_1vS185pOm0uI_29inz31wQ_4_2"/>
      <w:bookmarkStart w:id="1565" w:name="Tc_xmT2MMjKGEOP7AHRBeG5lQ_4_0"/>
      <w:bookmarkStart w:id="1566" w:name="Tc_9i98pwZ3gU6XejAJF4GEaw_3_11"/>
      <w:bookmarkStart w:id="1567" w:name="Tc_v6mJbDdvaUSNacwPMMjQHA_3_8"/>
      <w:bookmarkStart w:id="1568" w:name="Tc_cDTBxVssdEe0Ke5DZMxr7A_3_5"/>
      <w:bookmarkStart w:id="1569" w:name="Tc_T-VFQemDyUiSy8uGb5a3oA_3_2"/>
      <w:bookmarkStart w:id="1570" w:name="Tc_9j9qY9pBjk280tWSY9VWxw_2_11"/>
      <w:bookmarkStart w:id="1571" w:name="Tc_UMpYTrl2QU2SFfPApI3Y7w_2_5"/>
      <w:bookmarkStart w:id="1572" w:name="Tc_we7zRIxmsEKJVkFTHDygMQ_1_2"/>
      <w:bookmarkStart w:id="1573" w:name="_2f06408d_24b8_4301_8598_571c6e44d911"/>
      <w:bookmarkStart w:id="1574" w:name="Tc_e40fZFZmuUujVr_mD94Kcw_22_9"/>
      <w:bookmarkStart w:id="1575" w:name="Tc_mHsKBUPojU2wSRwIiUhMBg_22_0"/>
      <w:bookmarkStart w:id="1576" w:name="Tc_1zSrnGp5IkieAXdMX6aftw_20_11"/>
      <w:bookmarkStart w:id="1577" w:name="Tc_mL1FoiVKPUaNgzzQ_PqnOw_20_0"/>
      <w:bookmarkStart w:id="1578" w:name="Tc_97g1VwwGfkmj7xfGUCRSuA_19_0"/>
      <w:bookmarkStart w:id="1579" w:name="Tc_DmXHnZeNuEKM9qVEy2BClw_18_0"/>
      <w:bookmarkStart w:id="1580" w:name="Tc_RZJmIbqhz0arzj5RUDbCvQ_17_0"/>
      <w:bookmarkStart w:id="1581" w:name="Tc_as72BDGZhUikdEq-XcCZ-g_16_0"/>
      <w:bookmarkStart w:id="1582" w:name="Tc_ncwWX06XxEyxnQRMM-q0Ig_15_0"/>
      <w:bookmarkStart w:id="1583" w:name="Tc_UNYfseYyu0GneM4GNW7IVw_14_0"/>
      <w:bookmarkStart w:id="1584" w:name="Tc_uAHLtMHgOkqLzZ5VDI7N5A_13_0"/>
      <w:bookmarkStart w:id="1585" w:name="Tc_03vNI7ilqUqEAXfWxpq1kQ_12_0"/>
      <w:bookmarkStart w:id="1586" w:name="Tc_ZTKsz3cPsEC6mX7KYDtMPA_11_0"/>
      <w:bookmarkStart w:id="1587" w:name="Tc_gRyJt8xWLkiTE2y7aCMpCQ_10_0"/>
      <w:bookmarkStart w:id="1588" w:name="Tc_aIBg99dftkaKisiXrXTmQQ_9_0"/>
      <w:bookmarkStart w:id="1589" w:name="Tc_SXai-yS5X0KY7H25dEyWMQ_8_0"/>
      <w:bookmarkStart w:id="1590" w:name="Tc_CKtZUqOkokSl-ZsPWwrVZw_7_9"/>
      <w:bookmarkStart w:id="1591" w:name="Tc_4uxJROA-c0W-tqeufkJsRw_7_0"/>
      <w:bookmarkStart w:id="1592" w:name="Tc_5u0W94fkMUmgooBXCVeV4g_5_11"/>
      <w:bookmarkStart w:id="1593" w:name="Tc_hJqKndAwG0q9dVpJSQbqow_5_8"/>
      <w:bookmarkStart w:id="1594" w:name="Tc_-eHAdDAZ1Eqp8SEqcQrkbQ_5_5"/>
      <w:bookmarkStart w:id="1595" w:name="Tc_De2IuArrlkiSS9nVUJUEog_5_2"/>
      <w:bookmarkStart w:id="1596" w:name="Tc_8uE37Ga7Gk20MuWHhLm27w_5_0"/>
      <w:bookmarkStart w:id="1597" w:name="Tc_Ohye_tvmgUq7DTz1Eloi8Q_4_11"/>
      <w:bookmarkStart w:id="1598" w:name="Tc_KJnRZGRN802Qrv1Famxxag_4_8"/>
      <w:bookmarkStart w:id="1599" w:name="Tc_bn5Y-cSAVEKp362FeBychw_4_5"/>
      <w:bookmarkStart w:id="1600" w:name="Tc_hSGSpUhHQU66aT2WwrMkqg_4_2"/>
      <w:bookmarkStart w:id="1601" w:name="Tc_AyemhlsEG0KAXL8Wk5jotQ_4_0"/>
      <w:bookmarkStart w:id="1602" w:name="Tc_nnGZykZhO0KYWxYN3lowWw_3_11"/>
      <w:bookmarkStart w:id="1603" w:name="Tc_OOThQSJhdUKSxZTQ6bSX1w_3_8"/>
      <w:bookmarkStart w:id="1604" w:name="Tc_JI0-dCD1b0y8XlDL2qvyqg_3_5"/>
      <w:bookmarkStart w:id="1605" w:name="Tc_Pzv49jjMBUyg1KY7gmSuRA_3_2"/>
      <w:bookmarkStart w:id="1606" w:name="Tc_qsONFvuiSEmmXX9W7ZyqzQ_2_11"/>
      <w:bookmarkStart w:id="1607" w:name="Tc_BDxQsslZYkKaEY6k3X9VEg_2_5"/>
      <w:bookmarkStart w:id="1608" w:name="Tc_triAx9pbOEGTmtR5FEZEhw_1_2"/>
      <w:bookmarkStart w:id="1609" w:name="_86c8334c_7bbe_4fff_b1d5_f13379f0bdc0"/>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r>
        <w:rPr>
          <w:rFonts w:ascii="Times New Roman;Times;serif" w:hAnsi="Times New Roman;Times;serif"/>
          <w:sz w:val="20"/>
        </w:rPr>
        <w:t>Selected financial data related to our segments is presented below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20"/>
        <w:gridCol w:w="326"/>
        <w:gridCol w:w="211"/>
        <w:gridCol w:w="781"/>
        <w:gridCol w:w="326"/>
        <w:gridCol w:w="235"/>
        <w:gridCol w:w="756"/>
        <w:gridCol w:w="326"/>
        <w:gridCol w:w="263"/>
        <w:gridCol w:w="788"/>
        <w:gridCol w:w="326"/>
        <w:gridCol w:w="211"/>
        <w:gridCol w:w="1036"/>
      </w:tblGrid>
      <w:tr>
        <w:trPr/>
        <w:tc>
          <w:tcPr>
            <w:tcW w:w="4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933700" cy="175260"/>
                      <wp:effectExtent l="0" t="0" r="0" b="0"/>
                      <wp:wrapNone/>
                      <wp:docPr id="329" name="Frame328"/>
                      <a:graphic xmlns:a="http://schemas.openxmlformats.org/drawingml/2006/main">
                        <a:graphicData uri="http://schemas.microsoft.com/office/word/2010/wordprocessingShape">
                          <wps:wsp>
                            <wps:cNvSpPr txBox="1"/>
                            <wps:spPr>
                              <a:xfrm>
                                <a:off x="0" y="0"/>
                                <a:ext cx="293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95935" cy="175260"/>
                      <wp:effectExtent l="0" t="0" r="0" b="0"/>
                      <wp:wrapNone/>
                      <wp:docPr id="332" name="Frame3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49225" cy="175260"/>
                      <wp:effectExtent l="0" t="0" r="0" b="0"/>
                      <wp:wrapNone/>
                      <wp:docPr id="334" name="Frame33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80060" cy="175260"/>
                      <wp:effectExtent l="0" t="0" r="0" b="0"/>
                      <wp:wrapNone/>
                      <wp:docPr id="335" name="Frame334"/>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67005" cy="175260"/>
                      <wp:effectExtent l="0" t="0" r="0" b="0"/>
                      <wp:wrapNone/>
                      <wp:docPr id="337" name="Frame33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00380" cy="175260"/>
                      <wp:effectExtent l="0" t="0" r="0" b="0"/>
                      <wp:wrapNone/>
                      <wp:docPr id="338" name="Frame33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57860" cy="175260"/>
                      <wp:effectExtent l="0" t="0" r="0" b="0"/>
                      <wp:wrapNone/>
                      <wp:docPr id="341" name="Frame3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5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2024</w:t>
            </w:r>
          </w:p>
        </w:tc>
      </w:tr>
      <w:tr>
        <w:trPr/>
        <w:tc>
          <w:tcPr>
            <w:tcW w:w="46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of</w:t>
            </w:r>
          </w:p>
        </w:tc>
      </w:tr>
      <w:tr>
        <w:trPr/>
        <w:tc>
          <w:tcPr>
            <w:tcW w:w="46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Reportable</w:t>
            </w:r>
          </w:p>
        </w:tc>
      </w:tr>
      <w:tr>
        <w:trPr/>
        <w:tc>
          <w:tcPr>
            <w:tcW w:w="462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163,253</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46,740</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208,389</w:t>
            </w:r>
          </w:p>
        </w:tc>
      </w:tr>
      <w:tr>
        <w:trPr/>
        <w:tc>
          <w:tcPr>
            <w:tcW w:w="46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4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13,245</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13,664</w:t>
            </w:r>
          </w:p>
        </w:tc>
      </w:tr>
      <w:tr>
        <w:trPr/>
        <w:tc>
          <w:tcPr>
            <w:tcW w:w="46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4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7,453</w:t>
            </w:r>
          </w:p>
        </w:tc>
      </w:tr>
      <w:tr>
        <w:trPr/>
        <w:tc>
          <w:tcPr>
            <w:tcW w:w="46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(4,645)</w:t>
            </w:r>
          </w:p>
        </w:tc>
      </w:tr>
      <w:tr>
        <w:trPr/>
        <w:tc>
          <w:tcPr>
            <w:tcW w:w="4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7,968</w:t>
            </w:r>
          </w:p>
        </w:tc>
      </w:tr>
      <w:tr>
        <w:trPr/>
        <w:tc>
          <w:tcPr>
            <w:tcW w:w="46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4,399</w:t>
            </w:r>
          </w:p>
        </w:tc>
      </w:tr>
      <w:tr>
        <w:trPr/>
        <w:tc>
          <w:tcPr>
            <w:tcW w:w="4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w:t>
            </w:r>
          </w:p>
        </w:tc>
      </w:tr>
      <w:tr>
        <w:trPr/>
        <w:tc>
          <w:tcPr>
            <w:tcW w:w="46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3,025</w:t>
            </w:r>
          </w:p>
        </w:tc>
      </w:tr>
      <w:tr>
        <w:trPr/>
        <w:tc>
          <w:tcPr>
            <w:tcW w:w="4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46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start-up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13,612</w:t>
            </w:r>
          </w:p>
        </w:tc>
      </w:tr>
      <w:tr>
        <w:trPr/>
        <w:tc>
          <w:tcPr>
            <w:tcW w:w="4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w:t>
            </w:r>
          </w:p>
        </w:tc>
      </w:tr>
      <w:tr>
        <w:trPr/>
        <w:tc>
          <w:tcPr>
            <w:tcW w:w="46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disposal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r>
      <w:tr>
        <w:trPr/>
        <w:tc>
          <w:tcPr>
            <w:tcW w:w="46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46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(17,759)</w:t>
            </w:r>
          </w:p>
        </w:tc>
      </w:tr>
      <w:tr>
        <w:trPr/>
        <w:tc>
          <w:tcPr>
            <w:tcW w:w="462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46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965,250</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91,123</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1,056,373</w:t>
            </w:r>
          </w:p>
        </w:tc>
      </w:tr>
    </w:tbl>
    <w:p>
      <w:pPr>
        <w:pStyle w:val="TextBody"/>
        <w:bidi w:val="0"/>
        <w:spacing w:before="0" w:after="240"/>
        <w:ind w:left="0" w:right="0" w:hanging="0"/>
        <w:jc w:val="left"/>
        <w:rPr/>
      </w:pPr>
      <w:r>
        <w:rPr/>
        <w:t>​</w:t>
      </w:r>
    </w:p>
    <w:tbl>
      <w:tblPr>
        <w:tblW w:w="10131" w:type="dxa"/>
        <w:jc w:val="left"/>
        <w:tblInd w:w="0" w:type="dxa"/>
        <w:tblLayout w:type="fixed"/>
        <w:tblCellMar>
          <w:top w:w="0" w:type="dxa"/>
          <w:left w:w="0" w:type="dxa"/>
          <w:bottom w:w="0" w:type="dxa"/>
          <w:right w:w="0" w:type="dxa"/>
        </w:tblCellMar>
      </w:tblPr>
      <w:tblGrid>
        <w:gridCol w:w="4696"/>
        <w:gridCol w:w="326"/>
        <w:gridCol w:w="211"/>
        <w:gridCol w:w="781"/>
        <w:gridCol w:w="326"/>
        <w:gridCol w:w="235"/>
        <w:gridCol w:w="756"/>
        <w:gridCol w:w="326"/>
        <w:gridCol w:w="263"/>
        <w:gridCol w:w="788"/>
        <w:gridCol w:w="326"/>
        <w:gridCol w:w="211"/>
        <w:gridCol w:w="886"/>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981960" cy="175260"/>
                      <wp:effectExtent l="0" t="0" r="0" b="0"/>
                      <wp:wrapNone/>
                      <wp:docPr id="342" name="Frame341"/>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49225" cy="175260"/>
                      <wp:effectExtent l="0" t="0" r="0" b="0"/>
                      <wp:wrapNone/>
                      <wp:docPr id="347" name="Frame34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80060" cy="175260"/>
                      <wp:effectExtent l="0" t="0" r="0" b="0"/>
                      <wp:wrapNone/>
                      <wp:docPr id="348" name="Frame347"/>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67005" cy="175260"/>
                      <wp:effectExtent l="0" t="0" r="0" b="0"/>
                      <wp:wrapNone/>
                      <wp:docPr id="350" name="Frame34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00380" cy="175260"/>
                      <wp:effectExtent l="0" t="0" r="0" b="0"/>
                      <wp:wrapNone/>
                      <wp:docPr id="351" name="Frame350"/>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62610" cy="175260"/>
                      <wp:effectExtent l="0" t="0" r="0" b="0"/>
                      <wp:wrapNone/>
                      <wp:docPr id="354" name="Frame3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r>
      <w:tr>
        <w:trPr/>
        <w:tc>
          <w:tcPr>
            <w:tcW w:w="4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189,719</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224,694</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11,660</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7,385</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start-up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(26,811)</w:t>
            </w:r>
          </w:p>
        </w:tc>
      </w:tr>
      <w:tr>
        <w:trPr/>
        <w:tc>
          <w:tcPr>
            <w:tcW w:w="46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727,471</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94,837</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822,308</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10" w:name="Tc_v7KgTU2V2EmVC8Z-XF7UkQ_22_9"/>
      <w:bookmarkStart w:id="1611" w:name="Tc_vYsjlQydhkOwjI0YWYy9vQ_22_0"/>
      <w:bookmarkStart w:id="1612" w:name="Tc_nRnfc-cs30Oeyf43vdu1Cg_20_11"/>
      <w:bookmarkStart w:id="1613" w:name="Tc_ddKp6uprSUqEbPKwiBwxNQ_20_0"/>
      <w:bookmarkStart w:id="1614" w:name="Tc_7Zjz3IZMeEOQCRwbzr9R2Q_19_0"/>
      <w:bookmarkStart w:id="1615" w:name="Tc_uAfHwBQF-UG3k2dkxTAcwg_18_0"/>
      <w:bookmarkStart w:id="1616" w:name="Tc_4xhi_n3zjUqKDAIl70iztw_17_0"/>
      <w:bookmarkStart w:id="1617" w:name="Tc_QWyuJhLHCUSkz-r8yfBLNg_16_0"/>
      <w:bookmarkStart w:id="1618" w:name="Tc_y_5eWKQaEkyZu4KpHBdk5g_15_0"/>
      <w:bookmarkStart w:id="1619" w:name="Tc_Ky6o30d6mUSV7owUK6MEUA_14_0"/>
      <w:bookmarkStart w:id="1620" w:name="Tc_xnkZhU8jekuMM4-qDrtnmg_13_0"/>
      <w:bookmarkStart w:id="1621" w:name="Tc_pas9-RkuQEyOvm2NpFxRIA_12_0"/>
      <w:bookmarkStart w:id="1622" w:name="Tc_3eTA9rCKzk-f_DbHubw9eQ_11_0"/>
      <w:bookmarkStart w:id="1623" w:name="Tc_cukURTlzc0mzWJNfxGj48Q_10_0"/>
      <w:bookmarkStart w:id="1624" w:name="Tc_VBSU5IK2v0K8b7xT2tzApQ_9_0"/>
      <w:bookmarkStart w:id="1625" w:name="Tc_Sj0JBzQqOUCRvZP8ogQIVA_8_0"/>
      <w:bookmarkStart w:id="1626" w:name="Tc_6gRA6gM7kEGisLC4BKlTiQ_7_9"/>
      <w:bookmarkStart w:id="1627" w:name="Tc_m5PlSgF_o0-wgrvCinvUbA_7_0"/>
      <w:bookmarkStart w:id="1628" w:name="Tc_PKIp1E6nSkC8oU4LuUTAog_5_11"/>
      <w:bookmarkStart w:id="1629" w:name="Tc_HgAxvH9ttUSdfw91f45J9g_5_8"/>
      <w:bookmarkStart w:id="1630" w:name="Tc_Ac1PHl1yh02kyRZ4wQNvLA_5_5"/>
      <w:bookmarkStart w:id="1631" w:name="Tc__np0z_e11E-PE38e0bGljg_5_2"/>
      <w:bookmarkStart w:id="1632" w:name="Tc_hNZeYwfhXUSZk3_rW3r23A_5_0"/>
      <w:bookmarkStart w:id="1633" w:name="Tc_LlCDRGRHNE-Uqfmf_4uPtQ_4_11"/>
      <w:bookmarkStart w:id="1634" w:name="Tc_mHtqv1dF70G5yZpVwU0s2g_4_8"/>
      <w:bookmarkStart w:id="1635" w:name="Tc_S1OAZEfef0G6kiU1Hb7Ofw_4_5"/>
      <w:bookmarkStart w:id="1636" w:name="Tc_DQlPh_QRQkGBKfWzbiu4Iw_4_2"/>
      <w:bookmarkStart w:id="1637" w:name="Tc_SBRngfO0HkqWAvMQvtuzRA_4_0"/>
      <w:bookmarkStart w:id="1638" w:name="Tc_iYo5x0S0ZkOSHCc6L_UtLg_3_11"/>
      <w:bookmarkStart w:id="1639" w:name="Tc_7Ren2AT_KU6Non7jkDu6YQ_3_8"/>
      <w:bookmarkStart w:id="1640" w:name="Tc_X690By6E3UWKbkCVxwR-Rw_3_5"/>
      <w:bookmarkStart w:id="1641" w:name="Tc_xXiExHrx50en2rRj3L7Y4A_3_2"/>
      <w:bookmarkStart w:id="1642" w:name="Tc_e-qkenlkjE6mf_El17DJRw_2_11"/>
      <w:bookmarkStart w:id="1643" w:name="Tc_Ex_Hzmf0hEiiOk1jsxbdUg_2_5"/>
      <w:bookmarkStart w:id="1644" w:name="Tc_Z5KQyVzpokmZrWkvMDpDQQ_1_2"/>
      <w:bookmarkStart w:id="1645" w:name="_df5e92cb_1698_4e2f_9275_aa335c784dae"/>
      <w:bookmarkStart w:id="1646" w:name="Tc_pwJBxkSvQ0mb40eZ9zWuYA_22_9"/>
      <w:bookmarkStart w:id="1647" w:name="Tc_ux7B3Rzv3EuhspqYE0SQyw_22_0"/>
      <w:bookmarkStart w:id="1648" w:name="Tc_izacyvEN1EuRMI_PgPkRfg_20_11"/>
      <w:bookmarkStart w:id="1649" w:name="Tc_G1_nneRddU--icRDB6Tr4Q_20_0"/>
      <w:bookmarkStart w:id="1650" w:name="Tc_boOCSCqNtU6SqbpVmKdihQ_19_0"/>
      <w:bookmarkStart w:id="1651" w:name="Tc_t-1tCj01CkSmpjNHpUnchg_18_0"/>
      <w:bookmarkStart w:id="1652" w:name="Tc_pdkBuNXSNkGSqdm6mLSHEQ_17_0"/>
      <w:bookmarkStart w:id="1653" w:name="Tc_WCx3Nnp8mkK5SMA23zN6gg_16_0"/>
      <w:bookmarkStart w:id="1654" w:name="Tc_FVp-t8u4ekiLqdeyxgaoaQ_15_0"/>
      <w:bookmarkStart w:id="1655" w:name="Tc_a3vrqSGQ5kWacgdD2kjSqQ_14_0"/>
      <w:bookmarkStart w:id="1656" w:name="Tc_7t8C7ICaokaVB_m8ei2rhQ_13_0"/>
      <w:bookmarkStart w:id="1657" w:name="Tc_UinKmpVqFEqO9JktcMFswQ_12_0"/>
      <w:bookmarkStart w:id="1658" w:name="Tc_Qvm6BOl010ibt8xrby4W4g_11_0"/>
      <w:bookmarkStart w:id="1659" w:name="Tc_7FE4M277DE2-4NywBqbxYg_10_0"/>
      <w:bookmarkStart w:id="1660" w:name="Tc_kW6tNwk62kepBQWCPTz_sA_9_0"/>
      <w:bookmarkStart w:id="1661" w:name="Tc_dXGTZ0VDtk-IQsQAFOaR1Q_8_0"/>
      <w:bookmarkStart w:id="1662" w:name="Tc_11RmBHCbEU6HMKixRBNbBA_7_9"/>
      <w:bookmarkStart w:id="1663" w:name="Tc_dPBE10fm3UyM62MC5XhM_w_7_0"/>
      <w:bookmarkStart w:id="1664" w:name="Tc_rKDV-qv0_EGDeiVMdT5Lbw_5_11"/>
      <w:bookmarkStart w:id="1665" w:name="Tc_1rYBvRkGcUGMLOgLuL0gDg_5_8"/>
      <w:bookmarkStart w:id="1666" w:name="Tc_NJ25G0o8hUW3kg0x_-YOfw_5_5"/>
      <w:bookmarkStart w:id="1667" w:name="Tc_sLInBj3UkU6pyQlz6WjMPQ_5_2"/>
      <w:bookmarkStart w:id="1668" w:name="Tc_oHhlBm3LYEe-nQ9e96mZXw_5_0"/>
      <w:bookmarkStart w:id="1669" w:name="Tc_INWAxKX-dU2_9DNoqE9-xA_4_11"/>
      <w:bookmarkStart w:id="1670" w:name="Tc_G3GvOQafCU-56oi3ATQWng_4_8"/>
      <w:bookmarkStart w:id="1671" w:name="Tc_pQFstcqttUebqWMFcT8e3Q_4_5"/>
      <w:bookmarkStart w:id="1672" w:name="Tc_JrOw53dKPUu0t2dHvzA60w_4_2"/>
      <w:bookmarkStart w:id="1673" w:name="Tc_BasjKcEta02PqhS5YeiBWg_4_0"/>
      <w:bookmarkStart w:id="1674" w:name="Tc_07SMQYGSJ0-_B6eVbA8I_Q_3_11"/>
      <w:bookmarkStart w:id="1675" w:name="Tc_smdDUDqBJUyp-f8_S2KaiQ_3_8"/>
      <w:bookmarkStart w:id="1676" w:name="Tc_U0XPhF9ft0-tUTP-qM9ZqQ_3_5"/>
      <w:bookmarkStart w:id="1677" w:name="Tc_yNteT-zm20a34sB8SMdABg_3_2"/>
      <w:bookmarkStart w:id="1678" w:name="Tc_BdW0w2WOlUKaNDMO0dPgxA_2_11"/>
      <w:bookmarkStart w:id="1679" w:name="Tc_6G4XJOYtWEeevsPesn72Fg_2_5"/>
      <w:bookmarkStart w:id="1680" w:name="Tc_Y3wf6W_KoUSZfrzVFJiVIg_1_2"/>
      <w:bookmarkStart w:id="1681" w:name="_be17b349_f300_4d06_bae1_24c12a68d3a8"/>
      <w:bookmarkStart w:id="1682" w:name="Tc_v7KgTU2V2EmVC8Z-XF7UkQ_22_9"/>
      <w:bookmarkStart w:id="1683" w:name="Tc_vYsjlQydhkOwjI0YWYy9vQ_22_0"/>
      <w:bookmarkStart w:id="1684" w:name="Tc_nRnfc-cs30Oeyf43vdu1Cg_20_11"/>
      <w:bookmarkStart w:id="1685" w:name="Tc_ddKp6uprSUqEbPKwiBwxNQ_20_0"/>
      <w:bookmarkStart w:id="1686" w:name="Tc_7Zjz3IZMeEOQCRwbzr9R2Q_19_0"/>
      <w:bookmarkStart w:id="1687" w:name="Tc_uAfHwBQF-UG3k2dkxTAcwg_18_0"/>
      <w:bookmarkStart w:id="1688" w:name="Tc_4xhi_n3zjUqKDAIl70iztw_17_0"/>
      <w:bookmarkStart w:id="1689" w:name="Tc_QWyuJhLHCUSkz-r8yfBLNg_16_0"/>
      <w:bookmarkStart w:id="1690" w:name="Tc_y_5eWKQaEkyZu4KpHBdk5g_15_0"/>
      <w:bookmarkStart w:id="1691" w:name="Tc_Ky6o30d6mUSV7owUK6MEUA_14_0"/>
      <w:bookmarkStart w:id="1692" w:name="Tc_xnkZhU8jekuMM4-qDrtnmg_13_0"/>
      <w:bookmarkStart w:id="1693" w:name="Tc_pas9-RkuQEyOvm2NpFxRIA_12_0"/>
      <w:bookmarkStart w:id="1694" w:name="Tc_3eTA9rCKzk-f_DbHubw9eQ_11_0"/>
      <w:bookmarkStart w:id="1695" w:name="Tc_cukURTlzc0mzWJNfxGj48Q_10_0"/>
      <w:bookmarkStart w:id="1696" w:name="Tc_VBSU5IK2v0K8b7xT2tzApQ_9_0"/>
      <w:bookmarkStart w:id="1697" w:name="Tc_Sj0JBzQqOUCRvZP8ogQIVA_8_0"/>
      <w:bookmarkStart w:id="1698" w:name="Tc_6gRA6gM7kEGisLC4BKlTiQ_7_9"/>
      <w:bookmarkStart w:id="1699" w:name="Tc_m5PlSgF_o0-wgrvCinvUbA_7_0"/>
      <w:bookmarkStart w:id="1700" w:name="Tc_PKIp1E6nSkC8oU4LuUTAog_5_11"/>
      <w:bookmarkStart w:id="1701" w:name="Tc_HgAxvH9ttUSdfw91f45J9g_5_8"/>
      <w:bookmarkStart w:id="1702" w:name="Tc_Ac1PHl1yh02kyRZ4wQNvLA_5_5"/>
      <w:bookmarkStart w:id="1703" w:name="Tc__np0z_e11E-PE38e0bGljg_5_2"/>
      <w:bookmarkStart w:id="1704" w:name="Tc_hNZeYwfhXUSZk3_rW3r23A_5_0"/>
      <w:bookmarkStart w:id="1705" w:name="Tc_LlCDRGRHNE-Uqfmf_4uPtQ_4_11"/>
      <w:bookmarkStart w:id="1706" w:name="Tc_mHtqv1dF70G5yZpVwU0s2g_4_8"/>
      <w:bookmarkStart w:id="1707" w:name="Tc_S1OAZEfef0G6kiU1Hb7Ofw_4_5"/>
      <w:bookmarkStart w:id="1708" w:name="Tc_DQlPh_QRQkGBKfWzbiu4Iw_4_2"/>
      <w:bookmarkStart w:id="1709" w:name="Tc_SBRngfO0HkqWAvMQvtuzRA_4_0"/>
      <w:bookmarkStart w:id="1710" w:name="Tc_iYo5x0S0ZkOSHCc6L_UtLg_3_11"/>
      <w:bookmarkStart w:id="1711" w:name="Tc_7Ren2AT_KU6Non7jkDu6YQ_3_8"/>
      <w:bookmarkStart w:id="1712" w:name="Tc_X690By6E3UWKbkCVxwR-Rw_3_5"/>
      <w:bookmarkStart w:id="1713" w:name="Tc_xXiExHrx50en2rRj3L7Y4A_3_2"/>
      <w:bookmarkStart w:id="1714" w:name="Tc_e-qkenlkjE6mf_El17DJRw_2_11"/>
      <w:bookmarkStart w:id="1715" w:name="Tc_Ex_Hzmf0hEiiOk1jsxbdUg_2_5"/>
      <w:bookmarkStart w:id="1716" w:name="Tc_Z5KQyVzpokmZrWkvMDpDQQ_1_2"/>
      <w:bookmarkStart w:id="1717" w:name="_df5e92cb_1698_4e2f_9275_aa335c784dae"/>
      <w:bookmarkStart w:id="1718" w:name="Tc_pwJBxkSvQ0mb40eZ9zWuYA_22_9"/>
      <w:bookmarkStart w:id="1719" w:name="Tc_ux7B3Rzv3EuhspqYE0SQyw_22_0"/>
      <w:bookmarkStart w:id="1720" w:name="Tc_izacyvEN1EuRMI_PgPkRfg_20_11"/>
      <w:bookmarkStart w:id="1721" w:name="Tc_G1_nneRddU--icRDB6Tr4Q_20_0"/>
      <w:bookmarkStart w:id="1722" w:name="Tc_boOCSCqNtU6SqbpVmKdihQ_19_0"/>
      <w:bookmarkStart w:id="1723" w:name="Tc_t-1tCj01CkSmpjNHpUnchg_18_0"/>
      <w:bookmarkStart w:id="1724" w:name="Tc_pdkBuNXSNkGSqdm6mLSHEQ_17_0"/>
      <w:bookmarkStart w:id="1725" w:name="Tc_WCx3Nnp8mkK5SMA23zN6gg_16_0"/>
      <w:bookmarkStart w:id="1726" w:name="Tc_FVp-t8u4ekiLqdeyxgaoaQ_15_0"/>
      <w:bookmarkStart w:id="1727" w:name="Tc_a3vrqSGQ5kWacgdD2kjSqQ_14_0"/>
      <w:bookmarkStart w:id="1728" w:name="Tc_7t8C7ICaokaVB_m8ei2rhQ_13_0"/>
      <w:bookmarkStart w:id="1729" w:name="Tc_UinKmpVqFEqO9JktcMFswQ_12_0"/>
      <w:bookmarkStart w:id="1730" w:name="Tc_Qvm6BOl010ibt8xrby4W4g_11_0"/>
      <w:bookmarkStart w:id="1731" w:name="Tc_7FE4M277DE2-4NywBqbxYg_10_0"/>
      <w:bookmarkStart w:id="1732" w:name="Tc_kW6tNwk62kepBQWCPTz_sA_9_0"/>
      <w:bookmarkStart w:id="1733" w:name="Tc_dXGTZ0VDtk-IQsQAFOaR1Q_8_0"/>
      <w:bookmarkStart w:id="1734" w:name="Tc_11RmBHCbEU6HMKixRBNbBA_7_9"/>
      <w:bookmarkStart w:id="1735" w:name="Tc_dPBE10fm3UyM62MC5XhM_w_7_0"/>
      <w:bookmarkStart w:id="1736" w:name="Tc_rKDV-qv0_EGDeiVMdT5Lbw_5_11"/>
      <w:bookmarkStart w:id="1737" w:name="Tc_1rYBvRkGcUGMLOgLuL0gDg_5_8"/>
      <w:bookmarkStart w:id="1738" w:name="Tc_NJ25G0o8hUW3kg0x_-YOfw_5_5"/>
      <w:bookmarkStart w:id="1739" w:name="Tc_sLInBj3UkU6pyQlz6WjMPQ_5_2"/>
      <w:bookmarkStart w:id="1740" w:name="Tc_oHhlBm3LYEe-nQ9e96mZXw_5_0"/>
      <w:bookmarkStart w:id="1741" w:name="Tc_INWAxKX-dU2_9DNoqE9-xA_4_11"/>
      <w:bookmarkStart w:id="1742" w:name="Tc_G3GvOQafCU-56oi3ATQWng_4_8"/>
      <w:bookmarkStart w:id="1743" w:name="Tc_pQFstcqttUebqWMFcT8e3Q_4_5"/>
      <w:bookmarkStart w:id="1744" w:name="Tc_JrOw53dKPUu0t2dHvzA60w_4_2"/>
      <w:bookmarkStart w:id="1745" w:name="Tc_BasjKcEta02PqhS5YeiBWg_4_0"/>
      <w:bookmarkStart w:id="1746" w:name="Tc_07SMQYGSJ0-_B6eVbA8I_Q_3_11"/>
      <w:bookmarkStart w:id="1747" w:name="Tc_smdDUDqBJUyp-f8_S2KaiQ_3_8"/>
      <w:bookmarkStart w:id="1748" w:name="Tc_U0XPhF9ft0-tUTP-qM9ZqQ_3_5"/>
      <w:bookmarkStart w:id="1749" w:name="Tc_yNteT-zm20a34sB8SMdABg_3_2"/>
      <w:bookmarkStart w:id="1750" w:name="Tc_BdW0w2WOlUKaNDMO0dPgxA_2_11"/>
      <w:bookmarkStart w:id="1751" w:name="Tc_6G4XJOYtWEeevsPesn72Fg_2_5"/>
      <w:bookmarkStart w:id="1752" w:name="Tc_Y3wf6W_KoUSZfrzVFJiVIg_1_2"/>
      <w:bookmarkStart w:id="1753" w:name="_be17b349_f300_4d06_bae1_24c12a68d3a8"/>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p>
    <w:tbl>
      <w:tblPr>
        <w:tblW w:w="10205" w:type="dxa"/>
        <w:jc w:val="left"/>
        <w:tblInd w:w="0" w:type="dxa"/>
        <w:tblLayout w:type="fixed"/>
        <w:tblCellMar>
          <w:top w:w="0" w:type="dxa"/>
          <w:left w:w="0" w:type="dxa"/>
          <w:bottom w:w="0" w:type="dxa"/>
          <w:right w:w="0" w:type="dxa"/>
        </w:tblCellMar>
      </w:tblPr>
      <w:tblGrid>
        <w:gridCol w:w="4620"/>
        <w:gridCol w:w="326"/>
        <w:gridCol w:w="211"/>
        <w:gridCol w:w="781"/>
        <w:gridCol w:w="326"/>
        <w:gridCol w:w="235"/>
        <w:gridCol w:w="756"/>
        <w:gridCol w:w="326"/>
        <w:gridCol w:w="263"/>
        <w:gridCol w:w="788"/>
        <w:gridCol w:w="326"/>
        <w:gridCol w:w="211"/>
        <w:gridCol w:w="1036"/>
      </w:tblGrid>
      <w:tr>
        <w:trPr/>
        <w:tc>
          <w:tcPr>
            <w:tcW w:w="4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933700" cy="175260"/>
                      <wp:effectExtent l="0" t="0" r="0" b="0"/>
                      <wp:wrapNone/>
                      <wp:docPr id="355" name="Frame354"/>
                      <a:graphic xmlns:a="http://schemas.openxmlformats.org/drawingml/2006/main">
                        <a:graphicData uri="http://schemas.microsoft.com/office/word/2010/wordprocessingShape">
                          <wps:wsp>
                            <wps:cNvSpPr txBox="1"/>
                            <wps:spPr>
                              <a:xfrm>
                                <a:off x="0" y="0"/>
                                <a:ext cx="293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5935" cy="175260"/>
                      <wp:effectExtent l="0" t="0" r="0" b="0"/>
                      <wp:wrapNone/>
                      <wp:docPr id="358"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49225" cy="175260"/>
                      <wp:effectExtent l="0" t="0" r="0" b="0"/>
                      <wp:wrapNone/>
                      <wp:docPr id="360" name="Frame359"/>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80060" cy="175260"/>
                      <wp:effectExtent l="0" t="0" r="0" b="0"/>
                      <wp:wrapNone/>
                      <wp:docPr id="361" name="Frame360"/>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67005" cy="175260"/>
                      <wp:effectExtent l="0" t="0" r="0" b="0"/>
                      <wp:wrapNone/>
                      <wp:docPr id="363" name="Frame36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00380" cy="175260"/>
                      <wp:effectExtent l="0" t="0" r="0" b="0"/>
                      <wp:wrapNone/>
                      <wp:docPr id="364" name="Frame363"/>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57860" cy="175260"/>
                      <wp:effectExtent l="0" t="0" r="0" b="0"/>
                      <wp:wrapNone/>
                      <wp:docPr id="367" name="Frame3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5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r>
      <w:tr>
        <w:trPr/>
        <w:tc>
          <w:tcPr>
            <w:tcW w:w="4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r>
      <w:tr>
        <w:trPr/>
        <w:tc>
          <w:tcPr>
            <w:tcW w:w="4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r>
      <w:tr>
        <w:trPr/>
        <w:tc>
          <w:tcPr>
            <w:tcW w:w="4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321,312</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83,060</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400,889</w:t>
            </w:r>
          </w:p>
        </w:tc>
      </w:tr>
      <w:tr>
        <w:trPr/>
        <w:tc>
          <w:tcPr>
            <w:tcW w:w="46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24,045</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24,806</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15,032</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15,516</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7,363</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start-up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23,408</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r>
      <w:tr>
        <w:trPr/>
        <w:tc>
          <w:tcPr>
            <w:tcW w:w="4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(41,432)</w:t>
            </w:r>
          </w:p>
        </w:tc>
      </w:tr>
      <w:tr>
        <w:trPr/>
        <w:tc>
          <w:tcPr>
            <w:tcW w:w="46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965,250</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91,123</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1,056,373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146" w:type="dxa"/>
        <w:jc w:val="left"/>
        <w:tblInd w:w="0" w:type="dxa"/>
        <w:tblLayout w:type="fixed"/>
        <w:tblCellMar>
          <w:top w:w="0" w:type="dxa"/>
          <w:left w:w="0" w:type="dxa"/>
          <w:bottom w:w="0" w:type="dxa"/>
          <w:right w:w="0" w:type="dxa"/>
        </w:tblCellMar>
      </w:tblPr>
      <w:tblGrid>
        <w:gridCol w:w="4711"/>
        <w:gridCol w:w="326"/>
        <w:gridCol w:w="211"/>
        <w:gridCol w:w="781"/>
        <w:gridCol w:w="326"/>
        <w:gridCol w:w="235"/>
        <w:gridCol w:w="756"/>
        <w:gridCol w:w="326"/>
        <w:gridCol w:w="263"/>
        <w:gridCol w:w="788"/>
        <w:gridCol w:w="326"/>
        <w:gridCol w:w="211"/>
        <w:gridCol w:w="886"/>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991485" cy="175260"/>
                      <wp:effectExtent l="0" t="0" r="0" b="0"/>
                      <wp:wrapNone/>
                      <wp:docPr id="368" name="Frame367"/>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95935" cy="175260"/>
                      <wp:effectExtent l="0" t="0" r="0" b="0"/>
                      <wp:wrapNone/>
                      <wp:docPr id="371" name="Frame3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49225" cy="175260"/>
                      <wp:effectExtent l="0" t="0" r="0" b="0"/>
                      <wp:wrapNone/>
                      <wp:docPr id="373" name="Frame37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80060" cy="175260"/>
                      <wp:effectExtent l="0" t="0" r="0" b="0"/>
                      <wp:wrapNone/>
                      <wp:docPr id="374" name="Frame37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67005" cy="175260"/>
                      <wp:effectExtent l="0" t="0" r="0" b="0"/>
                      <wp:wrapNone/>
                      <wp:docPr id="376" name="Frame37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00380" cy="175260"/>
                      <wp:effectExtent l="0" t="0" r="0" b="0"/>
                      <wp:wrapNone/>
                      <wp:docPr id="377" name="Frame376"/>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62610" cy="175260"/>
                      <wp:effectExtent l="0" t="0" r="0" b="0"/>
                      <wp:wrapNone/>
                      <wp:docPr id="380" name="Frame37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r>
      <w:tr>
        <w:trPr/>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370,928</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430,136</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20,081</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19,763</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12,055</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and consulting fees (S&amp;D acquisition)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3,857</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start-up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(31,137)</w:t>
            </w:r>
          </w:p>
        </w:tc>
      </w:tr>
      <w:tr>
        <w:trPr/>
        <w:tc>
          <w:tcPr>
            <w:tcW w:w="47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727,471</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94,837</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822,308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54" w:name="Note19CommitmentsandContingencies_748093"/>
      <w:bookmarkEnd w:id="1754"/>
      <w:r>
        <w:rPr>
          <w:rFonts w:ascii="Times New Roman;Times;serif" w:hAnsi="Times New Roman;Times;serif"/>
          <w:b/>
          <w:sz w:val="20"/>
        </w:rPr>
        <w:t>Note 20.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future purchase obligations of $180.3 million as of June 30, 2024 that consist of commitments for the purchase of inventory over the next 12 months. These obligations represent the minimum contractual obligations expected under the normal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at June 30, 2024, we had an obligation to repurchase $1.0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Condensed Consolidated Balance Sheet.</w:t>
      </w:r>
    </w:p>
    <w:p>
      <w:pPr>
        <w:pStyle w:val="TextBody"/>
        <w:pBdr/>
        <w:bidi w:val="0"/>
        <w:spacing w:before="0" w:after="240"/>
        <w:ind w:left="0" w:right="0" w:hanging="288"/>
        <w:jc w:val="left"/>
        <w:rPr/>
      </w:pPr>
      <w:r>
        <w:rPr/>
        <w:t>​</w:t>
      </w:r>
    </w:p>
    <w:p>
      <w:pPr>
        <w:pStyle w:val="TextBody"/>
        <w:bidi w:val="0"/>
        <w:spacing w:before="0" w:after="240"/>
        <w:ind w:left="0" w:right="0" w:hanging="0"/>
        <w:jc w:val="left"/>
        <w:rPr>
          <w:rFonts w:ascii="Times New Roman;Times;serif" w:hAnsi="Times New Roman;Times;serif"/>
          <w:b/>
          <w:sz w:val="20"/>
        </w:rPr>
      </w:pPr>
      <w:bookmarkStart w:id="1755" w:name="Tc_4xxwlnX-GkuMW5NBYY_RPA_7_6"/>
      <w:bookmarkStart w:id="1756" w:name="Tc__vz11DRpdkCp_k8uGhHcIg_7_5"/>
      <w:bookmarkStart w:id="1757" w:name="Tc_TQHEPIqFmkCS9u1WWKThAg_7_2"/>
      <w:bookmarkStart w:id="1758" w:name="Tc_QgdWvZ9XQkC0VW9TlgLDFg_7_0"/>
      <w:bookmarkStart w:id="1759" w:name="Tc_y8hnb_qUBkWODt1Ewo8AvQ_6_6"/>
      <w:bookmarkStart w:id="1760" w:name="Tc_FkScQkEJJUuEXt36iPAkww_6_0"/>
      <w:bookmarkStart w:id="1761" w:name="Tc_O2TDXI65p02fzHFkBE896w_5_6"/>
      <w:bookmarkStart w:id="1762" w:name="Tc_X4PGdHdao0C1G-WHkK-CbQ_5_0"/>
      <w:bookmarkStart w:id="1763" w:name="Tc_ddkjQQgGUkuutJ5A8sXhSw_4_6"/>
      <w:bookmarkStart w:id="1764" w:name="Tc_SaD-m0GgUEi3eHFEpustzw_4_5"/>
      <w:bookmarkStart w:id="1765" w:name="Tc_ONTZUZx6_0yzxBamB8k6eQ_4_2"/>
      <w:bookmarkStart w:id="1766" w:name="Tc_en7Xi416z0q8idK_6Eu7Ig_4_0"/>
      <w:bookmarkStart w:id="1767" w:name="Tc_5zhaVHLI9EizInMtK-58mQ_3_0"/>
      <w:bookmarkStart w:id="1768" w:name="Tc_KyQmoxCxfkWL3awFEA9PYQ_2_5"/>
      <w:bookmarkStart w:id="1769" w:name="Tc_0Yehpt6g-k2aMTKI60Z6yQ_2_2"/>
      <w:bookmarkStart w:id="1770" w:name="Tc_Gkq3oNfLaU65XisNjGnDTQ_2_0"/>
      <w:bookmarkStart w:id="1771" w:name="Tc_kawU8XVZnkaU1Fjr6XXBvg_1_2"/>
      <w:bookmarkStart w:id="1772" w:name="_ed501515_75b6_410d_a358_d711b41396f5"/>
      <w:bookmarkStart w:id="1773" w:name="Tc_MFxUkcIVc0OASUgvsQHvnw_8_6"/>
      <w:bookmarkStart w:id="1774" w:name="Tc_lFUdL-VjkEyaxm-MghXbbg_8_5"/>
      <w:bookmarkStart w:id="1775" w:name="Tc_L3xbIQVZ3U-g9XnLhMyjzw_8_2"/>
      <w:bookmarkStart w:id="1776" w:name="Tc_6QUDMDbKoUGwLT0Lmws8hA_8_0"/>
      <w:bookmarkStart w:id="1777" w:name="Tc_As_MlV3Bn0eo_PZ9-T7WFw_7_6"/>
      <w:bookmarkStart w:id="1778" w:name="Tc_xzSjapZsck-ShUhegqKWQw_7_0"/>
      <w:bookmarkStart w:id="1779" w:name="Tc_XYVSLceksUOLKiYW36JROw_6_6"/>
      <w:bookmarkStart w:id="1780" w:name="Tc_HLH4ctDhhkGu95oFbRuc_g_6_0"/>
      <w:bookmarkStart w:id="1781" w:name="Tc_RjzN6Sa1NkmcyTRokSuohQ_5_6"/>
      <w:bookmarkStart w:id="1782" w:name="Tc_l-do6uNAHEqBykehrypjmg_5_0"/>
      <w:bookmarkStart w:id="1783" w:name="Tc_6tL3VH68Z0G3cSV0_ovTTA_4_6"/>
      <w:bookmarkStart w:id="1784" w:name="Tc_PIlY07fPTEGLHfj4EEdsdw_4_0"/>
      <w:bookmarkStart w:id="1785" w:name="Tc_nvBRv6JkVEKUYAjHcxP0hQ_3_6"/>
      <w:bookmarkStart w:id="1786" w:name="Tc_y2r0rn_Wwk6TIqtzBGEo_g_3_5"/>
      <w:bookmarkStart w:id="1787" w:name="Tc_0SJ8DQXD9UiwQP6-hEgI4g_3_2"/>
      <w:bookmarkStart w:id="1788" w:name="Tc_jrjhBkL9E0GCjSG_DrZsSg_3_0"/>
      <w:bookmarkStart w:id="1789" w:name="Tc_0E2gq0XHpE6IDosAuNI6-A_2_0"/>
      <w:bookmarkStart w:id="1790" w:name="Tc_F6MCPkfcOkOIV044L8vhnQ_1_5"/>
      <w:bookmarkStart w:id="1791" w:name="Tc_n69IuzmHt0SkkFY2eSIQdw_1_2"/>
      <w:bookmarkStart w:id="1792" w:name="Tc_q8xAgB68fUmBpktt770YDQ_1_0"/>
      <w:bookmarkStart w:id="1793" w:name="_6458452c_d6c4_4341_aeda_483afad8ed73"/>
      <w:bookmarkStart w:id="1794" w:name="Tc_1Nm4msWXKk25H9FPly0G-g_6_6"/>
      <w:bookmarkStart w:id="1795" w:name="Tc_wjlWw8icjE2gsyDworuP9A_6_5"/>
      <w:bookmarkStart w:id="1796" w:name="Tc_nurpV1AXs0i_H5MSD90l-w_6_2"/>
      <w:bookmarkStart w:id="1797" w:name="Tc_UD7UUVVINkm-3ObvwpUihA_6_0"/>
      <w:bookmarkStart w:id="1798" w:name="Tc_fUWMyz-lSE2OOL4Mz4AWXA_5_6"/>
      <w:bookmarkStart w:id="1799" w:name="Tc_mXchh_DI6UKlBaiffuRJyg_5_0"/>
      <w:bookmarkStart w:id="1800" w:name="Tc_8YSGuGrzb06wVxQZrEswVw_4_6"/>
      <w:bookmarkStart w:id="1801" w:name="Tc_J7yTpUVm1k69ejQDJ_IqLQ_4_0"/>
      <w:bookmarkStart w:id="1802" w:name="Tc_jQqrD6cdC0GHqXhl-PrTgw_3_6"/>
      <w:bookmarkStart w:id="1803" w:name="Tc_sLFxPRX8jka_24cgEreYEg_3_5"/>
      <w:bookmarkStart w:id="1804" w:name="Tc_Sd68yd_lqEiWsVRVM_NRWQ_3_2"/>
      <w:bookmarkStart w:id="1805" w:name="Tc_-2c34dhU7E6aPNGGr1nLOQ_3_0"/>
      <w:bookmarkStart w:id="1806" w:name="Tc_mUaVopl6bUif2Nxj5DpI1g_2_0"/>
      <w:bookmarkStart w:id="1807" w:name="Tc_OC5rpbJbUU609Hsa2-rAYw_1_5"/>
      <w:bookmarkStart w:id="1808" w:name="Tc_TMBquIHPDkWj3aKUQeVcUQ_1_2"/>
      <w:bookmarkStart w:id="1809" w:name="Tc_77Gq-5dVo0GbRNOF2HVd1g_1_0"/>
      <w:bookmarkStart w:id="1810" w:name="_da500776_b1af_43a6_acce_af04be830b97"/>
      <w:bookmarkStart w:id="1811" w:name="Note20RelatedPartyTransactions_229332"/>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r>
        <w:rPr>
          <w:rFonts w:ascii="Times New Roman;Times;serif" w:hAnsi="Times New Roman;Times;serif"/>
          <w:b/>
          <w:sz w:val="20"/>
        </w:rPr>
        <w:t>Note 21.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2024, the Company sold and issued Convertible Notes to Westrock Group, LLC (an affiliate of Scott Ford, the Company’s Chief Executive Officer and a member of the board of directors of the Company, “Westrock Group”), Wooster Capital, LLC (an affiliate of Joe Ford, chairman of the board of directors) and HF Direct Investments Pool, LLC (a holder of more than 10% of the outstanding Common Shares), each a related party.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reflect the following transactions with related parties:</w:t>
      </w:r>
    </w:p>
    <w:tbl>
      <w:tblPr>
        <w:tblW w:w="7300" w:type="dxa"/>
        <w:jc w:val="left"/>
        <w:tblInd w:w="0" w:type="dxa"/>
        <w:tblLayout w:type="fixed"/>
        <w:tblCellMar>
          <w:top w:w="0" w:type="dxa"/>
          <w:left w:w="0" w:type="dxa"/>
          <w:bottom w:w="0" w:type="dxa"/>
          <w:right w:w="0" w:type="dxa"/>
        </w:tblCellMar>
      </w:tblPr>
      <w:tblGrid>
        <w:gridCol w:w="3976"/>
        <w:gridCol w:w="326"/>
        <w:gridCol w:w="375"/>
        <w:gridCol w:w="751"/>
        <w:gridCol w:w="326"/>
        <w:gridCol w:w="492"/>
        <w:gridCol w:w="105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524760" cy="175260"/>
                      <wp:effectExtent l="0" t="0" r="0" b="0"/>
                      <wp:wrapNone/>
                      <wp:docPr id="381" name="Frame38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38125" cy="175260"/>
                      <wp:effectExtent l="0" t="0" r="0" b="0"/>
                      <wp:wrapNone/>
                      <wp:docPr id="383" name="Frame38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76885" cy="175260"/>
                      <wp:effectExtent l="0" t="0" r="0" b="0"/>
                      <wp:wrapNone/>
                      <wp:docPr id="384" name="Frame38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312420" cy="175260"/>
                      <wp:effectExtent l="0" t="0" r="0" b="0"/>
                      <wp:wrapNone/>
                      <wp:docPr id="386" name="Frame385"/>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69290" cy="175260"/>
                      <wp:effectExtent l="0" t="0" r="0" b="0"/>
                      <wp:wrapNone/>
                      <wp:docPr id="387" name="Frame386"/>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center"/>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HF Direct Investment Pool, LLC</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26" w:type="dxa"/>
            <w:tcBorders/>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26" w:type="dxa"/>
            <w:tcBorders/>
            <w:shd w:fill="CCEEFF" w:val="clear"/>
            <w:vAlign w:val="center"/>
          </w:tcPr>
          <w:p>
            <w:pPr>
              <w:pStyle w:val="TableContents"/>
              <w:bidi w:val="0"/>
              <w:spacing w:before="0" w:after="1"/>
              <w:ind w:left="0" w:right="0" w:hanging="0"/>
              <w:jc w:val="left"/>
              <w:rPr/>
            </w:pPr>
            <w:r>
              <w:rPr/>
              <w:t>​</w:t>
            </w:r>
          </w:p>
        </w:tc>
        <w:tc>
          <w:tcPr>
            <w:tcW w:w="4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7315" w:type="dxa"/>
        <w:jc w:val="left"/>
        <w:tblInd w:w="0" w:type="dxa"/>
        <w:tblLayout w:type="fixed"/>
        <w:tblCellMar>
          <w:top w:w="0" w:type="dxa"/>
          <w:left w:w="0" w:type="dxa"/>
          <w:bottom w:w="0" w:type="dxa"/>
          <w:right w:w="0" w:type="dxa"/>
        </w:tblCellMar>
      </w:tblPr>
      <w:tblGrid>
        <w:gridCol w:w="3991"/>
        <w:gridCol w:w="326"/>
        <w:gridCol w:w="267"/>
        <w:gridCol w:w="859"/>
        <w:gridCol w:w="326"/>
        <w:gridCol w:w="492"/>
        <w:gridCol w:w="1054"/>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534285" cy="175260"/>
                      <wp:effectExtent l="0" t="0" r="0" b="0"/>
                      <wp:wrapNone/>
                      <wp:docPr id="388" name="Frame387"/>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69545" cy="175260"/>
                      <wp:effectExtent l="0" t="0" r="0" b="0"/>
                      <wp:wrapNone/>
                      <wp:docPr id="390" name="Frame38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45465" cy="175260"/>
                      <wp:effectExtent l="0" t="0" r="0" b="0"/>
                      <wp:wrapNone/>
                      <wp:docPr id="391" name="Frame390"/>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12420" cy="175260"/>
                      <wp:effectExtent l="0" t="0" r="0" b="0"/>
                      <wp:wrapNone/>
                      <wp:docPr id="393" name="Frame392"/>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69290" cy="175260"/>
                      <wp:effectExtent l="0" t="0" r="0" b="0"/>
                      <wp:wrapNone/>
                      <wp:docPr id="394" name="Frame393"/>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Convertible notes payable - related party, net: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center"/>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HF Direct Investment Pool, LLC</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costs</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vAlign w:val="center"/>
          </w:tcPr>
          <w:p>
            <w:pPr>
              <w:pStyle w:val="TableContents"/>
              <w:bidi w:val="0"/>
              <w:spacing w:before="0" w:after="1"/>
              <w:ind w:left="0" w:right="0" w:hanging="0"/>
              <w:jc w:val="left"/>
              <w:rPr/>
            </w:pPr>
            <w:r>
              <w:rPr/>
              <w:t>​</w:t>
            </w:r>
          </w:p>
        </w:tc>
        <w:tc>
          <w:tcPr>
            <w:tcW w:w="4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49,671</w:t>
            </w:r>
          </w:p>
        </w:tc>
        <w:tc>
          <w:tcPr>
            <w:tcW w:w="326" w:type="dxa"/>
            <w:tcBorders/>
            <w:shd w:fill="CCEEFF" w:val="clear"/>
            <w:vAlign w:val="center"/>
          </w:tcPr>
          <w:p>
            <w:pPr>
              <w:pStyle w:val="TableContents"/>
              <w:bidi w:val="0"/>
              <w:spacing w:before="0" w:after="1"/>
              <w:ind w:left="0" w:right="0" w:hanging="0"/>
              <w:jc w:val="left"/>
              <w:rPr/>
            </w:pPr>
            <w:r>
              <w:rPr/>
              <w:t>​</w:t>
            </w:r>
          </w:p>
        </w:tc>
        <w:tc>
          <w:tcPr>
            <w:tcW w:w="4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5215" w:type="dxa"/>
        <w:jc w:val="left"/>
        <w:tblInd w:w="0" w:type="dxa"/>
        <w:tblLayout w:type="fixed"/>
        <w:tblCellMar>
          <w:top w:w="0" w:type="dxa"/>
          <w:left w:w="0" w:type="dxa"/>
          <w:bottom w:w="0" w:type="dxa"/>
          <w:right w:w="0" w:type="dxa"/>
        </w:tblCellMar>
      </w:tblPr>
      <w:tblGrid>
        <w:gridCol w:w="2731"/>
        <w:gridCol w:w="326"/>
        <w:gridCol w:w="281"/>
        <w:gridCol w:w="561"/>
        <w:gridCol w:w="434"/>
        <w:gridCol w:w="281"/>
        <w:gridCol w:w="60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734185" cy="175260"/>
                      <wp:effectExtent l="0" t="0" r="0" b="0"/>
                      <wp:wrapNone/>
                      <wp:docPr id="395" name="Frame394"/>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78435" cy="175260"/>
                      <wp:effectExtent l="0" t="0" r="0" b="0"/>
                      <wp:wrapNone/>
                      <wp:docPr id="397" name="Frame39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356235" cy="175260"/>
                      <wp:effectExtent l="0" t="0" r="0" b="0"/>
                      <wp:wrapNone/>
                      <wp:docPr id="398" name="Frame39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75590" cy="175260"/>
                      <wp:effectExtent l="0" t="0" r="0" b="0"/>
                      <wp:wrapNone/>
                      <wp:docPr id="399" name="Frame398"/>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78435" cy="175260"/>
                      <wp:effectExtent l="0" t="0" r="0" b="0"/>
                      <wp:wrapNone/>
                      <wp:docPr id="400" name="Frame39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81635" cy="175260"/>
                      <wp:effectExtent l="0" t="0" r="0" b="0"/>
                      <wp:wrapNone/>
                      <wp:docPr id="401" name="Frame40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4" w:type="dxa"/>
            <w:tcBorders/>
            <w:vAlign w:val="center"/>
          </w:tcPr>
          <w:p>
            <w:pPr>
              <w:pStyle w:val="TableContents"/>
              <w:bidi w:val="0"/>
              <w:spacing w:before="0" w:after="1"/>
              <w:ind w:left="0" w:right="0" w:hanging="0"/>
              <w:jc w:val="left"/>
              <w:rPr/>
            </w:pPr>
            <w:r>
              <w:rPr/>
              <w:t>    </w:t>
            </w:r>
          </w:p>
        </w:tc>
        <w:tc>
          <w:tcPr>
            <w:tcW w:w="8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center"/>
              <w:rPr/>
            </w:pPr>
            <w:r>
              <w:rPr/>
              <w:t>​</w:t>
            </w:r>
          </w:p>
        </w:tc>
        <w:tc>
          <w:tcPr>
            <w:tcW w:w="434"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434"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1"/>
              <w:ind w:left="0" w:right="0" w:hanging="0"/>
              <w:jc w:val="righ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434"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HF Direct Investment Pool, LLC</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434"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434"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acquisition of S&amp;D Coffee, Inc. in February 2020, the Company entered into a Management Services Agreement with Westrock Group, whose controlling manager and controlling member, Greenbrier Holdings, LLC, is owned and controlled by our co-founder and Chief Executive Officer Scott Ford. Under the terms of the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agreement, which expired in February 2023, Westrock Group was paid $10.0 million in return for financial, managerial, operational, and strategic services. The associated expense is recorded within selling, general and administrative expense in our Condensed Consolidated Statements of Operations. The Company recognized no such expenses during the three or six months ended June 30, 2024. The Company recognized no expenses and $0.6 million of such expenses during the three and six months ended June 30, 2023. In addition, the Company reimburses Westrock Group for the usage of a corporate aircraft, and its portion of shared administrative expenses. For the three and six months ended June 30, 2024, the Company recognized expenses of $0.3 million and $0.6 million, respectively, for such items, which are recorded in selling, general and administrative expenses in our Condensed Consolidated Statements of Operations. For the three and six months ended June 30, 2023, the Company recognized expenses of $0.5 million and $0.8 million, respectively, for such items. At June 30, 2024 and December 31, 2023, we had no amounts payable and $0.2 million payable to Westrock Group, respectively, related to such items.</w:t>
      </w:r>
    </w:p>
    <w:p>
      <w:pPr>
        <w:pStyle w:val="TextBody"/>
        <w:bidi w:val="0"/>
        <w:spacing w:before="0" w:after="240"/>
        <w:ind w:left="0" w:right="0" w:hanging="0"/>
        <w:jc w:val="left"/>
        <w:rPr/>
      </w:pPr>
      <w:bookmarkStart w:id="1812" w:name="Note21SubsequentEvents_337845"/>
      <w:bookmarkEnd w:id="1812"/>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13" w:name="Item2ManagementsDiscussionandAnalysis_53"/>
      <w:bookmarkStart w:id="1814" w:name="_8f702837_89f6_43a7_91ea_aae8a3715b18"/>
      <w:bookmarkEnd w:id="1813"/>
      <w:bookmarkEnd w:id="181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describes the principal factors affecting the results of operations, financial condition, and changes in financial condition for the three and six months ended June 30, 2024. This discussion should be read in conjunction with the accompanying Condensed Consolidated Financial Statements, and the notes thereto set forth in Part I, Item 1 of this Quarterly Report on Form 10-Q and our December 31, 2023 Audited Consolidated Financial Statements and notes thereto included in our Annual Report on Form 10-K filed with the U.S. Securities and Exchange Commission (“SEC”) on March 15, 2024.</w:t>
      </w:r>
    </w:p>
    <w:p>
      <w:pPr>
        <w:pStyle w:val="TextBody"/>
        <w:bidi w:val="0"/>
        <w:spacing w:before="0" w:after="240"/>
        <w:ind w:left="0" w:right="0" w:hanging="0"/>
        <w:jc w:val="left"/>
        <w:rPr>
          <w:rFonts w:ascii="Times New Roman;Times;serif" w:hAnsi="Times New Roman;Times;serif"/>
          <w:b/>
          <w:sz w:val="20"/>
        </w:rPr>
      </w:pPr>
      <w:bookmarkStart w:id="1815" w:name="Overview_251396"/>
      <w:bookmarkEnd w:id="1815"/>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operate our business in two segments: Beverage Solutions and Sustainable Sourcing &amp; Traceability (“SS&amp;T”).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Beverage Solutions: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Sustainable Sourcing &amp; Traceability: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pStyle w:val="TextBody"/>
        <w:bidi w:val="0"/>
        <w:spacing w:before="0" w:after="240"/>
        <w:ind w:left="0" w:right="0" w:hanging="0"/>
        <w:jc w:val="left"/>
        <w:rPr>
          <w:rFonts w:ascii="Times New Roman;Times;serif" w:hAnsi="Times New Roman;Times;serif"/>
          <w:b/>
          <w:sz w:val="20"/>
        </w:rPr>
      </w:pPr>
      <w:bookmarkStart w:id="1816" w:name="KeyBusinessMetrics_637621"/>
      <w:bookmarkEnd w:id="1816"/>
      <w:r>
        <w:rPr>
          <w:rFonts w:ascii="Times New Roman;Times;serif" w:hAnsi="Times New Roman;Times;serif"/>
          <w:b/>
          <w:sz w:val="20"/>
        </w:rPr>
        <w:t>Key Business Metrics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Adjusted EBITDA to evaluate our performance, identify trends, formulate financial projections, and to make strategic decisions.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“EBITDA” as net (loss) income, as defined by GAAP, before interest expense, provision for income taxes and depreciation and amortization. We define “Adjusted EBITDA” as EBITDA before equity-based compensation expense and the impact, which may be recurring in nature, of transaction,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EBITDA and Adjusted EBITDA are not measures calculated in accordance with GAAP, they should be viewed in addition to, and not be considered as alternatives for, net (loss) income determined in accordance with GAAP. Further, our computations of EBITDA and Adjusted EBITDA may not be comparable to that reported by other companies that define EBITDA and Adjusted EBITDA differently than we do.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reconciliation of our net loss to EBITDA and Adjusted EBITDA for the three and six months ended June 30, 2024 and 2023 is as follows:</w:t>
      </w:r>
    </w:p>
    <w:tbl>
      <w:tblPr>
        <w:tblW w:w="10205" w:type="dxa"/>
        <w:jc w:val="left"/>
        <w:tblInd w:w="0" w:type="dxa"/>
        <w:tblLayout w:type="fixed"/>
        <w:tblCellMar>
          <w:top w:w="0" w:type="dxa"/>
          <w:left w:w="0" w:type="dxa"/>
          <w:bottom w:w="0" w:type="dxa"/>
          <w:right w:w="0" w:type="dxa"/>
        </w:tblCellMar>
      </w:tblPr>
      <w:tblGrid>
        <w:gridCol w:w="4855"/>
        <w:gridCol w:w="326"/>
        <w:gridCol w:w="211"/>
        <w:gridCol w:w="789"/>
        <w:gridCol w:w="326"/>
        <w:gridCol w:w="211"/>
        <w:gridCol w:w="789"/>
        <w:gridCol w:w="326"/>
        <w:gridCol w:w="211"/>
        <w:gridCol w:w="789"/>
        <w:gridCol w:w="326"/>
        <w:gridCol w:w="211"/>
        <w:gridCol w:w="835"/>
      </w:tblGrid>
      <w:tr>
        <w:trPr/>
        <w:tc>
          <w:tcPr>
            <w:tcW w:w="4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082925" cy="175260"/>
                      <wp:effectExtent l="0" t="0" r="0" b="0"/>
                      <wp:wrapNone/>
                      <wp:docPr id="402" name="Frame401"/>
                      <a:graphic xmlns:a="http://schemas.openxmlformats.org/drawingml/2006/main">
                        <a:graphicData uri="http://schemas.microsoft.com/office/word/2010/wordprocessingShape">
                          <wps:wsp>
                            <wps:cNvSpPr txBox="1"/>
                            <wps:spPr>
                              <a:xfrm>
                                <a:off x="0" y="0"/>
                                <a:ext cx="308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01015" cy="175260"/>
                      <wp:effectExtent l="0" t="0" r="0" b="0"/>
                      <wp:wrapNone/>
                      <wp:docPr id="405" name="Frame404"/>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01015" cy="175260"/>
                      <wp:effectExtent l="0" t="0" r="0" b="0"/>
                      <wp:wrapNone/>
                      <wp:docPr id="408" name="Frame40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01015" cy="175260"/>
                      <wp:effectExtent l="0" t="0" r="0" b="0"/>
                      <wp:wrapNone/>
                      <wp:docPr id="411" name="Frame410"/>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30225" cy="175260"/>
                      <wp:effectExtent l="0" t="0" r="0" b="0"/>
                      <wp:wrapNone/>
                      <wp:docPr id="414" name="Frame413"/>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    </w:t>
            </w:r>
          </w:p>
        </w:tc>
        <w:tc>
          <w:tcPr>
            <w:tcW w:w="23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8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(31,137)</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13,414</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12,055</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EBITDA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9,545</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and consulting fees (S&amp;D Coffee, Inc. acquisition)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3,857</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start-up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Adjusted EBITDA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19,763</w:t>
            </w:r>
          </w:p>
        </w:tc>
      </w:tr>
      <w:tr>
        <w:trPr/>
        <w:tc>
          <w:tcPr>
            <w:tcW w:w="4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20,081</w:t>
            </w:r>
          </w:p>
        </w:tc>
      </w:tr>
      <w:tr>
        <w:trPr/>
        <w:tc>
          <w:tcPr>
            <w:tcW w:w="4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48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of Reportable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19,763</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17" w:name="SignificantDevelopments_873684"/>
      <w:bookmarkEnd w:id="1817"/>
      <w:r>
        <w:rPr>
          <w:rFonts w:ascii="Times New Roman;Times;serif" w:hAnsi="Times New Roman;Times;serif"/>
          <w:b/>
          <w:sz w:val="20"/>
        </w:rPr>
        <w:t>Significant Developments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Restructuring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second quarter of 2024, the Company committed to a plan to consolidate its manufacturing operations, which will result in the closure and sale of its West Winds manufacturing facility in Concord, NC, and the closure of its manufacturing facility in Richmond, CA. All production from the impacted facilities will be consolidated into other facilities operated by the Company in Concord, NC and Conway, AR. The closure of the West Winds facility was completed as of June 30, 2024, and the sale of the land and buildings is expected to be completed within the next 12 months. Production in the Richmond, CA facility is expected to cease during the third quarter of 2024. In addition, during the second quarter of 2024, the Company committed to targeted restructuring activities to improve operational efficiency by reducing excess workforce capacity in our selling, general and administrative functions. We estimate annualized savings from these initiatives to be approximately $10.0 million, and we expect to begin fully realizing these savings, on a run-rate basis, in the first quarter of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18" w:name="ResultsofOperations_357823"/>
      <w:bookmarkEnd w:id="1818"/>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Three Months Ended June 30, 2024 and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expressed as dollars and as a percentage of total revenues for the periods indicated:</w:t>
      </w:r>
    </w:p>
    <w:tbl>
      <w:tblPr>
        <w:tblW w:w="10205" w:type="dxa"/>
        <w:jc w:val="left"/>
        <w:tblInd w:w="0" w:type="dxa"/>
        <w:tblLayout w:type="fixed"/>
        <w:tblCellMar>
          <w:top w:w="0" w:type="dxa"/>
          <w:left w:w="0" w:type="dxa"/>
          <w:bottom w:w="0" w:type="dxa"/>
          <w:right w:w="0" w:type="dxa"/>
        </w:tblCellMar>
      </w:tblPr>
      <w:tblGrid>
        <w:gridCol w:w="4608"/>
        <w:gridCol w:w="326"/>
        <w:gridCol w:w="239"/>
        <w:gridCol w:w="887"/>
        <w:gridCol w:w="326"/>
        <w:gridCol w:w="781"/>
        <w:gridCol w:w="271"/>
        <w:gridCol w:w="109"/>
        <w:gridCol w:w="239"/>
        <w:gridCol w:w="887"/>
        <w:gridCol w:w="326"/>
        <w:gridCol w:w="781"/>
        <w:gridCol w:w="271"/>
        <w:gridCol w:w="154"/>
      </w:tblGrid>
      <w:tr>
        <w:trPr/>
        <w:tc>
          <w:tcPr>
            <w:tcW w:w="4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926080" cy="175260"/>
                      <wp:effectExtent l="0" t="0" r="0" b="0"/>
                      <wp:wrapNone/>
                      <wp:docPr id="415" name="Frame414"/>
                      <a:graphic xmlns:a="http://schemas.openxmlformats.org/drawingml/2006/main">
                        <a:graphicData uri="http://schemas.microsoft.com/office/word/2010/wordprocessingShape">
                          <wps:wsp>
                            <wps:cNvSpPr txBox="1"/>
                            <wps:spPr>
                              <a:xfrm>
                                <a:off x="0" y="0"/>
                                <a:ext cx="292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51765" cy="175260"/>
                      <wp:effectExtent l="0" t="0" r="0" b="0"/>
                      <wp:wrapNone/>
                      <wp:docPr id="417" name="Frame41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63245" cy="175260"/>
                      <wp:effectExtent l="0" t="0" r="0" b="0"/>
                      <wp:wrapNone/>
                      <wp:docPr id="418" name="Frame41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95935" cy="175260"/>
                      <wp:effectExtent l="0" t="0" r="0" b="0"/>
                      <wp:wrapNone/>
                      <wp:docPr id="420" name="Frame4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72085" cy="175260"/>
                      <wp:effectExtent l="0" t="0" r="0" b="0"/>
                      <wp:wrapNone/>
                      <wp:docPr id="421" name="Frame42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51765" cy="175260"/>
                      <wp:effectExtent l="0" t="0" r="0" b="0"/>
                      <wp:wrapNone/>
                      <wp:docPr id="423" name="Frame42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63245" cy="175260"/>
                      <wp:effectExtent l="0" t="0" r="0" b="0"/>
                      <wp:wrapNone/>
                      <wp:docPr id="424" name="Frame42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95935" cy="175260"/>
                      <wp:effectExtent l="0" t="0" r="0" b="0"/>
                      <wp:wrapNone/>
                      <wp:docPr id="426" name="Frame4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72085" cy="175260"/>
                      <wp:effectExtent l="0" t="0" r="0" b="0"/>
                      <wp:wrapNone/>
                      <wp:docPr id="427" name="Frame42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97790" cy="175260"/>
                      <wp:effectExtent l="0" t="0" r="0" b="0"/>
                      <wp:wrapNone/>
                      <wp:docPr id="428" name="Frame4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46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208,389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224,694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166,986</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189,018</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35,676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57,811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11,800</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 and equity in earnings from unconsolidated entities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from unconsolidated entities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shareholders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Series A Convertible Preferred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6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common shareholders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financial information of our reportable segments for the three months ended June 30, 2024 and 2023:</w:t>
      </w:r>
    </w:p>
    <w:tbl>
      <w:tblPr>
        <w:tblW w:w="8882" w:type="dxa"/>
        <w:jc w:val="left"/>
        <w:tblInd w:w="0" w:type="dxa"/>
        <w:tblLayout w:type="fixed"/>
        <w:tblCellMar>
          <w:top w:w="0" w:type="dxa"/>
          <w:left w:w="0" w:type="dxa"/>
          <w:bottom w:w="0" w:type="dxa"/>
          <w:right w:w="0" w:type="dxa"/>
        </w:tblCellMar>
      </w:tblPr>
      <w:tblGrid>
        <w:gridCol w:w="3166"/>
        <w:gridCol w:w="326"/>
        <w:gridCol w:w="211"/>
        <w:gridCol w:w="781"/>
        <w:gridCol w:w="361"/>
        <w:gridCol w:w="235"/>
        <w:gridCol w:w="756"/>
        <w:gridCol w:w="361"/>
        <w:gridCol w:w="263"/>
        <w:gridCol w:w="788"/>
        <w:gridCol w:w="326"/>
        <w:gridCol w:w="211"/>
        <w:gridCol w:w="781"/>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10410" cy="175260"/>
                      <wp:effectExtent l="0" t="0" r="0" b="0"/>
                      <wp:wrapNone/>
                      <wp:docPr id="429" name="Frame428"/>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95935" cy="175260"/>
                      <wp:effectExtent l="0" t="0" r="0" b="0"/>
                      <wp:wrapNone/>
                      <wp:docPr id="432" name="Frame4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29235" cy="175260"/>
                      <wp:effectExtent l="0" t="0" r="0" b="0"/>
                      <wp:wrapNone/>
                      <wp:docPr id="433" name="Frame4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49225" cy="175260"/>
                      <wp:effectExtent l="0" t="0" r="0" b="0"/>
                      <wp:wrapNone/>
                      <wp:docPr id="434" name="Frame43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80060" cy="175260"/>
                      <wp:effectExtent l="0" t="0" r="0" b="0"/>
                      <wp:wrapNone/>
                      <wp:docPr id="435" name="Frame434"/>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29235" cy="175260"/>
                      <wp:effectExtent l="0" t="0" r="0" b="0"/>
                      <wp:wrapNone/>
                      <wp:docPr id="436" name="Frame43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67005" cy="175260"/>
                      <wp:effectExtent l="0" t="0" r="0" b="0"/>
                      <wp:wrapNone/>
                      <wp:docPr id="437" name="Frame43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00380" cy="175260"/>
                      <wp:effectExtent l="0" t="0" r="0" b="0"/>
                      <wp:wrapNone/>
                      <wp:docPr id="438" name="Frame43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95935" cy="175260"/>
                      <wp:effectExtent l="0" t="0" r="0" b="0"/>
                      <wp:wrapNone/>
                      <wp:docPr id="441" name="Frame4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0660" cy="175260"/>
                      <wp:effectExtent l="0" t="0" r="0" b="0"/>
                      <wp:wrapNone/>
                      <wp:docPr id="442" name="Frame4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61"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61"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61"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61"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61"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Revenues</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163,253</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46,740</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208,389</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189,719</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36,048</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224,694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Costs of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126,638</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40,348</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166,986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157,244</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31,774</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189,018</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36,615</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41,403</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32,475</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35,676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13,245</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11,660</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11,310</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8627" w:type="dxa"/>
        <w:jc w:val="left"/>
        <w:tblInd w:w="0" w:type="dxa"/>
        <w:tblLayout w:type="fixed"/>
        <w:tblCellMar>
          <w:top w:w="0" w:type="dxa"/>
          <w:left w:w="0" w:type="dxa"/>
          <w:bottom w:w="0" w:type="dxa"/>
          <w:right w:w="0" w:type="dxa"/>
        </w:tblCellMar>
      </w:tblPr>
      <w:tblGrid>
        <w:gridCol w:w="331"/>
        <w:gridCol w:w="8296"/>
      </w:tblGrid>
      <w:tr>
        <w:trPr/>
        <w:tc>
          <w:tcPr>
            <w:tcW w:w="331"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(1)</w:t>
            </w:r>
          </w:p>
        </w:tc>
        <w:tc>
          <w:tcPr>
            <w:tcW w:w="829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Intersegment revenues represent sales of green coffee from our SS&amp;T segment to our Beverage Solutions segment.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Beverage Solutions segment were $163.3 million for the three months ended June 30, 2024, compared to $189.7 million for the three months ended June 30, 2023, a decrease of approximately 14.0%. The decrease was primarily due to a $29.5 million decrease in the sale of coffee and tea products, driven by a 22.1% decrease in roast and ground coffee volumes and a 14.8% decrease in single serve cup volumes, partially offset by a $3.0 million increase in the sale of flavors, extracts and ingredients products, driven by a 31.2% increase in flavors, extracts and ingredients volumes.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SS&amp;T segment, net of intersegment revenues, totaled $45.1 million for the three months ended June 30, 2024, increasing 29.1% compared to $35.0 million for the three months ended June 30, 2023. The increase is driven by an increase in sales volume, which increased 39.9%, partially offset by an 8.2% decrease in average sales price per pound for the three months ended June 30, 2024 compared to the three months ended June 30, 2023. The decrease in the average sales price per pound is directly correlated to the global commodities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of Sales</w:t>
      </w:r>
    </w:p>
    <w:p>
      <w:pPr>
        <w:pStyle w:val="TextBody"/>
        <w:bidi w:val="0"/>
        <w:spacing w:before="0" w:after="240"/>
        <w:ind w:left="0" w:right="0" w:hanging="0"/>
        <w:jc w:val="left"/>
        <w:rPr>
          <w:rFonts w:ascii="Times New Roman;Times;serif" w:hAnsi="Times New Roman;Times;serif"/>
          <w:sz w:val="20"/>
        </w:rPr>
      </w:pPr>
      <w:bookmarkStart w:id="1819" w:name="_Hlk117073562"/>
      <w:bookmarkEnd w:id="1819"/>
      <w:r>
        <w:rPr>
          <w:rFonts w:ascii="Times New Roman;Times;serif" w:hAnsi="Times New Roman;Times;serif"/>
          <w:sz w:val="20"/>
        </w:rPr>
        <w:t>In our Beverage Solutions segment, costs of sales decreased to $126.6 million for the three months ended June 30, 2024, from $157.2 million for the three months ended June 30, 2023. The decrease in costs of sales was primarily driven by a decrease in the sale of coffee and tea products for the three months ended June 30, 2024 compared to the three months ended June 30,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SS&amp;T segment, costs of sales increased $8.6 million to $40.3 million for the three months ended June 30, 2024 compared to the three months ended June 30, 2023. This increase is primarily due to an increase in green coffee sales volume. Costs of sales in our SS&amp;T segment for the three months ended June 30, 2024 included $1.5 million of net unrealized gains on forward sales and purchase contracts and mark-to-market adjustments on green coffee inventory compared to $1.0 million of net unrealized gains for the three months ended June 30, 2023.</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tbl>
      <w:tblPr>
        <w:tblW w:w="10111" w:type="dxa"/>
        <w:jc w:val="left"/>
        <w:tblInd w:w="0" w:type="dxa"/>
        <w:tblLayout w:type="fixed"/>
        <w:tblCellMar>
          <w:top w:w="0" w:type="dxa"/>
          <w:left w:w="0" w:type="dxa"/>
          <w:bottom w:w="0" w:type="dxa"/>
          <w:right w:w="0" w:type="dxa"/>
        </w:tblCellMar>
      </w:tblPr>
      <w:tblGrid>
        <w:gridCol w:w="4321"/>
        <w:gridCol w:w="326"/>
        <w:gridCol w:w="211"/>
        <w:gridCol w:w="676"/>
        <w:gridCol w:w="326"/>
        <w:gridCol w:w="1126"/>
        <w:gridCol w:w="361"/>
        <w:gridCol w:w="211"/>
        <w:gridCol w:w="676"/>
        <w:gridCol w:w="326"/>
        <w:gridCol w:w="1126"/>
        <w:gridCol w:w="271"/>
        <w:gridCol w:w="154"/>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743835" cy="175260"/>
                      <wp:effectExtent l="0" t="0" r="0" b="0"/>
                      <wp:wrapNone/>
                      <wp:docPr id="443" name="Frame442"/>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29260" cy="175260"/>
                      <wp:effectExtent l="0" t="0" r="0" b="0"/>
                      <wp:wrapNone/>
                      <wp:docPr id="446" name="Frame4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715010" cy="175260"/>
                      <wp:effectExtent l="0" t="0" r="0" b="0"/>
                      <wp:wrapNone/>
                      <wp:docPr id="448" name="Frame44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29235" cy="175260"/>
                      <wp:effectExtent l="0" t="0" r="0" b="0"/>
                      <wp:wrapNone/>
                      <wp:docPr id="449" name="Frame4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29260" cy="175260"/>
                      <wp:effectExtent l="0" t="0" r="0" b="0"/>
                      <wp:wrapNone/>
                      <wp:docPr id="451" name="Frame4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715010" cy="175260"/>
                      <wp:effectExtent l="0" t="0" r="0" b="0"/>
                      <wp:wrapNone/>
                      <wp:docPr id="453" name="Frame45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72085" cy="175260"/>
                      <wp:effectExtent l="0" t="0" r="0" b="0"/>
                      <wp:wrapNone/>
                      <wp:docPr id="454" name="Frame45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97790" cy="175260"/>
                      <wp:effectExtent l="0" t="0" r="0" b="0"/>
                      <wp:wrapNone/>
                      <wp:docPr id="455" name="Frame45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w:t>
            </w:r>
          </w:p>
        </w:tc>
        <w:tc>
          <w:tcPr>
            <w:tcW w:w="23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selling, general and administrative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 in our Beverage Solutions segment increased $17.3 million to $48.8 million for the three months ended June 30, 2024, compared to the three months ended June 30, 2023. The increase is primarily due to a $11.9 million increase in expenses associated with the start-up of our extract and ready-to-drink facility in Conway, Arkansas. In our SS&amp;T segment, selling, general and administrative costs were relatively unchanged compared to the three months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Restructuring and Integration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Transaction, restructuring and integration expenses for the three months ended June 30, 2024 were $4.4 million, approximately $4.1 million of which related to severance and other employee termination and benefit costs associated with the elimination of various positions as part of cost reduction objectives. During the three months ended June 30, 2023, we incurred $2.9 million of transaction, restructuring and integration expenses, approximately $2.2 million of which related to the costs associated with the integration of our new enterprise resource planning system, including internal and external costs related to post go-live system support and duplicative system costs.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tbl>
      <w:tblPr>
        <w:tblW w:w="6764" w:type="dxa"/>
        <w:jc w:val="left"/>
        <w:tblInd w:w="0" w:type="dxa"/>
        <w:tblLayout w:type="fixed"/>
        <w:tblCellMar>
          <w:top w:w="0" w:type="dxa"/>
          <w:left w:w="0" w:type="dxa"/>
          <w:bottom w:w="0" w:type="dxa"/>
          <w:right w:w="0" w:type="dxa"/>
        </w:tblCellMar>
      </w:tblPr>
      <w:tblGrid>
        <w:gridCol w:w="3976"/>
        <w:gridCol w:w="326"/>
        <w:gridCol w:w="242"/>
        <w:gridCol w:w="794"/>
        <w:gridCol w:w="374"/>
        <w:gridCol w:w="242"/>
        <w:gridCol w:w="656"/>
        <w:gridCol w:w="15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524760" cy="175260"/>
                      <wp:effectExtent l="0" t="0" r="0" b="0"/>
                      <wp:wrapNone/>
                      <wp:docPr id="456" name="Frame455"/>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53670" cy="175260"/>
                      <wp:effectExtent l="0" t="0" r="0" b="0"/>
                      <wp:wrapNone/>
                      <wp:docPr id="458" name="Frame45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04190" cy="175260"/>
                      <wp:effectExtent l="0" t="0" r="0" b="0"/>
                      <wp:wrapNone/>
                      <wp:docPr id="459" name="Frame45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37490" cy="175260"/>
                      <wp:effectExtent l="0" t="0" r="0" b="0"/>
                      <wp:wrapNone/>
                      <wp:docPr id="460" name="Frame459"/>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53670" cy="175260"/>
                      <wp:effectExtent l="0" t="0" r="0" b="0"/>
                      <wp:wrapNone/>
                      <wp:docPr id="461" name="Frame46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16560" cy="175260"/>
                      <wp:effectExtent l="0" t="0" r="0" b="0"/>
                      <wp:wrapNone/>
                      <wp:docPr id="462" name="Frame461"/>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97790" cy="175260"/>
                      <wp:effectExtent l="0" t="0" r="0" b="0"/>
                      <wp:wrapNone/>
                      <wp:docPr id="463" name="Frame46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(Thousands) </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4" w:type="dxa"/>
            <w:tcBorders/>
            <w:vAlign w:val="center"/>
          </w:tcPr>
          <w:p>
            <w:pPr>
              <w:pStyle w:val="TableContents"/>
              <w:bidi w:val="0"/>
              <w:spacing w:before="0" w:after="0"/>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w:t>
            </w:r>
          </w:p>
        </w:tc>
        <w:tc>
          <w:tcPr>
            <w:tcW w:w="3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and delayed draw term loan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finance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trade finance lines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notes payable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11,123</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Non-cash: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7,453</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for the three months ended June 30, 2024 was $7.5 million compared to $7.4 million for the three months ended June 30, 2023. $1.7 million of the increase is attributable to interest expense associated with our term loan and delayed draw term loan facilities, primarily due to an increase in interest rates and higher outstanding borrowings. In addition, we incurred $2.5 million in interest on our supply chain finance program borrowings for the three months ended June 30, 2024 compared to $0.2 million of such interest for the three months ended June 30, 2023. Furthermore, during the three months ended June 30, 2024, the Company capitalized approximately $4.3 million of interest costs associated with the build-out of our extract and ready-to-drink facility in Conway, Arkansas, while no such interest was capitalized during the three months ended June 30, 2023.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 Liabilities</w:t>
      </w:r>
    </w:p>
    <w:p>
      <w:pPr>
        <w:pStyle w:val="TextBody"/>
        <w:bidi w:val="0"/>
        <w:spacing w:before="0" w:after="240"/>
        <w:ind w:left="0" w:right="0" w:hanging="0"/>
        <w:jc w:val="left"/>
        <w:rPr>
          <w:rFonts w:ascii="Times New Roman;Times;serif" w:hAnsi="Times New Roman;Times;serif"/>
          <w:sz w:val="20"/>
        </w:rPr>
      </w:pPr>
      <w:bookmarkStart w:id="1820" w:name="_Hlk149891210"/>
      <w:bookmarkEnd w:id="1820"/>
      <w:r>
        <w:rPr>
          <w:rFonts w:ascii="Times New Roman;Times;serif" w:hAnsi="Times New Roman;Times;serif"/>
          <w:sz w:val="20"/>
        </w:rPr>
        <w:t>Warrant liabilities are adjusted to fair value at each reporting period, with any change in fair value recognized in the Condensed Consolidated Statement of Operations. The change in fair value of warrant liabilities for the three months ended June 30, 2024 resulted in recognition of $1.6 million of gains compared to recognition of $11.8 million of losses during the three months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benefit for the three months ended June 30, 2024 was $4.6 million, resulting in an effective tax rate of 20.8%. The effective tax rate for the current period differs from the federal statutory rate primarily due to an increase in the valuation allowance against domestic deferred tax assets and certain permanent differences, including nondeductible expenses related to executive compensation. Income tax expense for the three months ended June 30, 2023 was $6.2 million, resulting in an effective tax rate of (30.3%).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Six Months Ended June 30, 2024 and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expressed as dollars and as a percentage of total revenues for the periods indicated:</w:t>
      </w:r>
    </w:p>
    <w:tbl>
      <w:tblPr>
        <w:tblW w:w="10205" w:type="dxa"/>
        <w:jc w:val="left"/>
        <w:tblInd w:w="0" w:type="dxa"/>
        <w:tblLayout w:type="fixed"/>
        <w:tblCellMar>
          <w:top w:w="0" w:type="dxa"/>
          <w:left w:w="0" w:type="dxa"/>
          <w:bottom w:w="0" w:type="dxa"/>
          <w:right w:w="0" w:type="dxa"/>
        </w:tblCellMar>
      </w:tblPr>
      <w:tblGrid>
        <w:gridCol w:w="4344"/>
        <w:gridCol w:w="326"/>
        <w:gridCol w:w="305"/>
        <w:gridCol w:w="1007"/>
        <w:gridCol w:w="326"/>
        <w:gridCol w:w="781"/>
        <w:gridCol w:w="271"/>
        <w:gridCol w:w="109"/>
        <w:gridCol w:w="305"/>
        <w:gridCol w:w="1007"/>
        <w:gridCol w:w="326"/>
        <w:gridCol w:w="781"/>
        <w:gridCol w:w="317"/>
      </w:tblGrid>
      <w:tr>
        <w:trPr/>
        <w:tc>
          <w:tcPr>
            <w:tcW w:w="4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758440" cy="175260"/>
                      <wp:effectExtent l="0" t="0" r="0" b="0"/>
                      <wp:wrapNone/>
                      <wp:docPr id="464" name="Frame463"/>
                      <a:graphic xmlns:a="http://schemas.openxmlformats.org/drawingml/2006/main">
                        <a:graphicData uri="http://schemas.microsoft.com/office/word/2010/wordprocessingShape">
                          <wps:wsp>
                            <wps:cNvSpPr txBox="1"/>
                            <wps:spPr>
                              <a:xfrm>
                                <a:off x="0" y="0"/>
                                <a:ext cx="275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93675" cy="175260"/>
                      <wp:effectExtent l="0" t="0" r="0" b="0"/>
                      <wp:wrapNone/>
                      <wp:docPr id="466" name="Frame465"/>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39445" cy="175260"/>
                      <wp:effectExtent l="0" t="0" r="0" b="0"/>
                      <wp:wrapNone/>
                      <wp:docPr id="467" name="Frame466"/>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95935" cy="175260"/>
                      <wp:effectExtent l="0" t="0" r="0" b="0"/>
                      <wp:wrapNone/>
                      <wp:docPr id="469" name="Frame4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72085" cy="175260"/>
                      <wp:effectExtent l="0" t="0" r="0" b="0"/>
                      <wp:wrapNone/>
                      <wp:docPr id="470" name="Frame46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215" cy="175260"/>
                      <wp:effectExtent l="0" t="0" r="0" b="0"/>
                      <wp:wrapNone/>
                      <wp:docPr id="471" name="Frame4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93675" cy="175260"/>
                      <wp:effectExtent l="0" t="0" r="0" b="0"/>
                      <wp:wrapNone/>
                      <wp:docPr id="472" name="Frame47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39445" cy="175260"/>
                      <wp:effectExtent l="0" t="0" r="0" b="0"/>
                      <wp:wrapNone/>
                      <wp:docPr id="473" name="Frame472"/>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95935" cy="175260"/>
                      <wp:effectExtent l="0" t="0" r="0" b="0"/>
                      <wp:wrapNone/>
                      <wp:docPr id="475" name="Frame4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1295" cy="175260"/>
                      <wp:effectExtent l="0" t="0" r="0" b="0"/>
                      <wp:wrapNone/>
                      <wp:docPr id="476" name="Frame47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3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3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7" w:type="dxa"/>
            <w:tcBorders/>
            <w:vAlign w:val="center"/>
          </w:tcPr>
          <w:p>
            <w:pPr>
              <w:pStyle w:val="TableContents"/>
              <w:bidi w:val="0"/>
              <w:spacing w:before="0" w:after="0"/>
              <w:ind w:left="0" w:right="0" w:hanging="0"/>
              <w:jc w:val="center"/>
              <w:rPr/>
            </w:pPr>
            <w:r>
              <w:rPr/>
              <w:t> </w:t>
            </w:r>
          </w:p>
        </w:tc>
      </w:tr>
      <w:tr>
        <w:trPr/>
        <w:tc>
          <w:tcPr>
            <w:tcW w:w="43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13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3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17" w:type="dxa"/>
            <w:tcBorders/>
            <w:vAlign w:val="center"/>
          </w:tcPr>
          <w:p>
            <w:pPr>
              <w:pStyle w:val="TableContents"/>
              <w:bidi w:val="0"/>
              <w:spacing w:before="0" w:after="0"/>
              <w:ind w:left="0" w:right="0" w:hanging="0"/>
              <w:jc w:val="center"/>
              <w:rPr/>
            </w:pPr>
            <w:r>
              <w:rPr/>
              <w:t> </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400,889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430,136</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322,212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360,162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78,677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96,050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68,292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105,217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78,733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(26,540)</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 and equity in earnings from unconsolidated entities</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from unconsolidated entities</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Series A Convertible Preferred Shares</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common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financial information of our reportable segments for the six months ended June 30, 2024 and 2023:</w:t>
      </w:r>
    </w:p>
    <w:tbl>
      <w:tblPr>
        <w:tblW w:w="8882" w:type="dxa"/>
        <w:jc w:val="left"/>
        <w:tblInd w:w="0" w:type="dxa"/>
        <w:tblLayout w:type="fixed"/>
        <w:tblCellMar>
          <w:top w:w="0" w:type="dxa"/>
          <w:left w:w="0" w:type="dxa"/>
          <w:bottom w:w="0" w:type="dxa"/>
          <w:right w:w="0" w:type="dxa"/>
        </w:tblCellMar>
      </w:tblPr>
      <w:tblGrid>
        <w:gridCol w:w="3166"/>
        <w:gridCol w:w="326"/>
        <w:gridCol w:w="211"/>
        <w:gridCol w:w="781"/>
        <w:gridCol w:w="361"/>
        <w:gridCol w:w="235"/>
        <w:gridCol w:w="756"/>
        <w:gridCol w:w="361"/>
        <w:gridCol w:w="263"/>
        <w:gridCol w:w="788"/>
        <w:gridCol w:w="326"/>
        <w:gridCol w:w="211"/>
        <w:gridCol w:w="781"/>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10410" cy="175260"/>
                      <wp:effectExtent l="0" t="0" r="0" b="0"/>
                      <wp:wrapNone/>
                      <wp:docPr id="477" name="Frame476"/>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3985" cy="175260"/>
                      <wp:effectExtent l="0" t="0" r="0" b="0"/>
                      <wp:wrapNone/>
                      <wp:docPr id="479"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95935" cy="175260"/>
                      <wp:effectExtent l="0" t="0" r="0" b="0"/>
                      <wp:wrapNone/>
                      <wp:docPr id="480" name="Frame4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29235" cy="175260"/>
                      <wp:effectExtent l="0" t="0" r="0" b="0"/>
                      <wp:wrapNone/>
                      <wp:docPr id="481" name="Frame4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49225" cy="175260"/>
                      <wp:effectExtent l="0" t="0" r="0" b="0"/>
                      <wp:wrapNone/>
                      <wp:docPr id="482" name="Frame48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80060" cy="175260"/>
                      <wp:effectExtent l="0" t="0" r="0" b="0"/>
                      <wp:wrapNone/>
                      <wp:docPr id="483" name="Frame48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29235" cy="175260"/>
                      <wp:effectExtent l="0" t="0" r="0" b="0"/>
                      <wp:wrapNone/>
                      <wp:docPr id="484" name="Frame48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67005" cy="175260"/>
                      <wp:effectExtent l="0" t="0" r="0" b="0"/>
                      <wp:wrapNone/>
                      <wp:docPr id="485" name="Frame48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00380" cy="175260"/>
                      <wp:effectExtent l="0" t="0" r="0" b="0"/>
                      <wp:wrapNone/>
                      <wp:docPr id="486" name="Frame485"/>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95935" cy="175260"/>
                      <wp:effectExtent l="0" t="0" r="0" b="0"/>
                      <wp:wrapNone/>
                      <wp:docPr id="489" name="Frame4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0660" cy="175260"/>
                      <wp:effectExtent l="0" t="0" r="0" b="0"/>
                      <wp:wrapNone/>
                      <wp:docPr id="490" name="Frame4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61"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61"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61"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61"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61"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Revenues</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321,312</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83,060</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400,889</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370,928</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61,439</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430,136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Costs of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251,698</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70,514</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322,212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307,958</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52,204</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360,162</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69,614</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9,063</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78,677</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62,970</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7,004</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24,045</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20,081</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19,763</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8627" w:type="dxa"/>
        <w:jc w:val="left"/>
        <w:tblInd w:w="0" w:type="dxa"/>
        <w:tblLayout w:type="fixed"/>
        <w:tblCellMar>
          <w:top w:w="0" w:type="dxa"/>
          <w:left w:w="0" w:type="dxa"/>
          <w:bottom w:w="0" w:type="dxa"/>
          <w:right w:w="0" w:type="dxa"/>
        </w:tblCellMar>
      </w:tblPr>
      <w:tblGrid>
        <w:gridCol w:w="331"/>
        <w:gridCol w:w="8296"/>
      </w:tblGrid>
      <w:tr>
        <w:trPr/>
        <w:tc>
          <w:tcPr>
            <w:tcW w:w="331"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(1)</w:t>
            </w:r>
          </w:p>
        </w:tc>
        <w:tc>
          <w:tcPr>
            <w:tcW w:w="829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Intersegment revenues represent sales of green coffee from our SS&amp;T segment to our Beverage Solutions segment.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Beverage Solutions segment were $321.3 million for the six months ended June 30, 2024, compared to $370.9 million for the six months ended June 30, 2023, a decrease of approximately 13.4%. The decrease was primarily due to a $57.9 million decrease in the sale of coffee and tea products, driven by a 23.0% decrease in roast and ground coffee volumes and a 10.9% decrease in single serve cup volumes, partially offset by a $8.1 million increase in the sale of flavors, extracts and ingredients products, driven by a 35.6% increase in flavors, extracts and ingredients volumes.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SS&amp;T segment, net of intersegment revenues, totaled $79.6 million for the six months ended June 30, 2024, increasing 34.4% compared to $59.2 million for the six months ended June 30, 2023. The increase is driven by an increase in sales volume, which increased 63.3%, partially offset by an 18.5% decrease in average sales price per pound for the six months ended June 30, 2024 compared to the six months ended June 30, 2023. The decrease in the average sales price per pound is directly correlated to the global commodities price.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of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Beverage Solutions segment, costs of sales decreased to $251.7 million for the six months ended June 30, 2024, from $308.0 million for the six months ended June 30, 2023. The decrease in costs of sales was primarily driven by a decrease in the sale of coffee and tea products for the six months ended June 30, 2024 compared to the six months ended June 30,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SS&amp;T segment, costs of sales increased $18.3 million to $70.5 million for the six months ended June 30, 2024 compared to the six months ended June 30, 2023. This increase is primarily due to an increase in green coffee sales volume. Costs of sales in our SS&amp;T segment for the six months ended June 30, 2024 included $3.2 million of net unrealized gains on forward sales and purchase contracts and mark-to-market adjustments on green coffee inventory compared to $2.2 million of net unrealized gains for the six months ended June 30, 2023.</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tbl>
      <w:tblPr>
        <w:tblW w:w="10002" w:type="dxa"/>
        <w:jc w:val="left"/>
        <w:tblInd w:w="0" w:type="dxa"/>
        <w:tblLayout w:type="fixed"/>
        <w:tblCellMar>
          <w:top w:w="0" w:type="dxa"/>
          <w:left w:w="0" w:type="dxa"/>
          <w:bottom w:w="0" w:type="dxa"/>
          <w:right w:w="0" w:type="dxa"/>
        </w:tblCellMar>
      </w:tblPr>
      <w:tblGrid>
        <w:gridCol w:w="4321"/>
        <w:gridCol w:w="326"/>
        <w:gridCol w:w="211"/>
        <w:gridCol w:w="676"/>
        <w:gridCol w:w="326"/>
        <w:gridCol w:w="1126"/>
        <w:gridCol w:w="361"/>
        <w:gridCol w:w="211"/>
        <w:gridCol w:w="676"/>
        <w:gridCol w:w="326"/>
        <w:gridCol w:w="1126"/>
        <w:gridCol w:w="31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743835" cy="175260"/>
                      <wp:effectExtent l="0" t="0" r="0" b="0"/>
                      <wp:wrapNone/>
                      <wp:docPr id="491" name="Frame490"/>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29260" cy="175260"/>
                      <wp:effectExtent l="0" t="0" r="0" b="0"/>
                      <wp:wrapNone/>
                      <wp:docPr id="494" name="Frame4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715010" cy="175260"/>
                      <wp:effectExtent l="0" t="0" r="0" b="0"/>
                      <wp:wrapNone/>
                      <wp:docPr id="496" name="Frame49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29235" cy="175260"/>
                      <wp:effectExtent l="0" t="0" r="0" b="0"/>
                      <wp:wrapNone/>
                      <wp:docPr id="497" name="Frame49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29260" cy="175260"/>
                      <wp:effectExtent l="0" t="0" r="0" b="0"/>
                      <wp:wrapNone/>
                      <wp:docPr id="499" name="Frame4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715010" cy="175260"/>
                      <wp:effectExtent l="0" t="0" r="0" b="0"/>
                      <wp:wrapNone/>
                      <wp:docPr id="501" name="Frame50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0660" cy="175260"/>
                      <wp:effectExtent l="0" t="0" r="0" b="0"/>
                      <wp:wrapNone/>
                      <wp:docPr id="502" name="Frame5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w:t>
            </w:r>
          </w:p>
        </w:tc>
        <w:tc>
          <w:tcPr>
            <w:tcW w:w="23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16" w:type="dxa"/>
            <w:tcBorders/>
            <w:vAlign w:val="center"/>
          </w:tcPr>
          <w:p>
            <w:pPr>
              <w:pStyle w:val="TableContents"/>
              <w:bidi w:val="0"/>
              <w:spacing w:before="0" w:after="0"/>
              <w:ind w:left="0" w:right="0" w:hanging="0"/>
              <w:jc w:val="center"/>
              <w:rPr/>
            </w:pPr>
            <w:r>
              <w:rPr/>
              <w:t> </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16" w:type="dxa"/>
            <w:tcBorders/>
            <w:vAlign w:val="center"/>
          </w:tcPr>
          <w:p>
            <w:pPr>
              <w:pStyle w:val="TableContents"/>
              <w:bidi w:val="0"/>
              <w:spacing w:before="0" w:after="0"/>
              <w:ind w:left="0" w:right="0" w:hanging="0"/>
              <w:jc w:val="center"/>
              <w:rPr/>
            </w:pPr>
            <w:r>
              <w:rPr/>
              <w:t> </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90,794</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63,287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5,256</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5,005</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selling, general and administrative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96,050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68,292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 in our Beverage Solutions segment increased $27.5 million to $90.8 million for the six months ended June 30, 2024, compared to the six months ended June 30, 2023. The increase is primarily due to a $19.8 million increase in expenses associated with the start-up of our extract and ready-to-drink facility in Conway, Arkansas. In our SS&amp;T segment, selling, general and administrative costs were relatively unchanged compared to the six months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Restructuring and Integration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expenses for the six months ended June 30, 2024 were $7.4 million, approximately $4.1 million of which related to severance and other employee termination and benefit costs associated with the elimination of various positions as part of cost reduction objectives and $2.2 million of which related to the establishment of our at-the-market common stock offering program. During the six months ended June 30, 2023, we incurred $9.5 million of transaction, restructuring and integration expenses, approximately $8.3 million of which related to the costs associated with the integration of our new enterprise resource planning system, including internal and external costs related to post go-live system support and duplicative system costs and $0.5 million of which related to the acquisition of Bixby Roasting Co.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tbl>
      <w:tblPr>
        <w:tblW w:w="6522" w:type="dxa"/>
        <w:jc w:val="left"/>
        <w:tblInd w:w="0" w:type="dxa"/>
        <w:tblLayout w:type="fixed"/>
        <w:tblCellMar>
          <w:top w:w="0" w:type="dxa"/>
          <w:left w:w="0" w:type="dxa"/>
          <w:bottom w:w="0" w:type="dxa"/>
          <w:right w:w="0" w:type="dxa"/>
        </w:tblCellMar>
      </w:tblPr>
      <w:tblGrid>
        <w:gridCol w:w="3976"/>
        <w:gridCol w:w="326"/>
        <w:gridCol w:w="211"/>
        <w:gridCol w:w="691"/>
        <w:gridCol w:w="326"/>
        <w:gridCol w:w="211"/>
        <w:gridCol w:w="78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524760" cy="175260"/>
                      <wp:effectExtent l="0" t="0" r="0" b="0"/>
                      <wp:wrapNone/>
                      <wp:docPr id="503" name="Frame502"/>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38785" cy="175260"/>
                      <wp:effectExtent l="0" t="0" r="0" b="0"/>
                      <wp:wrapNone/>
                      <wp:docPr id="506" name="Frame5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508" name="Frame5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95935" cy="175260"/>
                      <wp:effectExtent l="0" t="0" r="0" b="0"/>
                      <wp:wrapNone/>
                      <wp:docPr id="509" name="Frame5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(Thousands) </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and delayed draw term loan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5,904</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finance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trade finance lines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notes payable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12,426</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Non-cash: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13,414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for the six months ended June 30, 2024 was $15.0 million compared to $13.4 million for the six months ended June 30, 2023. $3.6 million of the increase is attributable to interest expense associated with our term loan and delayed draw term loan facilities, primarily due to an increase in interest rates and higher outstanding borrowings. In addition, we incurred $4.5 million in interest on our supply chain finance program borrowings for the six months ended June 30, 2024 compared to $0.2 million of such interest for the six months ended June 30, 2023. Furthermore, during the six months ended June 30, 2024, the Company capitalized approximately $7.2 million of interest costs associated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the build-out of our extract and ready-to-drink facility in Conway, Arkansas, while no such interest was capitalized during the six months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fair value of warrant liabilities for the six months ended June 30, 2024 resulted in recognition of $1.7 million of gains compared to recognition of $6.3 million of losses during the six months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expense for the six months ended June 30, 2024 was $1.2 million, resulting in an effective tax rate of (2.9%). The effective tax rate for the current period differs from the federal statutory rate primarily due to an increase in the valuation allowance against domestic deferred tax assets and certain permanent differences, including nondeductible expenses related to executive compensation. Income tax expense for the six months ended June 30, 2023 was $1.9 million, resulting in an effective tax rate of (6.4%).</w:t>
      </w:r>
    </w:p>
    <w:p>
      <w:pPr>
        <w:pStyle w:val="TextBody"/>
        <w:bidi w:val="0"/>
        <w:spacing w:before="0" w:after="240"/>
        <w:ind w:left="0" w:right="0" w:hanging="0"/>
        <w:jc w:val="left"/>
        <w:rPr>
          <w:rFonts w:ascii="Times New Roman;Times;serif" w:hAnsi="Times New Roman;Times;serif"/>
          <w:b/>
          <w:sz w:val="20"/>
        </w:rPr>
      </w:pPr>
      <w:bookmarkStart w:id="1821" w:name="CriticalAccountingPoliciesandEstimates_6"/>
      <w:bookmarkEnd w:id="1821"/>
      <w:r>
        <w:rPr>
          <w:rFonts w:ascii="Times New Roman;Times;serif" w:hAnsi="Times New Roman;Times;serif"/>
          <w:b/>
          <w:sz w:val="20"/>
        </w:rPr>
        <w:t>Critical Accounting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further information on our critical accounting estimates, see “Management’s Discussion and Analysis of Financial Condition and Results of Operations” and the notes to our audited financial statements included in our Annual Report on Form 10-K filed with the SEC on March 15, 2024. As of June 30, 2024, there have been no material changes to these estimates.</w:t>
      </w:r>
    </w:p>
    <w:p>
      <w:pPr>
        <w:pStyle w:val="TextBody"/>
        <w:bidi w:val="0"/>
        <w:spacing w:before="0" w:after="240"/>
        <w:ind w:left="0" w:right="0" w:hanging="0"/>
        <w:jc w:val="left"/>
        <w:rPr>
          <w:rFonts w:ascii="Times New Roman;Times;serif" w:hAnsi="Times New Roman;Times;serif"/>
          <w:b/>
          <w:sz w:val="20"/>
        </w:rPr>
      </w:pPr>
      <w:bookmarkStart w:id="1822" w:name="LiquidityandCapitalResources_895697"/>
      <w:bookmarkEnd w:id="1822"/>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 (as defined herein).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ability to generate cash provided by operating activities is dependent on several factors, including our ability to generate net sales and manage costs in line with our expectations. Failure to meet our financial targets, including any adverse impact from changes or delays in the estimated timing and volume of products to be commercialized in our extract and ready-to-drink manufacturing facility in Conway, Arkansas,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2024, we had $59.0 million of outstanding borrowings under the Revolving Credit Facility, with a weighted average interest rate of 9.1% and we had $2.6 million of standby letters of credit outstanding. At June 30, 2024 the interest rate applicable to our Term Loan Facility was 9.2% and the interest rate applicable to our Delayed Draw Term Loan Facility was 8.7%.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Failure to comply with these covenants or make payments when due could result in an event of default, which, if not cured or waived, could accelerate our repayment obligations under the Credit Agreement and could result in a default and acceleration under other agreements containing cross-default provisions. Under these circumstances, we might not have sufficient funds or other resources to satisfy all of our obligations. As of the date of this Quarterly Report on Form 10-Q, the Company was in compliance with its financial covenants.</w:t>
      </w:r>
    </w:p>
    <w:p>
      <w:pPr>
        <w:pStyle w:val="TextBody"/>
        <w:bidi w:val="0"/>
        <w:spacing w:before="0" w:after="240"/>
        <w:ind w:left="0" w:right="0" w:hanging="0"/>
        <w:jc w:val="left"/>
        <w:rPr>
          <w:shd w:fill="FFFF00" w:val="clear"/>
        </w:rPr>
      </w:pPr>
      <w:r>
        <w:rPr>
          <w:shd w:fill="FFFF00" w:val="clea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Term Loan Facility and Delayed Draw Term Loan Facility requires quarterly principal payments totaling approximately $2.8 million (1.25% of the original principal balance). Quarterly payments increase to approximately $4.2 million and $5.6 million (1.875% and 2.5% of the original principal balance) during the final two years of the agreements, respectively.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incurred a total of $2.4 million in financing fees in connection with the Third Amendment. Approximately $1.3 million of the fees were allocated to the Term Loan Facility and are being amortized over the remaining term of the Term Loan Facility utilizing the frozen effective yield method based on the interest rate in place at the issuance of the Term Loan Facility. Approximately $1.0 million of the fees were allocated to the Revolving Credit Facility, are reported within other long-term assets on the Condensed Consolidated Balance Sheets and are being amortized ratably over the remaining term of the Revolving Credit Facility.</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Convertible Notes</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15, 2024, the Company sold and issued in a private placement $72.0 million in aggregate principal amount of 5.00% convertible senior notes due 2029 (the “Convertible Notes”), of which $50.0 million was from related parties. The Convertible Notes are unsecured, senior obligations of the Company and accrue interest at a rate of 5.00% per annum.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Convertible Notes are carried at amortized cost and are recorded in long-term debt, net and convertible notes payable – related party, net on the Condensed Consolidated Balance Sheets. At June 30, 2024, the carrying value of the Convertible Notes was $71.5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bookmarkStart w:id="1823" w:name="_Hlk172144336"/>
      <w:bookmarkEnd w:id="1823"/>
      <w:r>
        <w:rPr>
          <w:rFonts w:ascii="Times New Roman;Times;serif" w:hAnsi="Times New Roman;Times;serif"/>
          <w:b/>
          <w:i/>
          <w:sz w:val="20"/>
        </w:rPr>
        <w:t>International Debt and Lending Facilities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21, 2023, we entered into a $70 million working capital trade finance facility with multiple financial institutions through our subsidiary, Falcon Coffees Limited (“Falcon”). The facility was set to mature one year from inception. Borrowings under the facility bore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8, 2024, Falcon renewed its working capital trade finance facility with multiple institutions. The facility size was reduced from $70.0 million to $55.0 million and remains uncommitted and repayable on demand, with certain of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w:t>
      </w:r>
      <w:r>
        <w:rPr>
          <w:rFonts w:ascii="Times New Roman;Times;serif" w:hAnsi="Times New Roman;Times;serif"/>
          <w:sz w:val="20"/>
          <w:shd w:fill="FFFFFF" w:val="clear"/>
        </w:rPr>
        <w:t xml:space="preserve">At June 30, 2024, there was $41.7 million of outstanding borrowings under the facility, which is recorded in short-term debt in the Condensed Consolidated Balance Sheets. </w:t>
      </w:r>
      <w:r>
        <w:rPr>
          <w:rFonts w:ascii="Times New Roman;Times;serif" w:hAnsi="Times New Roman;Times;serif"/>
          <w:sz w:val="20"/>
        </w:rPr>
        <w:t>Falcon’s facility contains certain restrictive financial covenants which require Falcon to maintain certain levels of working capital, debt, and net worth. Falcon was in compliance with these financial covenants as of June 30, 2024.</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June 30, 2024, there was $5.0 million of outstanding borrowings under the facility, of which $4.5 million and $0.5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June 30, 2024.</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Coffee International, LLC, through its subsidiary Rwanda Trading Company, maintains two mortgage and inventory-backed lending facilities with a local bank in Rwanda: (a) a short-term trade finance facility with a balance of $8.4 million at June 30, 2024 and (b) a long-term note payable with a balance of $0.8 million at June 30, 2024. Additionally, Rwanda Trading Company maintains two short-term futures contract-based lending facilities from international institutions with outstanding balances of $2.5 million and $2.0 million at June 30, 2024.</w:t>
      </w:r>
    </w:p>
    <w:p>
      <w:pPr>
        <w:pStyle w:val="TextBody"/>
        <w:shd w:fill="FFFFFF" w:val="clea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Supply Chain Finance Program</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Consolidated Balance Sheets. As of June 30, 2024, there were $76.3 million obligations outstanding under the Program.</w:t>
      </w:r>
    </w:p>
    <w:p>
      <w:pPr>
        <w:pStyle w:val="TextBody"/>
        <w:shd w:fill="FFFFFF" w:val="clea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At-the-Market Common Stock Offering Program</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Common Shares in the aggregate. During the six months ended June 30, 2024, the Company sold 60,000 Common Shares under the ATM Program, resulting in net proceeds of $0.6 million. This program is intended to provide additional financial flexibility and an alternative mechanism to access the capital markets at an efficient cost as and when we need financing, including for acquisitions.</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Current and Long-Term Liquidity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key component of our long-term growth strategy is to complete the build-out of our extract and ready-to-drink manufacturing facility in Conway, Arkansas, which will utilize state-of-the-art equipment specifically designed to efficiently manufacture and package a wide range of beverages, such as canned or bottled cold brew coffees, lattes, assorted teas, and juice-based products. During the second quarter of 2024, we commenced commercial production in a portion of the facility. We are continuing to build out the remaining portions of the facility, and expect that the material capital expenditures related to the facility will be completed by the first quarter of 2025.</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believe proceeds from the Delayed Draw Term Loan Facility, Convertible Notes, cash from operations and borrowings available under the Revolving Credit Facility will provide sufficient cash on-hand to fund our near-term growth strategies, which include, (i) extending and enhancing product offerings through innovation, (ii) expanding our customer base, (iii) expanding geographically, (iv) funding accretive acquisitions, (v) continuing to drive margin expansion and (vi) completing the build-out of our extract and ready-to-drink manufacturing facility in Conway, Arkansas. However, the Company will continuously evaluate its liquidity needs, and may seek to opportunistically access additional liquidity, including through either the debt or equity capital markets. If it is determined that we have insufficient liquidity to fund the Conway facility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June 30, 2024, we had 19,144,120 outstanding warrants to purchase 19,144,120 Common Shares, exercisable at an exercise price of $11.50 per share, which expire on the earliest to occur of August 26, 2027,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Even if our warrants are in the money, there can be no assurance that warrant holders will exercise their warrants prior to their expiration. Our Westrock Public Warrants (as defined in Note 13 to our Condensed Consolidated Financial Statements) under certain conditions, as described in their warrant agreement, are redeemable by the Company at a price of $0.01 per warrant or on a cashless basis. Our Westrock Private Warrants (as defined in Note 13 to our Condensed Consolidated Financial Statements), of which there were 2,026,046 outstanding at June 30, 2024, are not redeemable so long as they are held by the existing holders or their permitted transferees. As such, it is possible that we may never generate any or only very limited cash proceeds from the exercise of our warrants.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the date of this Quarterly Report on Form 10-Q, we have neither included nor intend to include any potential cash proceeds from the exercise of our warrants in our short-term or long-term liquidity sources or capital resource planning. We do not expect to rely on the cash exercise of warrants to fund our operations. Instead, we intend to rely on our primary sources of cash discussed above to continue to support our operations. Therefore, the availability or unavailability of any proceeds from the exercise of our warrants is not expected to affect our ability to fund our operations. We will continue to evaluate the probability of warrant exercise over the life of our warrants and the merit of including potential cash proceeds from the exercise thereof in our liquidity sources and capital resources planning.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such warrants are exercised, additional Common Shares will be issued, which will result in dilution to the holders of our Common Shares and increase the number of Common Shares eligible for resale in the public market. Sales of substantial numbers of such shares in the public market could adversely affect the market price of our Common Shares, which increases the likelihood of periods when our warrants will not be in the money prior to their expiration.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Redemptions of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After February 26, 2028, any holder of Series A Preferred Shares may require Westrock to redeem all or any whole number of such holder’s Series A Preferred Shares in cash, subject to applicable law and the terms of any credit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23,511,922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Contractual and Other Obligations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material contractual and other obligations include the payment of principal and interest under our debt obligations and future purchase of inventory obligations. Our Term Loan Facility and Delayed Draw Term Loan Facility require quarterly principal payments of 1.25% of the original principal. Quarterly payments increase 1.875% and 2.5% of the original principal balance during the fourth and fifth years of the Credit Agreement, respectively. We have no other material obligations to pay principal amounts of our long-term debt obligations prior to their maturity.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Future purchase obligations of $180.3 million as of June 30, 2024 consist of commitments for the purchase of inventory over the next 12 months. These obligations represent the minimum contractual obligations expected under the normal course of business. There are no material purchase obligations beyond 12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future obligations to repurchase $1.0 million of inventory associated with repurchase agreements in which the Company’s SS&amp;T segment has sold inventory to a third party and from whom the Company’s Beverage Solution segment has an obligation to repurchase.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categorize our capital expenditures as (i) growth, (ii) maintenance, (iii) customer beverage equipment or (iv) other.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expenditures for the six months ended June 30, 2024 and 2023 were as follows:</w:t>
      </w:r>
    </w:p>
    <w:tbl>
      <w:tblPr>
        <w:tblW w:w="9124" w:type="dxa"/>
        <w:jc w:val="left"/>
        <w:tblInd w:w="0" w:type="dxa"/>
        <w:tblLayout w:type="fixed"/>
        <w:tblCellMar>
          <w:top w:w="0" w:type="dxa"/>
          <w:left w:w="0" w:type="dxa"/>
          <w:bottom w:w="0" w:type="dxa"/>
          <w:right w:w="0" w:type="dxa"/>
        </w:tblCellMar>
      </w:tblPr>
      <w:tblGrid>
        <w:gridCol w:w="2761"/>
        <w:gridCol w:w="326"/>
        <w:gridCol w:w="211"/>
        <w:gridCol w:w="781"/>
        <w:gridCol w:w="326"/>
        <w:gridCol w:w="279"/>
        <w:gridCol w:w="757"/>
        <w:gridCol w:w="326"/>
        <w:gridCol w:w="238"/>
        <w:gridCol w:w="648"/>
        <w:gridCol w:w="326"/>
        <w:gridCol w:w="211"/>
        <w:gridCol w:w="571"/>
        <w:gridCol w:w="326"/>
        <w:gridCol w:w="211"/>
        <w:gridCol w:w="82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753235" cy="175260"/>
                      <wp:effectExtent l="0" t="0" r="0" b="0"/>
                      <wp:wrapNone/>
                      <wp:docPr id="510" name="Frame50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2" name="Frame5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95935" cy="175260"/>
                      <wp:effectExtent l="0" t="0" r="0" b="0"/>
                      <wp:wrapNone/>
                      <wp:docPr id="513" name="Frame5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5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77165" cy="175260"/>
                      <wp:effectExtent l="0" t="0" r="0" b="0"/>
                      <wp:wrapNone/>
                      <wp:docPr id="515" name="Frame51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80695" cy="175260"/>
                      <wp:effectExtent l="0" t="0" r="0" b="0"/>
                      <wp:wrapNone/>
                      <wp:docPr id="516" name="Frame515"/>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51130" cy="175260"/>
                      <wp:effectExtent l="0" t="0" r="0" b="0"/>
                      <wp:wrapNone/>
                      <wp:docPr id="518" name="Frame51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411480" cy="175260"/>
                      <wp:effectExtent l="0" t="0" r="0" b="0"/>
                      <wp:wrapNone/>
                      <wp:docPr id="519" name="Frame518"/>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33985" cy="175260"/>
                      <wp:effectExtent l="0" t="0" r="0" b="0"/>
                      <wp:wrapNone/>
                      <wp:docPr id="521" name="Frame5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62585" cy="175260"/>
                      <wp:effectExtent l="0" t="0" r="0" b="0"/>
                      <wp:wrapNone/>
                      <wp:docPr id="522" name="Frame5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3"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4"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24510" cy="175260"/>
                      <wp:effectExtent l="0" t="0" r="0" b="0"/>
                      <wp:wrapNone/>
                      <wp:docPr id="525" name="Frame5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27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Growth</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Maintenance</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102,742</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105,105</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50,512</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55,745</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remainder of 2024, we expect to invest approximately $55.0 million to continue the build out of our extract and ready-to-drink product manufacturing facility in Conway, Arkansas.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this Quarterly Report on Form 10-Q, we do not have any off-balance sheet arrangements.</w:t>
      </w:r>
    </w:p>
    <w:p>
      <w:pPr>
        <w:pStyle w:val="TextBody"/>
        <w:bidi w:val="0"/>
        <w:spacing w:before="0" w:after="240"/>
        <w:ind w:left="0" w:right="0" w:hanging="0"/>
        <w:jc w:val="left"/>
        <w:rPr>
          <w:rFonts w:ascii="Times New Roman;Times;serif" w:hAnsi="Times New Roman;Times;serif"/>
          <w:b/>
          <w:sz w:val="20"/>
        </w:rPr>
      </w:pPr>
      <w:bookmarkStart w:id="1824" w:name="RecentAccountingPronouncements_271628"/>
      <w:bookmarkEnd w:id="1824"/>
      <w:r>
        <w:rPr>
          <w:rFonts w:ascii="Times New Roman;Times;serif" w:hAnsi="Times New Roman;Times;serif"/>
          <w:b/>
          <w:sz w:val="20"/>
        </w:rPr>
        <w:t>Recent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3, Summary of Significant Accounting Policies, to the Condensed Consolidated Financial Statements included in Item I of Part 1 of this Quarterly Report on Form 10-Q for a detailed discussion of recent accounting pronouncements.</w:t>
      </w:r>
    </w:p>
    <w:p>
      <w:pPr>
        <w:pStyle w:val="TextBody"/>
        <w:bidi w:val="0"/>
        <w:spacing w:before="0" w:after="0"/>
        <w:ind w:left="0" w:right="0" w:hanging="0"/>
        <w:jc w:val="left"/>
        <w:rPr>
          <w:rFonts w:ascii="Times New Roman;Times;serif" w:hAnsi="Times New Roman;Times;serif"/>
          <w:b/>
          <w:sz w:val="20"/>
        </w:rPr>
      </w:pPr>
      <w:bookmarkStart w:id="1825" w:name="Item3QuantitativeandQualitative_406272"/>
      <w:bookmarkStart w:id="1826" w:name="_93fa3021_cbe5_4634_a04a_ce754e1e4af0"/>
      <w:bookmarkEnd w:id="1825"/>
      <w:bookmarkEnd w:id="1826"/>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in the market risks discussed in Item 7A “Quantitative and Qualitative Disclosures About Market Risk” in our Annual Report on Form 10-K filed with the SEC on March 15, 2024.</w:t>
      </w:r>
    </w:p>
    <w:p>
      <w:pPr>
        <w:pStyle w:val="TextBody"/>
        <w:bidi w:val="0"/>
        <w:spacing w:before="0" w:after="0"/>
        <w:ind w:left="0" w:right="0" w:hanging="0"/>
        <w:jc w:val="left"/>
        <w:rPr>
          <w:rFonts w:ascii="Times New Roman;Times;serif" w:hAnsi="Times New Roman;Times;serif"/>
          <w:b/>
          <w:sz w:val="20"/>
        </w:rPr>
      </w:pPr>
      <w:bookmarkStart w:id="1827" w:name="Item4ControlsandProcedures_630864"/>
      <w:bookmarkStart w:id="1828" w:name="_74e87e97_fdaa_4e3f_a768_04215703a7fd"/>
      <w:bookmarkEnd w:id="1827"/>
      <w:bookmarkEnd w:id="1828"/>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of June 30, 2024, the end of the period covered by this Quarterly Report on Form 10-Q. Based on this evaluation, our Principal Executive Officer and Principal Financial Officer concluded that our disclosure controls and procedures were not effective as of June 30, 2024, due to the material weaknesses in our internal control over financial reporting,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However, after giving full consideration to the material weaknesses, 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Material Weaknesses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June 30, 2024.</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Westrock did not design and maintain effective controls over the period-end financial reporting process to achieve complete and accurate financial accounting, reporting and disclosures, including the presentation and classification of various accounts and the recognition of operating lease right-of-use assets and operating lease liabilities in the consolidated financial statements, which resulted in immaterial adjustments to certain interim and annual periods for the years ending December 31, 2020 through March 31, 2024, and material adjustments to the cash flow presentation of net repayments from repurchase agreements within financing activities within the condensed consolidated statement of cash flows for the six months ended June 30, 2023 and to operating lease right-of-use assets and operating lease liabilities within the consolidated balance sheet as of December 31,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the material weaknesses could result in a misstatement of substantially all of Westrock’s accounts or disclosures that would result in a material misstatement to the annual or interim consolidated financial statements that would not be prevented or detected.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Remediation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has taken and is taking certain measures to remediate the material weaknesses described above, including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Hired additional accounting and information technology (“IT”) personnel, including a new chief accounting officer hired in May 2021, a new technical accounting resource hired in April 2022, a new IT compliance resource hired in March 2023, a new internal controls resource hired in April 2023 with the appropriate level of knowledge, training, and experience to establish an internal audit function responsible for testing internal controls to improve our internal control over financial reporting and IT capabilities, and a Chief Information Officer in November 2023 with public company IT compliance and cybersecurity experience.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and formalized a risk assessment process across the organization to identify risks and design new controls or enhance existing controls responsive to such risks to ensure timely and accurate financial reporting based on criteria established in the COSO Framework. Entity level controls necessary to support management’s risk assessment and a process to evaluate the control environment in accordance with the COSO Framework were improved or implemented throughout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Engaged a third party to assist in designing and implementing controls related to period-end financial reporting and segregation of duties.</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and implemented controls during the quarters ended June 30, September 30, and December 31, 2023, to formalize roles and review responsibilities to align with Westrock’s team’s skills and experience and designing and implementing controls over segregation of duties that include documentation, task reassignment, and policies and procedures enhancement around the preparation, review and oversight of account reconciliations and journal entries.</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and implemented formal accounting procedures and controls during the quarters ended September 30, 2023, December 31, 2023, March 31, 2024 and June 30, 2024 that support Westrock’s period-end financial accounting, reporting and disclosures, including controls over close procedures workflow, preparation, review and oversight of account reconciliations and journal entries, presentation and classification, evaluation of internal information for disclosure, recognition of operating lease right-of-use assets and operating lease liabilities, and controls to reconcile financial statement and disclosure information to source documentation.</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The enhancements are expected to remediate the material weaknesses when they have operated effectively for a sufficient period of time.</w:t>
      </w:r>
    </w:p>
    <w:p>
      <w:pPr>
        <w:pStyle w:val="TextBody"/>
        <w:bidi w:val="0"/>
        <w:spacing w:before="0" w:after="0"/>
        <w:ind w:left="72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spacing w:val="4"/>
          <w:sz w:val="20"/>
        </w:rPr>
        <w:t>here were no changes in our internal control over financial reporting, as such term is defined in Rule 13a-15(f) under the Exchange Act, that occurred during the quarter ended June 30, 2024, that have materially affected, or are reasonably likely to materially affect, our internal control over financial reporting</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829" w:name="_e488174d_aa13_482d_abd6_ffebd05503e6"/>
      <w:bookmarkEnd w:id="1829"/>
      <w:r>
        <w:rPr>
          <w:rFonts w:ascii="Times New Roman;Times;serif" w:hAnsi="Times New Roman;Times;serif"/>
          <w:b/>
          <w:sz w:val="20"/>
        </w:rPr>
        <w:t>Part II. Other Information</w:t>
      </w:r>
    </w:p>
    <w:p>
      <w:pPr>
        <w:pStyle w:val="TextBody"/>
        <w:bidi w:val="0"/>
        <w:spacing w:before="0" w:after="0"/>
        <w:ind w:left="0" w:right="0" w:hanging="0"/>
        <w:jc w:val="left"/>
        <w:rPr/>
      </w:pPr>
      <w:bookmarkStart w:id="1830" w:name="PartIIOtherInformation_306270"/>
      <w:bookmarkEnd w:id="1830"/>
      <w:r>
        <w:rPr/>
        <w:t>​</w:t>
      </w:r>
    </w:p>
    <w:p>
      <w:pPr>
        <w:pStyle w:val="TextBody"/>
        <w:bidi w:val="0"/>
        <w:spacing w:before="0" w:after="0"/>
        <w:ind w:left="0" w:right="0" w:hanging="0"/>
        <w:jc w:val="left"/>
        <w:rPr>
          <w:rFonts w:ascii="Times New Roman;Times;serif" w:hAnsi="Times New Roman;Times;serif"/>
          <w:sz w:val="20"/>
        </w:rPr>
      </w:pPr>
      <w:bookmarkStart w:id="1831" w:name="Item1LegalProceedings_521705"/>
      <w:bookmarkStart w:id="1832" w:name="_374418f2_1229_4ecb_968e_010260dfd88a"/>
      <w:bookmarkEnd w:id="1831"/>
      <w:bookmarkEnd w:id="1832"/>
      <w:r>
        <w:rPr>
          <w:rFonts w:ascii="Times New Roman;Times;serif" w:hAnsi="Times New Roman;Times;serif"/>
          <w:b/>
          <w:sz w:val="20"/>
        </w:rPr>
        <w:t>Item 1.</w:t>
      </w:r>
      <w:r>
        <w:rPr>
          <w:rFonts w:ascii="Times New Roman;Times;serif" w:hAnsi="Times New Roman;Times;serif"/>
          <w:sz w:val="20"/>
        </w:rPr>
        <w:t xml:space="preserve"> </w:t>
      </w:r>
      <w:r>
        <w:rPr>
          <w:rFonts w:ascii="Times New Roman;Times;serif" w:hAnsi="Times New Roman;Times;serif"/>
          <w:b/>
          <w:sz w:val="20"/>
        </w:rPr>
        <w:t>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33" w:name="Item1ARiskFactors_173375"/>
      <w:bookmarkStart w:id="1834" w:name="_f9a0c93e_81f5_47ce_a978_3daebde64645"/>
      <w:bookmarkEnd w:id="1833"/>
      <w:bookmarkEnd w:id="1834"/>
      <w:r>
        <w:rPr>
          <w:rFonts w:ascii="Times New Roman;Times;serif" w:hAnsi="Times New Roman;Times;serif"/>
          <w:b/>
          <w:sz w:val="20"/>
        </w:rPr>
        <w:t>Item 1A.</w:t>
      </w:r>
      <w:r>
        <w:rPr>
          <w:rFonts w:ascii="Times New Roman;Times;serif" w:hAnsi="Times New Roman;Times;serif"/>
          <w:sz w:val="20"/>
        </w:rPr>
        <w:t xml:space="preserve"> </w:t>
      </w:r>
      <w:r>
        <w:rPr>
          <w:rFonts w:ascii="Times New Roman;Times;serif" w:hAnsi="Times New Roman;Times;serif"/>
          <w:b/>
          <w:sz w:val="20"/>
        </w:rPr>
        <w:t>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risk factors affecting our business that were described under Item 1A “Risk Factors” discussed in our Annual Report on Form 10-K filed with the SEC on March 15,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35" w:name="Item2UnregisteredSalesofEquitySecurities"/>
      <w:bookmarkStart w:id="1836" w:name="_552cf34d_c6aa_4923_b3bc_166ab316404b"/>
      <w:bookmarkEnd w:id="1835"/>
      <w:bookmarkEnd w:id="1836"/>
      <w:r>
        <w:rPr>
          <w:rFonts w:ascii="Times New Roman;Times;serif" w:hAnsi="Times New Roman;Times;serif"/>
          <w:b/>
          <w:sz w:val="20"/>
        </w:rPr>
        <w:t>Item 2.</w:t>
      </w:r>
      <w:r>
        <w:rPr>
          <w:rFonts w:ascii="Times New Roman;Times;serif" w:hAnsi="Times New Roman;Times;serif"/>
          <w:sz w:val="20"/>
        </w:rPr>
        <w:t xml:space="preserve"> </w:t>
      </w:r>
      <w:r>
        <w:rPr>
          <w:rFonts w:ascii="Times New Roman;Times;serif" w:hAnsi="Times New Roman;Times;serif"/>
          <w:b/>
          <w:sz w:val="20"/>
        </w:rPr>
        <w:t>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37" w:name="Item3DefaultsUponSeniorSecurities_886089"/>
      <w:bookmarkStart w:id="1838" w:name="_b4ba4297_9b2e_498b_aadc_133886f11cce"/>
      <w:bookmarkEnd w:id="1837"/>
      <w:bookmarkEnd w:id="1838"/>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39" w:name="Item4MineSafetyDisclosures_775335"/>
      <w:bookmarkStart w:id="1840" w:name="_6784e263_2673_4541_bc24_7650ed87d28b"/>
      <w:bookmarkEnd w:id="1839"/>
      <w:bookmarkEnd w:id="1840"/>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41" w:name="Item5OtherInformation_838386"/>
      <w:bookmarkStart w:id="1842" w:name="_9131eed7_9d8c_48ee_acf8_5ed32615404d"/>
      <w:bookmarkEnd w:id="1841"/>
      <w:bookmarkEnd w:id="1842"/>
      <w:r>
        <w:rPr>
          <w:rFonts w:ascii="Times New Roman;Times;serif" w:hAnsi="Times New Roman;Times;serif"/>
          <w:b/>
          <w:sz w:val="20"/>
        </w:rPr>
        <w:t>Item 5.</w:t>
      </w:r>
      <w:r>
        <w:rPr>
          <w:rFonts w:ascii="Times New Roman;Times;serif" w:hAnsi="Times New Roman;Times;serif"/>
          <w:sz w:val="20"/>
        </w:rPr>
        <w:t xml:space="preserve"> </w:t>
      </w:r>
      <w:r>
        <w:rPr>
          <w:rFonts w:ascii="Times New Roman;Times;serif" w:hAnsi="Times New Roman;Times;serif"/>
          <w:b/>
          <w:sz w:val="20"/>
        </w:rPr>
        <w:t>Other Information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 xml:space="preserve">(a) </w:t>
      </w:r>
      <w:r>
        <w:rPr>
          <w:rFonts w:ascii="Times New Roman;Times;serif" w:hAnsi="Times New Roman;Times;serif"/>
          <w:spacing w:val="-4"/>
          <w:sz w:val="20"/>
        </w:rPr>
        <w:t>None.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 xml:space="preserve">(b) </w:t>
      </w:r>
      <w:r>
        <w:rPr>
          <w:rFonts w:ascii="Times New Roman;Times;serif" w:hAnsi="Times New Roman;Times;serif"/>
          <w:spacing w:val="-4"/>
          <w:sz w:val="20"/>
        </w:rPr>
        <w:t>None.</w:t>
      </w:r>
    </w:p>
    <w:p>
      <w:pPr>
        <w:pStyle w:val="Normal"/>
        <w:bidi w:val="0"/>
        <w:spacing w:before="0" w:after="0"/>
        <w:jc w:val="left"/>
        <w:rPr>
          <w:sz w:val="4"/>
          <w:szCs w:val="4"/>
        </w:rPr>
      </w:pPr>
      <w:r>
        <w:rPr>
          <w:sz w:val="4"/>
          <w:szCs w:val="4"/>
        </w:rPr>
      </w:r>
      <w:bookmarkStart w:id="1843" w:name="_Hlk164343948"/>
      <w:bookmarkStart w:id="1844" w:name="_Hlk164343948"/>
      <w:bookmarkEnd w:id="1844"/>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(c) </w:t>
            </w:r>
          </w:p>
        </w:tc>
        <w:tc>
          <w:tcPr>
            <w:tcW w:w="9901"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During the three months ended June 30, 2024, none of the Company’s directors or officers (as defined in Rule 16a-1(f) of the Securities Exchange Act of 1934) adopted or terminated a Rule 10b5-1 trading arrangement or non-Rule 10b5-1 trading arrangement (as such terms are defined in Item 408 of Regulation S-K).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845" w:name="Item6Exhibits_354488"/>
      <w:bookmarkStart w:id="1846" w:name="_13212c0d_97b9_47f2_9424_1c9457394b66"/>
      <w:bookmarkEnd w:id="1845"/>
      <w:bookmarkEnd w:id="1846"/>
      <w:r>
        <w:rPr>
          <w:rFonts w:ascii="Times New Roman;Times;serif" w:hAnsi="Times New Roman;Times;serif"/>
          <w:b/>
          <w:sz w:val="20"/>
        </w:rPr>
        <w:t>Item 6. Exhibits</w:t>
      </w:r>
    </w:p>
    <w:p>
      <w:pPr>
        <w:pStyle w:val="TextBody"/>
        <w:bidi w:val="0"/>
        <w:spacing w:before="0" w:after="0"/>
        <w:ind w:left="0" w:right="0" w:hanging="0"/>
        <w:jc w:val="center"/>
        <w:rPr>
          <w:rFonts w:ascii="Times New Roman;Times;serif" w:hAnsi="Times New Roman;Times;serif"/>
          <w:b/>
          <w:sz w:val="20"/>
        </w:rPr>
      </w:pPr>
      <w:bookmarkStart w:id="1847" w:name="Exhibit_283532"/>
      <w:bookmarkEnd w:id="1847"/>
      <w:r>
        <w:rPr>
          <w:rFonts w:ascii="Times New Roman;Times;serif" w:hAnsi="Times New Roman;Times;serif"/>
          <w:b/>
          <w:sz w:val="20"/>
        </w:rPr>
        <w:t>Exhibit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2"/>
        <w:gridCol w:w="206"/>
        <w:gridCol w:w="4241"/>
        <w:gridCol w:w="206"/>
        <w:gridCol w:w="511"/>
        <w:gridCol w:w="326"/>
        <w:gridCol w:w="729"/>
        <w:gridCol w:w="326"/>
        <w:gridCol w:w="631"/>
        <w:gridCol w:w="326"/>
        <w:gridCol w:w="816"/>
        <w:gridCol w:w="326"/>
        <w:gridCol w:w="829"/>
      </w:tblGrid>
      <w:tr>
        <w:trPr/>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64820" cy="29210"/>
                      <wp:effectExtent l="0" t="0" r="0" b="0"/>
                      <wp:wrapNone/>
                      <wp:docPr id="526" name="Frame525"/>
                      <a:graphic xmlns:a="http://schemas.openxmlformats.org/drawingml/2006/main">
                        <a:graphicData uri="http://schemas.microsoft.com/office/word/2010/wordprocessingShape">
                          <wps:wsp>
                            <wps:cNvSpPr txBox="1"/>
                            <wps:spPr>
                              <a:xfrm>
                                <a:off x="0" y="0"/>
                                <a:ext cx="4648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0810" cy="175260"/>
                      <wp:effectExtent l="0" t="0" r="0" b="0"/>
                      <wp:wrapNone/>
                      <wp:docPr id="527" name="Frame5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693035" cy="29210"/>
                      <wp:effectExtent l="0" t="0" r="0" b="0"/>
                      <wp:wrapNone/>
                      <wp:docPr id="528" name="Frame527"/>
                      <a:graphic xmlns:a="http://schemas.openxmlformats.org/drawingml/2006/main">
                        <a:graphicData uri="http://schemas.microsoft.com/office/word/2010/wordprocessingShape">
                          <wps:wsp>
                            <wps:cNvSpPr txBox="1"/>
                            <wps:spPr>
                              <a:xfrm>
                                <a:off x="0" y="0"/>
                                <a:ext cx="2693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0810" cy="175260"/>
                      <wp:effectExtent l="0" t="0" r="0" b="0"/>
                      <wp:wrapNone/>
                      <wp:docPr id="529" name="Frame5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24485" cy="29210"/>
                      <wp:effectExtent l="0" t="0" r="0" b="0"/>
                      <wp:wrapNone/>
                      <wp:docPr id="530" name="Frame529"/>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62915" cy="29210"/>
                      <wp:effectExtent l="0" t="0" r="0" b="0"/>
                      <wp:wrapNone/>
                      <wp:docPr id="532" name="Frame531"/>
                      <a:graphic xmlns:a="http://schemas.openxmlformats.org/drawingml/2006/main">
                        <a:graphicData uri="http://schemas.microsoft.com/office/word/2010/wordprocessingShape">
                          <wps:wsp>
                            <wps:cNvSpPr txBox="1"/>
                            <wps:spPr>
                              <a:xfrm>
                                <a:off x="0" y="0"/>
                                <a:ext cx="4629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00685" cy="29210"/>
                      <wp:effectExtent l="0" t="0" r="0" b="0"/>
                      <wp:wrapNone/>
                      <wp:docPr id="534" name="Frame533"/>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18160" cy="29210"/>
                      <wp:effectExtent l="0" t="0" r="0" b="0"/>
                      <wp:wrapNone/>
                      <wp:docPr id="536" name="Frame535"/>
                      <a:graphic xmlns:a="http://schemas.openxmlformats.org/drawingml/2006/main">
                        <a:graphicData uri="http://schemas.microsoft.com/office/word/2010/wordprocessingShape">
                          <wps:wsp>
                            <wps:cNvSpPr txBox="1"/>
                            <wps:spPr>
                              <a:xfrm>
                                <a:off x="0" y="0"/>
                                <a:ext cx="518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7" name="Frame5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26415" cy="29210"/>
                      <wp:effectExtent l="0" t="0" r="0" b="0"/>
                      <wp:wrapNone/>
                      <wp:docPr id="538" name="Frame537"/>
                      <a:graphic xmlns:a="http://schemas.openxmlformats.org/drawingml/2006/main">
                        <a:graphicData uri="http://schemas.microsoft.com/office/word/2010/wordprocessingShape">
                          <wps:wsp>
                            <wps:cNvSpPr txBox="1"/>
                            <wps:spPr>
                              <a:xfrm>
                                <a:off x="0" y="0"/>
                                <a:ext cx="5264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2" w:type="dxa"/>
            <w:tcBorders/>
            <w:vAlign w:val="center"/>
          </w:tcPr>
          <w:p>
            <w:pPr>
              <w:pStyle w:val="TableContents"/>
              <w:bidi w:val="0"/>
              <w:spacing w:lineRule="atLeast" w:line="180" w:before="0" w:after="0"/>
              <w:ind w:left="0" w:right="0" w:hanging="0"/>
              <w:jc w:val="left"/>
              <w:rPr/>
            </w:pPr>
            <w:r>
              <w:rPr/>
              <w:t>​</w:t>
            </w:r>
          </w:p>
        </w:tc>
        <w:tc>
          <w:tcPr>
            <w:tcW w:w="206" w:type="dxa"/>
            <w:tcBorders/>
            <w:vAlign w:val="center"/>
          </w:tcPr>
          <w:p>
            <w:pPr>
              <w:pStyle w:val="TableContents"/>
              <w:bidi w:val="0"/>
              <w:spacing w:lineRule="atLeast" w:line="180" w:before="0" w:after="0"/>
              <w:ind w:left="0" w:right="0" w:hanging="0"/>
              <w:jc w:val="center"/>
              <w:rPr/>
            </w:pPr>
            <w:r>
              <w:rPr/>
              <w:t>​</w:t>
            </w:r>
          </w:p>
        </w:tc>
        <w:tc>
          <w:tcPr>
            <w:tcW w:w="4241" w:type="dxa"/>
            <w:tcBorders/>
            <w:vAlign w:val="center"/>
          </w:tcPr>
          <w:p>
            <w:pPr>
              <w:pStyle w:val="TableContents"/>
              <w:bidi w:val="0"/>
              <w:spacing w:lineRule="atLeast" w:line="180" w:before="0" w:after="0"/>
              <w:ind w:left="0" w:right="0" w:hanging="0"/>
              <w:jc w:val="center"/>
              <w:rPr/>
            </w:pPr>
            <w:r>
              <w:rPr/>
              <w:t>​</w:t>
            </w:r>
          </w:p>
        </w:tc>
        <w:tc>
          <w:tcPr>
            <w:tcW w:w="206" w:type="dxa"/>
            <w:tcBorders/>
            <w:vAlign w:val="center"/>
          </w:tcPr>
          <w:p>
            <w:pPr>
              <w:pStyle w:val="TableContents"/>
              <w:bidi w:val="0"/>
              <w:spacing w:lineRule="atLeast" w:line="180" w:before="0" w:after="0"/>
              <w:ind w:left="0" w:right="0" w:hanging="0"/>
              <w:jc w:val="center"/>
              <w:rPr/>
            </w:pPr>
            <w:r>
              <w:rPr/>
              <w:t>​</w:t>
            </w:r>
          </w:p>
        </w:tc>
        <w:tc>
          <w:tcPr>
            <w:tcW w:w="4820" w:type="dxa"/>
            <w:gridSpan w:val="9"/>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732"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20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424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729"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63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81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829"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732" w:type="dxa"/>
            <w:tcBorders/>
            <w:vAlign w:val="center"/>
          </w:tcPr>
          <w:p>
            <w:pPr>
              <w:pStyle w:val="TableContents"/>
              <w:bidi w:val="0"/>
              <w:spacing w:lineRule="auto" w:line="302" w:before="0" w:after="0"/>
              <w:ind w:left="0" w:right="0" w:hanging="0"/>
              <w:jc w:val="center"/>
              <w:rPr/>
            </w:pPr>
            <w:r>
              <w:rPr/>
              <w:t>​</w:t>
            </w:r>
          </w:p>
        </w:tc>
        <w:tc>
          <w:tcPr>
            <w:tcW w:w="206" w:type="dxa"/>
            <w:tcBorders/>
            <w:vAlign w:val="center"/>
          </w:tcPr>
          <w:p>
            <w:pPr>
              <w:pStyle w:val="TableContents"/>
              <w:bidi w:val="0"/>
              <w:spacing w:lineRule="auto" w:line="302" w:before="0" w:after="0"/>
              <w:ind w:left="0" w:right="0" w:hanging="0"/>
              <w:jc w:val="left"/>
              <w:rPr/>
            </w:pPr>
            <w:r>
              <w:rPr/>
              <w:t>​</w:t>
            </w:r>
          </w:p>
        </w:tc>
        <w:tc>
          <w:tcPr>
            <w:tcW w:w="4241" w:type="dxa"/>
            <w:tcBorders/>
            <w:vAlign w:val="center"/>
          </w:tcPr>
          <w:p>
            <w:pPr>
              <w:pStyle w:val="TableContents"/>
              <w:bidi w:val="0"/>
              <w:spacing w:lineRule="auto" w:line="302" w:before="0" w:after="0"/>
              <w:ind w:left="0" w:right="0" w:hanging="0"/>
              <w:jc w:val="left"/>
              <w:rPr/>
            </w:pPr>
            <w:r>
              <w:rPr/>
              <w:t>​</w:t>
            </w:r>
          </w:p>
        </w:tc>
        <w:tc>
          <w:tcPr>
            <w:tcW w:w="206" w:type="dxa"/>
            <w:tcBorders/>
            <w:vAlign w:val="center"/>
          </w:tcPr>
          <w:p>
            <w:pPr>
              <w:pStyle w:val="TableContents"/>
              <w:bidi w:val="0"/>
              <w:spacing w:lineRule="auto" w:line="302" w:before="0" w:after="0"/>
              <w:ind w:left="0" w:right="0" w:hanging="0"/>
              <w:jc w:val="left"/>
              <w:rPr/>
            </w:pPr>
            <w:r>
              <w:rPr/>
              <w:t>​</w:t>
            </w:r>
          </w:p>
        </w:tc>
        <w:tc>
          <w:tcPr>
            <w:tcW w:w="51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729"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63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816"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left"/>
              <w:rPr/>
            </w:pPr>
            <w:r>
              <w:rPr/>
              <w:t>​</w:t>
            </w:r>
          </w:p>
        </w:tc>
        <w:tc>
          <w:tcPr>
            <w:tcW w:w="829" w:type="dxa"/>
            <w:tcBorders/>
            <w:vAlign w:val="center"/>
          </w:tcPr>
          <w:p>
            <w:pPr>
              <w:pStyle w:val="TableContents"/>
              <w:bidi w:val="0"/>
              <w:spacing w:lineRule="auto" w:line="302" w:before="0" w:after="0"/>
              <w:ind w:left="0" w:right="0" w:hanging="0"/>
              <w:jc w:val="right"/>
              <w:rPr/>
            </w:pPr>
            <w:r>
              <w:rPr/>
              <w:t>​</w:t>
            </w:r>
          </w:p>
        </w:tc>
      </w:tr>
      <w:tr>
        <w:trPr/>
        <w:tc>
          <w:tcPr>
            <w:tcW w:w="732"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729"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63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816"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2"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of Westrock Coffee Company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29, 2022</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2"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2"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Bylaws of Westrock Coffee Company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29, 2022</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2"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2"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hyperlink w:anchor="west-20240630xex31d1.htm">
              <w:r>
                <w:rPr>
                  <w:rStyle w:val="InternetLink"/>
                  <w:rFonts w:ascii="Times New Roman;Times;serif" w:hAnsi="Times New Roman;Times;serif"/>
                  <w:b w:val="false"/>
                  <w:i w:val="false"/>
                  <w:caps w:val="false"/>
                  <w:smallCaps w:val="false"/>
                  <w:sz w:val="20"/>
                </w:rPr>
                <w:t>Chief Executive Officer—Certification pursuant to Rule 13a-14(a) or Rule 15d-14(a) of the Securities Exchange Act of 1934, as adopted pursuant to Section 302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732"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hyperlink w:anchor="west-20240630xex31d2.htm">
              <w:r>
                <w:rPr>
                  <w:rStyle w:val="InternetLink"/>
                  <w:rFonts w:ascii="Times New Roman;Times;serif" w:hAnsi="Times New Roman;Times;serif"/>
                  <w:b w:val="false"/>
                  <w:i w:val="false"/>
                  <w:caps w:val="false"/>
                  <w:smallCaps w:val="false"/>
                  <w:sz w:val="20"/>
                </w:rPr>
                <w:t>Chief Financial Officer—Certification pursuant to Rule 13a-14(a) or Rule 15d-14(a) of the Securities Exchange Act of 1934, as adopted pursuant to Section 302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pPr>
            <w:hyperlink w:anchor="west-20240630xex32d1.htm">
              <w:r>
                <w:rPr>
                  <w:rStyle w:val="InternetLink"/>
                  <w:rFonts w:ascii="Times New Roman;Times;serif" w:hAnsi="Times New Roman;Times;serif"/>
                  <w:b w:val="false"/>
                  <w:i w:val="false"/>
                  <w:caps w:val="false"/>
                  <w:smallCaps w:val="false"/>
                  <w:sz w:val="20"/>
                </w:rPr>
                <w:t>Chief Executive Officer—Certification pursuant to Rule13a-14(b) or Rule 15d-14(b) of the Securities Exchange Act of 1934 and 18 U.S.C. Section 1350, as adopted pursuant to Section 906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206" w:type="dxa"/>
            <w:tcBorders/>
            <w:vAlign w:val="center"/>
          </w:tcPr>
          <w:p>
            <w:pPr>
              <w:pStyle w:val="TableContents"/>
              <w:bidi w:val="0"/>
              <w:spacing w:before="0" w:after="0"/>
              <w:ind w:left="0" w:right="0" w:hanging="0"/>
              <w:jc w:val="center"/>
              <w:rPr/>
            </w:pPr>
            <w:r>
              <w:rPr/>
              <w:t>​</w:t>
            </w:r>
          </w:p>
        </w:tc>
        <w:tc>
          <w:tcPr>
            <w:tcW w:w="4241" w:type="dxa"/>
            <w:tcBorders/>
            <w:vAlign w:val="center"/>
          </w:tcPr>
          <w:p>
            <w:pPr>
              <w:pStyle w:val="TableContents"/>
              <w:bidi w:val="0"/>
              <w:spacing w:before="0" w:after="0"/>
              <w:ind w:left="0" w:right="0" w:hanging="0"/>
              <w:jc w:val="left"/>
              <w:rPr/>
            </w:pPr>
            <w:hyperlink w:anchor="west-20240630xex32d2.htm">
              <w:r>
                <w:rPr>
                  <w:rStyle w:val="InternetLink"/>
                  <w:rFonts w:ascii="Times New Roman;Times;serif" w:hAnsi="Times New Roman;Times;serif"/>
                  <w:b w:val="false"/>
                  <w:i w:val="false"/>
                  <w:caps w:val="false"/>
                  <w:smallCaps w:val="false"/>
                  <w:sz w:val="20"/>
                </w:rPr>
                <w:t>Chief Financial Officer—Certification pursuant to Rule 13a-14(b) or Rule 15d-14(b) of the Securities Exchange Act of 1934 and 18 U.S.C. Section 1350, as adopted pursuant to Section 906 of the Sarbanes-Oxley Act of 2002.</w:t>
              </w:r>
            </w:hyperlink>
          </w:p>
        </w:tc>
        <w:tc>
          <w:tcPr>
            <w:tcW w:w="20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Calculation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Definition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Label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Presentation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2"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283"/>
              <w:ind w:left="0" w:right="0" w:hanging="0"/>
              <w:jc w:val="left"/>
              <w:rPr>
                <w:sz w:val="4"/>
                <w:szCs w:val="4"/>
              </w:rPr>
            </w:pPr>
            <w:r>
              <w:rPr>
                <w:sz w:val="4"/>
                <w:szCs w:val="4"/>
              </w:rPr>
            </w:r>
          </w:p>
        </w:tc>
      </w:tr>
      <w:tr>
        <w:trPr/>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06" w:type="dxa"/>
            <w:tcBorders/>
            <w:vAlign w:val="center"/>
          </w:tcPr>
          <w:p>
            <w:pPr>
              <w:pStyle w:val="TableContents"/>
              <w:bidi w:val="0"/>
              <w:spacing w:before="0" w:after="0"/>
              <w:ind w:left="0" w:right="0" w:hanging="0"/>
              <w:jc w:val="left"/>
              <w:rPr/>
            </w:pPr>
            <w:r>
              <w:rPr/>
              <w:t>​</w:t>
            </w:r>
          </w:p>
        </w:tc>
        <w:tc>
          <w:tcPr>
            <w:tcW w:w="4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848" w:name="Signatures_760028"/>
      <w:bookmarkStart w:id="1849" w:name="_3fb33fe2_145e_4fb3_8661_3586ac75ad8e"/>
      <w:bookmarkEnd w:id="1848"/>
      <w:bookmarkEnd w:id="1849"/>
      <w:r>
        <w:rPr>
          <w:rFonts w:ascii="Times New Roman;Times;serif" w:hAnsi="Times New Roman;Times;serif"/>
          <w:sz w:val="20"/>
        </w:rPr>
        <w:t>Signatures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618" w:type="dxa"/>
        <w:jc w:val="left"/>
        <w:tblInd w:w="0" w:type="dxa"/>
        <w:tblLayout w:type="fixed"/>
        <w:tblCellMar>
          <w:top w:w="0" w:type="dxa"/>
          <w:left w:w="0" w:type="dxa"/>
          <w:bottom w:w="0" w:type="dxa"/>
          <w:right w:w="0" w:type="dxa"/>
        </w:tblCellMar>
      </w:tblPr>
      <w:tblGrid>
        <w:gridCol w:w="1846"/>
        <w:gridCol w:w="631"/>
        <w:gridCol w:w="4141"/>
      </w:tblGrid>
      <w:tr>
        <w:trPr/>
        <w:tc>
          <w:tcPr>
            <w:tcW w:w="1846" w:type="dxa"/>
            <w:tcBorders/>
            <w:vAlign w:val="center"/>
          </w:tcPr>
          <w:p>
            <w:pPr>
              <w:pStyle w:val="TableContents"/>
              <w:bidi w:val="0"/>
              <w:spacing w:lineRule="auto" w:line="328" w:before="0" w:after="0"/>
              <w:ind w:left="0" w:right="0" w:hanging="0"/>
              <w:jc w:val="left"/>
              <w:rPr/>
            </w:pPr>
            <w:r>
              <w:rPr/>
              <w:t>​</w:t>
            </w:r>
          </w:p>
        </w:tc>
        <w:tc>
          <w:tcPr>
            <w:tcW w:w="477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4772" w:type="dxa"/>
            <w:gridSpan w:val="2"/>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Westrock Coffee Company</w:t>
            </w:r>
          </w:p>
        </w:tc>
      </w:tr>
      <w:tr>
        <w:trPr/>
        <w:tc>
          <w:tcPr>
            <w:tcW w:w="18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41" w:type="dxa"/>
            <w:tcBorders>
              <w:bottom w:val="single" w:sz="2" w:space="0" w:color="000000"/>
            </w:tcBorders>
            <w:tcMar>
              <w:bottom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pPr>
            <w:r>
              <w:rPr/>
              <w:t>​</w:t>
            </w:r>
          </w:p>
        </w:tc>
      </w:tr>
      <w:tr>
        <w:trPr/>
        <w:tc>
          <w:tcPr>
            <w:tcW w:w="184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41" w:type="dxa"/>
            <w:tcBorders>
              <w:bottom w:val="single" w:sz="2" w:space="0" w:color="000000"/>
            </w:tcBorders>
            <w:tcMar>
              <w:bottom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Blake Schuhmacher</w:t>
            </w:r>
          </w:p>
        </w:tc>
      </w:tr>
      <w:tr>
        <w:trPr/>
        <w:tc>
          <w:tcPr>
            <w:tcW w:w="1846" w:type="dxa"/>
            <w:tcBorders/>
            <w:vAlign w:val="center"/>
          </w:tcPr>
          <w:p>
            <w:pPr>
              <w:pStyle w:val="TableContents"/>
              <w:bidi w:val="0"/>
              <w:spacing w:lineRule="auto" w:line="328" w:before="0" w:after="0"/>
              <w:ind w:left="0" w:right="0" w:hanging="0"/>
              <w:jc w:val="center"/>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Blake Schuhmacher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Senior Vice President – Chief Accounting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0"/>
        <w:ind w:left="0" w:right="0" w:hanging="0"/>
        <w:jc w:val="right"/>
        <w:rPr>
          <w:rFonts w:ascii="Times New Roman;Times;serif" w:hAnsi="Times New Roman;Times;serif"/>
          <w:b/>
          <w:sz w:val="20"/>
        </w:rPr>
      </w:pPr>
      <w:bookmarkStart w:id="1850" w:name="west-20240630xex31d1.htm"/>
      <w:bookmarkStart w:id="1851" w:name="kswest20240630xex31d1"/>
      <w:bookmarkEnd w:id="1850"/>
      <w:bookmarkEnd w:id="1851"/>
      <w:r>
        <w:rPr>
          <w:rFonts w:ascii="Times New Roman;Times;serif" w:hAnsi="Times New Roman;Times;serif"/>
          <w:b/>
          <w:sz w:val="20"/>
        </w:rPr>
        <w:t>Exhibit 31.1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 Pursuant to</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aps/>
          <w:sz w:val="20"/>
        </w:rPr>
        <w:t>Rules 13</w:t>
      </w:r>
      <w:r>
        <w:rPr>
          <w:rFonts w:ascii="Times New Roman;Times;serif" w:hAnsi="Times New Roman;Times;serif"/>
          <w:b/>
          <w:sz w:val="20"/>
        </w:rPr>
        <w:t>a</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and 15</w:t>
      </w:r>
      <w:r>
        <w:rPr>
          <w:rFonts w:ascii="Times New Roman;Times;serif" w:hAnsi="Times New Roman;Times;serif"/>
          <w:b/>
          <w:sz w:val="20"/>
        </w:rPr>
        <w:t>d</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under the Securities Exchange Act of 1934,</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as Adopted Pursuant to Section 302 of the Sarbanes-Oxley Act of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Scott T. Ford, certify that:</w:t>
      </w:r>
    </w:p>
    <w:p>
      <w:pPr>
        <w:pStyle w:val="TextBody"/>
        <w:bidi w:val="0"/>
        <w:spacing w:lineRule="auto" w:line="285"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Westrock Coffee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092"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521" w:type="dxa"/>
        <w:jc w:val="left"/>
        <w:tblInd w:w="0" w:type="dxa"/>
        <w:tblLayout w:type="fixed"/>
        <w:tblCellMar>
          <w:top w:w="0" w:type="dxa"/>
          <w:left w:w="0" w:type="dxa"/>
          <w:bottom w:w="0" w:type="dxa"/>
          <w:right w:w="0" w:type="dxa"/>
        </w:tblCellMar>
      </w:tblPr>
      <w:tblGrid>
        <w:gridCol w:w="2041"/>
        <w:gridCol w:w="326"/>
        <w:gridCol w:w="154"/>
      </w:tblGrid>
      <w:tr>
        <w:trPr/>
        <w:tc>
          <w:tcPr>
            <w:tcW w:w="20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852" w:name="west-20240630xex31d2.htm"/>
      <w:bookmarkStart w:id="1853" w:name="kswest20240630xex31d2"/>
      <w:bookmarkEnd w:id="1852"/>
      <w:bookmarkEnd w:id="1853"/>
      <w:r>
        <w:rPr>
          <w:rFonts w:ascii="Times New Roman;Times;serif" w:hAnsi="Times New Roman;Time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 Pursuant to</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aps/>
          <w:sz w:val="20"/>
        </w:rPr>
        <w:t>Rules 13</w:t>
      </w:r>
      <w:r>
        <w:rPr>
          <w:rFonts w:ascii="Times New Roman;Times;serif" w:hAnsi="Times New Roman;Times;serif"/>
          <w:b/>
          <w:sz w:val="20"/>
        </w:rPr>
        <w:t>a</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and 15</w:t>
      </w:r>
      <w:r>
        <w:rPr>
          <w:rFonts w:ascii="Times New Roman;Times;serif" w:hAnsi="Times New Roman;Times;serif"/>
          <w:b/>
          <w:sz w:val="20"/>
        </w:rPr>
        <w:t>d</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under the Securities Exchange Act of 1934,</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as Adopted Pursuant to Section 302 of the Sarbanes-Oxley Act of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T. Christopher Pledger, certify that:</w:t>
      </w:r>
    </w:p>
    <w:p>
      <w:pPr>
        <w:pStyle w:val="TextBody"/>
        <w:bidi w:val="0"/>
        <w:spacing w:lineRule="auto" w:line="285"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Westrock Coffee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092"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671" w:type="dxa"/>
        <w:jc w:val="left"/>
        <w:tblInd w:w="0" w:type="dxa"/>
        <w:tblLayout w:type="fixed"/>
        <w:tblCellMar>
          <w:top w:w="0" w:type="dxa"/>
          <w:left w:w="0" w:type="dxa"/>
          <w:bottom w:w="0" w:type="dxa"/>
          <w:right w:w="0" w:type="dxa"/>
        </w:tblCellMar>
      </w:tblPr>
      <w:tblGrid>
        <w:gridCol w:w="2191"/>
        <w:gridCol w:w="326"/>
        <w:gridCol w:w="154"/>
      </w:tblGrid>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854" w:name="west-20240630xex32d1.htm"/>
      <w:bookmarkStart w:id="1855" w:name="kswest20240630xex32d1"/>
      <w:bookmarkEnd w:id="1854"/>
      <w:bookmarkEnd w:id="1855"/>
      <w:r>
        <w:rPr>
          <w:rFonts w:ascii="Times New Roman;Times;serif" w:hAnsi="Times New Roman;Times;serif"/>
          <w:b/>
          <w:sz w:val="20"/>
        </w:rPr>
        <w:t>Exhibit 32.1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accompanying Quarterly Report of Westrock Coffee Company (the “Company”) on Form 10-Q for the period ended June 30, 2024,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521" w:type="dxa"/>
        <w:jc w:val="left"/>
        <w:tblInd w:w="0" w:type="dxa"/>
        <w:tblLayout w:type="fixed"/>
        <w:tblCellMar>
          <w:top w:w="0" w:type="dxa"/>
          <w:left w:w="0" w:type="dxa"/>
          <w:bottom w:w="0" w:type="dxa"/>
          <w:right w:w="0" w:type="dxa"/>
        </w:tblCellMar>
      </w:tblPr>
      <w:tblGrid>
        <w:gridCol w:w="2041"/>
        <w:gridCol w:w="326"/>
        <w:gridCol w:w="154"/>
      </w:tblGrid>
      <w:tr>
        <w:trPr/>
        <w:tc>
          <w:tcPr>
            <w:tcW w:w="20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856" w:name="west-20240630xex32d2.htm"/>
      <w:bookmarkStart w:id="1857" w:name="kswest20240630xex32d2"/>
      <w:bookmarkEnd w:id="1856"/>
      <w:bookmarkEnd w:id="1857"/>
      <w:r>
        <w:rPr>
          <w:rFonts w:ascii="Times New Roman;Times;serif" w:hAnsi="Times New Roman;Times;serif"/>
          <w:b/>
          <w:sz w:val="20"/>
        </w:rPr>
        <w:t>Exhibit 32.2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accompanying Quarterly Report of Westrock Coffee Company (the “Company”) on Form 10-Q for the period ended June 30, 2024,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671" w:type="dxa"/>
        <w:jc w:val="left"/>
        <w:tblInd w:w="0" w:type="dxa"/>
        <w:tblLayout w:type="fixed"/>
        <w:tblCellMar>
          <w:top w:w="0" w:type="dxa"/>
          <w:left w:w="0" w:type="dxa"/>
          <w:bottom w:w="0" w:type="dxa"/>
          <w:right w:w="0" w:type="dxa"/>
        </w:tblCellMar>
      </w:tblPr>
      <w:tblGrid>
        <w:gridCol w:w="2191"/>
        <w:gridCol w:w="326"/>
        <w:gridCol w:w="154"/>
      </w:tblGrid>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6347/000155837022014048/west-20220630xex3d1.htm" TargetMode="External"/><Relationship Id="rId4" Type="http://schemas.openxmlformats.org/officeDocument/2006/relationships/hyperlink" Target="https://www.sec.gov/Archives/edgar/data/1806347/000155837022014048/west-20220630xex3d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29023</Words>
  <Characters>160695</Characters>
  <CharactersWithSpaces>192866</CharactersWithSpaces>
  <Paragraphs>9500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