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20"/>
        <w:spacing w:after="0" w:line="231" w:lineRule="auto"/>
        <w:rPr>
          <w:sz w:val="20"/>
          <w:szCs w:val="20"/>
          <w:color w:val="auto"/>
        </w:rPr>
      </w:pPr>
      <w:r>
        <w:rPr>
          <w:rFonts w:ascii="Times New Roman" w:cs="Times New Roman" w:eastAsia="Times New Roman" w:hAnsi="Times New Roman"/>
          <w:sz w:val="22"/>
          <w:szCs w:val="22"/>
          <w:b w:val="1"/>
          <w:bCs w:val="1"/>
          <w:color w:val="auto"/>
        </w:rPr>
        <w:t>FORM 10-K</w:t>
      </w:r>
    </w:p>
    <w:p>
      <w:pPr>
        <w:spacing w:after="0" w:line="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 w:lineRule="exact"/>
        <w:rPr>
          <w:sz w:val="24"/>
          <w:szCs w:val="24"/>
          <w:color w:val="auto"/>
        </w:rPr>
      </w:pPr>
    </w:p>
    <w:p>
      <w:pPr>
        <w:ind w:left="1200" w:hanging="671"/>
        <w:spacing w:after="0"/>
        <w:tabs>
          <w:tab w:leader="none" w:pos="1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8" w:lineRule="exact"/>
        <w:rPr>
          <w:rFonts w:ascii="MS PGothic" w:cs="MS PGothic" w:eastAsia="MS PGothic" w:hAnsi="MS PGothic"/>
          <w:sz w:val="16"/>
          <w:szCs w:val="16"/>
          <w:color w:val="auto"/>
        </w:rPr>
      </w:pPr>
    </w:p>
    <w:p>
      <w:pPr>
        <w:ind w:left="35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For the Fiscal Year ended December 31, 2023</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1200" w:hanging="671"/>
        <w:spacing w:after="0"/>
        <w:tabs>
          <w:tab w:leader="none" w:pos="1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5520" w:val="left"/>
          <w:tab w:leader="none" w:pos="578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tab/>
        <w:t>.</w:t>
      </w:r>
    </w:p>
    <w:p>
      <w:pPr>
        <w:spacing w:after="0" w:line="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2697480</wp:posOffset>
            </wp:positionH>
            <wp:positionV relativeFrom="paragraph">
              <wp:posOffset>33655</wp:posOffset>
            </wp:positionV>
            <wp:extent cx="9086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868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440" w:type="dxa"/>
            <w:vAlign w:val="bottom"/>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640" w:type="dxa"/>
            <w:vAlign w:val="bottom"/>
            <w:gridSpan w:val="2"/>
          </w:tcPr>
          <w:p>
            <w:pPr>
              <w:jc w:val="right"/>
              <w:ind w:right="2088"/>
              <w:spacing w:after="0"/>
              <w:rPr>
                <w:sz w:val="20"/>
                <w:szCs w:val="20"/>
                <w:color w:val="auto"/>
              </w:rPr>
            </w:pPr>
            <w:r>
              <w:rPr>
                <w:rFonts w:ascii="Times New Roman" w:cs="Times New Roman" w:eastAsia="Times New Roman" w:hAnsi="Times New Roman"/>
                <w:sz w:val="14"/>
                <w:szCs w:val="14"/>
                <w:b w:val="1"/>
                <w:bCs w:val="1"/>
                <w:color w:val="auto"/>
              </w:rPr>
              <w:t>80-0977200</w:t>
            </w:r>
          </w:p>
        </w:tc>
      </w:tr>
      <w:tr>
        <w:trPr>
          <w:trHeight w:val="149"/>
        </w:trPr>
        <w:tc>
          <w:tcPr>
            <w:tcW w:w="3440" w:type="dxa"/>
            <w:vAlign w:val="bottom"/>
          </w:tcPr>
          <w:p>
            <w:pPr>
              <w:jc w:val="center"/>
              <w:ind w:left="162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640" w:type="dxa"/>
            <w:vAlign w:val="bottom"/>
            <w:gridSpan w:val="2"/>
          </w:tcPr>
          <w:p>
            <w:pPr>
              <w:jc w:val="center"/>
              <w:ind w:right="130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440" w:type="dxa"/>
            <w:vAlign w:val="bottom"/>
          </w:tcPr>
          <w:p>
            <w:pPr>
              <w:jc w:val="center"/>
              <w:ind w:left="16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03"/>
        </w:trPr>
        <w:tc>
          <w:tcPr>
            <w:tcW w:w="6300" w:type="dxa"/>
            <w:vAlign w:val="bottom"/>
            <w:gridSpan w:val="3"/>
          </w:tcPr>
          <w:p>
            <w:pPr>
              <w:jc w:val="center"/>
              <w:ind w:right="1268"/>
              <w:spacing w:after="0" w:line="204" w:lineRule="exact"/>
              <w:rPr>
                <w:sz w:val="20"/>
                <w:szCs w:val="20"/>
                <w:color w:val="auto"/>
              </w:rPr>
            </w:pPr>
            <w:r>
              <w:rPr>
                <w:rFonts w:ascii="Times New Roman" w:cs="Times New Roman" w:eastAsia="Times New Roman" w:hAnsi="Times New Roman"/>
                <w:sz w:val="14"/>
                <w:szCs w:val="14"/>
                <w:b w:val="1"/>
                <w:bCs w:val="1"/>
                <w:color w:val="auto"/>
              </w:rPr>
              <w:t>4009 N. Rodney Parham Road, 3</w:t>
            </w:r>
            <w:r>
              <w:rPr>
                <w:rFonts w:ascii="Times New Roman" w:cs="Times New Roman" w:eastAsia="Times New Roman" w:hAnsi="Times New Roman"/>
                <w:sz w:val="21"/>
                <w:szCs w:val="21"/>
                <w:b w:val="1"/>
                <w:bCs w:val="1"/>
                <w:color w:val="auto"/>
                <w:vertAlign w:val="superscript"/>
              </w:rPr>
              <w:t>rd</w:t>
            </w:r>
            <w:r>
              <w:rPr>
                <w:rFonts w:ascii="Times New Roman" w:cs="Times New Roman" w:eastAsia="Times New Roman" w:hAnsi="Times New Roman"/>
                <w:sz w:val="14"/>
                <w:szCs w:val="14"/>
                <w:b w:val="1"/>
                <w:bCs w:val="1"/>
                <w:color w:val="auto"/>
              </w:rPr>
              <w:t xml:space="preserve"> Floor, Little Rock, Arkansas</w:t>
            </w:r>
          </w:p>
        </w:tc>
        <w:tc>
          <w:tcPr>
            <w:tcW w:w="3640" w:type="dxa"/>
            <w:vAlign w:val="bottom"/>
            <w:gridSpan w:val="2"/>
          </w:tcPr>
          <w:p>
            <w:pPr>
              <w:jc w:val="right"/>
              <w:ind w:right="2248"/>
              <w:spacing w:after="0"/>
              <w:rPr>
                <w:sz w:val="20"/>
                <w:szCs w:val="20"/>
                <w:color w:val="auto"/>
              </w:rPr>
            </w:pPr>
            <w:r>
              <w:rPr>
                <w:rFonts w:ascii="Times New Roman" w:cs="Times New Roman" w:eastAsia="Times New Roman" w:hAnsi="Times New Roman"/>
                <w:sz w:val="14"/>
                <w:szCs w:val="14"/>
                <w:b w:val="1"/>
                <w:bCs w:val="1"/>
                <w:color w:val="auto"/>
              </w:rPr>
              <w:t>72212</w:t>
            </w:r>
          </w:p>
        </w:tc>
      </w:tr>
      <w:tr>
        <w:trPr>
          <w:trHeight w:val="188"/>
        </w:trPr>
        <w:tc>
          <w:tcPr>
            <w:tcW w:w="6300" w:type="dxa"/>
            <w:vAlign w:val="bottom"/>
            <w:gridSpan w:val="3"/>
          </w:tcPr>
          <w:p>
            <w:pPr>
              <w:jc w:val="center"/>
              <w:ind w:right="10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40" w:type="dxa"/>
            <w:vAlign w:val="bottom"/>
            <w:gridSpan w:val="2"/>
          </w:tcPr>
          <w:p>
            <w:pPr>
              <w:jc w:val="center"/>
              <w:ind w:right="1288"/>
              <w:spacing w:after="0"/>
              <w:rPr>
                <w:sz w:val="20"/>
                <w:szCs w:val="20"/>
                <w:color w:val="auto"/>
              </w:rPr>
            </w:pPr>
            <w:r>
              <w:rPr>
                <w:rFonts w:ascii="Times New Roman" w:cs="Times New Roman" w:eastAsia="Times New Roman" w:hAnsi="Times New Roman"/>
                <w:sz w:val="14"/>
                <w:szCs w:val="14"/>
                <w:color w:val="auto"/>
              </w:rPr>
              <w:t>(Zip Code)</w:t>
            </w:r>
          </w:p>
        </w:tc>
      </w:tr>
      <w:tr>
        <w:trPr>
          <w:trHeight w:val="283"/>
        </w:trPr>
        <w:tc>
          <w:tcPr>
            <w:tcW w:w="7360" w:type="dxa"/>
            <w:vAlign w:val="bottom"/>
            <w:gridSpan w:val="4"/>
          </w:tcPr>
          <w:p>
            <w:pPr>
              <w:jc w:val="center"/>
              <w:ind w:left="31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(501) 918-9358</w:t>
            </w:r>
          </w:p>
        </w:tc>
        <w:tc>
          <w:tcPr>
            <w:tcW w:w="2580" w:type="dxa"/>
            <w:vAlign w:val="bottom"/>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gridSpan w:val="2"/>
          </w:tcPr>
          <w:p>
            <w:pPr>
              <w:jc w:val="center"/>
              <w:ind w:right="3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80" w:type="dxa"/>
            <w:vAlign w:val="bottom"/>
          </w:tcPr>
          <w:p>
            <w:pPr>
              <w:spacing w:after="0"/>
              <w:rPr>
                <w:sz w:val="16"/>
                <w:szCs w:val="16"/>
                <w:color w:val="auto"/>
              </w:rPr>
            </w:pPr>
          </w:p>
        </w:tc>
      </w:tr>
      <w:tr>
        <w:trPr>
          <w:trHeight w:val="50"/>
        </w:trPr>
        <w:tc>
          <w:tcPr>
            <w:tcW w:w="3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gridSpan w:val="2"/>
          </w:tcPr>
          <w:p>
            <w:pPr>
              <w:spacing w:after="0"/>
              <w:rPr>
                <w:sz w:val="4"/>
                <w:szCs w:val="4"/>
                <w:color w:val="auto"/>
              </w:rPr>
            </w:pPr>
          </w:p>
        </w:tc>
      </w:tr>
      <w:tr>
        <w:trPr>
          <w:trHeight w:val="182"/>
        </w:trPr>
        <w:tc>
          <w:tcPr>
            <w:tcW w:w="3440" w:type="dxa"/>
            <w:vAlign w:val="bottom"/>
            <w:tcBorders>
              <w:left w:val="single" w:sz="8" w:color="auto"/>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Title of each class</w:t>
            </w:r>
          </w:p>
        </w:tc>
        <w:tc>
          <w:tcPr>
            <w:tcW w:w="20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3440" w:type="dxa"/>
            <w:vAlign w:val="bottom"/>
            <w:tcBorders>
              <w:left w:val="single" w:sz="8" w:color="auto"/>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Shares of common stock, par value $0.01 per share</w:t>
            </w:r>
          </w:p>
        </w:tc>
        <w:tc>
          <w:tcPr>
            <w:tcW w:w="20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WEST</w:t>
            </w: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19"/>
        </w:trPr>
        <w:tc>
          <w:tcPr>
            <w:tcW w:w="3640" w:type="dxa"/>
            <w:vAlign w:val="bottom"/>
            <w:tcBorders>
              <w:left w:val="single" w:sz="8" w:color="auto"/>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Warrants, each whole warrant exercisable for one share of</w:t>
            </w:r>
          </w:p>
        </w:tc>
        <w:tc>
          <w:tcPr>
            <w:tcW w:w="266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r>
      <w:tr>
        <w:trPr>
          <w:trHeight w:val="212"/>
        </w:trPr>
        <w:tc>
          <w:tcPr>
            <w:tcW w:w="3440" w:type="dxa"/>
            <w:vAlign w:val="bottom"/>
            <w:tcBorders>
              <w:left w:val="single" w:sz="8" w:color="auto"/>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WESTW</w:t>
            </w: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55"/>
        </w:trPr>
        <w:tc>
          <w:tcPr>
            <w:tcW w:w="3440" w:type="dxa"/>
            <w:vAlign w:val="bottom"/>
          </w:tcPr>
          <w:p>
            <w:pPr>
              <w:spacing w:after="0"/>
              <w:rPr>
                <w:sz w:val="13"/>
                <w:szCs w:val="13"/>
                <w:color w:val="auto"/>
              </w:rPr>
            </w:pPr>
          </w:p>
        </w:tc>
        <w:tc>
          <w:tcPr>
            <w:tcW w:w="3920" w:type="dxa"/>
            <w:vAlign w:val="bottom"/>
            <w:gridSpan w:val="3"/>
          </w:tcPr>
          <w:p>
            <w:pPr>
              <w:jc w:val="center"/>
              <w:ind w:right="148"/>
              <w:spacing w:after="0" w:line="155" w:lineRule="exact"/>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580" w:type="dxa"/>
            <w:vAlign w:val="bottom"/>
          </w:tcPr>
          <w:p>
            <w:pPr>
              <w:spacing w:after="0"/>
              <w:rPr>
                <w:sz w:val="13"/>
                <w:szCs w:val="13"/>
                <w:color w:val="auto"/>
              </w:rPr>
            </w:pPr>
          </w:p>
        </w:tc>
      </w:tr>
      <w:tr>
        <w:trPr>
          <w:trHeight w:val="216"/>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r>
        <w:trPr>
          <w:trHeight w:val="242"/>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bl>
    <w:p>
      <w:pPr>
        <w:ind w:right="480"/>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100" w:val="left"/>
        </w:tabs>
        <w:rPr>
          <w:sz w:val="20"/>
          <w:szCs w:val="20"/>
          <w:color w:val="auto"/>
        </w:rPr>
      </w:pPr>
      <w:r>
        <w:rPr>
          <w:rFonts w:ascii="Times New Roman" w:cs="Times New Roman" w:eastAsia="Times New Roman" w:hAnsi="Times New Roman"/>
          <w:sz w:val="14"/>
          <w:szCs w:val="14"/>
          <w:color w:val="auto"/>
        </w:rPr>
        <w:t xml:space="preserve">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w:t>
      </w:r>
    </w:p>
    <w:p>
      <w:pPr>
        <w:spacing w:after="0" w:line="39" w:lineRule="exact"/>
        <w:rPr>
          <w:sz w:val="24"/>
          <w:szCs w:val="24"/>
          <w:color w:val="auto"/>
        </w:rPr>
      </w:pPr>
    </w:p>
    <w:p>
      <w:pPr>
        <w:ind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280"/>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37" w:lineRule="exact"/>
        <w:rPr>
          <w:sz w:val="24"/>
          <w:szCs w:val="24"/>
          <w:color w:val="auto"/>
        </w:rPr>
      </w:pPr>
    </w:p>
    <w:p>
      <w:pPr>
        <w:sectPr>
          <w:pgSz w:w="11900" w:h="16838" w:orient="portrait"/>
          <w:cols w:equalWidth="0" w:num="3">
            <w:col w:w="3060" w:space="720"/>
            <w:col w:w="2400" w:space="720"/>
            <w:col w:w="3040"/>
          </w:cols>
          <w:pgMar w:left="980" w:top="661" w:right="979" w:bottom="1440" w:gutter="0" w:footer="0" w:header="0"/>
          <w:type w:val="continuous"/>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 w:lineRule="exact"/>
        <w:rPr>
          <w:sz w:val="24"/>
          <w:szCs w:val="24"/>
          <w:color w:val="auto"/>
        </w:rPr>
      </w:pPr>
    </w:p>
    <w:p>
      <w:pPr>
        <w:sectPr>
          <w:pgSz w:w="11900" w:h="16838" w:orient="portrait"/>
          <w:cols w:equalWidth="0" w:num="2">
            <w:col w:w="3060" w:space="720"/>
            <w:col w:w="6160"/>
          </w:cols>
          <w:pgMar w:left="980" w:top="661" w:right="979" w:bottom="1440" w:gutter="0" w:footer="0" w:header="0"/>
          <w:type w:val="continuous"/>
        </w:sectPr>
      </w:pPr>
    </w:p>
    <w:p>
      <w:pPr>
        <w:ind w:right="480"/>
        <w:spacing w:after="0" w:line="15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5" w:lineRule="exact"/>
        <w:rPr>
          <w:sz w:val="24"/>
          <w:szCs w:val="24"/>
          <w:color w:val="auto"/>
        </w:rPr>
      </w:pPr>
    </w:p>
    <w:p>
      <w:pPr>
        <w:ind w:right="420"/>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as of June 30, 2023, the last business day of the registrant’s most recently completed second quarter, based upon the closing sale price of the registrant’s common stock on June 30, 2023 as reported on the Nasdaq Global Market, was $455.2 million.</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 2024, the registrant had 88,033,917 shares of common stock, par value $0.01 per share, outstanding.</w:t>
      </w:r>
    </w:p>
    <w:p>
      <w:pPr>
        <w:spacing w:after="0" w:line="4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 w:lineRule="exact"/>
        <w:rPr>
          <w:sz w:val="24"/>
          <w:szCs w:val="24"/>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Part III of this Form 10-K incorporates information by reference from the registrant’s definitive proxy statement related to the 2024 annual meeting of stockholders, which will be filed no later than 120 days after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59" w:firstLine="259"/>
        <w:spacing w:after="0" w:line="254" w:lineRule="auto"/>
        <w:rPr>
          <w:sz w:val="20"/>
          <w:szCs w:val="20"/>
          <w:color w:val="auto"/>
        </w:rPr>
      </w:pPr>
      <w:r>
        <w:rPr>
          <w:rFonts w:ascii="Times New Roman" w:cs="Times New Roman" w:eastAsia="Times New Roman" w:hAnsi="Times New Roman"/>
          <w:sz w:val="18"/>
          <w:szCs w:val="18"/>
          <w:color w:val="auto"/>
        </w:rPr>
        <w:t>On August 26, 2022, the registrant, Westrock Coffee Company, a Delaware corporation (the “Company,” “Westrock,” “we,” “us,” or “our”), converted from a Delaware limited liability company called “Westrock Coffee Holdings, LLC” to a Delaware corporation called “Westrock Coffee Company” in connection with the closing of its de-SPAC merger transaction with Riverview Acquisition Corp., a special purpose acquisition vehicle and a Delaware corporation. References to “Westrock,” “we,” “us,” “our,” and similar terms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spacing w:after="0" w:line="192" w:lineRule="exact"/>
        <w:rPr>
          <w:sz w:val="20"/>
          <w:szCs w:val="20"/>
          <w:color w:val="auto"/>
        </w:rPr>
      </w:pPr>
    </w:p>
    <w:p>
      <w:pPr>
        <w:ind w:left="60" w:right="99" w:firstLine="259"/>
        <w:spacing w:after="0" w:line="253" w:lineRule="auto"/>
        <w:rPr>
          <w:sz w:val="20"/>
          <w:szCs w:val="20"/>
          <w:color w:val="auto"/>
        </w:rPr>
      </w:pPr>
      <w:r>
        <w:rPr>
          <w:rFonts w:ascii="Times New Roman" w:cs="Times New Roman" w:eastAsia="Times New Roman" w:hAnsi="Times New Roman"/>
          <w:sz w:val="18"/>
          <w:szCs w:val="18"/>
          <w:color w:val="auto"/>
        </w:rPr>
        <w:t>Prior to the conversion on August 26, 2022, when the Company was a Delaware limited liability company, the Company’s equity interests consisted of common units and two series of common equivalent preferred units. In connection with the conversion of the Company to a corporation, the Company’s outstanding common units and common equivalent preferred units were converted into shares of the Company’s common stock, par value $0.01 per share (“Common Shares”) and shares of the Company’s Series A convertible preferred shares, par value $0.01 per share (“Series A Preferred Shares”), respectively. See Note 4, De-SPAC Merger Transaction, to the Consolidated Financial Statements included in Item 8 of Part II of this Annual Report on Form 10-K for a discussion of the conversion of common units to Common Shares. The number of outstanding units, weighted average number of outstanding units, loss per common unit, equity-based compensation and other financial amounts previously expressed on the basis of common units have been retroactively adjusted on the basis of Common Shares to reflect the conversion of common units to Common Shares.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59" w:firstLine="25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build-out of the Conway, Arkansas facility and when it will begin commercial production; our expectations regarding capital expenditures; our future liquidity needs and access to capital; and our expectations regarding remediation of the material weaknesses in our internal control over financial reporting.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96" w:lineRule="exact"/>
        <w:rPr>
          <w:sz w:val="20"/>
          <w:szCs w:val="20"/>
          <w:color w:val="auto"/>
        </w:rPr>
      </w:pPr>
    </w:p>
    <w:p>
      <w:pPr>
        <w:ind w:left="60" w:right="419" w:firstLine="259"/>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62" w:lineRule="exact"/>
        <w:rPr>
          <w:sz w:val="20"/>
          <w:szCs w:val="20"/>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27" w:lineRule="exact"/>
        <w:rPr>
          <w:rFonts w:ascii="Times New Roman" w:cs="Times New Roman" w:eastAsia="Times New Roman" w:hAnsi="Times New Roman"/>
          <w:sz w:val="18"/>
          <w:szCs w:val="18"/>
          <w:color w:val="auto"/>
        </w:rPr>
      </w:pPr>
    </w:p>
    <w:p>
      <w:pPr>
        <w:ind w:left="700" w:right="21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net losses in the past, may incur net losses in the future, and may not achieve profitability;</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 exporting business;</w:t>
      </w:r>
    </w:p>
    <w:p>
      <w:pPr>
        <w:spacing w:after="0" w:line="9"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increases in the cost of green coffee, tea and other ingredients and packaging, and our inability to pass these costs on to customers;</w:t>
      </w:r>
    </w:p>
    <w:p>
      <w:pPr>
        <w:ind w:left="700" w:right="33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disruption in our supply chain;</w:t>
      </w:r>
    </w:p>
    <w:p>
      <w:pPr>
        <w:ind w:left="700" w:right="399" w:hanging="326"/>
        <w:spacing w:after="0" w:line="26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 and/or decreases in consumer spending on discretionary items;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39" w:hanging="326"/>
        <w:spacing w:after="0" w:line="261"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our suppliers’ or our co-manufacturers’ production, distribution or manufacturing facilities or other loss of manufacturing capacity;</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anticipate customer preferences and successfully develop new products;</w:t>
      </w:r>
    </w:p>
    <w:p>
      <w:pPr>
        <w:spacing w:after="0" w:line="9" w:lineRule="exact"/>
        <w:rPr>
          <w:rFonts w:ascii="Times New Roman" w:cs="Times New Roman" w:eastAsia="Times New Roman" w:hAnsi="Times New Roman"/>
          <w:sz w:val="18"/>
          <w:szCs w:val="18"/>
          <w:color w:val="auto"/>
        </w:rPr>
      </w:pPr>
    </w:p>
    <w:p>
      <w:pPr>
        <w:ind w:left="700" w:right="8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pacing w:after="0" w:line="9" w:lineRule="exact"/>
        <w:rPr>
          <w:rFonts w:ascii="Times New Roman" w:cs="Times New Roman" w:eastAsia="Times New Roman" w:hAnsi="Times New Roman"/>
          <w:sz w:val="18"/>
          <w:szCs w:val="18"/>
          <w:color w:val="auto"/>
        </w:rPr>
      </w:pPr>
    </w:p>
    <w:p>
      <w:pPr>
        <w:ind w:left="700" w:right="1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700" w:right="4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9" w:lineRule="exact"/>
        <w:rPr>
          <w:rFonts w:ascii="Times New Roman" w:cs="Times New Roman" w:eastAsia="Times New Roman" w:hAnsi="Times New Roman"/>
          <w:sz w:val="18"/>
          <w:szCs w:val="18"/>
          <w:color w:val="auto"/>
        </w:rPr>
      </w:pPr>
    </w:p>
    <w:p>
      <w:pPr>
        <w:ind w:left="700" w:right="2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9" w:lineRule="exact"/>
        <w:rPr>
          <w:rFonts w:ascii="Times New Roman" w:cs="Times New Roman" w:eastAsia="Times New Roman" w:hAnsi="Times New Roman"/>
          <w:sz w:val="18"/>
          <w:szCs w:val="18"/>
          <w:color w:val="auto"/>
        </w:rPr>
      </w:pPr>
    </w:p>
    <w:p>
      <w:pPr>
        <w:ind w:left="700" w:right="13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remediation plans with regards to the material weaknesses in our internal control over financial reporting;</w:t>
      </w:r>
    </w:p>
    <w:p>
      <w:pPr>
        <w:ind w:left="700" w:right="71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9"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ind w:left="700" w:right="3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in our credit agreement;</w:t>
      </w:r>
    </w:p>
    <w:p>
      <w:pPr>
        <w:spacing w:after="0" w:line="9" w:lineRule="exact"/>
        <w:rPr>
          <w:rFonts w:ascii="Times New Roman" w:cs="Times New Roman" w:eastAsia="Times New Roman" w:hAnsi="Times New Roman"/>
          <w:sz w:val="18"/>
          <w:szCs w:val="18"/>
          <w:color w:val="auto"/>
        </w:rPr>
      </w:pPr>
    </w:p>
    <w:p>
      <w:pPr>
        <w:ind w:left="700" w:right="31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the construction of our new facility in Conway, Arkansas within the anticipated time frame or incurring additional expenses in the process;</w:t>
      </w:r>
    </w:p>
    <w:p>
      <w:pPr>
        <w:ind w:left="700" w:right="13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 which may prevent or delay attempts to acquire a controlling interest in the Company;</w:t>
      </w:r>
    </w:p>
    <w:p>
      <w:pPr>
        <w:ind w:left="700" w:right="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ind w:left="700" w:right="11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economic conditions, including those caused by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p>
      <w:pPr>
        <w:spacing w:after="0" w:line="1" w:lineRule="exact"/>
        <w:rPr>
          <w:rFonts w:ascii="Times New Roman" w:cs="Times New Roman" w:eastAsia="Times New Roman" w:hAnsi="Times New Roman"/>
          <w:sz w:val="18"/>
          <w:szCs w:val="18"/>
          <w:color w:val="auto"/>
        </w:rPr>
      </w:pPr>
    </w:p>
    <w:p>
      <w:pPr>
        <w:jc w:val="both"/>
        <w:ind w:left="700" w:right="119" w:hanging="326"/>
        <w:spacing w:after="0" w:line="253"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Part I, Item 1 “Business,” Part I, Item 1A “Risk Factors” and Part II, Item 7 “Management’s Discussion and Analysis of Financial Condition and Results of Operations” sections of this Annual Report on Form 10-K, as well as those described from time to time in our future reports filed with the U.S. Securities and Exchange Commission (the “SEC”).</w:t>
      </w:r>
    </w:p>
    <w:p>
      <w:pPr>
        <w:spacing w:after="0" w:line="189" w:lineRule="exact"/>
        <w:rPr>
          <w:sz w:val="20"/>
          <w:szCs w:val="20"/>
          <w:color w:val="auto"/>
        </w:rPr>
      </w:pPr>
    </w:p>
    <w:p>
      <w:pPr>
        <w:ind w:left="60" w:right="59" w:firstLine="259"/>
        <w:spacing w:after="0" w:line="25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Annual Report on Form 10-K.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5"/>
        </w:trPr>
        <w:tc>
          <w:tcPr>
            <w:tcW w:w="1200" w:type="dxa"/>
            <w:vAlign w:val="bottom"/>
            <w:gridSpan w:val="8"/>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18"/>
                <w:szCs w:val="18"/>
                <w:color w:val="auto"/>
              </w:rPr>
            </w:pPr>
          </w:p>
        </w:tc>
        <w:tc>
          <w:tcPr>
            <w:tcW w:w="620" w:type="dxa"/>
            <w:vAlign w:val="bottom"/>
            <w:gridSpan w:val="6"/>
          </w:tcPr>
          <w:p>
            <w:pPr>
              <w:spacing w:after="0"/>
              <w:rPr>
                <w:sz w:val="18"/>
                <w:szCs w:val="18"/>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6380" w:type="dxa"/>
            <w:vAlign w:val="bottom"/>
            <w:gridSpan w:val="24"/>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600" w:type="dxa"/>
            <w:vAlign w:val="bottom"/>
            <w:gridSpan w:val="5"/>
          </w:tcPr>
          <w:p>
            <w:pPr>
              <w:spacing w:after="0"/>
              <w:rPr>
                <w:sz w:val="17"/>
                <w:szCs w:val="17"/>
                <w:color w:val="auto"/>
              </w:rPr>
            </w:pP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600" w:type="dxa"/>
            <w:vAlign w:val="bottom"/>
            <w:gridSpan w:val="5"/>
          </w:tcPr>
          <w:p>
            <w:pPr>
              <w:spacing w:after="0"/>
              <w:rPr>
                <w:sz w:val="17"/>
                <w:szCs w:val="17"/>
                <w:color w:val="auto"/>
              </w:rPr>
            </w:pP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00" w:type="dxa"/>
            <w:vAlign w:val="bottom"/>
            <w:tcBorders>
              <w:top w:val="single" w:sz="8" w:color="0000EE"/>
            </w:tcBorders>
            <w:gridSpan w:val="2"/>
          </w:tcPr>
          <w:p>
            <w:pPr>
              <w:spacing w:after="0"/>
              <w:rPr>
                <w:sz w:val="17"/>
                <w:szCs w:val="17"/>
                <w:color w:val="auto"/>
              </w:rPr>
            </w:pPr>
          </w:p>
        </w:tc>
        <w:tc>
          <w:tcPr>
            <w:tcW w:w="600" w:type="dxa"/>
            <w:vAlign w:val="bottom"/>
            <w:gridSpan w:val="5"/>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020" w:type="dxa"/>
            <w:vAlign w:val="bottom"/>
            <w:gridSpan w:val="2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700" w:type="dxa"/>
            <w:vAlign w:val="bottom"/>
            <w:gridSpan w:val="7"/>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68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54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5.</w:t>
            </w:r>
          </w:p>
        </w:tc>
        <w:tc>
          <w:tcPr>
            <w:tcW w:w="70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5560" w:type="dxa"/>
            <w:vAlign w:val="bottom"/>
            <w:tcBorders>
              <w:top w:val="single" w:sz="8" w:color="0000EE"/>
            </w:tcBorders>
            <w:gridSpan w:val="18"/>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700" w:type="dxa"/>
            <w:vAlign w:val="bottom"/>
            <w:gridSpan w:val="7"/>
          </w:tcPr>
          <w:p>
            <w:pPr>
              <w:spacing w:after="0"/>
              <w:rPr>
                <w:sz w:val="17"/>
                <w:szCs w:val="17"/>
                <w:color w:val="auto"/>
              </w:rPr>
            </w:pP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700" w:type="dxa"/>
            <w:vAlign w:val="bottom"/>
            <w:gridSpan w:val="7"/>
          </w:tcPr>
          <w:p>
            <w:pPr>
              <w:spacing w:after="0"/>
              <w:rPr>
                <w:sz w:val="17"/>
                <w:szCs w:val="17"/>
                <w:color w:val="auto"/>
              </w:rPr>
            </w:pPr>
          </w:p>
        </w:tc>
        <w:tc>
          <w:tcPr>
            <w:tcW w:w="64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5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600" w:type="dxa"/>
            <w:vAlign w:val="bottom"/>
            <w:gridSpan w:val="5"/>
          </w:tcPr>
          <w:p>
            <w:pPr>
              <w:spacing w:after="0"/>
              <w:rPr>
                <w:sz w:val="17"/>
                <w:szCs w:val="17"/>
                <w:color w:val="auto"/>
              </w:rPr>
            </w:pPr>
          </w:p>
        </w:tc>
        <w:tc>
          <w:tcPr>
            <w:tcW w:w="43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66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Item 8.</w:t>
            </w:r>
          </w:p>
        </w:tc>
        <w:tc>
          <w:tcPr>
            <w:tcW w:w="702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2800" w:type="dxa"/>
            <w:vAlign w:val="bottom"/>
            <w:gridSpan w:val="8"/>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700" w:type="dxa"/>
            <w:vAlign w:val="bottom"/>
            <w:gridSpan w:val="7"/>
          </w:tcPr>
          <w:p>
            <w:pPr>
              <w:spacing w:after="0"/>
              <w:rPr>
                <w:sz w:val="17"/>
                <w:szCs w:val="17"/>
                <w:color w:val="auto"/>
              </w:rPr>
            </w:pPr>
          </w:p>
        </w:tc>
        <w:tc>
          <w:tcPr>
            <w:tcW w:w="64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54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600" w:type="dxa"/>
            <w:vAlign w:val="bottom"/>
            <w:gridSpan w:val="5"/>
          </w:tcPr>
          <w:p>
            <w:pPr>
              <w:spacing w:after="0"/>
              <w:rPr>
                <w:sz w:val="17"/>
                <w:szCs w:val="17"/>
                <w:color w:val="auto"/>
              </w:rPr>
            </w:pP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600" w:type="dxa"/>
            <w:vAlign w:val="bottom"/>
            <w:gridSpan w:val="5"/>
          </w:tcPr>
          <w:p>
            <w:pPr>
              <w:spacing w:after="0"/>
              <w:rPr>
                <w:sz w:val="17"/>
                <w:szCs w:val="17"/>
                <w:color w:val="auto"/>
              </w:rPr>
            </w:pPr>
          </w:p>
        </w:tc>
        <w:tc>
          <w:tcPr>
            <w:tcW w:w="17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26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10.</w:t>
            </w:r>
          </w:p>
        </w:tc>
        <w:tc>
          <w:tcPr>
            <w:tcW w:w="120" w:type="dxa"/>
            <w:vAlign w:val="bottom"/>
            <w:tcBorders>
              <w:top w:val="single" w:sz="8" w:color="0000EE"/>
            </w:tcBorders>
            <w:gridSpan w:val="3"/>
          </w:tcPr>
          <w:p>
            <w:pPr>
              <w:spacing w:after="0"/>
              <w:rPr>
                <w:sz w:val="17"/>
                <w:szCs w:val="17"/>
                <w:color w:val="auto"/>
              </w:rPr>
            </w:pPr>
          </w:p>
        </w:tc>
        <w:tc>
          <w:tcPr>
            <w:tcW w:w="480" w:type="dxa"/>
            <w:vAlign w:val="bottom"/>
            <w:gridSpan w:val="2"/>
          </w:tcPr>
          <w:p>
            <w:pPr>
              <w:spacing w:after="0"/>
              <w:rPr>
                <w:sz w:val="17"/>
                <w:szCs w:val="17"/>
                <w:color w:val="auto"/>
              </w:rPr>
            </w:pPr>
          </w:p>
        </w:tc>
        <w:tc>
          <w:tcPr>
            <w:tcW w:w="4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92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600" w:type="dxa"/>
            <w:vAlign w:val="bottom"/>
            <w:gridSpan w:val="5"/>
          </w:tcPr>
          <w:p>
            <w:pPr>
              <w:spacing w:after="0"/>
              <w:rPr>
                <w:sz w:val="17"/>
                <w:szCs w:val="17"/>
                <w:color w:val="auto"/>
              </w:rPr>
            </w:pPr>
          </w:p>
        </w:tc>
        <w:tc>
          <w:tcPr>
            <w:tcW w:w="67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w:t>
            </w:r>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600" w:type="dxa"/>
            <w:vAlign w:val="bottom"/>
            <w:gridSpan w:val="5"/>
          </w:tcPr>
          <w:p>
            <w:pPr>
              <w:spacing w:after="0"/>
              <w:rPr>
                <w:sz w:val="17"/>
                <w:szCs w:val="17"/>
                <w:color w:val="auto"/>
              </w:rPr>
            </w:pPr>
          </w:p>
        </w:tc>
        <w:tc>
          <w:tcPr>
            <w:tcW w:w="7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600" w:type="dxa"/>
            <w:vAlign w:val="bottom"/>
            <w:gridSpan w:val="5"/>
          </w:tcPr>
          <w:p>
            <w:pPr>
              <w:spacing w:after="0"/>
              <w:rPr>
                <w:sz w:val="17"/>
                <w:szCs w:val="17"/>
                <w:color w:val="auto"/>
              </w:rPr>
            </w:pPr>
          </w:p>
        </w:tc>
        <w:tc>
          <w:tcPr>
            <w:tcW w:w="28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7"/>
          </w:tcPr>
          <w:p>
            <w:pPr>
              <w:spacing w:after="0"/>
              <w:rPr>
                <w:sz w:val="17"/>
                <w:szCs w:val="17"/>
                <w:color w:val="auto"/>
              </w:rPr>
            </w:pPr>
          </w:p>
        </w:tc>
        <w:tc>
          <w:tcPr>
            <w:tcW w:w="15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12"/>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100" w:type="dxa"/>
            <w:vAlign w:val="bottom"/>
            <w:tcBorders>
              <w:top w:val="single" w:sz="8" w:color="0000EE"/>
            </w:tcBorders>
            <w:gridSpan w:val="2"/>
          </w:tcPr>
          <w:p>
            <w:pPr>
              <w:spacing w:after="0"/>
              <w:rPr>
                <w:sz w:val="18"/>
                <w:szCs w:val="18"/>
                <w:color w:val="auto"/>
              </w:rPr>
            </w:pPr>
          </w:p>
        </w:tc>
        <w:tc>
          <w:tcPr>
            <w:tcW w:w="500" w:type="dxa"/>
            <w:vAlign w:val="bottom"/>
            <w:gridSpan w:val="3"/>
          </w:tcPr>
          <w:p>
            <w:pPr>
              <w:spacing w:after="0"/>
              <w:rPr>
                <w:sz w:val="18"/>
                <w:szCs w:val="18"/>
                <w:color w:val="auto"/>
              </w:rPr>
            </w:pPr>
          </w:p>
        </w:tc>
        <w:tc>
          <w:tcPr>
            <w:tcW w:w="70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600" w:type="dxa"/>
            <w:vAlign w:val="bottom"/>
            <w:gridSpan w:val="5"/>
          </w:tcPr>
          <w:p>
            <w:pPr>
              <w:spacing w:after="0"/>
              <w:rPr>
                <w:sz w:val="17"/>
                <w:szCs w:val="17"/>
                <w:color w:val="auto"/>
              </w:rPr>
            </w:pPr>
          </w:p>
        </w:tc>
        <w:tc>
          <w:tcPr>
            <w:tcW w:w="30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394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seek to be the leading company to our partners, providing end-to-end solutions and offering product innovation, traceability, transparency, and scalability for coffee, tea, flavors, extracts and ingredients globally.</w:t>
      </w:r>
    </w:p>
    <w:p>
      <w:pPr>
        <w:spacing w:after="0" w:line="189"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Our mission is to build and efficiently operate the preeminent integrated coffee, tea, flavors, extracts, and ingredients solutions provider to the world’s most iconic brands. We do this to provide smallholder farmers and their families in developing countries the ability to advance their quality of life and economic well-being.</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platform is built upon four fundamental pillars that position us as a leading provider of value-added beverage solutions and enable us to positively impact the coffee, tea, flavors, extracts, and ingredients ecosystems from crop to cup: (i) operate a transparent supply chain, (ii) develop innovative beverage solutions tailored to our customers’ specific needs, (iii) deliver a high quality and comprehensive set of products to our customers, and (iv) leverage our scaled international presence to serve our blue-chip customer base.</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operates three manufacturing facilities in Concord, North Carolina, one in North Little Rock, Arkansas, one in Richmond, California, one in Kigali, Rwanda, and one in Johor Bahru, Malaysia. We continue the build-out of our 524,000 square-foot extract and ready-to-drink facility (“RTD”) in Conway, Arkansas, which will be our eighth manufacturing facility, and one of the largest of its type in the United States. The Conway facility is expected to begin commercial production in 2024.</w:t>
      </w:r>
    </w:p>
    <w:p>
      <w:pPr>
        <w:spacing w:after="0" w:line="183"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As of December 31, 2023, our operating structure consists of two reportable segments: Beverage Solutions and Sustainable Sourcing &amp; Traceability (“SS&amp;T”).</w:t>
      </w:r>
    </w:p>
    <w:p>
      <w:pPr>
        <w:spacing w:after="0" w:line="162"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Refer to Part II, Item 7 “Management’s Discussion and Analysis of Financial Condition and Results of Operations – Overview – Significant Developments”, of this Annual Report on Form 10-K for information regarding significant developments in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order to achieve our mission, we will utilize our competitive strengths and we will drive continued, sustainable growth and strong financial performance by executing on our growth strategies.</w:t>
      </w:r>
    </w:p>
    <w:p>
      <w:pPr>
        <w:spacing w:after="0" w:line="16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Innovative, value-added, and scalable beverage solutions provider. </w:t>
      </w:r>
      <w:r>
        <w:rPr>
          <w:rFonts w:ascii="Times New Roman" w:cs="Times New Roman" w:eastAsia="Times New Roman" w:hAnsi="Times New Roman"/>
          <w:sz w:val="18"/>
          <w:szCs w:val="18"/>
          <w:color w:val="auto"/>
        </w:rPr>
        <w:t>Our comprehensive solutions offering and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approach make us a unique “brand-behind-the-brand,” which allows us to deliver value-added beverage solutions across multiple product categories and platforms to our customers. Our collaborative product development process starts with custom consumer insights targeted to our customers’ channel and consumer profiles and makes us a critical partner to foodservice and private label retail operators seeking new and innovative products. The ability to serve global foodservice operators through our international presence, responsible sourcing capabilities, and vertically integrated supply chain positions us as a global full-menu beverage solutions provider.</w:t>
      </w:r>
    </w:p>
    <w:p>
      <w:pPr>
        <w:spacing w:after="0" w:line="18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comprehensive line of products allows us to create any product platform in a multitude of packaging sizes and formats. Our skilled team has extensive experience working in blend matching and taste profiling, which allows us to match any coffee or tea blend or ready-to-drink beverage desired and maintain consistency of our products. This, along with our partnership approach with our customers, enhances our ability to drive beverage program profitability.</w:t>
      </w:r>
    </w:p>
    <w:p>
      <w:pPr>
        <w:spacing w:after="0" w:line="17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High growth and compelling liquid extract business. </w:t>
      </w:r>
      <w:r>
        <w:rPr>
          <w:rFonts w:ascii="Times New Roman" w:cs="Times New Roman" w:eastAsia="Times New Roman" w:hAnsi="Times New Roman"/>
          <w:sz w:val="18"/>
          <w:szCs w:val="18"/>
          <w:color w:val="auto"/>
        </w:rPr>
        <w:t>As Millennials and Gen Z enter their prime spending age, they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drive major change within the coffee industry, with increased demand for cold coffee, liquid extracts, and premium away-from-home beverages compared to hot coffee beverages and carbonated soft drinks. As traditional fast-food restaurants and convenience stores compete to win back market share from current industry leaders, these restaurants and convenience stores need a partner to innovate and fulfill growing demand for cold coffee and other forms of liquid extracts globally.</w:t>
      </w:r>
    </w:p>
    <w:p>
      <w:pPr>
        <w:spacing w:after="0" w:line="184"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As a leading partner to these restaurants and convenience stores, we believe we are capable of fulfilling innovation requirements and scaling quickly enough to meet demand. We are well positioned to support innovation demand from extract development through RTD fulfillment. Liquid Extracts is our highest growth product category that includes iced coffees, cold brew coffee, and RTD mixes, with cold coffee products experiencing the most significant growth. The segment comes with a significant channel diversification opportunity within the varied ingredients and cross-selling options driven by cold brew and RTD beverages.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Exceptional and highly experienced management team and culture of commitment. </w:t>
      </w:r>
      <w:r>
        <w:rPr>
          <w:rFonts w:ascii="Times New Roman" w:cs="Times New Roman" w:eastAsia="Times New Roman" w:hAnsi="Times New Roman"/>
          <w:sz w:val="18"/>
          <w:szCs w:val="18"/>
          <w:color w:val="auto"/>
        </w:rPr>
        <w:t>We have a highly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team anchored by a growth-oriented culture and a deep bench of talent with strong business and operational experience. Our employees at all levels of our organization are passionate about addressing the needs of our stakeholders — from our farmer partners, to our customers, to our stockholders. Our company is full of people looking to make a difference in countless lives around the world. We consider everyone who touches Westrock coffee — from crop to cup —  to be an equal contributor in our mission to produce great coffee and improve the industry as a whole. Our experienced and passionate executive team has helmed the acceleration of our growth and set our strategic direction, all underpinned by a purpose to become the world’s most competitive and innovative provider of beverage solutions in order to provide smallholder farmers and their families in developing countries the ability to advance their quality of life and economic well-being.</w:t>
      </w:r>
    </w:p>
    <w:p>
      <w:pPr>
        <w:spacing w:after="0" w:line="185"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Purpose-driven mission that delivers measurable impact. </w:t>
      </w:r>
      <w:r>
        <w:rPr>
          <w:rFonts w:ascii="Times New Roman" w:cs="Times New Roman" w:eastAsia="Times New Roman" w:hAnsi="Times New Roman"/>
          <w:sz w:val="18"/>
          <w:szCs w:val="18"/>
          <w:color w:val="auto"/>
        </w:rPr>
        <w:t>We started Westrock with the belief that growth is an inevitable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byproduct of investments in infrastructure, farmer development, supply chain and product innovation, and technological advancement, when coupled with exceptional personal service. We transform anonymous, disjointed supply chains into transparent, connected systems. Through economic empowerment and environmental accountability, we directly improve the lives of the people who bring our products to life. Paying fair prices, training farmers, and connecting them to customers with transparency leads to reinvestment in more sustainable, profitable farms. The value we create to improve lives accelerates symbiotically with our revenue and profits.</w:t>
      </w:r>
    </w:p>
    <w:p>
      <w:pPr>
        <w:spacing w:after="0" w:line="183"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Proprietary, digitally traceable technology. </w:t>
      </w:r>
      <w:r>
        <w:rPr>
          <w:rFonts w:ascii="Times New Roman" w:cs="Times New Roman" w:eastAsia="Times New Roman" w:hAnsi="Times New Roman"/>
          <w:sz w:val="18"/>
          <w:szCs w:val="18"/>
          <w:color w:val="auto"/>
        </w:rPr>
        <w:t>We are capable of tracing individual lots from the farm, through the roaster,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finished good. We combine IBM Food Trust® blockchain, Oracle NetSuite®, and other technologies to create traceability and connectivity on a global scale.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Beginning with the farmer transactions, data is captured at every stage of the supply chain. We then collect data as it relates to exporting and importing coffee beans, including coffee milling, ocean freight, import clearing and delivery to the final warehouse. We then obtain the roasting data, as well as information about our purchase orders and packaging. Upon delivery to our customers, the traceability data is uploaded to their portals for finished goods. Our technology and commitment to responsible sourcing enables us to transform anonymous, disjointed supply chains into transparent, connected systems. Traceability is a fundamental pillar of the value proposition we offer our customers, and is key to driving the industry shift that will positively impact small hold coffee farmers throughout the world.</w:t>
      </w:r>
    </w:p>
    <w:p>
      <w:pPr>
        <w:spacing w:after="0" w:line="18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Significant customer value proposition. </w:t>
      </w:r>
      <w:r>
        <w:rPr>
          <w:rFonts w:ascii="Times New Roman" w:cs="Times New Roman" w:eastAsia="Times New Roman" w:hAnsi="Times New Roman"/>
          <w:sz w:val="18"/>
          <w:szCs w:val="18"/>
          <w:color w:val="auto"/>
        </w:rPr>
        <w:t>Our value proposition enables us to develop successful beverage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roadmaps, to provide product innovation, and to grow with our customers. Consumer and market insights comprise the foundation of our product innovation process and customer program recommendations. As a research-driven organization, we utilize our industry and consumer insights across our product development and sales processes. Our end-to-end solutions are based on a cross-functional sales team approach that starts with insights and innovation, leads to product and taste profile development, on to sourcing and risk management, production, final packaging and logistics delivery, and is supported with marketing and continued process and program refinement.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Extend and enhance product offerings through innovation. </w:t>
      </w:r>
      <w:r>
        <w:rPr>
          <w:rFonts w:ascii="Times New Roman" w:cs="Times New Roman" w:eastAsia="Times New Roman" w:hAnsi="Times New Roman"/>
          <w:sz w:val="18"/>
          <w:szCs w:val="18"/>
          <w:color w:val="auto"/>
        </w:rPr>
        <w:t>Product innovation is paramount to our success. As the brand-behind-the-brand, we expect to continue to create new categories while innovating current products and formats at scale. We believe the liquid extracts category is one of the best near-term product expansion opportunities as customer tastes continue to shift to cold brew and RTD offerings.</w:t>
      </w:r>
    </w:p>
    <w:p>
      <w:pPr>
        <w:spacing w:after="0" w:line="180"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Expand our customer base. </w:t>
      </w:r>
      <w:r>
        <w:rPr>
          <w:rFonts w:ascii="Times New Roman" w:cs="Times New Roman" w:eastAsia="Times New Roman" w:hAnsi="Times New Roman"/>
          <w:sz w:val="18"/>
          <w:szCs w:val="18"/>
          <w:color w:val="auto"/>
        </w:rPr>
        <w:t>We seek to expand our blue-chip customer base to further penetrate our existing channels.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customer pipeline is organized and quantified through a detailed process that facilitates our cross-functional team’s efforts to grow our customer base.</w:t>
      </w:r>
    </w:p>
    <w:p>
      <w:pPr>
        <w:spacing w:after="0" w:line="17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Follow our customers with geographic expansion. </w:t>
      </w:r>
      <w:r>
        <w:rPr>
          <w:rFonts w:ascii="Times New Roman" w:cs="Times New Roman" w:eastAsia="Times New Roman" w:hAnsi="Times New Roman"/>
          <w:sz w:val="18"/>
          <w:szCs w:val="18"/>
          <w:color w:val="auto"/>
        </w:rPr>
        <w:t>Many of our blue-chip customers operate restaurants,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convenience stores, and retail stores globally. Based on our estimates, we serve a substantial majority of our customers’ locations in the United States, but a very small fraction of their locations in international markets. This creates a significant opportunity to increase our sales within our existing customer base by “going with” our customers where they currently operate.</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Proven M&amp;A platform with a highly accretive actionable pipeline of acquisition targets. </w:t>
      </w:r>
      <w:r>
        <w:rPr>
          <w:rFonts w:ascii="Times New Roman" w:cs="Times New Roman" w:eastAsia="Times New Roman" w:hAnsi="Times New Roman"/>
          <w:sz w:val="18"/>
          <w:szCs w:val="18"/>
          <w:color w:val="auto"/>
        </w:rPr>
        <w:t>Our management team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proven track record of identifying, executing, and integrating acquisitions. We intend to leverage our proven value creation playbook to accelerate growth and realize synergies. Acquisitions will allow us to increase our customers, products, and geographies.</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Continue to drive margin expansion. </w:t>
      </w:r>
      <w:r>
        <w:rPr>
          <w:rFonts w:ascii="Times New Roman" w:cs="Times New Roman" w:eastAsia="Times New Roman" w:hAnsi="Times New Roman"/>
          <w:sz w:val="18"/>
          <w:szCs w:val="18"/>
          <w:color w:val="auto"/>
        </w:rPr>
        <w:t>We have developed a vertically integrated infrastructure that allows for scalability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adaptability. We will continue to increase our scale in order to promote cost of goods sold efficiencies and improve our ability to leverage our fixed cost infrastructure. We will also continue to seek to improve gross profit, through driving sales growth in the high-margin liquid extracts segment. We expect to add additional capacity to support our expansion and supply chain over the long term by investing in additional manufacturing facilities.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 are focused on building a brand-behind-the-brand platform supported by an organization with the capabilities to provide comprehensive value-added beverage solutions. Capitalizing on growing beverage categories and innovation, we offer a wide array of products that allow our customers to satisfy their customers’ changing tastes and preferences.</w:t>
      </w:r>
    </w:p>
    <w:p>
      <w:pPr>
        <w:spacing w:after="0" w:line="17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Our diversified product offering includes whole bean roast and ground coffee, as well as single service cups, food service iced tea, retail and food service hot tea, extract-based products, and our RTD beverage platform. These products reside in our Beverage Solutions segment.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collaborate with customers from the consumer insights and product design phase of development through extract manufacture and end-of-the-line packaging. This approach makes us a valuable partner for our global customers to feed a constant pipeline of innovation into their business planning process, gives us a multi-year outlook far ahead of product launches and enables us to plan and deploy human resources and capital expenditures. Using this same platform, we are also able to toll produce for our customers.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consumer preferences change and we integrate further as a key partner to our global customer base, we will continue to create new categories, innovate current products and formats at scale, and deliver the craft appeal across our offerings, with a baseline of the sustainable and better-for-you products that our customers are demanding.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 Channels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seek to supply the world’s most iconic brands with the world’s most innovative coffee, tea, flavors, extracts, and ingredients products. As the brand-behind-the-brand, our long-tenured customers include blue-chip market leaders across the retail, restaurant and food service, convenience store and travel center, non-commercial account, CPG, and hospitality industries.</w:t>
      </w:r>
    </w:p>
    <w:p>
      <w:pPr>
        <w:spacing w:after="0" w:line="180"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mix of industries we serve provides a balance of in-home and out-of-home consumption. This diversification brings opportunities to leverage various products across industries and help us, regardless of shifting consumer patterns driving consumption at home or away, remain stable and balanced as a provider of the brand-behind-the-brand.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Supply Chain Traceability and Community Impact</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We differentiate ourselves by situating our businesses at each point of aggregation in the supply chain, including coffee exporting through our wholly owned subsidiary Rwanda Trading Company SA (“RTC”), coffee importing and trading through Falcon Coffees Limited (“Falcon”) and coffee roasting. These strategic holdings provide exceptional insight into each segment of the supply chain that allows us to better understand and manage risk.</w:t>
      </w:r>
    </w:p>
    <w:p>
      <w:pPr>
        <w:spacing w:after="0" w:line="18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We are focused on delivering a fully traceable and transparent supply chain for our customers. We have multiple programs and strategies designed to meet customers’ varying needs, including the following:</w:t>
      </w:r>
    </w:p>
    <w:p>
      <w:pPr>
        <w:spacing w:after="0" w:line="160" w:lineRule="exact"/>
        <w:rPr>
          <w:sz w:val="20"/>
          <w:szCs w:val="20"/>
          <w:color w:val="auto"/>
        </w:rPr>
      </w:pPr>
    </w:p>
    <w:p>
      <w:pPr>
        <w:ind w:left="60" w:right="2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Responsible Sourcing Strategy. </w:t>
      </w:r>
      <w:r>
        <w:rPr>
          <w:rFonts w:ascii="Times New Roman" w:cs="Times New Roman" w:eastAsia="Times New Roman" w:hAnsi="Times New Roman"/>
          <w:sz w:val="18"/>
          <w:szCs w:val="18"/>
          <w:color w:val="auto"/>
        </w:rPr>
        <w:t>We define responsible sourcing as the purchase and processing of coffee and tea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that is fair to the people who grow and handle it, their employees, peers, and environments. We are committed to continuing to increase our responsibly sourced coffee and tea purchases. We have built a global supplier assurance framework in partnership with assurance experts, and we audit our coffee supplier network for compliance with our Responsible Sourcing Policy. Additionally, all tea purchases are third-party certified and we are increasing purchases of second party verified and third party certified coffee.</w:t>
      </w:r>
    </w:p>
    <w:p>
      <w:pPr>
        <w:spacing w:after="0" w:line="182"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Farmer Direct Verified®.</w:t>
      </w:r>
      <w:r>
        <w:rPr>
          <w:rFonts w:ascii="Times New Roman" w:cs="Times New Roman" w:eastAsia="Times New Roman" w:hAnsi="Times New Roman"/>
          <w:sz w:val="18"/>
          <w:szCs w:val="18"/>
          <w:color w:val="auto"/>
        </w:rPr>
        <w:t>  We seek to be the largest private label service provider in the world to enable digital traceability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scale from farm gate to the finished products across all beverage offerings. Our transparent sourcing program, Farmer Direct Verified® (“FDV”), provides transactional data throughout the supply chain. This, combined with multi-year trade relationships, enables deeper collaboration, enforces ethical practices in the supply chain, and lay a foundation to solve the sustainability issues of tomorrow. Communicating supply chain realities allows our customers to make informed decisions for their brands and leads to reinvestment in sustainable farms.</w:t>
      </w:r>
    </w:p>
    <w:p>
      <w:pPr>
        <w:spacing w:after="0" w:line="182"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Raíz Sustainability</w:t>
      </w:r>
      <w:r>
        <w:rPr>
          <w:rFonts w:ascii="Times New Roman" w:cs="Times New Roman" w:eastAsia="Times New Roman" w:hAnsi="Times New Roman"/>
          <w:sz w:val="18"/>
          <w:szCs w:val="18"/>
          <w:color w:val="auto"/>
        </w:rPr>
        <w:t>. Raíz Sustainability is a proprietary third party-verified sustainable farming program. Raíz farmers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training, services, and a $0.05 premium that makes their farms more environmentally sustainable and profitable. Raíz farmers also comply with internationally recognized standards for labor conditions, human rights, and environmental protection. Supply chain programs like Raíz allow us to spread sourcing risk across multiple partners, origins, quality types and farmer groups without giving up influence over matters material to our sourcing goals such as farmer livelihoods, yield improvements, and transparent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Our primary raw materials are green coffee and tea. Green coffee is an exchange-traded commodity subject to price fluctuations. We purchase green coffee on a differential basis against the exchange price and on a negotiated flat-price basis.</w:t>
      </w:r>
    </w:p>
    <w:p>
      <w:pPr>
        <w:spacing w:after="0" w:line="1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most common flat-priced coffee in our portfolio is Fairtrade USA-certified coffees. The pricing structure set up by Fairtrade USA offers the exporter price floor on an FOB Origin basis of $1.60 per pound for Washed processed coffees and $1.55 per pound for Natural processed coffees. Therefore, when the average price of green coffee per pound, or “C-Price,” plus the differential for the conventional quality in question is below the Fairtrade minimum pricing, then we pay a flat price equal to the Fairtrade minimum price. When the C-Price plus the differential for the conventional quality in question is higher than the Fairtrade minimum pricing, then we revert to a differential based pricing mechanism against the C-Price that mirrors our normal purchasing process.</w:t>
      </w:r>
    </w:p>
    <w:p>
      <w:pPr>
        <w:spacing w:after="0" w:line="18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Due to significant demand and limited supply, some origins, such as Sumatra and Ethiopia, will price their top grades of export beans on a flat price that is mostly divorced from the C-Price.</w:t>
      </w:r>
    </w:p>
    <w:p>
      <w:pPr>
        <w:spacing w:after="0" w:line="162"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We purchase raw materials through importers and exporters who source green coffee and tea from multiple different countries of origin around the world.</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supply and price of green coffee and tea are subject to volatility and are influenced by numerous factors which are beyond our control and can be affected by factors such as weather, politics, currency fluctuations and economics within the countries that export coffee. For most, but not all of our customers, increases in the cost of raw materials can be passed on to our customers in the form of higher prices.</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hedging strategy is a vital element of our business model as it allows us to fix raw materials costs for inventory needed to serve our customers and grow our business, while minimizing the margin volatility associated with fluctuations in commodities prices. While our derivatives strategy is designed to mitigate the impacts of changing prices, no strategy can eliminate pricing risks, and we would generally remain exposed to supply risk in the event of non-performance by the counterparties in any one of our physical contracts. Failure to properly execute an effective hedging strategy may materially adversely affect our business and operating results.</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a rigorous quality assurance protocol to ensure that our raw materials meet both Company and customer specifications and therefore do not inhibit our ability to meet the finished goods specifications of our clients. Prior to taking ownership, we validate physical and sensory compliance of green coffee. We also check finished goods for packaging, labeling, physical, and sensory compliance with our internal and external specifications prior to shipment.</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maintain long-term partnerships with our vendors that include rigorous and integrated quality and transparency programs. We procure only the highest quality ingredients. Our supplier approval and monitoring programs ensure that we can consistently deliver and exceed our customers’ expectations.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coffee, tea, flavors, extracts, and ingredients industry is highly competitive. We generally view our competition based on product lines and geography.</w:t>
      </w:r>
    </w:p>
    <w:p>
      <w:pPr>
        <w:spacing w:after="0" w:line="162" w:lineRule="exact"/>
        <w:rPr>
          <w:sz w:val="20"/>
          <w:szCs w:val="20"/>
          <w:color w:val="auto"/>
        </w:rPr>
      </w:pPr>
    </w:p>
    <w:p>
      <w:pPr>
        <w:ind w:left="720" w:right="279" w:hanging="386"/>
        <w:spacing w:after="0" w:line="27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coffee and tea industry, our products compete with Keurig Dr. Pepper Inc., Mother Parkers, Trilliant Food and Nutrition, TreeHouse Foods, Finlays, and Harris Tea Company.</w:t>
      </w:r>
    </w:p>
    <w:p>
      <w:pPr>
        <w:spacing w:after="0" w:line="1" w:lineRule="exact"/>
        <w:rPr>
          <w:rFonts w:ascii="Times New Roman" w:cs="Times New Roman" w:eastAsia="Times New Roman" w:hAnsi="Times New Roman"/>
          <w:sz w:val="18"/>
          <w:szCs w:val="18"/>
          <w:color w:val="auto"/>
        </w:rPr>
      </w:pPr>
    </w:p>
    <w:p>
      <w:pPr>
        <w:ind w:left="720" w:right="159" w:hanging="386"/>
        <w:spacing w:after="0" w:line="27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flavors, extracts, and ingredients industry, our products compete with Kerry Foods, Finlays, Javo Beverage Company, Givaudan, Symrise, International Flavors &amp; Fragrances, Inc., and Treatt.</w:t>
      </w:r>
    </w:p>
    <w:p>
      <w:pPr>
        <w:spacing w:after="0" w:line="1" w:lineRule="exact"/>
        <w:rPr>
          <w:rFonts w:ascii="Times New Roman" w:cs="Times New Roman" w:eastAsia="Times New Roman" w:hAnsi="Times New Roman"/>
          <w:sz w:val="18"/>
          <w:szCs w:val="18"/>
          <w:color w:val="auto"/>
        </w:rPr>
      </w:pPr>
    </w:p>
    <w:p>
      <w:pPr>
        <w:ind w:left="720" w:right="359" w:hanging="386"/>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international coffee and tea industry, our products compete with JDE Peet’s, Massimo Zanetti, and UCC Ueshima Coffee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seek to differentiate ourselves from other providers by (i) sourcing coffee via traceable and transparent supply chains,</w:t>
      </w:r>
    </w:p>
    <w:p>
      <w:pPr>
        <w:spacing w:after="0" w:line="27" w:lineRule="exact"/>
        <w:rPr>
          <w:sz w:val="20"/>
          <w:szCs w:val="20"/>
          <w:color w:val="auto"/>
        </w:rPr>
      </w:pPr>
    </w:p>
    <w:p>
      <w:pPr>
        <w:ind w:left="320" w:hanging="270"/>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best-in-class product development and consumer insights across broad product offerings, and</w:t>
      </w:r>
    </w:p>
    <w:p>
      <w:pPr>
        <w:spacing w:after="0" w:line="9" w:lineRule="exact"/>
        <w:rPr>
          <w:rFonts w:ascii="Times New Roman" w:cs="Times New Roman" w:eastAsia="Times New Roman" w:hAnsi="Times New Roman"/>
          <w:sz w:val="18"/>
          <w:szCs w:val="18"/>
          <w:color w:val="auto"/>
        </w:rPr>
      </w:pPr>
    </w:p>
    <w:p>
      <w:pPr>
        <w:ind w:left="60" w:right="299" w:hanging="10"/>
        <w:spacing w:after="0" w:line="260"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large manufacturing footprint in varied geographic locations both in the U.S. and abroad which drives cost efficiencies due to scale and customer proximity to our products.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own several U.S. trademarks and service marks that have been registered (or for which applications have been filed) with the United States Patent and Trademark Office. The duration of trademark registrations varies; however, trademarks are generally valid and may be renewed indefinitely as long as they are in use and/or their registrations are properly maintained. We believe our trademarks and service marks are integral to customer identification of our products. It is not possible to assess the impact of the loss of such identification. In addition, we own numerous registered domain names, and copyrights, trade secrets, proprietary technology, know-how, and other proprietary rights that are not registered.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coffee and tea market is subject to some seasonal variations. Sales of hot coffee products are typically higher during the winter months compared to the summer months. Most of our customers define “coffee season” as September through February. However, sales of cold brew, iced tea and extract products from March through August helps mitigate the impact of this seasonality. In addition, the growing trend to “more than hot black coffee” is regulating seasonal variances.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left="60" w:right="299"/>
        <w:spacing w:after="0" w:line="289" w:lineRule="auto"/>
        <w:rPr>
          <w:sz w:val="20"/>
          <w:szCs w:val="20"/>
          <w:color w:val="auto"/>
        </w:rPr>
      </w:pPr>
      <w:r>
        <w:rPr>
          <w:rFonts w:ascii="Times New Roman" w:cs="Times New Roman" w:eastAsia="Times New Roman" w:hAnsi="Times New Roman"/>
          <w:sz w:val="17"/>
          <w:szCs w:val="17"/>
          <w:color w:val="auto"/>
        </w:rPr>
        <w:t>As of December 31, 2023, we had 1,399 employees located around the globe, of which 1,084 employees were located in the United States. Of our employees located in the United States, 546 were hourly production employees. Our non-U.S. workforce of 315 employees was employed in Rwanda, Germany, Malaysia, South Korea, Peru, England and Ethiopia.</w:t>
      </w:r>
    </w:p>
    <w:p>
      <w:pPr>
        <w:spacing w:after="0" w:line="15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Compensation and Rewards. </w:t>
      </w:r>
      <w:r>
        <w:rPr>
          <w:rFonts w:ascii="Times New Roman" w:cs="Times New Roman" w:eastAsia="Times New Roman" w:hAnsi="Times New Roman"/>
          <w:sz w:val="18"/>
          <w:szCs w:val="18"/>
          <w:color w:val="auto"/>
        </w:rPr>
        <w:t>We provide competitive compensation and benefits which include market-based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competitive for our geographies and our industry. We offer a full complement of health and welfare benefits such as health, dental, vision, life insurance, AD&amp;D and other provisions comparable to most manufacturing companies in our space. A 401(k)-retirement plan is offered.</w:t>
      </w:r>
    </w:p>
    <w:p>
      <w:pPr>
        <w:spacing w:after="0" w:line="112"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Culture. </w:t>
      </w:r>
      <w:r>
        <w:rPr>
          <w:rFonts w:ascii="Times New Roman" w:cs="Times New Roman" w:eastAsia="Times New Roman" w:hAnsi="Times New Roman"/>
          <w:sz w:val="18"/>
          <w:szCs w:val="18"/>
          <w:color w:val="auto"/>
        </w:rPr>
        <w:t>We focus on building a workforce that is responsive to customer needs, attentive to being efficient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conscious for our financial stakeholders, and innovative in seeking to create new products and services in the industry. We actively recruit for diverse talent and seek to build a culture reflective of the desires and the needs of the customers we partner with and serve.</w:t>
      </w:r>
    </w:p>
    <w:p>
      <w:pPr>
        <w:spacing w:after="0" w:line="112" w:lineRule="exact"/>
        <w:rPr>
          <w:sz w:val="20"/>
          <w:szCs w:val="20"/>
          <w:color w:val="auto"/>
        </w:rPr>
      </w:pPr>
    </w:p>
    <w:p>
      <w:pPr>
        <w:ind w:left="60" w:right="2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We maintain a qualified staff of professionals to oversee, manage and apply all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food safety, environment safety, and workplace safety standards by agencies that audit our facilities throughout the United States.</w:t>
      </w:r>
    </w:p>
    <w:p>
      <w:pPr>
        <w:spacing w:after="0" w:line="94" w:lineRule="exact"/>
        <w:rPr>
          <w:sz w:val="20"/>
          <w:szCs w:val="20"/>
          <w:color w:val="auto"/>
        </w:rPr>
      </w:pPr>
    </w:p>
    <w:p>
      <w:pPr>
        <w:ind w:left="60" w:right="799"/>
        <w:spacing w:after="0" w:line="422" w:lineRule="auto"/>
        <w:rPr>
          <w:sz w:val="20"/>
          <w:szCs w:val="20"/>
          <w:color w:val="auto"/>
        </w:rPr>
      </w:pPr>
      <w:r>
        <w:rPr>
          <w:rFonts w:ascii="Times New Roman" w:cs="Times New Roman" w:eastAsia="Times New Roman" w:hAnsi="Times New Roman"/>
          <w:sz w:val="18"/>
          <w:szCs w:val="18"/>
          <w:color w:val="auto"/>
        </w:rPr>
        <w:t xml:space="preserve">We believe our workforce is prepared to meet the needs of our customers and further the growth of our Company. </w:t>
      </w:r>
      <w:r>
        <w:rPr>
          <w:rFonts w:ascii="Times New Roman" w:cs="Times New Roman" w:eastAsia="Times New Roman" w:hAnsi="Times New Roman"/>
          <w:sz w:val="18"/>
          <w:szCs w:val="18"/>
          <w:b w:val="1"/>
          <w:bCs w:val="1"/>
          <w:color w:val="auto"/>
        </w:rPr>
        <w:t>Regulatory Environment</w:t>
      </w:r>
    </w:p>
    <w:p>
      <w:pPr>
        <w:spacing w:after="0" w:line="1"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As a leading manufacturer of coffee, tea, flavors, extracts, and ingredients, we comply with the Good Manufacturing Practices promulgated by the Food and Drug Administration (FDA) as part of our commitment to produce safe and high-quality beverage products.  We are registered with the FDA, and we satisfy all legal and compliance requirements under the Food Safety Modernization Act (FSMA) and applicable state regulations. Our facilities are certified under the Global Food Safety Initiative (GFSI) schemes and operate under a Quality Management System to assure that we comply with all regulatory and customer requirements. Our quality management systems are periodically reviewed using an internal audit system to assure that our employees understand our commitment to food safety and high quality. We are also subject to the general industry requirements applicable to manufacturers, including the safety standards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Occupational Safety and Health Administration and the environmental standards of the Environmental Protection Agency.</w:t>
      </w:r>
    </w:p>
    <w:p>
      <w:pPr>
        <w:spacing w:after="0" w:line="158"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In addition to regulatory compliance, our corporate compliance program is designed to assure that our business is conducted in accordance with the highest ethical standards. We regularly conduct training on such matters as the Foreign Corrupt Practices Act so that our employees understand what is expected of them and how to raise issues of concern.</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website address is www.westrockcoffee.com. Our Annual Reports on Form 10-K, Quarterly Reports on Form 10-Q, Current Reports on Form 8-K, and any amendments to those reports filed or furnished pursuant to Section 13(a) or 15(d) of the Securities Exchange Act of 1934 (the “Exchange Act”) are available on our website, free of charge, as soon as reasonably practicable after we electronically file such materials with, or furnish to, the SEC. Our Exchange Act filings can also be found at www.sec.gov.</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Shares involves a variety of risks, some of which are specific to us and some of which are inherent to the industry in which we operate. The following risks and other information in this report or incorporated in this report by reference, including our consolidated financial statements and related notes and “Management’s Discussion and Analysis of Financial Condition and Results of Operations,” should be read carefully before investing in our securities. These risks may adversely affect our financial condition, results of operations or liquidity. Many of these risks are out of our direct control, though efforts are made to manage those risks while optimizing financial results. These risks are not the only risks we face. Additional risks and uncertainties that we are not aware of or focused on or that we currently deem immaterial may also adversely affect our business and operations. This Annual Report on Form 10-K is qualified in its entirety by all these risk factors.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complete the construction of our new production facility in Conway, Arkansas in time or at all and may incur additional expenses in the process, which could hamper our ability to satisfy demand and meet revenue targets.</w:t>
      </w:r>
    </w:p>
    <w:p>
      <w:pPr>
        <w:spacing w:after="0" w:line="13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2021, we purchased a 524,000 square foot manufacturing facility in Conway, Arkansas with the intent to build out the capacity and capabilities needed to meet our customer demand. Construction on the facility began in late 2022 and we are in active discussions with prospective customers related to price, terms, volume and commitments. If the completion of this facility is delayed or otherwise not completed, or if we incur additional expenses in the process of opening this facility, it might hamper our ability to satisfy customer demand and meet revenue targets, which could cause our profitability to suffer.</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operations at any of our production and distribution facilities could affect our ability to manufacture or distribute products and could adversely affect our business and sales.</w:t>
      </w:r>
    </w:p>
    <w:p>
      <w:pPr>
        <w:spacing w:after="0" w:line="15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Our sales and distribution network requires a large investment to maintain and operate, and we rely on a limited number of production and distribution facilities. Our production capacity is currently concentrated in our Concord, North Carolina, North Little Rock, Arkansas, Richmond, California and Johor Bahru, Malaysia facilities, and will soon be supplemented by our planned production expansion at our new Conway, Arkansas facility. If we were to experience a prolonged disruption in the operation of these facilities due to damage from fire, natural disaster, power loss, labor shortages, or a failure of production equipment or information technology systems supporting our production processes, we may not have sufficient capacity at our other facilities to meet our customers’ demands. If demand increases more than we forecast, we will need to either expand our capabilities internally or acquire additional capacity. Alternative facilities with sufficient capacity or capabilities may not be available, may cost substantially more than existing facilities or may take significant time to start production, which would have an adverse impact on our financial condition, results of operations and cash flows.</w:t>
      </w:r>
    </w:p>
    <w:p>
      <w:pPr>
        <w:spacing w:after="0" w:line="39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we use a significant amount of electricity, gasoline, diesel and oil, natural gas and other energy sources to operate our production and distribution facilities. An increase in the price, disruption of supply or shortage of fuel and other energy sources that may be caused by increased demand or by events such as climate change, natural disasters, power outages, cyberattacks or the like, could lead to higher electricity, transportation and other commodity costs, which could negatively impact our profitability, financial condition or results of operations.</w:t>
      </w:r>
    </w:p>
    <w:p>
      <w:pPr>
        <w:spacing w:after="0" w:line="17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may incur net losses in the future, may not achieve or maintain profitability in the future, and fluctuations in our operating results make it difficult to project future results.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which have fluctuated in the past and are expected to fluctuate in the future due to a variety of factors, many of which are beyond our control. In the years ended December 31, 2023, 2022 and 2021, we incurred net losses of $34.6 million, $55.5 million and $21.3 million, respectively. These losses could continue for the next several years as we expand our product offering and continue to scale our commercial operations by hiring additional personnel to improve the operations of our business and support public company compliance requirements, increasing our sales and marketing functions and expanding our manufacturing and distribution capabilities. If our products do not achieve sufficient market acceptance, our revenue growth rate may be slower than we expect, we may not be able to increase revenue enough to offset the increase in operating expenses resulting from investments, and we will not become profitable. Even if we are able to increase sales of our products, there can be no assurance that we will ever achieve or sustain profitability.</w:t>
      </w:r>
    </w:p>
    <w:p>
      <w:pPr>
        <w:spacing w:after="0" w:line="190"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retain key personnel or recruit qualified personnel could adversely impact our financial condition, results of operations and cash flow.</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success depends on the contributions of key personnel and a consistent workforce, including production workers, support staff and executive team members. The competition for talent in the markets in which we compete is extremely high and candidates’ preferences and expectations are evolving. We must continue to recruit, retain, motivate and develop management and other employees sufficiently to maintain our current business and support our projected growth and strategic initiatives. This may require that we adapt to evolving labor conditions and make significant investments in our employees, including through coaching, training or other professional development activities. Activities related to identifying, recruiting, hiring and integrating qualified individuals require significant time and attention. We may also need to invest significant amounts of cash and equity to attract talented new employees, the returns on which we may never fully realize. In this competitive environment, our business could be adversely affected by increased labor costs, including wages and benefits, cost increases triggered by compensation-related regulatory actions concerning wages, worktime scheduling and benefits; increased healthcare and workers’ compensation insurance costs; increased wages and costs of other benefits necessary to attract and retain high quality employees with the appropriate skill sets and increased wages, benefits and costs related to any public health issues (such as the COVID-19 pandemic). In addition, our wages and benefits programs may be insufficient to attract and retain talented employees.</w:t>
      </w:r>
    </w:p>
    <w:p>
      <w:pPr>
        <w:spacing w:after="0" w:line="19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ability to achieve our key strategic objectives may be adversely affected if we are unable to successfully retain our talented employees, which may impact our financial condition and operating results. For example, our founder, Mr. Scott T. Ford, is an important leader for the business and any loss of service resulting from his absence would disrupt our business and likely adversely impact our operating performance. Further, any unplanned turnover or failure to develop or implement an adequate succession plan for our senior management and other key employees, could deplete our institutional knowledge, erode our competitive advantage, and negatively affect our business, financial condition and operating results. We do not maintain key person life insurance policies on any of our executive officers.</w:t>
      </w:r>
    </w:p>
    <w:p>
      <w:pPr>
        <w:spacing w:after="0" w:line="185"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consolidation among our customers or the loss of any key customer could negatively affect our sales, profitability and future growth.</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have a number of large national account customers and the loss of or reduction in sales to one or more of them would likely have a material adverse effect on our operating results. For the fiscal years ended December 31, 2023, 2022 and 2021, our top five customers accounted for approximately 39%, 37% and 35%, respectively, of our net sales. To the extent that we do not have written contracts with customers, they can stop purchasing our products at any time without penalty and are free to purchase products from our competitors. There can be no assurance that our customers will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66" w:lineRule="auto"/>
        <w:rPr>
          <w:sz w:val="20"/>
          <w:szCs w:val="20"/>
          <w:color w:val="auto"/>
        </w:rPr>
      </w:pPr>
      <w:r>
        <w:rPr>
          <w:rFonts w:ascii="Times New Roman" w:cs="Times New Roman" w:eastAsia="Times New Roman" w:hAnsi="Times New Roman"/>
          <w:sz w:val="18"/>
          <w:szCs w:val="18"/>
          <w:color w:val="auto"/>
        </w:rPr>
        <w:t>continue to purchase our products in the same mix or quantities or on the same terms as they have in the past. Our customers may also take actions that we cannot control or anticipate, such as changing their business strategy or introducing products that may compete with ours.</w:t>
      </w:r>
    </w:p>
    <w:p>
      <w:pPr>
        <w:spacing w:after="0" w:line="176" w:lineRule="exact"/>
        <w:rPr>
          <w:sz w:val="20"/>
          <w:szCs w:val="20"/>
          <w:color w:val="auto"/>
        </w:rPr>
      </w:pPr>
    </w:p>
    <w:p>
      <w:pPr>
        <w:jc w:val="both"/>
        <w:ind w:left="60" w:right="79"/>
        <w:spacing w:after="0" w:line="270" w:lineRule="auto"/>
        <w:rPr>
          <w:sz w:val="20"/>
          <w:szCs w:val="20"/>
          <w:color w:val="auto"/>
        </w:rPr>
      </w:pPr>
      <w:r>
        <w:rPr>
          <w:rFonts w:ascii="Times New Roman" w:cs="Times New Roman" w:eastAsia="Times New Roman" w:hAnsi="Times New Roman"/>
          <w:sz w:val="17"/>
          <w:szCs w:val="17"/>
          <w:color w:val="auto"/>
        </w:rPr>
        <w:t>Additionally, industry consolidation has generally led to our customers becoming larger and more sophisticated buyers of our products, leveraging their buying power and negotiating strength to improve their profitability through more favorable contractual terms. To the extent we provide contractual concessions such as lower prices or more favorable trade terms, our margins would be reduced. Over time, our inability to extend such concessions may negatively impact our sales revenue.</w:t>
      </w:r>
    </w:p>
    <w:p>
      <w:pPr>
        <w:spacing w:after="0" w:line="3"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Our customers may also face financial difficulties, bankruptcy or other business disruptions that may affect their ability to pay for our products, which could adversely affect our sales and profitability.</w:t>
      </w:r>
    </w:p>
    <w:p>
      <w:pPr>
        <w:spacing w:after="0" w:line="177"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customer preferences and successfully develop new products, or if we fail to effectively manage the introduction of new products, our business will suffer.</w:t>
      </w:r>
    </w:p>
    <w:p>
      <w:pPr>
        <w:spacing w:after="0" w:line="159"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Our business depends on our ability to satisfy our customers with our beverage products and their continued purchase of our products. Our customers generally have no obligation to continue or otherwise extend their purchasing, and there can be no assurance that our customers will continue or otherwise extend their purchasing for similar periods or for the same amount of our products.</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rate at which we retain our customers may decline or fluctuate as a result of a number of factors, including our end-use customers’ changing preferences, the shift among millennial coffee drinkers from hot brew towards cold brew and extracts (or any reversion thereof), satisfaction with our products and their prices, the prices of competing products, mergers and acquisitions affecting our direct customers, the effects of global economic conditions, and reductions in customers’ spending levels. If our customers do not continue purchasing our products, our revenues would decline, and we may not realize improved operating results from our customer base.</w:t>
      </w:r>
    </w:p>
    <w:p>
      <w:pPr>
        <w:spacing w:after="0" w:line="183" w:lineRule="exact"/>
        <w:rPr>
          <w:sz w:val="20"/>
          <w:szCs w:val="20"/>
          <w:color w:val="auto"/>
        </w:rPr>
      </w:pPr>
    </w:p>
    <w:p>
      <w:pPr>
        <w:jc w:val="both"/>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accounts receivable represents a significant portion of our current assets and a substantial portion of our trade accounts receivables relate principally to a limited number of customers, increasing our exposure to bad debts and counterparty risk, which could potentially have a material adverse effect on our results of operations.</w:t>
      </w:r>
    </w:p>
    <w:p>
      <w:pPr>
        <w:spacing w:after="0" w:line="175"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 significant portion of our trade accounts receivable are from five customers, which represented approximately 44% and 54% of our trade accounts receivable for the years ended December 31, 2023 and 2022, respectively. The concentration of our accounts receivable across a limited number of parties subjects us to individual counterparty and credit risk as these parties may breach our agreement, claim that we have breached the agreement, become insolvent and/or declare bankruptcy, thereby delaying or reducing our collection of receivables or rendering collection impossible altogether. Some of these parties use third-party distributors or do business through a network of affiliate entities which can make collection efforts more challenging and, at times collections may be economically unfeasible. Adverse changes in general economic conditions and/or contraction in global credit markets could lead to liquidity problems among our debtors. This could increase our exposure to losses from bad debts and have a materially adverse effect on our business, financial condition and results of operations.</w:t>
      </w:r>
    </w:p>
    <w:p>
      <w:pPr>
        <w:spacing w:after="0" w:line="190"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and our continued penetration and expansion into additional markets is subject to inherent challenges and uncertainties that could have a material adverse effect on our results of operations and future growth opportunities.</w:t>
      </w:r>
    </w:p>
    <w:p>
      <w:pPr>
        <w:spacing w:after="0" w:line="175"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Our total addressable market in the United States is calculated based on an estimated percentage of households that purchase coffee products at least once per year, which we generally estimate based on internal and third-party market research, historical surveys and interviews with market participants, which is inherently imprecise. As a result, our addressable market, as well as our estimates relating to the size and expected growth of the markets in which we operate, our penetration of those markets and our expectations regarding future opportunities, are based on assumptions and estimates that may prove inaccurate and are subject to significant uncertainty. If our assumptions, estimates or expectations prove to be inaccurate, there could be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4" w:lineRule="auto"/>
        <w:rPr>
          <w:sz w:val="20"/>
          <w:szCs w:val="20"/>
          <w:color w:val="auto"/>
        </w:rPr>
      </w:pPr>
      <w:r>
        <w:rPr>
          <w:rFonts w:ascii="Times New Roman" w:cs="Times New Roman" w:eastAsia="Times New Roman" w:hAnsi="Times New Roman"/>
          <w:sz w:val="17"/>
          <w:szCs w:val="17"/>
          <w:color w:val="auto"/>
        </w:rPr>
        <w:t>We believe that our future growth depends not only on serving existing customers, but also on continuing to get new customers and expanding our distribution base in the United States and internationally. In new geographic markets, we may face challenges that are different from those we currently encounter, including competitive, merchandising, distribution, hiring, legal and regulatory, and other difficulties. Although we continue to evaluate sales and marketing efforts and other strategies to expand our supplier, customer and distribution bases, there is no assurance that we will be successful. If we are not successful, this could have a material adverse effect on our business, financial condition and results of operations.</w:t>
      </w:r>
    </w:p>
    <w:p>
      <w:pPr>
        <w:spacing w:after="0" w:line="169"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acquire companies, which can divert our management’s attention and we may also be unable to integrate such businesses or identify and achieve their projected benefits.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 core part of our strategy is to grow through acquisitions. We currently are, and expect in the future to be, engaged in evaluating potential transactions. However, we may be unable to identify and consummate additional acquisitions, and we may incur significant transaction costs in seeking acquisitions that we do not complete. Furthermore, the identification of suitable acquisition candidates can be difficult, time-consuming and costly, and we may not complete acquisitions on favorable terms, if at all. Such acquisitions may disrupt our ongoing business operations, divert management from their primary responsibilities, increase our expenses and subject us to increased regulatory requirements. In addition, we may not successfully integrate and manage businesses that we acquire or fully achieve anticipated cost savings and synergies from acquisitions in the timeframe we anticipate or at all and projections of the anticipated benefits of any acquisition can be negatively affected by intervening events beyond our control. There can be no assurance that we will successfully or efficiently integrate any businesses that we may acquire in the future, and the failure to do so could have a material adverse effect on our business, financial condition and operating results.</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rapidly, we may not be able to effectively manage the growth and increased complexity of our business and, as a result, our business, financial condition and operating results could suffer.</w:t>
      </w:r>
    </w:p>
    <w:p>
      <w:pPr>
        <w:spacing w:after="0" w:line="15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Our rapid growth has placed, and may continue to place, significant demands on our organizational, administrative and operational infrastructure, including manufacturing operations, supply chain, distribution capabilities, quality control, product development, regulatory support, customer service, sales force management and general and financial administration. We could also experience challenges in obtaining sufficient raw materials and manufacturing capacity to produce the products we sell, along with delays in production and shipments. As we continue to grow and potentially acquire other businesses, we will need to continue building our operational, financial and management controls as well as our reporting systems and procedures. Any enhancements, expansions and additions to our property, plant and equipment or workforce necessary to manage our growth could strain our resources, expose us to new legal risks in new jurisdictions, and cause operating difficulties. If we are unable to manage our growth and increased complexity effectively, we may be unable to execute our business plan, which could lead to a material adverse effect on our business, financial condition and operating results.</w:t>
      </w:r>
    </w:p>
    <w:p>
      <w:pPr>
        <w:spacing w:after="0" w:line="188"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international laws and regulations that could adversely affect our business, including anti-corruption laws and trade controls laws, and noncompliance with such laws could subject us to criminal or civil liability.</w:t>
      </w:r>
    </w:p>
    <w:p>
      <w:pPr>
        <w:spacing w:after="0" w:line="17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that affect how we conduct our business, including the manufacturing, safety, sourcing, labeling, storing, transportation, marketing, advertising, distribution and sale of our products, our relations with distributors and retailers, and our employment, environmental, privacy, health and trade practices. These laws and regulations and interpretations thereof are subject to change as a result of political, economic or social events. Any new laws and regulations or changes in existing laws or their interpretations, changes in international tax treaties or international trade policy, or the imposition of increased or new tariffs, quotas or trade barriers on key commodities, could result in increased compliance costs, capital expenditures, incremental investments and other financial obligations for us and our business partners, which could affect our profitability.</w:t>
      </w:r>
    </w:p>
    <w:p>
      <w:pPr>
        <w:spacing w:after="0" w:line="192" w:lineRule="exact"/>
        <w:rPr>
          <w:sz w:val="20"/>
          <w:szCs w:val="20"/>
          <w:color w:val="auto"/>
        </w:rPr>
      </w:pPr>
    </w:p>
    <w:p>
      <w:pPr>
        <w:jc w:val="both"/>
        <w:ind w:left="60" w:right="379"/>
        <w:spacing w:after="0" w:line="289" w:lineRule="auto"/>
        <w:rPr>
          <w:sz w:val="20"/>
          <w:szCs w:val="20"/>
          <w:color w:val="auto"/>
        </w:rPr>
      </w:pPr>
      <w:r>
        <w:rPr>
          <w:rFonts w:ascii="Times New Roman" w:cs="Times New Roman" w:eastAsia="Times New Roman" w:hAnsi="Times New Roman"/>
          <w:sz w:val="17"/>
          <w:szCs w:val="17"/>
          <w:color w:val="auto"/>
        </w:rPr>
        <w:t>Our expanding international business will expose us to additional regulatory regimes, such as the U.S. Foreign Corrupt Practices Act (FCPA), the UK Bribery Act 2010, the Malaysian Anti-Corruption Commission Act 2009, and other anti-corruption laws as well as trade control laws such as economic sanctions, customs and import laws, and export control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laws and regulations. We have activities in jurisdictions that are perceived to present heightened risks of public corruption, and our operations in foreign countries may place us in contact with persons who may be considered “foreign officials” under the FCPA, resulting in greater risk of potential violations of the FCPA (or other applicable public corruption regimes). As we increase our international sales and business, our risks of non-compliance with the FCPA, other applicable anti-corruption or anti-bribery laws, and applicable trade control laws may increase. Although we have implemented policies and procedures designed to ensure that we, our employees and our intermediaries comply with these laws, there is no assurance that such policies or procedures will prevent illegal acts by our employees or intermediaries, or protect us against liability under the FCPA, other anti-corruption regimes, or trade sanctions laws.</w:t>
      </w:r>
    </w:p>
    <w:p>
      <w:pPr>
        <w:spacing w:after="0" w:line="19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Violations of these laws or regulations could have a material adverse effect on us, by imposing substantial financial penalties, significant operational limitations and reputational harm, diverting management’s attention and resources and incurring significant defense costs and other professional fees. Investigations of potential violations of these laws by local, state, federal or foreign authorities could also harm our reputation and have an adverse impact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litigation or disputes could lead us to incur significant liabilities or harm our reputation.</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have in the past and/or may in the future become subject to legal proceedings (including class actions), disputes, claims, investigations, regulatory proceedings, or similar actions that arise in the ordinary course of business, such as claims brought by our customers in connection with commercial matters, employment claims brought by our employees, product liability, product labeling, public statements and disclosures under securities laws, antitrust, advertising, consumer protection and wage and hour laws. Further, state or federal regulators could make inquiries and/or conduct investigations with respect to one or more of our products. We are subject to risk and uncertainties related to liabilities, including damages, fines, penalties, and substantial legal and related costs, that may result from these claims and litigation. Some or all of our expenditures to defend, settle, or litigate these matters may not be covered by insurance or could impact our cost of, and ability to obtain, insurance in the future. Further, because of the potential risks, expenses, and uncertainties of litigation, we may, from time to time, settle disputes, even where we believe that we have meritorious claims or defenses. Any material legal proceedings (including class actions), disputes, claims, investigations, regulatory proceedings, or similar actions could have a material adverse effect on our business, results of operations, and financial condition. Our business reputation and our relationship with our customers, suppliers, and employees may also be adversely impacted by our involvement in legal proceedings.</w:t>
      </w:r>
    </w:p>
    <w:p>
      <w:pPr>
        <w:spacing w:after="0" w:line="19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Even if any such litigation or claims lack merit, the process of defending against these claims may result in substantial costs to the business and divert management’s attention and resources, which can harm our business, operating results and financial condition. Any adverse publicity resulting from allegations made in litigation claims or legal proceedings may also adversely affect our reputation, which in turn could adversely affect our operating results.</w:t>
      </w:r>
    </w:p>
    <w:p>
      <w:pPr>
        <w:spacing w:after="0" w:line="176"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and our ability to process data in order to operate and sell our products, and if we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8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networks and systems and data processing (some of which are managed by third-party service providers) to market, sell and deliver our products, to collect, receive, store, process, generate, use, transfer, disclose, make accessible, protect, secure, dispose of and share personal information, confidential or proprietary information, financial information and other information, to manage a variety of business processes and activities, for financial reporting purposes, to operate our business, to process and fulfill orders, for legal and marketing purposes and to comply with regulatory, legal and tax requirements. These information technology networks and systems may be vulnerable to data security and privacy threats, cyber and otherwise. Moreover, the risk of unauthorized circumvention of our security measures or those of third parties on whom we rely has been heightened by advances in computer and software capabilities and the increasing sophistication of hackers. Further, breaches experienced by other companies may also be leveraged against us. We have technology security initiatives and disaster recovery plans in place to mitigate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risk to these vulnerabilities, but these measures may not be adequately designed or implemented to ensure that our operations are not disrupted or that data security breaches do not occur. If our information technology networks and systems or data processing suffer damage, security breaches, vulnerabilities, disruption or shutdown, and we do not effectively resolve the issues in a timely manner, they could cause a material adverse impact to our business, reputation and financial condition.</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information technology networks, systems and information, we may not be able to anticipate or to implement effective preventive and remedial measures against all data security and privacy threats. Our security measures may not be adequate to prevent or detect service interruption, system failure data loss or theft, or other material adverse consequences. No security solution, strategy or measures can address all possible security threats. Our applications, systems, networks, software and physical facilities could have material vulnerabilities, be breached or personal or confidential information could be otherwise compromised due to employee error or malfeasance.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 products are more widely adopted, we continue to expand the features of existing products and introduce new products and we process, store, and transmit increasingly large amounts of personal and/or sensitive data.</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An actual or perceived breach of our security systems or those of our third-party service providers may require notification under applicable data privacy regulations or for customer relations or publicity purposes, which could result in reputational harm, costly litigation (including class action litigation), material contract breaches, liability, settlement costs, loss of sales, regulatory scrutiny, actions or investigations, loss of confidence in our business, diversion of management’s time and attention, and significant fines, penalties, assessments, fees and expenses.</w:t>
      </w:r>
    </w:p>
    <w:p>
      <w:pPr>
        <w:spacing w:after="0" w:line="18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may not have adequate insurance coverage for handling security incidents or breaches, including fines, judgments, settlements, penalties, costs, attorney’s fees and other impacts that arise out of incidents or breaches. The successful assertion of one or more large security incident or breach-related claims against us that exceeds our available insurance coverage, or results in changes to our insurance policies (including premium increases or the imposition of large deductible or co-insurance requirements), could harm our business. In addition, we cannot be sure that our existing insurance coverage will continue to be available on acceptable terms or that our insurers will not deny coverage as to all or part of any future claim or loss.</w:t>
      </w:r>
    </w:p>
    <w:p>
      <w:pPr>
        <w:spacing w:after="0" w:line="18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unauthorized access, theft, use or destruction of personal, financial or other confidential information relating to our customers, suppliers, employees or business could expose us to reputational damage and operational risk, negatively affect our business and expose us to potential liability.</w:t>
      </w:r>
    </w:p>
    <w:p>
      <w:pPr>
        <w:spacing w:after="0" w:line="175"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protection of our customer, supplier, employee, and business data and confidential information is critical. We are subject to new and changing privacy and information security laws and standards that may require significant investments in technology and new operational processes. The use of electronic payment methods and collection of other personal information exposes us to increased risk of privacy and/or security breaches. We rely on commercially available systems, software, tools, and monitoring to provide security for processing, transmitting, and storing personal information from individuals, including our customers, suppliers and employees, and our security measures may not effectively prohibit others from obtaining improper access to such information. We also rely on third-party, cloud-based technologies, which results in third-party access and storage of business data and confidential information. Employees or third parties with whom we do business or to whom we outsource certain information technology or administrative services may attempt to circumvent security measures in order to misappropriate such information and may purposefully or inadvertently cause a breach involving such information. If we experience a data security breach of any kind or fail to respond appropriately to such incidents, we may experience a loss of or damage to critical data, suffer financial or reputational damage or penalties, or face exposure to negative publicity, government investigations and proceedings, private consumer or securities litigation, liability or costly response measures. In addition, our reputation within the business community and with our customers and suppliers may be affected, which could result in our customers and suppliers ceasing to do business with us, which could adversely affect our business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or be forced to defend our intellectual property rights, which can be costly and may subject us to significant liability and increase our costs of doing business.</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Third parties may be able to successfully challenge, oppose, invalidate, render unenforceable, dilute, misappropriate or circumvent our trade secrets, trademarks, copyrights and other intellectual property rights. Our success depends, in part, on our ability to develop and commercialize our products and services without infringing, misappropriating or otherwise violating the intellectual property rights of third parties. Actions we may take to enforce or defend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financial condition and prospects. Furthermore, such actions, even if successful, may not result in an adequate remedy or protection.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selling a product or service found to be in violation of a third party’s rights.</w:t>
      </w:r>
    </w:p>
    <w:p>
      <w:pPr>
        <w:spacing w:after="0" w:line="188"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covenants in our Credit Facilities and our future levels of indebtedness could materially and adversely affect our financial position, including reducing funds available for other business purposes and reducing our operational flexibility.</w:t>
      </w:r>
    </w:p>
    <w:p>
      <w:pPr>
        <w:spacing w:after="0" w:line="17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As of December 31, 2023, we had outstanding total indebtedness of $279.0 million and $110.0 million of undrawn borrowings available under our Revolving Credit Facility (other than $2.6 million of standby letters of credit outstanding), and outstanding indebtedness under the Credit Agreement bears interest at a variable rate.</w:t>
      </w:r>
    </w:p>
    <w:p>
      <w:pPr>
        <w:spacing w:after="0" w:line="1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Any subsequent additions to our indebtedness or increases in market rate of interest increases could impact our financial flexibility due to increased cash flows required to make required interest and principal payments. Greater demands on our funds may limit our ability to invest in our growth, including inhibiting our ability to meet working capital requirements, make capital expenditures or fund acquisitions. Increased indebtedness may also limit our ability to adjust to rapidly changing market conditions, making us more vulnerable to general adverse industry and economic conditions, which could create a competitive disadvantage relative to our competitors.</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that may, subject to specified significant exceptions, restrict our ability, including specified material subsidiaries, to incur debt and our ability, including specified material subsidiaries, to, among other things, have liens on our property, merge or consolidate with any other person or sell or convey assets above a specified minimum threshold to any one person, and engage in sale-and-leaseback transactions depending on the characterization of the proceeds. Our ability, including specified material subsidiaries, to comply with these provisions may be affected by events beyond our control. Failure to comply with these covenants or make payments could result in an event of default, which, if not cured or waived, could accelerate our repayment obligations and could result in a default and acceleration under other agreements containing cross-default provisions. Under these circumstances, we might not have sufficient funds or other resources to satisfy all of our obligations.</w:t>
      </w:r>
    </w:p>
    <w:p>
      <w:pPr>
        <w:spacing w:after="0" w:line="18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and growing our business may require additional capital, and if capital is not available to us, our business, operating results, financial condition and prospects may suffer.</w:t>
      </w:r>
    </w:p>
    <w:p>
      <w:pPr>
        <w:spacing w:after="0" w:line="15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Operating and growing our business is expected to require further investments in our capabilities and operations. We may be presented with opportunities that we want to pursue, and unforeseen challenges may present themselves, any of which could cause us to require additional capital. If our cash needs exceed our expectations or we experience rapid growth, we could experience strain in our cash flow, which could adversely affect our operations in the event we are unable to obtain other sources of liquidity. If we seek to raise funds through equity or debt financing, those funds may prove to be unavailable, may only be available on terms that are not acceptable to us or may result in significant dilution to our then-existing stockholders or higher levels of leverage. If we are unable to obtain adequate financing or financing on terms satisfactory to us, when we require it, our ability to continue to pursue our business objectives, to grow both organically and through acquisitions, and to respond to business opportunities, challenges or unforeseen circumstances, could be significantly limited, and our business, operating results, financial condition and prospects could be materially and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Exercise of redemption rights by the holders of our Series A Preferred Shares may adversely affect the cash that we have available for other purposes and our ability to execute our business strategy.</w:t>
      </w:r>
    </w:p>
    <w:p>
      <w:pPr>
        <w:spacing w:after="0" w:line="159"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After February 26, 2028 (i.e. the five-and-half year anniversary of the Closing),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23,511,922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servicing its debt,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financial condition and ability to execute our business strategy.</w:t>
      </w:r>
    </w:p>
    <w:p>
      <w:pPr>
        <w:spacing w:after="0" w:line="20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the assumptions used to value our goodwill or other intangible assets, or the impairment of our goodwill or intangible assets, could negatively impact our financial condition and operating results.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cost over fair value of net assets acquired in a business combination. Impairment may result from significant changes in the manner of use of the acquired assets, negative industry, or economic trends, and/or any changes in key assumptions regarding our fair value. At December 31, 2023, we had $116.1 million of goodwill on our Consolidated Balance Sheets. Any negative industry or economic trends, such as rising costs due to persistent inflationary impacts, continued increases in interest rates, or other market, industry, or operational trends, and/or any changes in key assumptions could result in further impairment of our goodwill, which would negatively impact our reported results of operations.</w:t>
      </w:r>
    </w:p>
    <w:p>
      <w:pPr>
        <w:spacing w:after="0" w:line="185"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IRS, other tax authorities, or a court may disagree with our tax positions, which may result in adverse effects on our financial condition or the value of our Common Shares.</w:t>
      </w:r>
    </w:p>
    <w:p>
      <w:pPr>
        <w:spacing w:after="0" w:line="15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tax position could be impacted by changes in U.S. federal, state and local and non-U.S. tax laws and changes in taxing jurisdictions’ administrative interpretations, decisions, policies, and positions. Any of the foregoing changes may have a material adverse impact on our results of operations, cash flows, and financial condition.</w:t>
      </w:r>
    </w:p>
    <w:p>
      <w:pPr>
        <w:spacing w:after="0" w:line="176" w:lineRule="exact"/>
        <w:rPr>
          <w:sz w:val="20"/>
          <w:szCs w:val="20"/>
          <w:color w:val="auto"/>
        </w:rPr>
      </w:pPr>
    </w:p>
    <w:p>
      <w:pPr>
        <w:jc w:val="both"/>
        <w:ind w:left="60" w:right="279"/>
        <w:spacing w:after="0" w:line="272" w:lineRule="auto"/>
        <w:rPr>
          <w:sz w:val="20"/>
          <w:szCs w:val="20"/>
          <w:color w:val="auto"/>
        </w:rPr>
      </w:pPr>
      <w:r>
        <w:rPr>
          <w:rFonts w:ascii="Times New Roman" w:cs="Times New Roman" w:eastAsia="Times New Roman" w:hAnsi="Times New Roman"/>
          <w:sz w:val="17"/>
          <w:szCs w:val="17"/>
          <w:color w:val="auto"/>
        </w:rPr>
        <w:t>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The likelihood of such changes being enacted or implemented is unclear.</w:t>
      </w:r>
    </w:p>
    <w:p>
      <w:pPr>
        <w:spacing w:after="0" w:line="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Any of these developments or changes in federal, state and local and non-U.S. tax laws could adversely affect our effective tax rate and our operating results. In addition, the administrative interpretations, decisions, policies and positions of the IRS and various other taxing authorities with respect to current and future tax laws may be subject to significant change and such guidance could ultimately increase or lessen the impact of such tax laws on our business and financial condition. In the absence of such guidance, we will take positions with respect to a number of unsettled issues. There is no assurance that the IRS, any other tax authorities, or a court will agree with the positions taken by us,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which case tax penalties and interest may be imposed that could adversely affect our business, cash flows or financial performance.</w:t>
      </w:r>
    </w:p>
    <w:p>
      <w:pPr>
        <w:spacing w:after="0" w:line="158"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Westrock has identified, and may in the future identify additional, material weaknesses in its internal control over financial reporting or fail to maintain effective internal control over financial reporting, which may result in material misstatements of Westrock’s consolidated financial statements or cause Westrock to fail to meet its periodic reporting obligations.</w:t>
      </w:r>
    </w:p>
    <w:p>
      <w:pPr>
        <w:spacing w:after="0" w:line="18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As further described in Item 9A of this Annual Report on Form 10-K, Westrock has identified material weaknesses in its internal control over financial reporting. As a result, management has concluded that, because of these material weaknesses, our internal control over financial reporting and our disclosure controls and procedures were not effective as of December 31, 2023. As further discussed in Item 9A of this Annual Report on Form 10-K, Westrock has taken and is taking certain measures to remediate the material weaknesses. Notwithstanding these measures or efforts, there is no assurance that any remediation efforts will ultimately have the intended effects. Additionally, these remediation measures, as well as testing and maintaining controls, are time consuming, result in Westrock incurring significant costs, and place significant demands on our financial and operational resources.</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If we (i) fail to complete the remediation of these material weaknesses, or after having remediated such material weakness, thereafter fail to maintain the effectiveness of our internal control over financial reporting or our disclosure controls and procedures, (ii) identify additional material weaknesses (iii) if Westrock’s independent registered public accounting firm is unable to express an unqualified opinion as to the effectiveness of our internal control over financial reporting once it is no longer an emerging growth company or (iv) if Westrock is unable to conclude in our quarterly and annual reports that our disclosure controls and procedures are effective, we could be subjected to regulatory scrutiny, civil or criminal penalties or shareholder litigation, the defense of any of which could cause the diversion of management’s attention and resources, we could incur significant legal and other expenses, and we could be required to pay damages to settle such actions if any such actions were not resolved in our favor. Continued or future failure to maintain effective internal control over financial reporting could also result in financial statements that do not accurately reflect our financial condition or results of operations. There can be no assurance that we will not conclude in the future that the existing material weaknesses continue to exist or that we will not identify any significant deficiencies or other material weaknesses that will impair our ability to report our financial condition and results of operations accurately or on a timely basis.</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accuracy of Westrock’s financial statements and related disclosures could be adversely affected if the judgments, assumptions or estimates used in Westrock’s critical accounting policies are inaccurate.</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 in conformity with GAAP requires us to make judgments, assumptions and estimates that affect the amounts reported in Westrock’s consolidated financial statements and related notes. If future events differ significantly from the judgments, assumptions and estimates in Westrock’s critical accounting policies, those events or assumptions could have a material impact on Westrock’s consolidated financial statements and related disclosures.</w:t>
      </w:r>
    </w:p>
    <w:p>
      <w:pPr>
        <w:spacing w:after="0" w:line="183"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addition, changes in accounting interpretations or assumptions could impact Westrock’s financial statements and Westrock’s ability to timely prepare Westrock’s financial statements. Westrock’s inability to timely prepare Westrock’s financial statements in the future could materially and adversely affect Westrock’s share price.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Westrock’s board of directors and management have significant control over Westrock’s business.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As of December 31, 2023, Westrock’s directors and executive officers beneficially own, directly or indirectly, in the aggregate, approximately 33,210,832 shares of Common Shares, representing an aggregate of approximately 29.8% of the combined voting power of Westrock’s outstanding capital stock (excluding any Warrants, options or other securities exercisable for Common Shares). As a result, in addition to their day-to-day management roles, Westrock’s executive officers and directors are able to exercise significant influence on Westrock’s business as stockholders, including influence over election of members of the board of directors and the authorization of other corporate actions requiring stockholder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Westrock’s certificate of incorporation and bylaws, the Investor Rights Agreement and of Delaware law may prevent or delay attempts to acquire a controlling interest in Westrock, which could decrease the trading price of Common Shares.</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Westrock’s certificate of incorporation and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 our classified board structure, the inability of our stockholders to call a special meeting, rules regarding how stockholders may present proposals or nominate directors for election at stockholder meetings, the right of our board of directors to issue preferred stock without stockholder approval, the inability of stockholders to remove directors without cause until the class to which such directors belong is declassified, the ability of our directors, not our stockholders, to fill vacancies on the board of directors and certain rights of the Series A Preferred shareholders.</w:t>
      </w:r>
    </w:p>
    <w:p>
      <w:pPr>
        <w:spacing w:after="0" w:line="18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June 29, 2023, Westrock entered into the Amended and Restated Investor Rights Agreement (the “Amended and Restated Investor Rights Agreement”) with (i) Westrock Group, LLC, The Stephens Group, LLC, Sowell Westrock, L.P. and any affiliate of Joe T. Ford, Scott T. Ford, Witt Stephens, Jim Sowell or their respective families that becomes an owner of any shares of Westrock’s common stock from another WCC Investor and becomes a party to the Amended and Restated Investor Rights Agreement, so long as such person remains an affiliate of Joe T. Ford, Scott T. Ford, Witt Stephens, Jim Sowell or their families (the “WCC Investors”), (ii) BBH Capital Partners V, L.P., BBH Capital Partners V-A, L.P., BBH CPV WCC Co-Investment LLC, and any controlled affiliate of Brown Brothers Harriman &amp; Co. (the “BBH Investors”) that becomes an owner of any shares of Westrock’s common stock or the Series A Convertible Preferred Stock from another BBH Investor and becomes a party to the Amended and Restated Investor Rights Agreement, so long as such person remains a controlled affiliate of Brown Brothers Harriman &amp; Co., (iii) Riverview Sponsor Partners, LLC and any controlled affiliate of Brad Martin that becomes an owner of any shares of Westrock’s common stock from another RVAC Investor and becomes a party to the Amended and Restated Investor Rights Agreement, so long as such person remains an affiliate of Brad Martin (the “RVAC Investors”) and (iv) HF Direct Investments Pool, LLC and any controlled affiliate of HF Capital, LLC that becomes an owner of any shares of Westrock’s common stock from another HF Investor and becomes a party to the Amended and Restated Investor Rights Agreement, so long as such person remains an affiliate of HF Capital, LLC (the “HF Investors” together with the WCC Investors, BBH Investors and RVAC Investors, the “Investor Parties”). The Amended and Restated Investor Rights Agreement contains certain provisions that may prevent or delay attempts to acquire a controlling interest in Westrock, including board designation and other approval rights of the Investor Parties.</w:t>
      </w:r>
    </w:p>
    <w:p>
      <w:pPr>
        <w:spacing w:after="0" w:line="27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In addition, because Westrock does not elect to be exempt from Section 203 of the DGCL, this provision could also delay or prevent a change of control that you may favor. Section 203 of the DGCL provides that, subject to limited exceptions, a person that acquires, or is affiliated with a person that acquires, more than 15% of the outstanding voting stock of a Delaware corporation (an “interested stockholder”) must not engage in any business combination with that corporation, including by merger, consolidation or acquisitions of additional shares, for a three-year period following the date on which the person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Westrock is an “emerging growth company,” and the reduced disclosure requirements applicable to emerging growth companies may make the Common Shares less attractive to investors.</w:t>
      </w:r>
    </w:p>
    <w:p>
      <w:pPr>
        <w:spacing w:after="0" w:line="159"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Westrock is an “emerging growth company,” as defined in the JOBS Act. For as long as Westrock continues to be an emerging growth company, Westrock may take advantage of exemptions from various reporting requirements that apply to other public companies that are not emerging growth companies. It is unclear whether investors will find Common Shares less attractive because Westrock may rely on these exemptions. If some investors find Common Shares less attractive as a result, there may be a less active trading market for Common Shares, and Westrock’s stock price may be more volatile.</w:t>
      </w:r>
    </w:p>
    <w:p>
      <w:pPr>
        <w:spacing w:after="0" w:line="16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Westrock has elected to avail itself of this exemption from new or revised accounting standards. As a result, Westrock’s financial statements may not be comparable to companies that comply with new or revised accounting pronouncements as of public company effective dates, and Westrock will incur additional costs in connection with complying with the accounting standards applicable to public companies at such time or times as they become applicable to Westrock.</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proceeds that we may receive from the exercise of the Warrants is highly dependent on the price of our Common Shares.</w:t>
      </w:r>
    </w:p>
    <w:p>
      <w:pPr>
        <w:spacing w:after="0" w:line="159"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17"/>
          <w:szCs w:val="17"/>
          <w:color w:val="auto"/>
        </w:rPr>
        <w:t>As of December 31, 2023, we had 19,144,120 outstanding warrants to purchase 19,144,120 Common Shares (the “Warrants”), exercisable at an exercise price of $11.50 per share, which expire on the earliest to occur of August 26, 2027 (i.e. the five year anniversary of the Closing),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Westrock Public Warrants under certain conditions, as described in their warrant agreement, are redeemable by the Company at a price of $0.01 per warrant or on a cashless basis. Our Westrock Private Placement Warrants are not redeemable so long as they are held by the Riverview Sponsor Partners, LLC or its permitted transferees. As such, it is possible that we may never generate any or only very limited cash proceeds from the exercise of our warrants.</w:t>
      </w:r>
    </w:p>
    <w:p>
      <w:pPr>
        <w:spacing w:after="0" w:line="17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w:t>
      </w:r>
    </w:p>
    <w:p>
      <w:pPr>
        <w:spacing w:after="0" w:line="22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green coffee may not be able to be passed through to customers, which could adversely impact our gross margins and profitability.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primary raw material green coffee is an exchange-traded agricultural commodity that is subject to price fluctuations, depending on a variety of factors, including outside speculative influences such as indexed and algorithmic commodity funds, climate patterns in coffee-producing countries, economic and political conditions affecting coffee-producing countries such as unrest and armed conflict, foreign currency fluctuations, real or perceived supply shortages, crop disease (such as coffee rust) and pests, general increase in farm inputs and costs of production, an increase in green coffee purchased and sold on a negotiated basis rather than directly on commodity markets in response to higher production costs relative to “C” market prices, acts of terrorism, pandemics or other disease outbreaks, government actions and trade barriers or tariffs, and the actions of producer organizations that have historically attempted to influence green coffee prices through agreements establishing export quotas or by otherwise limiting coffee supplies.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Additionally, specialty green coffees tend to trade on a negotiated basis at a premium above the “C” market price. Such premium, depending on the supply and demand at the time of purchase, may be significant.</w:t>
      </w:r>
    </w:p>
    <w:p>
      <w:pPr>
        <w:spacing w:after="0" w:line="16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Depending on contractual limitations, we may be unable to pass these costs on to our customers by increasing the price of products. If we are unable to increase prices sufficiently to offset increased input costs, or if our sales volume decreases as a result of price increases, our operating results and financial condition may be adversely affected. Additionally, if we are unable to purchase sufficient quantities of green coffee due to any of the factors described herein or a worldwide or regional shortage, we may not be able to fulfill the demand for our products, which could have an adverse impact on our business and financial results.</w:t>
      </w:r>
    </w:p>
    <w:p>
      <w:pPr>
        <w:spacing w:after="0" w:line="187"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We have historically utilized, and expect to continue to utilize, various types of derivative instruments, including forward contracts, futures contracts, and option contracts to hedge our exposure to the commodities price variability of green coffee. Our hedging strategy is an important part of our business model as it allows us to fix raw materials costs for inventory needed to grow our business, while minimizing the margin volatility associated with fluctuations in the prices of green coffee. As part of that strategy, we track the spread between sales price and material costs as a means of determining the efficiency of our pricing strategy. While our derivatives strategy may mitigate the impacts of volatile green coffee prices, no strategy can eliminate all pricing risks, and we generally remain exposed to supply risk in the event of nonperformance by the counterparties in any one of our physical contracts. Failure to properly execute an effective hedging strategy with respect to the price of green coffee may materially adversely affect our business and operating results.</w:t>
      </w:r>
    </w:p>
    <w:p>
      <w:pPr>
        <w:spacing w:after="0" w:line="16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other commodity prices and in the availability of certain of our ingredients and packaging materials could negatively affect our margins and profitability.</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addition to green coffee, our other commodity inputs are also exposed to the risk of cost fluctuations. These inputs include tea, spices, sugar, dairy and the materials used in our packaging, such as carton board and plastic. Although these commodities are available from a number of sources, we have very little control over the factors that can influence the prices we pay, including economic and political conditions, foreign currency fluctuations, transportation and storage costs, export restrictions, weather conditions and global climate patterns, and natural disasters (including floods, droughts, frosts, earthquakes and hurricanes). Changes in the prices we pay may take place on a monthly, quarterly or annual basis depending on the product and supplier. We do not purchase any derivative instruments to hedge cost fluctuations in these other commodities like we do with respect to green coffee, but we may do so in the future. As a result, to the extent we are unable to pass along such costs through price increases, our margins and profitability will decrease. High and volatile commodity prices can also place more pressures on short-term working capital funding. Additionally, if as a result of these factors, we are unable to obtain these commodities, we may not be able to fulfill the demand for our products, which could have an adverse impact on our business and financial results.</w:t>
      </w:r>
    </w:p>
    <w:p>
      <w:pPr>
        <w:spacing w:after="0" w:line="186"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a coffee trading business and a coffee exporting business, including those associated with the availability and prices of green coffee.</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Falcon, our coffee trading business headquartered in the United Kingdom, operates as a separate subsidiary, and we maintain a coffee exporting business in Peru. RTC, our coffee exporting business headquartered in Rwanda, is also operated as a separate subsidiary. As a purchaser and reseller of coffee, Falcon engages in commodity hedging and is reliant on third-party logistics suppliers to fulfill its commitments. Disruptions in Falcon’s supply chain could result in the failure to deliver on commitments, which could adversely impact Falcon’s business, cash flows and financial performance. Both RTC and Falcon rely on third party financing sources to purchase coffee for resale, and in each case, the failure to maintain an adequate source of working capital would have a material adverse impact on their respective businesses, cash flows and financial performance. The availability and prices of green coffee are subject to wide fluctuations, including impacts from factors outside of our control such as changes in weather conditions, climate change, rising sea levels, crop disease, plantings, government programs and policies, competition, and changes in global demand. These price fluctuations can adversely affect the business of each of Falcon and RTC.</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business depends on our relations with key suppliers to maintain a steady supply of green coffee and tea. If any of these supply relationships deteriorate or we are unable to renegotiate contracts with suppliers (with similar or more favorable terms) or find alternative sources for supply, we may be unable to procure a sufficient quantity of high-quality coffee beans, tea and other raw materials at prices acceptable to us or at all which could negatively affect our results of operations. Further, nonperformance by suppliers could expose us to supply risk under coffee purchase commitments for delivery in the future. Additionally, supply is affected by many factors in the coffee-growing countries including weather, pest damage, economic conditions, acts of terrorism, as well as efforts by coffee growers to expand or form cartels or associations. Our operations are also exposed to the political and social environment of the emerging and less developed markets from which we source coffee beans, including Africa, Indonesia, and Central and South America. These regions have the potential for civil and political unrest, and such instability could affect our ability to purchase coffee from those regions. If green coffee beans from a region become unavailable or prohibitively expensive, we could be forced to use alternative coffee beans or discontinue certain blends, which could adversely impact our sales. Any material interruption in our supply chain, such as material interruption of roasted coffee supply due to the casualty loss at any of our roasting plants or suppliers,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impact on our business and our profitability. Product shortages could result in disruptions in our ability to deliver products to our customers, a deterioration of our relationship with our customers, decreased revenues or an inability to expand our business.</w:t>
      </w:r>
    </w:p>
    <w:p>
      <w:pPr>
        <w:spacing w:after="0" w:line="187" w:lineRule="exact"/>
        <w:rPr>
          <w:sz w:val="20"/>
          <w:szCs w:val="20"/>
          <w:color w:val="auto"/>
        </w:rPr>
      </w:pPr>
    </w:p>
    <w:p>
      <w:pPr>
        <w:ind w:left="60" w:right="2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industry for coffee and liquid extract consumables is highly competitive, resulting in a high degree of competitive pressure on our products. Our inability to maintain or grow market share through continued differentiation of our products and competitive pricing could adversely affect our financial condition, operating results and cash flow.</w:t>
      </w:r>
    </w:p>
    <w:p>
      <w:pPr>
        <w:spacing w:after="0" w:line="157"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Our industry is highly competitive, including with respect to price, product quality and sourcing techniques, and competition could become increasingly intense due to the relatively low barriers to entry and industry consolidation. We face competition from many sources that vary in size and sophistication, including institutional foodservice divisions of multinational manufacturers of retail products, wholesale foodservice distributors, regional and national coffee roasters, specialty coffee suppliers, and retail brand beverage manufacturers, many of which have greater financial and other resources than we do and may have lower fixed costs and/or are substantially less leveraged than our company. Competitive pressures can, among other things, restrict our ability to increase prices and maintain price increases in response to commodity and other cost increases. Our inability to effectively assess, timely adapt and properly set pricing may negatively affect our ability to achieve the objectives of such price increases.</w:t>
      </w:r>
    </w:p>
    <w:p>
      <w:pPr>
        <w:spacing w:after="0" w:line="18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consider our roasting and blending methods essential to the flavor and richness of our coffees. Because our roasting methods cannot be patented, we would be unable to prevent competitors from copying these methods if such methods became known. In addition, competitors may be able to develop roasting or blending methods that are more advanced than our production methods, which may also harm our competitive position.</w:t>
      </w:r>
    </w:p>
    <w:p>
      <w:pPr>
        <w:spacing w:after="0" w:line="17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control problems or food safety issues could adversely affect our sales and brand reputation, lead to product recalls or result in product liability claims.</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Selling products for human consumption involves inherent legal risks. Our success depends on our ability to provide customers with high-quality products and service. Although we take measures to ensure that we sell only fresh products, we have no control over our products once they are purchased by our customers. Additionally, clean water is critical to the preparation of coffee, tea and other beverages, and we have no ability to ensure that our customers use a clean water supply to prepare these beverages. Instances or reports of food safety issues involving our products, whether or not accurate, such as unclean water supply, food or beverage-borne illnesses, tampering, contamination, mislabeling, or other food or beverage safety issues, including due to the failure of our third-party co-packers to maintain the quality of our products and to comply with our product specifications, could damage the value of our brands, negatively impact sales of our products, and potentially lead to product recalls, production interruptions, product liability claims, litigation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or damages. We maintain product liability insurance coverage in amounts we believe to be adequate. However, we cannot assure stockholders that we will not incur claims or liabilities that exceed the amount of our insurance coverage. A significant product liability claim (whether or not successful), a product liability judgment against us or a widespread product recall or the damage to our reputation resulting therefrom could have a material adverse effect on our business, consolidated financial condition, results of operations or liquidity.</w:t>
      </w:r>
    </w:p>
    <w:p>
      <w:pPr>
        <w:spacing w:after="0" w:line="17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severe weather patterns, and water scarcity could have a material adverse effect on our business and results of operations.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Increasing concentrations of carbon dioxide and other greenhouse gases in the atmosphere will continue to have an adverse effect on global temperatures, weather patterns, and the frequency and severity of extreme weather events and natural disasters. Coffee growing countries have been dramatically affected by these climate changes. The rainy and dry seasons are becoming unpredictable in their start and length, which is affecting the development of coffee cherries. These weather pattern changes, by reducing agricultural productivity in certain regions, may reduce the supply and quality of important agricultural ingredients for our products and drive up their costs, and this could have a material adverse effect on our business, financial condition, or results of operations. Water is used throughout the production of coffee from growing at the farm, cooling the beans after roasting, and brewing products for consumption. Scarcity of water sources in our supply chain could also constrain our supply and increase costs. In addition to these impacts, more frequently occurring or longer-duration extreme weather events or increased severity of such conditions could disrupt our supply chain, damage our production capabilities and reduce demand for our products. As a result, the changing global climate could adversely affect our long-term performance.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fluctuate as a result of seasonality.</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coffee and tea market is subject to some seasonal variations. Sales of hot coffee products are typically higher during the winter months compared to the summer months. Most of our customers define “coffee season” as mid-September through April. Our quarterly operating results may fluctuate as a result of these seasonal trends. If we are unable to adjust our production to these seasonal variations, we may not be able to fulfill demand for our products or we may overproduce our products, either of which could adversely affect our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General Economic and Other Conditions</w:t>
      </w:r>
    </w:p>
    <w:p>
      <w:pPr>
        <w:spacing w:after="0" w:line="225" w:lineRule="exact"/>
        <w:rPr>
          <w:sz w:val="20"/>
          <w:szCs w:val="20"/>
          <w:color w:val="auto"/>
        </w:rPr>
      </w:pPr>
    </w:p>
    <w:p>
      <w:pPr>
        <w:jc w:val="both"/>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revenue and profits and the businesses of our suppliers and our customers depend on the level of customer spending for discretionary items, which is sensitive to general economic conditions and other factors.</w:t>
      </w:r>
    </w:p>
    <w:p>
      <w:pPr>
        <w:spacing w:after="0" w:line="136"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Our products are discretionary items for end-use customers, and customer demand is highly sensitive to changes in overall economic, political and other conditions that impact consumer confidence and spending. Global economic forces and conditions beyond our control affect our business both directly and indirectly through the business of our suppliers and our customers. Therefore, the success of our business depends significantly on economic factors and trends in consumer spending. There are a number of factors that influence consumer spending, including actual and perceived economic conditions, consumer confidence, disposable consumer income, consumer credit availability, unemployment, inflation, interest rates, energy costs (including the price of gasoline), tax rates in the markets where our products are sold to end-use customers, global conflicts, natural disasters, climate change, acts of terrorism and public health issues (such as the COVID-19 pandemic, which had a material impact on our financial condition in fiscal years 2020 and 2021). For example, in response to the COVID-19 pandemic, the response and restrictive measures taken around the country (e.g., travel bans and restrictions, quarantines, shelter-in-place orders, and shutdowns) to contain the spread of the virus adversely affected our business by, among other things, constraining our workforce and operations and the operations of our customers, vendors and suppliers. Consumers also have discretion as to where to spend their disposable income and may choose to forgo our products or purchase other items. As global economic and other conditions continue to be volatile, and economic uncertainty remains, trends in consumer discretionary spending and levels of disposable income remain unpredictable and subject to declines. Any of these factors could harm discretionary consumer spending, resulting in a reduction in demand for our products, decreased prices, increased costs to make sales, and harm to our business and results of operations.</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and operational difficulties faced by both us and our suppliers could also increase the cost of the products we purchase, the timing of settlement for our obligations to the suppliers, or our ability to source products from them. We might not be able to pass on our increased costs to our customers and, to the extent these difficulties impact the timing of settlement for our obligation to the supplier, we may have a decrease in our cash flow from operations and may have to use our various financing arrangements for short-term liquidity needs.</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cost increases related to inflation are having, and could continue to have, an adverse effect on our business, operating results and financial condition.</w:t>
      </w:r>
    </w:p>
    <w:p>
      <w:pPr>
        <w:spacing w:after="0" w:line="15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Westrock attempts to mitigate the impacts of inflation and supply chain disruptions, wherever possible. Our mitigation strategies, including working with our warehouse and over the road haulage vendors, have provided us the necessary flexibility to respond to the risks, and have ensured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 At this time, it is too early to determine what impact these inflationary pressures and supply chain disruptions will have on our long-term growth strategies, as there is uncertainty in how long these risks may persist, and to what extent we will be successful in passing these increased costs to our customers.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Material risks of cybersecurity threats are integrated into the Company’s overall risk management program and managed across the Company, utilizing internal and third-party expertise. To protect our information systems from a cybersecurity threat, certain tools have been implemented within our IT network to help prevent, identify, detect, escalate, investigate, resolve and recover from identified vulnerabilities and security incidents in a timely manner. The Company also leverages the services and tools of a third-party cybersecurity firm to identify, prioritize, assess, mitigate and remediate reasonably foreseeable cybersecurity risks and threats.</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 identify, detect and respond to a cybersecurity incident, we conduct proactive privacy and cybersecurity reviews of systems and applications, audit applicable data policies, perform penetration testing, perform incident response capability reviews and exercises, conduct employee training, monitor emerging laws and regulations related to data protection and information security (including intellectual property) and implement appropriate changes. The Company has implemented a cybersecurity incident response plan that outlines the Company’s process for preparing for a cybersecurity incident, detecting, analyzing, containing, eradicating and recovering from such incident, and provides guidance for post-incident analysis. Additionally, we have established a Cyber Incident Committee that is comprised of leadership across the Company’s finance, legal, accounting, internal audit and IT organizations to provide guidance and monitor overall company cybersecurity.</w:t>
      </w:r>
    </w:p>
    <w:p>
      <w:pPr>
        <w:spacing w:after="0" w:line="18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When a cybersecurity incident occurs, the Company prioritizes responding to and containing the threat and minimizing any business impact as appropriate. Each incident is evaluated, to determine the operational and financial significance, ranked by severity and prioritized for response and remediation. Incidents are evaluated to determine materiality as well as operational and business impact. An incident that reaches a specific level of severity is reported to the Cyber Incident Committee within pre-determined time frames. In such instance, the Cyber Incident Committee monitors the incident through resolution and post-incident analysis.</w:t>
      </w:r>
    </w:p>
    <w:p>
      <w:pPr>
        <w:spacing w:after="0" w:line="187"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For a discussion of cybersecurity risks or the impact of previous cybersecurity incidents and how they have materially affected us or are reasonably likely to materially affect the Company, including its business strategy, results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color w:val="auto"/>
        </w:rPr>
        <w:t>operations or financial condition, see Item 1A. Risk Factors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 which are incorporated by reference into this Item 1C.</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7"/>
          <w:szCs w:val="17"/>
          <w:color w:val="auto"/>
        </w:rPr>
        <w:t>The Company’s board of directors is responsible for overseeing the Company’s risk management program and has designated its Audit &amp; Finance Committee with specific responsibility for overseeing cybersecurity risks, among other risks. The Company’s cybersecurity organization is led by our Director of Information Security (“DOIS”), who is responsible for assessing and managing material risks that result from cybersecurity threats, and reports to the Senior Vice President and Chief Information Officer (“CIO”). The CIO and the Audit &amp; Finance Committee monitor the prevention, detection, mitigation and remediation of cybersecurity incidents through their management of, and participation in, the cybersecurity risk management and strategy processes described above, including regular communication with our DOIS and regular communication with and reporting from an outsourced third party cybersecurity firm and operation of the Company’s cybersecurity incident response plan, which includes escalation to the Cyber Incident Committee.</w:t>
      </w:r>
    </w:p>
    <w:p>
      <w:pPr>
        <w:spacing w:after="0" w:line="17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DOIS has nearly a decade of experience within cybersecurity functions and his skillset includes security architecture and engineering, incident response and penetration testing. Our CIO joined the Company in 2023 and most recently served as CIO and VP at another large organization where he built a high-performing, global, collaborative IT team to focus on digitization, M&amp;A, analytics and cybersecurity and has held other vital IT positions over the course of his career.</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Audit &amp; Finance Committee regularly reviews our cybersecurity program with our CIO and management and reports to the Board of Directors. Cybersecurity reviews by the Audit &amp; Finance Committee generally occur annually, or more frequently as determined to be necessary or advisable. Additionally, on a quarterly basis, members of the Audit &amp; Finance Committee receive updates from our CIO regarding matters of cybersecurity, including, but not limited to, information on new and/or existing cybersecurity risks and management’s response to such risks, cybersecurity and data privacy incidents, if any, and status on key information security initiatives.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principal properties used by Westrock in connection with its roasting, manufacturing, and distribution operations, by segment as of December 31, 2023.</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9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3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Owned / Leased</w:t>
            </w:r>
          </w:p>
        </w:tc>
        <w:tc>
          <w:tcPr>
            <w:tcW w:w="13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73"/>
        </w:trPr>
        <w:tc>
          <w:tcPr>
            <w:tcW w:w="196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278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Concord, NC (Main)</w:t>
            </w:r>
          </w:p>
        </w:tc>
        <w:tc>
          <w:tcPr>
            <w:tcW w:w="1440" w:type="dxa"/>
            <w:vAlign w:val="bottom"/>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256,000</w:t>
            </w:r>
          </w:p>
        </w:tc>
        <w:tc>
          <w:tcPr>
            <w:tcW w:w="2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Roasting, Manufacturing, Distribution</w:t>
            </w:r>
          </w:p>
        </w:tc>
        <w:tc>
          <w:tcPr>
            <w:tcW w:w="1340" w:type="dxa"/>
            <w:vAlign w:val="bottom"/>
            <w:shd w:val="clear" w:color="auto" w:fill="CCEEFF"/>
          </w:tcPr>
          <w:p>
            <w:pPr>
              <w:jc w:val="center"/>
              <w:ind w:left="128"/>
              <w:spacing w:after="0" w:line="142"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Concord, NC (West Winds)</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49,000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Concord, NC (Commercial Park)</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North Little Rock, AR (Gregory)</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133,000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Little Rock, AR (Collins)</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Conway, AR</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524,000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2"/>
                <w:szCs w:val="12"/>
                <w:color w:val="auto"/>
              </w:rPr>
              <w:t>Manufacturing, Distribution</w:t>
            </w:r>
            <w:r>
              <w:rPr>
                <w:rFonts w:ascii="Times New Roman" w:cs="Times New Roman" w:eastAsia="Times New Roman" w:hAnsi="Times New Roman"/>
                <w:sz w:val="17"/>
                <w:szCs w:val="17"/>
                <w:color w:val="auto"/>
                <w:vertAlign w:val="superscript"/>
              </w:rPr>
              <w:t>(1)</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Conway, AR</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530,000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2"/>
                <w:szCs w:val="12"/>
                <w:color w:val="auto"/>
              </w:rPr>
              <w:t>Distribution</w:t>
            </w:r>
            <w:r>
              <w:rPr>
                <w:rFonts w:ascii="Times New Roman" w:cs="Times New Roman" w:eastAsia="Times New Roman" w:hAnsi="Times New Roman"/>
                <w:sz w:val="17"/>
                <w:szCs w:val="17"/>
                <w:color w:val="auto"/>
                <w:vertAlign w:val="superscript"/>
              </w:rPr>
              <w:t>(2)</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Richmond, CA</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48,530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Distribution</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Kigali, Rwanda</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64,000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Export</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SS&amp;T</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Johor Bahru, Malaysia</w:t>
            </w:r>
          </w:p>
        </w:tc>
        <w:tc>
          <w:tcPr>
            <w:tcW w:w="14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92,000</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Leased</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Company is currently completing the build-out of this facility, which is expected to begin commercial production in 2024.</w:t>
      </w:r>
    </w:p>
    <w:p>
      <w:pPr>
        <w:spacing w:after="0" w:line="3" w:lineRule="exact"/>
        <w:rPr>
          <w:rFonts w:ascii="Times New Roman" w:cs="Times New Roman" w:eastAsia="Times New Roman" w:hAnsi="Times New Roman"/>
          <w:sz w:val="14"/>
          <w:szCs w:val="14"/>
          <w:color w:val="auto"/>
        </w:rPr>
      </w:pPr>
    </w:p>
    <w:p>
      <w:pPr>
        <w:ind w:left="720" w:hanging="319"/>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accounting lease commencement date occurred in January 2024.</w:t>
      </w:r>
    </w:p>
    <w:p>
      <w:pPr>
        <w:spacing w:after="0" w:line="19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Company’s sites are adequate to support the business and that the properties have been well maintained.</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A description of the legal proceedings can be found in Note 21, Commitments and Contingencies, to the consolidated financial statements included in Item 8 of Part II of this Annual Report on Form 10-K, and is incorporated into this Item 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Company’s common stock and publicly traded warrants are listed on the Nasdaq Global Market under the symbols “WEST” and “WESTW”, respectively. As of March 1, 2024, there were 22 holders of record of our Common Shares and 1 holder of record of our Public Warrants, which does not include holders whose shares are held in nominee or “street name” accounts through banks, brokers or other financial institutions.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dividends on our Common Shares as of December 31, 2023.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following graph shows the cumulative total shareholder returns for our Common Shares from August 29, 2022 through December 31, 2023, relative to the performance of the Nasdaq Composite Total Return (broad market comparison), the S&amp;P 500 (broad market comparison) and the S&amp;P Food and Beverage Select Industry Index (line of business comparison). The graph assumes $100 was invested in the Company’s Common Shares and each of the indices listed above on August 29, 2022 (and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128270</wp:posOffset>
            </wp:positionV>
            <wp:extent cx="5212080" cy="2768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Cumulative Total Stockholder Returns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Based on Investment of $100.00 Beginning on August 29, 2022</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8/29/2022</w:t>
            </w:r>
          </w:p>
        </w:tc>
        <w:tc>
          <w:tcPr>
            <w:tcW w:w="2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9/30/2022</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3/31/2023</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6/30/2023</w:t>
            </w: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9/30/2023</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3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Westrock Coffee Company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$100.00</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$ 89.75</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$ 116.07</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$106.33</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$ 94.43</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$ 76.97</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88.69</w:t>
            </w:r>
          </w:p>
        </w:tc>
      </w:tr>
      <w:tr>
        <w:trPr>
          <w:trHeight w:val="404"/>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Composite</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88.06</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87.37</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102.26</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115.61</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111.06</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126.37</w:t>
            </w:r>
          </w:p>
        </w:tc>
      </w:tr>
      <w:tr>
        <w:trPr>
          <w:trHeight w:val="40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89.11</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95.85</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103.04</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112.04</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108.38</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121.05</w:t>
            </w:r>
          </w:p>
        </w:tc>
      </w:tr>
      <w:tr>
        <w:trPr>
          <w:trHeight w:val="403"/>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Food &amp; Beverage Select Industry Index</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88.89</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96.87</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99.38</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92.82</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98.96</w:t>
            </w: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quarter ended December 31, 2023, there was no share repurchase activity made by or on behalf of the Company.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left="60" w:right="1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discussion of our financial condition at December 31, 2023 and 2022 and our results of operations for each of the years in the three-year period ended December 31, 2023. The purpose of this Item 7 is to focus on material information relevant to an assessment of our financial condition and results of operations that is not otherwise apparent from the consolidated financial statements and footnotes. This discussion should be read in conjunction with the disclosure regarding “Forward-Looking Statements” as well as the risks discussed under Part I, Item 1A “Risk Factors”, and our consolidated financial statements and notes thereto included under Item 8 “Financial Statements and Supplementary Data” of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60"/>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3" w:lineRule="exact"/>
        <w:rPr>
          <w:sz w:val="20"/>
          <w:szCs w:val="20"/>
          <w:color w:val="auto"/>
        </w:rPr>
      </w:pPr>
    </w:p>
    <w:p>
      <w:pPr>
        <w:ind w:left="60" w:right="320"/>
        <w:spacing w:after="0" w:line="289" w:lineRule="auto"/>
        <w:rPr>
          <w:sz w:val="20"/>
          <w:szCs w:val="20"/>
          <w:color w:val="auto"/>
        </w:rPr>
      </w:pPr>
      <w:r>
        <w:rPr>
          <w:rFonts w:ascii="Times New Roman" w:cs="Times New Roman" w:eastAsia="Times New Roman" w:hAnsi="Times New Roman"/>
          <w:sz w:val="17"/>
          <w:szCs w:val="17"/>
          <w:color w:val="auto"/>
        </w:rPr>
        <w:t>In connection with the closing of our de-SPAC merger transaction (the “Transaction”) with Riverview Acquisition Corp. (“Riverview”), the Company converted from a Delaware limited liability company to a Delaware corporation (the “Conversion”) and changed its corporate name from “Westrock Coffee Holdings, LLC” to “Westrock Coffee Company.”</w:t>
      </w:r>
    </w:p>
    <w:p>
      <w:pPr>
        <w:spacing w:after="0" w:line="131" w:lineRule="exact"/>
        <w:rPr>
          <w:sz w:val="20"/>
          <w:szCs w:val="20"/>
          <w:color w:val="auto"/>
        </w:rPr>
      </w:pPr>
    </w:p>
    <w:p>
      <w:pPr>
        <w:ind w:left="60" w:right="120"/>
        <w:spacing w:after="0" w:line="254"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operate our business in two segments: Beverage Solutions and Sustainable Sourcing &amp; Traceability (“SS&amp;T”).</w:t>
      </w:r>
    </w:p>
    <w:p>
      <w:pPr>
        <w:spacing w:after="0" w:line="185" w:lineRule="exact"/>
        <w:rPr>
          <w:sz w:val="20"/>
          <w:szCs w:val="20"/>
          <w:color w:val="auto"/>
        </w:rPr>
      </w:pPr>
    </w:p>
    <w:p>
      <w:pPr>
        <w:ind w:left="60" w:right="400"/>
        <w:spacing w:after="0" w:line="289" w:lineRule="auto"/>
        <w:rPr>
          <w:sz w:val="20"/>
          <w:szCs w:val="20"/>
          <w:color w:val="auto"/>
        </w:rPr>
      </w:pPr>
      <w:r>
        <w:rPr>
          <w:rFonts w:ascii="Times New Roman" w:cs="Times New Roman" w:eastAsia="Times New Roman" w:hAnsi="Times New Roman"/>
          <w:sz w:val="17"/>
          <w:szCs w:val="17"/>
          <w:u w:val="single" w:color="auto"/>
          <w:color w:val="auto"/>
        </w:rPr>
        <w:t>Beverage Solutions</w:t>
      </w:r>
      <w:r>
        <w:rPr>
          <w:rFonts w:ascii="Times New Roman" w:cs="Times New Roman" w:eastAsia="Times New Roman" w:hAnsi="Times New Roman"/>
          <w:sz w:val="17"/>
          <w:szCs w:val="17"/>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w:t>
      </w:r>
    </w:p>
    <w:p>
      <w:pPr>
        <w:sectPr>
          <w:pgSz w:w="11900" w:h="16838" w:orient="portrait"/>
          <w:cols w:equalWidth="0" w:num="1">
            <w:col w:w="9060"/>
          </w:cols>
          <w:pgMar w:left="1440" w:top="513" w:right="1399" w:bottom="1440" w:gutter="0" w:footer="0" w:header="0"/>
        </w:sectPr>
      </w:pPr>
    </w:p>
    <w:p>
      <w:pPr>
        <w:spacing w:after="0" w:line="37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4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use Adjusted EBITDA to evaluate our performance, identify trends, formulate financial projections, and to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7"/>
          <w:szCs w:val="17"/>
          <w:color w:val="auto"/>
        </w:rPr>
        <w:t>We refer to EBITDA and Adjusted EBITDA in our analysis of our results of operations, which are not required by, or presented in accordance with, accounting principles generally accepted in the United States (“GAAP”). While we believe that net income (loss),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 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7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define “EBITDA” as net income (loss), as defined by GAAP, before interest expense, provision for income taxes and depreciation and amortization. We define “Adjusted EBITDA” as EBITDA before equity-based compensation expense and the impact, which may be recurring in nature, of transaction,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spacing w:after="0" w:line="19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Since EBITDA and Adjusted EBITDA are not measures calculated in accordance with GAAP, they should be viewed in addition to, and not be considered as alternatives for, net income (loss) determined in accordance with GAAP. Further, our computations of EBITDA and Adjusted EBITDA may not be comparable to that reported by other companies that define EBITDA and Adjusted EBITDA differently than we do.</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reconciliation of our net income (loss) to EBITDA and Adjusted EBITDA for the years ended December 31, 2023, 2022 and 2021 is as follows: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(21,308)</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25,501</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Coffee, Inc. acquisition)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Conway extract and ready-to-drink facility start-up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of Reportable Segments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 Milk Joint Venture</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On February 15, 2024, the Company entered a non-binding letter of intent with Select Milk Producers (“Select Milk”) to establish a joint venture that will construct and operate an extended shelf life and aseptic multi-serve bottle line facility to be co-located at Select Milk’s factory in Littlefield, Texas. Westrock will produce and provide the joint venture with coffee extract from its extract and ready-to-drink facility in Conway, Arkansas and Select Milk will provide the joint venture with milk from its Littlefield facility. The Company and Select Milk expect to ship the first product from these lines in the first quarter of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Offering</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“Convertible Notes”). The Convertible Notes will be unsecured and senior obligations of the Company and will accrue interest at a rate of 5.00% per annum.</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purchasers of the Convertible Notes are Westrock Group, LLC (a holder of more than 5% of the outstanding Common Shares and an affiliate of Scott Ford, the Company’s Chief Executive Officer and a member of the board of directors of the Company), Wooster Capital, LLC (an affiliate of Joe Ford, chairman of the board of directors), an affiliate of The Stephens Group, LLC (a holder of more than 5% of the outstanding Common Shares), an affiliate of Sowell Westrock, L.P. (a holder of more than 5% of the outstanding Common Shares), HF Direct Investments Pool, LLC (a holder of more than 10% of the outstanding Common Shares), an affiliate of the Herbert Hunt family and an individual investor. The offer and sale of the Convertible Notes was authorized and approved unanimously by the Audit &amp; Finance Committee of the board of directors in accordance with the Company’s Related Party Transactions Policy. See Note 23 to our Consolidated Financial Statements for additional discussion related to the Convertible Notes offering.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14, 2023, the Company entered into an Incremental Assumption Agreement and Amendment No. 1 (the “First Amendment”) to its Credit Agreement, which established a new class of incremental term loan commitments in the form of a senior secured delayed draw term loan facility (the “Delayed Draw Term Loan Facility”) in the aggregate principal amount of $50.0 million. In January 2024, the Company borrowed the $50.0 million available to it under the terms of the Delayed Draw Term Loan Facility.</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15, 2024, Westrock Beverage Solutions, LLC, a Delaware limited liability company and wholly-owned subsidiary of the Company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w:t>
      </w:r>
    </w:p>
    <w:p>
      <w:pPr>
        <w:spacing w:after="0" w:line="192"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7"/>
          <w:szCs w:val="17"/>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 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w:t>
      </w:r>
    </w:p>
    <w:p>
      <w:pPr>
        <w:spacing w:after="0" w:line="5" w:lineRule="exact"/>
        <w:rPr>
          <w:sz w:val="20"/>
          <w:szCs w:val="20"/>
          <w:color w:val="auto"/>
        </w:rPr>
      </w:pPr>
    </w:p>
    <w:p>
      <w:pPr>
        <w:ind w:left="60" w:right="399" w:hanging="10"/>
        <w:spacing w:after="0" w:line="255"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Investment &amp; Amended and Restated Investor Rights Agreement</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stock, par value $0.01 per share (the “Common Shares”), of the Company at a purchase price per share of $10.00 for aggregate gross proceeds to the Company of $50.0 million (such transaction, the “HF Investment”).</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 at a purchase price per share of $10.00 for aggregate gross proceeds to the Company of $50.0 million (such transactions the “PIPE Investments”).</w:t>
      </w:r>
    </w:p>
    <w:p>
      <w:pPr>
        <w:spacing w:after="0" w:line="18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On August 3, 2023, the Company closed the HF Investment and PIPE Investments, issuing 10,000,000 Common Shares, receiving aggregate gross proceeds of $100.0 million.</w:t>
      </w:r>
    </w:p>
    <w:p>
      <w:pPr>
        <w:spacing w:after="0" w:line="162" w:lineRule="exact"/>
        <w:rPr>
          <w:sz w:val="20"/>
          <w:szCs w:val="20"/>
          <w:color w:val="auto"/>
        </w:rPr>
      </w:pPr>
    </w:p>
    <w:p>
      <w:pPr>
        <w:ind w:left="60" w:right="299"/>
        <w:spacing w:after="0" w:line="277" w:lineRule="auto"/>
        <w:rPr>
          <w:sz w:val="20"/>
          <w:szCs w:val="20"/>
          <w:color w:val="auto"/>
        </w:rPr>
      </w:pPr>
      <w:r>
        <w:rPr>
          <w:rFonts w:ascii="Times New Roman" w:cs="Times New Roman" w:eastAsia="Times New Roman" w:hAnsi="Times New Roman"/>
          <w:sz w:val="17"/>
          <w:szCs w:val="17"/>
          <w:color w:val="auto"/>
        </w:rPr>
        <w:t>In connection with the HF Investment, the HF Investor and the current parties to that certain Investor Rights Agreement, dated April 4, 2022 (the “Investor Rights Agreement”), by and among the Company, affiliates of Brown Brothers Harriman &amp; Co. (the “BBH Investors”), and the other parties thereto entered into an amendment and restatement of the Investor Rights Agreement (the “Amended and Restated Investor Rights Agreement”), which became effective upon closing of the HF Investment. Among other things, the Amended and Restated Investor Rights Agreement amended the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Investor Rights Agreement to provide the HF Investor with the right to designate one (1) director to Class II of the board, subject to the HF Investor (together with certain affiliates) owning at least 5% of the capital stock of the Company and the other terms and conditions set forth therein. As of the date of this Annual Report on Form 10-K, the HF Investor has not exercised the right to designate a director to the board.</w:t>
      </w:r>
    </w:p>
    <w:p>
      <w:pPr>
        <w:spacing w:after="0" w:line="180" w:lineRule="exact"/>
        <w:rPr>
          <w:sz w:val="20"/>
          <w:szCs w:val="20"/>
          <w:color w:val="auto"/>
        </w:rPr>
      </w:pPr>
    </w:p>
    <w:p>
      <w:pPr>
        <w:ind w:left="60" w:right="159"/>
        <w:spacing w:after="0" w:line="263" w:lineRule="auto"/>
        <w:rPr>
          <w:sz w:val="20"/>
          <w:szCs w:val="20"/>
          <w:color w:val="auto"/>
        </w:rPr>
      </w:pPr>
      <w:r>
        <w:rPr>
          <w:rFonts w:ascii="Times New Roman" w:cs="Times New Roman" w:eastAsia="Times New Roman" w:hAnsi="Times New Roman"/>
          <w:sz w:val="18"/>
          <w:szCs w:val="18"/>
          <w:color w:val="auto"/>
        </w:rPr>
        <w:t>The HF Investment and PIPE Investments were subject to the potential exercise of preemptive rights (the “BBH Preemptive Rights”) of the BBH Investors to subscribe up to their pro-rata ownership of the capital stock of the Company, under the terms of the Investor Rights Agreement. On July 24, 2023, the BBH Investors exercised the BBH Preemptive Rights to purchase approximately 1.9 million Common Shares at a purchase price per share of $10.00, under the terms of the Investor Rights Agreement. On August 7, 2023, the Company sold and issued the Common Shares to the BBH Investors, receiving aggregate gross proceeds of approximately $18.8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Bixby Roasting Co.</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Bixby Roasting Co. (“Bixby”), a specialty-grade roaster that is a leader in the emerging influencer-led brand space. The acquisition allows Westrock to continue to expand its product marketing and development resources as it capitalizes on shifting consumer consumption trends.</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7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724,856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715,107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160,287</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144,089</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46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 before income taxes and equity in earnings</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from unconsolidated entities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(55,350)</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60" w:type="dxa"/>
            <w:vAlign w:val="bottom"/>
            <w:vMerge w:val="continue"/>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4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160" w:type="dxa"/>
            <w:vAlign w:val="bottom"/>
            <w:vMerge w:val="continue"/>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14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on extinguishment of Redeemable Common Equivalent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Units, net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equivalent preferred dividends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Accumulating preferred dividends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of our reportable segments for the year ended December 31, 2023 and 2022:</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4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Total of</w:t>
            </w:r>
          </w:p>
        </w:tc>
        <w:tc>
          <w:tcPr>
            <w:tcW w:w="0" w:type="dxa"/>
            <w:vAlign w:val="bottom"/>
          </w:tcPr>
          <w:p>
            <w:pPr>
              <w:spacing w:after="0"/>
              <w:rPr>
                <w:sz w:val="1"/>
                <w:szCs w:val="1"/>
                <w:color w:val="auto"/>
              </w:rPr>
            </w:pPr>
          </w:p>
        </w:tc>
      </w:tr>
      <w:tr>
        <w:trPr>
          <w:trHeight w:val="146"/>
        </w:trPr>
        <w:tc>
          <w:tcPr>
            <w:tcW w:w="4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5"/>
        </w:trPr>
        <w:tc>
          <w:tcPr>
            <w:tcW w:w="4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$ 722,865</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$ 146,911</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$ 864,714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685,303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Costs of Sales: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596,966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544,611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170,496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125,899</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5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 Margin: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2023</w:t>
            </w:r>
          </w:p>
        </w:tc>
        <w:tc>
          <w:tcPr>
            <w:tcW w:w="25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2022</w:t>
            </w:r>
          </w:p>
        </w:tc>
        <w:tc>
          <w:tcPr>
            <w:tcW w:w="25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Intersegment revenues represent sales of green coffee from our SS&amp;T segment to our Beverage Solutions segment.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Net Sales from our Beverage Solutions segment were $722.9 million for the year ended December 31, 2023, compared to $685.3 million for the year ended December 31, 2022, an increase of 5.5%. The increase was primarily due to a $49.9 million increase in the sale of flavors, extracts and ingredients products, driven by a 16.0% increase in flavors, extracts and ingredients volumes, partially offset by a $10.4 million decrease in the sale of coffee and tea products, driven by a 9.0% decrease in roast and ground coffee volumes and a 5.6% decrease in tea volumes. Single serve cup volumes increased 2.7% during the year ended December 31, 2023 compared to the year ended December 31, 2022.</w:t>
      </w:r>
    </w:p>
    <w:p>
      <w:pPr>
        <w:spacing w:after="0" w:line="187"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Net Sales from our SS&amp;T segment totaled $141.8 million, net of intersegment revenues, during the year ended December 31, 2023, decreasing 22.3% compared to $182.6 million, net of intersegment revenues, during the year ended December 31, 2022. The decrease is driven by a 20.6% decrease in sales volume, as a result of a decrease in customer demand.</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$52.4 million to $597.0 million for the year ended December 31, 2023, from $544.6 million for the year ended December 31, 2022. The increase in costs of sales was primarily driven by an increase in costs related to the acquisition of Kohana, increases in materials costs and an increase in flavors, extracts and ingredients volumes for the year ended December 31, 2023 compared to the year ended December 31, 2022.</w:t>
      </w:r>
    </w:p>
    <w:p>
      <w:pPr>
        <w:spacing w:after="0" w:line="180"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In our SS&amp;T segment, costs of sales decreased $42.6 million to $127.9 million for the year ended December 31, 2023 compared to the year ended December 31, 2022. This decrease is primarily due to a 20.6% decrease in green coffee sales volume. Costs of sales for the year ended December 31, 2023 included $0.1 million of net unrealized gains on forward sales and purchase contracts and mark-to-market adjustments on green coffee inventory compared to $3.5 million of net unrealized losses on forward sales and purchase contracts and mark-to-market adjustments on green coffee inventory for the year ended December 31, 2022.</w:t>
      </w: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0"/>
                <w:szCs w:val="10"/>
                <w:color w:val="auto"/>
              </w:rPr>
            </w:pPr>
          </w:p>
        </w:tc>
        <w:tc>
          <w:tcPr>
            <w:tcW w:w="7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6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$ 134,542</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$ 119,938</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$ 144,577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$ 129,985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Total selling, general and administrative expense in our Beverage Solutions segment increased $14.6 million to $134.5 million for the year ended December 31, 2023, compared to the year ended December 31, 2022. The increase is primarily due to an $11.7 million increase in expenses associated with the start-up of our extract and ready-to-drink facility in Conway, Arkansas and a $6.1 million increase in equity-based compensation costs, partially offset by a $3.3 million decrease in management and consulting fees associated with the S&amp;D Coffee, Inc. acquisition, for the year ended December 31, 2023 compared to the year ended December 31, 2022. In our SS&amp;T segment, selling, general and administrative costs were relatively unchanged compared to the year ended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Transaction, restructuring and integration expense for the year ended December 31, 2023 were $14.6 million, $10.5 million of which related to the costs associated with the integration of our new enterprise resource-planning system, including internal and external costs related to go-live system support and duplicative systems costs and $2.5 million of non-capitalizable costs associated with acquisitions and registration statements. During the year ended December 31, 2022, we incurred $13.2 million of transaction, restructuring and integration expenses, $5.3 million of which related to the integration of the acquired S&amp;D business onto our enterprise resource planning system and $5.6 million of which related to public-company preparedness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facility</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term loan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term loan facility early termination fee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ABL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related party debt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Subordinated related party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0"/>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Payments-in-kind interest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Interest expense for the year ended December 31, 2023 was $29.2 million compared to $35.5 million for the year ended December 31, 2022. The decrease is primarily due to $4.3 million of unamortized deferred financing costs associated with the termination of the prior term loan facility and prior ABL facility, and $1.6 million of early termination payments associated with the prior term loan facility that were incurred during the year ended December 31, 2022. No such costs were incurred during the year ended December 31, 2023. This decrease was partially offset by $5.2 million in interest on the outstanding revolving credit facility and $3.0 million in interest on our supply chain finance program borrowings for the year ended December 31, 2023 compared to no such interest during the year ended December 31, 2022. Furthermore, during the year ended December 31, 2023, the Company capitalized approximately $3.2 million of interest costs associated with the build-out of our extract and ready-to-drink facility in Conway, Arkansas, while no such interest was capitalized during the year ended December 31, 2022.</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Warrant liabilities are adjusted to fair value at each reporting period, with any change in fair value recognized in the Consolidated Statement of Operations. The change in fair value of warrant liabilities for the year ended December 31, 2023 resulted in recognition of $10.2 million of gains compared to recognition of $29.7 million of losses during the year ended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2023 was $6.4 million, resulting in an effective tax rate of 15.6%. Our income tax benefit for the year ended December 31, 2023 is primarily comprised of federal and state benefits, at statutory rates, of $9.4 million and $2.1 million of tax benefit resulting from the change in fair value of warrants, offset by $4.4 million of expense related to increases in the valuation allowance against our deferred tax assets.</w:t>
      </w:r>
    </w:p>
    <w:p>
      <w:pPr>
        <w:spacing w:after="0" w:line="18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2022 was $0.1 million, resulting in an effective tax rate of (0.2%). Our income tax expense for the year ended December 31, 2022 is primarily comprised of federal and state benefits, at statutory rates, of $13.1 million, offset by $6.2 million of tax expense resulting from the change in fair value of warrants and $7.3 million of expense related to increases in the valuation allowance against our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4760" w:type="dxa"/>
            <w:vAlign w:val="bottom"/>
            <w:gridSpan w:val="2"/>
            <w:vMerge w:val="continue"/>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715,107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552,721</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79.2 %</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128,506</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9"/>
        </w:trPr>
        <w:tc>
          <w:tcPr>
            <w:tcW w:w="4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144,089</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137,584</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16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74"/>
        </w:trPr>
        <w:tc>
          <w:tcPr>
            <w:tcW w:w="4760" w:type="dxa"/>
            <w:vAlign w:val="bottom"/>
            <w:tcBorders>
              <w:top w:val="single" w:sz="8" w:color="CCEEFF"/>
            </w:tcBorders>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(55,350)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(24,676)</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(3,368)</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6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6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98"/>
        </w:trPr>
        <w:tc>
          <w:tcPr>
            <w:tcW w:w="47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Loss on extinguishment of Redeemable Common Equivalent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Units, net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equivalent preferred dividends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Accumulating preferred dividends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(24,208)</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of our reportable segments for the years ended December 31, 2022 and 2021.</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Total of</w:t>
            </w:r>
          </w:p>
        </w:tc>
        <w:tc>
          <w:tcPr>
            <w:tcW w:w="0" w:type="dxa"/>
            <w:vAlign w:val="bottom"/>
          </w:tcPr>
          <w:p>
            <w:pPr>
              <w:spacing w:after="0"/>
              <w:rPr>
                <w:sz w:val="1"/>
                <w:szCs w:val="1"/>
                <w:color w:val="auto"/>
              </w:rPr>
            </w:pPr>
          </w:p>
        </w:tc>
      </w:tr>
      <w:tr>
        <w:trPr>
          <w:trHeight w:val="146"/>
        </w:trPr>
        <w:tc>
          <w:tcPr>
            <w:tcW w:w="4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20" w:type="dxa"/>
            <w:vAlign w:val="bottom"/>
            <w:gridSpan w:val="2"/>
            <w:vMerge w:val="continue"/>
          </w:tcPr>
          <w:p>
            <w:pPr>
              <w:spacing w:after="0"/>
              <w:rPr>
                <w:sz w:val="12"/>
                <w:szCs w:val="12"/>
                <w:color w:val="auto"/>
              </w:rPr>
            </w:pPr>
          </w:p>
        </w:tc>
        <w:tc>
          <w:tcPr>
            <w:tcW w:w="10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5"/>
        </w:trPr>
        <w:tc>
          <w:tcPr>
            <w:tcW w:w="4940" w:type="dxa"/>
            <w:vAlign w:val="bottom"/>
            <w:gridSpan w:val="3"/>
            <w:vMerge w:val="continue"/>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96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4"/>
                <w:szCs w:val="14"/>
                <w:b w:val="1"/>
                <w:bCs w:val="1"/>
                <w:color w:val="auto"/>
              </w:rPr>
              <w:t>Revenues</w:t>
            </w:r>
            <w:r>
              <w:rPr>
                <w:rFonts w:ascii="Times New Roman" w:cs="Times New Roman" w:eastAsia="Times New Roman" w:hAnsi="Times New Roman"/>
                <w:sz w:val="20"/>
                <w:szCs w:val="20"/>
                <w:b w:val="1"/>
                <w:bCs w:val="1"/>
                <w:color w:val="auto"/>
                <w:vertAlign w:val="superscript"/>
              </w:rPr>
              <w:t>(1)</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2022</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$ 685,303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$ 207,579</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(25,010)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$ 867,872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551,013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Costs of Sales: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2022</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544,611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423,314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129,407</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2022</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127,699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2022</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 Margin:</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671"/>
              <w:spacing w:after="0"/>
              <w:rPr>
                <w:sz w:val="20"/>
                <w:szCs w:val="20"/>
                <w:color w:val="auto"/>
              </w:rPr>
            </w:pPr>
            <w:r>
              <w:rPr>
                <w:rFonts w:ascii="Times New Roman" w:cs="Times New Roman" w:eastAsia="Times New Roman" w:hAnsi="Times New Roman"/>
                <w:sz w:val="18"/>
                <w:szCs w:val="18"/>
                <w:color w:val="auto"/>
              </w:rPr>
              <w:t>2022</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671"/>
              <w:spacing w:after="0"/>
              <w:rPr>
                <w:sz w:val="20"/>
                <w:szCs w:val="20"/>
                <w:color w:val="auto"/>
              </w:rPr>
            </w:pPr>
            <w:r>
              <w:rPr>
                <w:rFonts w:ascii="Times New Roman" w:cs="Times New Roman" w:eastAsia="Times New Roman" w:hAnsi="Times New Roman"/>
                <w:sz w:val="18"/>
                <w:szCs w:val="18"/>
                <w:color w:val="auto"/>
              </w:rPr>
              <w:t>2021</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Intersegment revenues represent sales of green coffee from our SS&amp;T segment to our Beverage Solutions Segment.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Net Sales from our Beverage Solutions segment were $685.3 million for the year ended December 31, 2022, compared to $551.0 million for the year ended December 31, 2021, an increase of 24%. The increase was due to a $121.5 million increase in the sale of coffee &amp; tea products, driven by a 50% increase in single serve cup volumes, and an increase in underlying green coffee prices compared to the year ended December 31, 2021, partially offset by a 7% decrease in roast and ground coffee products and a 5% decrease in tea products, driven in part by higher inflation impacting end-consumer demand.</w:t>
      </w:r>
    </w:p>
    <w:p>
      <w:pPr>
        <w:spacing w:after="0" w:line="18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Net Sales from our SS&amp;T segment totaled $182.6 million, net of intersegment revenues, during the year ended December 31, 2022, increasing 24% compared to $147.1 million, net of intersegment revenues, during the year ended December 31, 2021. The increase is driven by an increase in the average sales price per pound, which increased 35% for the year ended December 31, 2022 compared to the year ended December 31, 2021. The increase in the average sales price per pound is directly correlated to the global commodities price. SS&amp;T sales volume decreased 9% for the year ended December 31, 2022 compared to the year ended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to $544.6 million for the year ended December 31, 2022, from $423.3 million for the year ended December 31, 2021. The increase in costs of sales is primarily due to a $116.7 million increase in green coffee and tea, driven by higher single serve cup sales volume and commodity price increases, specifically related to green coffee.</w:t>
      </w:r>
    </w:p>
    <w:p>
      <w:pPr>
        <w:spacing w:after="0" w:line="180"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In our SS&amp;T segment, costs of sales increased $41.1 million to $170.5 million for the year ended December 31, 2022 compared to the year ended December 31, 2021. This increase is primarily due to an increase in green coffee costs driven by an increase in underlying commodities pricings. Costs of sales for the year ended December 31, 2022 included $3.5 million of net unrealized losses on forward sales and purchase contracts and mark-to-market adjustment on green coffee inventory compared to $3.6 million of net unrealized gains on forward sales and purchase contracts and mark-to-market adjustments on green coffee inventory for the year ended December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40" w:type="dxa"/>
            <w:vAlign w:val="bottom"/>
          </w:tcPr>
          <w:p>
            <w:pPr>
              <w:spacing w:after="0"/>
              <w:rPr>
                <w:sz w:val="10"/>
                <w:szCs w:val="10"/>
                <w:color w:val="auto"/>
              </w:rPr>
            </w:pP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$ 119,938</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$ 119,787</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3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5.5 %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$ 129,985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$ 128,506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Total selling, general and administrative expenses in our Beverage Solutions segment increased $0.2 million to $119.9 million for the year ended December 31, 2022, compared to the year ended December 31, 2021. The increase is primarily due to a $5.3 million increase in legal and professional fees, which primarily related to additional costs of operations as a public company, and a $1.9 million increase in freight costs, partially offset by a $5.4 million decrease in personnel-related expenses, primarily the reduction of short-term cash incentive compensation, for the year ended December 31, 2022 compared to the year ended December 31, 2021. In our SS&amp;T segment, selling, general and administrative costs increased $1.3 million for the year ended December 31, 2022, including a $0.4 million increase in personnel-related costs, compared to the year ended December 31, 2021.</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Transaction, restructuring and integration expenses for the year ended December 31, 2022 were $13.2 million, $5.3 million of which related to the continued integration of the acquired S&amp;D business onto our enterprise resource planning system and $5.6 million of which related to public-company preparedness costs. During the year ended December 31, 2021, we incurred $8.8 million of transaction, restructuring and integration expenses, $3.2 million of which related to restructuring costs, primarily attributable to optimizing our sales organization, $2.0 million of which related to integration costs related to the acquired S&amp;D business, $1.7 million of which related to the integration of our enterprise resource planning system and $1.0 million of public-company preparedness costs.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term loan facility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term loan facility early termination fee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ABL facility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related party debt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Subordinated related party debt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9"/>
        </w:trPr>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Payments-in-kind interest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Interest expense for the year ended December 31, 2022 was $35.5 million compared to $32.5 million for the year ended December 31, 2021. The increase is primarily due to a $4.3 million write off of unamortized deferred financing fees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associated with the termination of the Prior Term Loan Facility and Prior ABL Facility and $1.6 million of early termination payments associated with the Prior Term Loan Facility. No such costs were incurred in the year ended December 31, 2021. These increases were partially offset by $4.1 million of cash interest savings as a result of the entry into the Credit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2022 was $0.1 million, resulting in an effective tax rate of (0.20%). Our income tax expense for the year ended December 31, 2022 is primarily comprised of federal and state benefits, at statutory rates, of $13.1 million, offset by $6.2 million of tax expense resulting from the change in fair value of warrants and $7.3 million of expense related to increases in the valuation allowance against our deferred tax assets.</w:t>
      </w:r>
    </w:p>
    <w:p>
      <w:pPr>
        <w:spacing w:after="0" w:line="18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2021 was $3.4 million, resulting in an effective tax rate of 13.6%. Our income tax benefit for the year ended December 31, 2021 is primarily comprised of federal and state benefits, at statutory rates, of $6.0 million, partially offset by $1.2 million of negative impacts related to the impact of changes in foreign tax rates on our tax benefit.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related notes presented in Item 8 “Financial Statements and Supplementary Data” in this Annual Report on Form 10-K have been prepared in accordance with GAAP. Our significant accounting policies are discussed in Note 3 to the Consolidated Financial Statements. Certain accounting estimates involve a significant level of estimation and uncertainty and require management to make difficult, subjective or complex judgments about matters that are uncertain and have had, or are reasonably likely to have, a material impact on our financial condition or results of operations. Because of the uncertainty involved in these estimates, materially different amounts could be reported under different conditions or using different assumptions.</w:t>
      </w:r>
    </w:p>
    <w:p>
      <w:pPr>
        <w:spacing w:after="0" w:line="18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performed after a customer obtains control of the product are accounted for as fulfillment costs. In addition, we exclude from net revenue and cost of sales taxes assessed by governmental authorities on revenue-producing transactions. Although we occasionally receive returns of products from our customers, historically returns have not been material.</w:t>
      </w:r>
    </w:p>
    <w:p>
      <w:pPr>
        <w:spacing w:after="0" w:line="1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 xml:space="preserve">At times, the Company may enter into agreements in which its Sustainable Sourcing &amp; Traceability segment will sell inventory to a third party, from whom the Company’s Beverage Solutions segment has an obligation to repurchase. Such repurchase agreement obligations are recorded within accrued expenses and other current liabilities on the Consolidated Balances Sheets and are collateralized by the corresponding inventory. These transactions are accounted for as financing transactions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Net cash flows associated with these repurchase agreements are reported as financing activities in the Consolidated Statements of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 xml:space="preserve">A portion of the Company’s revenues consist of sales from commodity contracts that are accounted for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Sales from commodity contracts primarily relate to forward sales of green coffee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2023, all of our goodwill is assigned to our Beverage Solutions reporting unit. Unless circumstances otherwise dictate, the annual impairment test is performed as of October 1.</w:t>
      </w:r>
    </w:p>
    <w:p>
      <w:pPr>
        <w:spacing w:after="0" w:line="1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first evaluate impairment of goodwill by assessing qualitative factors to determine whether it is more likely than not that the fair value of our reporting unit is less than its carrying amount (the “Step Zero” analysis). If the Step Zero analysis indicates that it is more likely than not that the fair value of our reporting unit is less than its carrying amount, we will perform a quantitative assessment of goodwill impairment.</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circumstances affecting the reporting unit. If we choose to perform a qualitative assessment, and after consideration of all relevant factors and circumstances we determine that it is more likely than not that a reporting unit’s fair value is less than its carrying value, we would perform a quantitative fair value test.</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recognized for the excess and recorded in the Consolidated Statements of Operations not to exceed the carrying value of goodwill.</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proves to be an accurate prediction of future results. Key assumptions include our expected revenue growth rates, operating profits, levels of capital expenditures, and cost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8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completed a qualitative analysis to evaluate impairment of goodwill and concluded that it was more likely than not that the fair value of our goodwill reporting unit exceeded the carrying amount. As a result, the Company concluded that no impairment existed in the year ending December 31, 2023.</w:t>
      </w:r>
    </w:p>
    <w:p>
      <w:pPr>
        <w:spacing w:after="0" w:line="1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reached this conclusion based on consideration of the significant excess fair value over carrying value of previous quantitative goodwill impairment evaluations, the recently completed HF Investment and PIPE Investments and the Company’s current market capitalization. Our previous quantitative goodwill analysis indicated that the estimated fair value of our reporting units exceeded their carrying values by over 50%. Subsequent to that evaluation, we have noted no events or circumstances that would indicate that it is more likely than not that the carrying value of our goodwill reporting units exceed their fair value.</w:t>
      </w:r>
    </w:p>
    <w:p>
      <w:pPr>
        <w:spacing w:after="0" w:line="18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conclusions reached as a result of our qualitative assessment are highly subjective. If our conclusions are proven to be incorrect, we may be required to perform a quantitative goodwill analysis in the future, and there can be no assurances that such analysis would not result in an impairment loss.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Finite-lived intangible assets are tested for impairment with the applicable asset group and evaluated for impairment along with property, plant and equipment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Impairment testing is required when events or changes in circumstances exist that indicate that an asset may not be recoverable. An asset is tested for recoverability by comparing the net carrying value of the asset to the entity-specific, undiscounted net cash flows to be generated from the use and eventual disposition of that asset group. If the carrying amount of an asset group is not recoverable, an impairment loss is recognized in the amount of the excess of the carrying value of the asset group over its fair value. Management determines fair value under ASC Topic 820 using the appropriate valuation technique of market, income or cost approach.</w:t>
      </w:r>
    </w:p>
    <w:p>
      <w:pPr>
        <w:spacing w:after="0" w:line="1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Estimating cash flows for the purposes of the recoverability test is subjective and requires significant judgment and is sensitive to changes in the underlying assumptions, such as estimates regarding revenue growth rates, cost structure, economic and market trends and cash flows expected to result in the disposition of the asset group. As a result, there can be no assurance that the estimates and assumptions made for the purpose of the recoverability test prove to be an accurate prediction of future results. Accordingly, if our current estimates of undiscounted cash flows are not realized, it is possible that an impairment charge may be recorded in the future.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tax laws. We utilize the asset and liability method in accounting for income taxes. Under this method, deferred tax assets and liabilities are determined based upon the difference between the values of the assets and liabilities as reflected in the financial statements and their related tax bases using enacted tax rates in effect for the year or years in which the differences are expected to be realized or settled. As changes in tax laws or rates are enacted, deferred tax assets and liabilities are adjusted through the provision for income taxes. The Company’s foreign subsidiaries file income tax returns and are subject to tax provisions in their respective foreign tax jurisdictions.</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not more likely than not that all or a portion of any deferred tax assets will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54" w:lineRule="exact"/>
        <w:rPr>
          <w:sz w:val="20"/>
          <w:szCs w:val="20"/>
          <w:color w:val="auto"/>
        </w:rPr>
      </w:pPr>
    </w:p>
    <w:p>
      <w:pPr>
        <w:jc w:val="both"/>
        <w:ind w:left="60" w:right="79"/>
        <w:spacing w:after="0" w:line="270" w:lineRule="auto"/>
        <w:rPr>
          <w:sz w:val="20"/>
          <w:szCs w:val="20"/>
          <w:color w:val="auto"/>
        </w:rPr>
      </w:pPr>
      <w:r>
        <w:rPr>
          <w:rFonts w:ascii="Times New Roman" w:cs="Times New Roman" w:eastAsia="Times New Roman" w:hAnsi="Times New Roman"/>
          <w:sz w:val="17"/>
          <w:szCs w:val="17"/>
          <w:color w:val="auto"/>
        </w:rPr>
        <w:t>Tax laws are complex and subject to different interpretation by the taxpayer and the relevant government taxing authorities. In the normal course of business, we are routinely subjected to examinations and audits from federal, state and local taxing authorities regarding tax positions taken by us and the determination of the amount of tax due. Challenges made by taxing authorities may result in adjustments to the amount of taxes due and may result in the imposition of penalties and interest.</w:t>
      </w:r>
    </w:p>
    <w:p>
      <w:pPr>
        <w:spacing w:after="0" w:line="3" w:lineRule="exact"/>
        <w:rPr>
          <w:sz w:val="20"/>
          <w:szCs w:val="20"/>
          <w:color w:val="auto"/>
        </w:rPr>
      </w:pP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If any such challenges are not resolved in our favor, they could have a material adverse effect on our financial condition, results of operations and liquidity.</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 record business combinations using the acquisition method of accounting. All assets acquired and liabilities assumed are recorded at fair value as of the acquisition date. Any excess of the purchase price over the fair value of the net tangible and intangible assets acquired is recorded as goodwill.</w:t>
      </w:r>
    </w:p>
    <w:p>
      <w:pPr>
        <w:spacing w:after="0" w:line="13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application of the acquisition method of accounting for business combinations requires management to make significant estimates and assumptions in determination of the fair value of assets acquired and liabilities assumed. The fair value of the acquired assets and liabilities are estimated using the income, market and/or cost valuation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w:t>
      </w:r>
    </w:p>
    <w:p>
      <w:pPr>
        <w:spacing w:after="0" w:line="16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 xml:space="preserve">If actual results differ from the estimates and judgments used in these estimates, the amounts recorded in the consolidated financial statements may be exposed to potential impairment of the intangible assets and goodwill, as discussed in the </w:t>
      </w:r>
      <w:r>
        <w:rPr>
          <w:rFonts w:ascii="Times New Roman" w:cs="Times New Roman" w:eastAsia="Times New Roman" w:hAnsi="Times New Roman"/>
          <w:sz w:val="18"/>
          <w:szCs w:val="18"/>
          <w:i w:val="1"/>
          <w:iCs w:val="1"/>
          <w:color w:val="auto"/>
        </w:rPr>
        <w:t xml:space="preserve">Goodwill and Indefinite Lived Intangible Assets </w:t>
      </w:r>
      <w:r>
        <w:rPr>
          <w:rFonts w:ascii="Times New Roman" w:cs="Times New Roman" w:eastAsia="Times New Roman" w:hAnsi="Times New Roman"/>
          <w:sz w:val="18"/>
          <w:szCs w:val="18"/>
          <w:color w:val="auto"/>
        </w:rPr>
        <w:t>section above.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Green Coffee Inventories</w:t>
      </w:r>
    </w:p>
    <w:p>
      <w:pPr>
        <w:spacing w:after="0" w:line="200" w:lineRule="exact"/>
        <w:rPr>
          <w:sz w:val="20"/>
          <w:szCs w:val="20"/>
          <w:color w:val="auto"/>
        </w:rPr>
      </w:pPr>
    </w:p>
    <w:p>
      <w:pPr>
        <w:ind w:left="60" w:right="259"/>
        <w:spacing w:after="0" w:line="276" w:lineRule="auto"/>
        <w:rPr>
          <w:sz w:val="20"/>
          <w:szCs w:val="20"/>
          <w:color w:val="auto"/>
        </w:rPr>
      </w:pPr>
      <w:r>
        <w:rPr>
          <w:rFonts w:ascii="Times New Roman" w:cs="Times New Roman" w:eastAsia="Times New Roman" w:hAnsi="Times New Roman"/>
          <w:sz w:val="17"/>
          <w:szCs w:val="17"/>
          <w:color w:val="auto"/>
        </w:rPr>
        <w:t>Green coffee associated with our forward contracts is recorded at net realizable value, which approximates market price, within our SS&amp;T segment, consistent with our forward purchase contracts recorded at fair value in accordance with ASC</w:t>
      </w:r>
    </w:p>
    <w:p>
      <w:pPr>
        <w:spacing w:after="0" w:line="1" w:lineRule="exact"/>
        <w:rPr>
          <w:sz w:val="20"/>
          <w:szCs w:val="20"/>
          <w:color w:val="auto"/>
        </w:rPr>
      </w:pPr>
    </w:p>
    <w:p>
      <w:pPr>
        <w:ind w:left="60" w:right="99" w:hanging="10"/>
        <w:spacing w:after="0" w:line="25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 of sales in our Consolidated Statements of Operations. At December 31, 2023, a 10% change in the price of coffee would have had an approximately $3.3 million impact on the value of our green coffee inventory.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87"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We account for warrants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consolidated statements of operations.</w:t>
      </w:r>
    </w:p>
    <w:p>
      <w:pPr>
        <w:spacing w:after="0" w:line="13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re-measures the fair value of the Westrock Public Warrants (as defined in Note 4 to our Consolidated Financial Statements) based on the quoted market price of the Westrock Public Warrants. The Westrock Private Warrants (as defined in Note 4 to our Consolidated Financial Statements) are valued a binomial lattice valuation model. The primary unobservable input utilized in determining the fair value of the Westrock Private Warrants is the expected volatility of the stock price, which is determined by use of an option pricing model. A 10% increase to the volatility input at December 31, 2023 would increase the fair value of the Westrock Private Warrants by approximately $0.5 million. For the year ended December 31, 2023, the Company recognized $10.2 million of gains related to the change in fair value of warrant liabilities.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w:t>
      </w:r>
    </w:p>
    <w:p>
      <w:pPr>
        <w:spacing w:after="0" w:line="1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 line with our expectations. Failure to meet our financial targets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Credit Agreement are guaranteed by the Company and each of the Borrower’s domestic subsidiaries, which comprise our Beverage Solutions segment, and are secured by substantially all of the Company’s assets.</w:t>
      </w:r>
    </w:p>
    <w:p>
      <w:pPr>
        <w:spacing w:after="0" w:line="16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Commitment fees on the daily unused amount of commitments under the Revolving Credit Facility and Delayed Draw Term Loan Facility range from 0.20% to 0.35% depending on the total net leverage ratio.</w:t>
      </w:r>
    </w:p>
    <w:p>
      <w:pPr>
        <w:spacing w:after="0" w:line="18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At December 31, 2023, we had $65.0 million of outstanding borrowings under the Revolving Credit Facility, with a weighted average interest rate of 8.9%, the interest rate applicable to our Term Loan Facility was 9.2%, and we had $2.6 million of standby letters of credit outstanding. On January 8, 2024, the Company borrowed $50.0 million under the Delayed Draw Term Loan Facility, using a portion of the proceeds to repay outstanding borrowings under the Revolving Credit Facility.</w:t>
      </w:r>
    </w:p>
    <w:p>
      <w:pPr>
        <w:spacing w:after="0" w:line="18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February 15, 2024, the Company entered into the Third Amendment to the Credit Agreement. The Third Amendment modified the existing Covenant Relief Period, which commenced on June 30, 2023 pursuant to Amendment No. 2,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 During the Covenant Relief Period, the Company will be required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Third Amendment also includes (i) a minimum liquidity covenant requiring the Company not to permit its liquidity, measured as of the last business day of each calendar month commencing March 29, 2024, to be less than $15 million and (ii) an anti-cash hoarding covenant, which shall only be effective during the Covenant Relief Period, requiring the Borrower to have no more than $20 million of unrestricted cash on the last day of each calendar month when revolving loans or letters of credit are outstanding or on the date of borrowing of a revolving loan. As of the date of this Annual Report on Form 10-K, the Company was in compliance with its financial covenants.</w:t>
      </w:r>
    </w:p>
    <w:p>
      <w:pPr>
        <w:spacing w:after="0" w:line="18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 quarterly principal payments during the first three years of 1.25% of the original principal balance. Quarterly payments increase to approximately 1.875% and 2.5% of the original principal balance during the fourth and fifth years of the Credit Agreement,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Convertible Notes. The Convertible Notes will be unsecured and senior obligations of the Company and will accrue interest at a rate of 5.00% per annum.</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8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Convertible Notes do not contain any financial or operating covenants or restrictions on the payments of dividends, the incurrence of indebtedness or the issuance or repurchase of securities by the Company or any of its subsidiaries. The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Convertible Notes to become due and payable immediately. If an event of default involving certain events of bankruptcy, insolvency or reorganization occurs, then the principal amount of, and all accrued and unpaid interest on, all of the Convertible Notes then outstanding will immediately become due and payable without any further action or notice by any person.</w:t>
      </w:r>
    </w:p>
    <w:p>
      <w:pPr>
        <w:spacing w:after="0" w:line="18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purchasers of the Convertible Notes are Westrock Group, LLC (a holder of more than 5% of the outstanding Common Shares and an affiliate of Scott Ford, the Company’s Chief Executive Officer and a member of the board of directors of the Company), Wooster Capital, LLC (an affiliate of Joe Ford, chairman of the board of directors), an affiliate of The Stephens Group, LLC (a holder of more than 5% of the outstanding Common Shares), an affiliate of Sowell Westrock, L.P. (a holder of more than 5% of the outstanding Common Shares), HF Direct Investments Pool, LLC (a holder of more than 10% of the outstanding Common Shares), an affiliate of the Herbert Hunt family and an individual investor. The offer and sale of the Convertible Notes was authorized and approved unanimously by the Audit &amp; Finance Committee of the board of directors in accordance with the Company’s Related Party Transactions Policy.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March 21, 2023, we entered into a $70.0 million working capital trade finance facility with multiple financial institutions through our subsidiary, Falcon Coffees Limited (“Falcon”). The facility replaced Falcon’s then existing working capital trade finance facility. The facility is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At December 31, 2023, there was $37.0 million of outstanding borrowings under the facility, which is recorded in short-term debt in the Consolidated Balance Sheets. Falcon’s facility contains certain restrictive financial covenants which require Falcon to maintain certain levels of working capital, debt, and net worth. Falcon was in compliance with these financial covenants as of December 31, 2023.</w:t>
      </w:r>
    </w:p>
    <w:p>
      <w:pPr>
        <w:spacing w:after="0" w:line="19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Funds Effective Rate, as defined in the facility, at such time, and (iii) Term SOFR for a one-month tenor in effect at such time plus 1.00%).</w:t>
      </w:r>
    </w:p>
    <w:p>
      <w:pPr>
        <w:spacing w:after="0" w:line="162"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17"/>
          <w:szCs w:val="17"/>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before the Quotation day; or (b) the most recent applicable Term SOFR (as of Quotation Day) for the shortest period (for which Term SOFR is available) which exceeds the applicable interest period of that loan, in each case plus the applicable margin. At December 31, 2023, there was $5.0 million of outstanding borrowings under the facility, of which $4.5 million and $0.5 million is recorded in long-term debt, net and current maturities of long-term debt, respectively, on the Consolidated Balance Sheets. Falcon’s facility contains certain restrictive financial covenants which require Falcon to maintain certain levels of working capital, debt, and tangible net worth. Falcon was in compliance with these financial covenants as of December 31, 2023.</w:t>
      </w:r>
    </w:p>
    <w:p>
      <w:pPr>
        <w:spacing w:after="0" w:line="176"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Westrock Coffee International, LLC, through its subsidiary Rwanda Trading Company, maintains two mortgage and inventory-backed lending facilities with a local bank in Rwanda: (a) a short-term trade finance facility with a balance of $6.7 million at December 31, 2023 and (b) a long-term note payable with a balance of $1.2 million at December 31, 2023.</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As of December 31, 2023, there were $78.1 million obligations outstanding under the Program.</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Our liquidity needs are to fund operating expenses, meet debt service obligations, and fund both current and long-term investment activities, which include capital expenditures. A key component of our long-term growth strategy is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 We expect that the material capital expenditures related to the facility will be completed by the first quarter of 2025.</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believe proceeds from the Delayed Draw Term Loans, Convertible Notes, cash from operations and borrowings available under the Revolving Credit Facility will provide sufficient cash on-hand to fund our near-term growth strategies, which include, (i) extending and enhancing product offerings through innovation, (ii) expanding our customer base, (iii) expanding geographically, (iv) funding accretive acquisitions, and (v) continuing to drive margin expansion and (vi) to complete the build-out of our extract and ready-to-drink manufacturing facility in Conway, Arkansas. However, the Company will continuously evaluate its liquidity needs, and may seek to opportunistically access additional liquidity, including through either the debt or equity capital markets. If it is determined that we have insufficient liquidity to fund the Conway facility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Proceeds</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2023, we had 19,144,120 outstanding warrants to purchase 19,144,120 Common Shares, exercisable at an exercise price of $11.50 per share, which expire on the earliest to occur of August 26, 2027 (i.e. the five year anniversary of the Closing),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Westrock Public Warrants under certain conditions, as described in their warrant agreement, are redeemable by the Company at a price of $0.01 per warrant or on a cashless basis. Our Westrock Private Placement Warrants, of which there were 2,026,046 outstanding at December 31, 2023, are not redeemable so long as they are held by the Riverview Sponsor Partners, LLC or its permitted transferees. As such, it is possible that we may never generate any or only very limited cash proceeds from the exercise of our warrants.</w:t>
      </w:r>
    </w:p>
    <w:p>
      <w:pPr>
        <w:spacing w:after="0" w:line="18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on Form 10-K, we have neither included nor intend to include any potential cash proceeds from the exercise of our warrants in our short-term or long-term liquidity sources or capital resource planning. We do not expect to rely on the cash exercise of warrants to fund our operations. Instead, we intend to rely on our primary sources of cash discussed above to continue to support our operations. Therefore, the availability or unavailability of any proceeds from the exercise of our warrants is not expected to affect our ability to fund our operations. We will continue to evaluate the probability of warrant exercise over the life of our warrants and the merit of including potential cash proceeds from the exercise thereof in our liquidity sources and capital resources planning.</w:t>
      </w:r>
    </w:p>
    <w:p>
      <w:pPr>
        <w:spacing w:after="0" w:line="18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Redemptions of Series A Preferred Shares</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23,511,922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Our Term Loan Facility and Delayed Draw Term Loan Facility require quarterly principal payments of 1.25% of the original principal. Quarterly payments increase 1.875% and 2.5% of the original principal balance during the fourth and fifth years of the Credit Facility, respectively. We have no other material obligations to pay principal amounts of our long-term debt obligations prior to their maturity.</w:t>
      </w:r>
    </w:p>
    <w:p>
      <w:pPr>
        <w:spacing w:after="0" w:line="183"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Future purchase obligations of $238.7 million as of December 31, 2023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have future obligations to repurchase $8.3 million of inventory associated with repurchase agreements in which the Company’s SS&amp;T segment has sold inventory to a third party and from whom the Company’s Beverage Solution segment has an obligation to repurchase.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2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for the years ended December 31, 2023, 2022 and 2021 were as follows: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56,582</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During 2024, we expect to continue to invest to expand our extract and ready-to-drink product manufacturing capacity in Conway, Arkansas.</w:t>
      </w:r>
    </w:p>
    <w:p>
      <w:pPr>
        <w:spacing w:after="0" w:line="16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date of this Annual Report on Form 10-K,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See Note 3, Summary of Significant Accounting Policies, to the Consolidated Financial Statements included in Part II, Item 8. Financial Statements and Supplementary Data of this Annual Report on Form 10-K for a detailed discussion of certain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Commodities Price Risk</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We are exposed to commodities price risk related to changes in the market price of green coffee. We have historically utilized, and expect to continue to utilize, various types of derivative instruments, including forward contracts, futures contracts, and option contracts to hedge our exposure to the market price variability of green coffee. For most, but not all, of our customers, increases in the cost of green coffee can be passed on to our customers in the form of higher prices. See Note 3, Summary of Significant Accounting Policies, and Note 14, Derivatives, to the Consolidated Financial Statements included in Part II, Item 8. Financial Statements and Supplementary Data of this Annual Report on Form 10-K for further discussion of our derivative instruments.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are exposed to interest rate volatility with respect to the variable rate facilities under the Credit Agreement, entered into on August 29, 2022. We estimate that the potential impact to our interest rate expense associated with the variable rate Term Loan Facility, assuming a hypothetical 10% change in interest rates as of December 31, 2023, would be an annualized impact of approximately $0.9 million on the Company’s results of operations for the year ended December 31, 2023.</w:t>
      </w:r>
    </w:p>
    <w:p>
      <w:pPr>
        <w:spacing w:after="0" w:line="183"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An increase in interest rates could impact our ability to secure financing to fund growth initiatives, such as growth capital expenditures and acquisitions. In addition, rising interest rates could also limit our ability to refinance our existing debt obligations as they come due or result in us paying higher interest rates upon refinancing our existing debt obligations.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has been, and continues to be, impacted by negative effects of inflation on both our customers and our costs, including materials and labor costs. We attempt to mitigate the impacts of inflation wherever possible. Our mitigation strategies include working with our vendors and suppliers to ensure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360" w:type="dxa"/>
            <w:vAlign w:val="bottom"/>
          </w:tcPr>
          <w:p>
            <w:pPr>
              <w:spacing w:after="0"/>
              <w:rPr>
                <w:sz w:val="20"/>
                <w:szCs w:val="20"/>
                <w:color w:val="auto"/>
              </w:rPr>
            </w:pPr>
          </w:p>
        </w:tc>
      </w:tr>
      <w:tr>
        <w:trPr>
          <w:trHeight w:val="626"/>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c>
          <w:tcPr>
            <w:tcW w:w="360" w:type="dxa"/>
            <w:vAlign w:val="bottom"/>
          </w:tcPr>
          <w:p>
            <w:pPr>
              <w:spacing w:after="0"/>
              <w:rPr>
                <w:sz w:val="24"/>
                <w:szCs w:val="24"/>
                <w:color w:val="auto"/>
              </w:rPr>
            </w:pPr>
          </w:p>
        </w:tc>
      </w:tr>
      <w:tr>
        <w:trPr>
          <w:trHeight w:val="238"/>
        </w:trPr>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gridSpan w:val="2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6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 xml:space="preserve">Report of PricewaterhouseCoopers LLP, Independent Registered Public Accounting Firm </w:t>
            </w:r>
            <w:r>
              <w:rPr>
                <w:rFonts w:ascii="Times New Roman" w:cs="Times New Roman" w:eastAsia="Times New Roman" w:hAnsi="Times New Roman"/>
                <w:sz w:val="18"/>
                <w:szCs w:val="18"/>
                <w:color w:val="000000"/>
              </w:rPr>
              <w:t>(Auditor Firm ID: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8"/>
        </w:trPr>
        <w:tc>
          <w:tcPr>
            <w:tcW w:w="1200" w:type="dxa"/>
            <w:vAlign w:val="bottom"/>
            <w:tcBorders>
              <w:top w:val="single" w:sz="8" w:color="0000EE"/>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4"/>
        </w:trPr>
        <w:tc>
          <w:tcPr>
            <w:tcW w:w="546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 December 31, 2023 and December 31, 2022</w:t>
            </w:r>
          </w:p>
        </w:tc>
        <w:tc>
          <w:tcPr>
            <w:tcW w:w="3080" w:type="dxa"/>
            <w:vAlign w:val="bottom"/>
            <w:gridSpan w:val="6"/>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65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 Years ended December 31, 2023, 2022 and 2021</w:t>
            </w:r>
          </w:p>
        </w:tc>
        <w:tc>
          <w:tcPr>
            <w:tcW w:w="20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 Years ended December 31, 2023, 2022 and 2021</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792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(Deficit) - Years ended December 31, 2023, 2022 and 2021</w:t>
            </w:r>
          </w:p>
        </w:tc>
        <w:tc>
          <w:tcPr>
            <w:tcW w:w="6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652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 Years ended December 31, 2023, 2022 and 2021</w:t>
            </w:r>
          </w:p>
        </w:tc>
        <w:tc>
          <w:tcPr>
            <w:tcW w:w="1340" w:type="dxa"/>
            <w:vAlign w:val="bottom"/>
            <w:tcBorders>
              <w:top w:val="single" w:sz="8" w:color="0000EE"/>
            </w:tcBorders>
          </w:tcPr>
          <w:p>
            <w:pPr>
              <w:spacing w:after="0"/>
              <w:rPr>
                <w:sz w:val="17"/>
                <w:szCs w:val="17"/>
                <w:color w:val="auto"/>
              </w:rPr>
            </w:pPr>
          </w:p>
        </w:tc>
        <w:tc>
          <w:tcPr>
            <w:tcW w:w="6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31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3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4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 Organization and Description of Business</w:t>
            </w:r>
          </w:p>
        </w:tc>
        <w:tc>
          <w:tcPr>
            <w:tcW w:w="48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140" w:type="dxa"/>
            <w:vAlign w:val="bottom"/>
          </w:tcPr>
          <w:p>
            <w:pPr>
              <w:spacing w:after="0"/>
              <w:rPr>
                <w:sz w:val="17"/>
                <w:szCs w:val="17"/>
                <w:color w:val="auto"/>
              </w:rPr>
            </w:pPr>
          </w:p>
        </w:tc>
        <w:tc>
          <w:tcPr>
            <w:tcW w:w="3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 Basis of Presentation and Consolidation</w:t>
            </w:r>
          </w:p>
        </w:tc>
        <w:tc>
          <w:tcPr>
            <w:tcW w:w="49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3. Summary of Significant Accounting Policies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Note 4. De-SPAC Merger Transaction</w:t>
            </w:r>
          </w:p>
        </w:tc>
        <w:tc>
          <w:tcPr>
            <w:tcW w:w="1060" w:type="dxa"/>
            <w:vAlign w:val="bottom"/>
            <w:tcBorders>
              <w:top w:val="single" w:sz="8" w:color="0000EE"/>
            </w:tcBorders>
            <w:gridSpan w:val="6"/>
          </w:tcPr>
          <w:p>
            <w:pPr>
              <w:spacing w:after="0"/>
              <w:rPr>
                <w:sz w:val="17"/>
                <w:szCs w:val="17"/>
                <w:color w:val="auto"/>
              </w:rPr>
            </w:pPr>
          </w:p>
        </w:tc>
        <w:tc>
          <w:tcPr>
            <w:tcW w:w="4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5. Revenue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6. Acquisitions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40" w:type="dxa"/>
            <w:vAlign w:val="bottom"/>
          </w:tcPr>
          <w:p>
            <w:pPr>
              <w:spacing w:after="0"/>
              <w:rPr>
                <w:sz w:val="17"/>
                <w:szCs w:val="17"/>
                <w:color w:val="auto"/>
              </w:rPr>
            </w:pPr>
          </w:p>
        </w:tc>
        <w:tc>
          <w:tcPr>
            <w:tcW w:w="14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 7. Inventories</w:t>
            </w:r>
          </w:p>
        </w:tc>
        <w:tc>
          <w:tcPr>
            <w:tcW w:w="692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 8. Property, Plant and Equipment, Net</w:t>
            </w:r>
          </w:p>
        </w:tc>
        <w:tc>
          <w:tcPr>
            <w:tcW w:w="52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9. Leases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10. Goodwill</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11. Intangible Assets, Net</w:t>
            </w:r>
          </w:p>
        </w:tc>
        <w:tc>
          <w:tcPr>
            <w:tcW w:w="614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Note 12. Debt</w:t>
            </w:r>
          </w:p>
        </w:tc>
        <w:tc>
          <w:tcPr>
            <w:tcW w:w="734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4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13. Series A Preferred Shares</w:t>
            </w:r>
          </w:p>
        </w:tc>
        <w:tc>
          <w:tcPr>
            <w:tcW w:w="588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Note 14. Derivatives</w:t>
            </w:r>
          </w:p>
        </w:tc>
        <w:tc>
          <w:tcPr>
            <w:tcW w:w="690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15. Fair Value Measurements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16. Equity-Based Compensation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17. Accumulated Other Comprehensive Income (Loss</w:t>
            </w:r>
            <w:r>
              <w:rPr>
                <w:rFonts w:ascii="Times New Roman" w:cs="Times New Roman" w:eastAsia="Times New Roman" w:hAnsi="Times New Roman"/>
                <w:sz w:val="18"/>
                <w:szCs w:val="18"/>
                <w:color w:val="000000"/>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4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 18. Income Taxes</w:t>
            </w:r>
          </w:p>
        </w:tc>
        <w:tc>
          <w:tcPr>
            <w:tcW w:w="41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19. Earnings Per Share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20"/>
        </w:trPr>
        <w:tc>
          <w:tcPr>
            <w:tcW w:w="14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20. Segment Information</w:t>
            </w:r>
          </w:p>
        </w:tc>
        <w:tc>
          <w:tcPr>
            <w:tcW w:w="62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21. Commitments and Contingencies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22. Related Party Transactions</w:t>
            </w:r>
          </w:p>
        </w:tc>
        <w:tc>
          <w:tcPr>
            <w:tcW w:w="460" w:type="dxa"/>
            <w:vAlign w:val="bottom"/>
            <w:tcBorders>
              <w:top w:val="single" w:sz="8" w:color="0000EE"/>
            </w:tcBorders>
            <w:gridSpan w:val="4"/>
          </w:tcPr>
          <w:p>
            <w:pPr>
              <w:spacing w:after="0"/>
              <w:rPr>
                <w:sz w:val="17"/>
                <w:szCs w:val="17"/>
                <w:color w:val="auto"/>
              </w:rPr>
            </w:pPr>
          </w:p>
        </w:tc>
        <w:tc>
          <w:tcPr>
            <w:tcW w:w="534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23. Subsequent Events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ind w:left="60" w:right="3179"/>
        <w:spacing w:after="0" w:line="473" w:lineRule="auto"/>
        <w:rPr>
          <w:sz w:val="20"/>
          <w:szCs w:val="20"/>
          <w:color w:val="auto"/>
        </w:rPr>
      </w:pPr>
      <w:r>
        <w:rPr>
          <w:rFonts w:ascii="Georgia" w:cs="Georgia" w:eastAsia="Georgia" w:hAnsi="Georgia"/>
          <w:sz w:val="18"/>
          <w:szCs w:val="18"/>
          <w:color w:val="auto"/>
        </w:rPr>
        <w:t xml:space="preserve">To the Board of Directors and Shareholders of Westrock Coffee Company </w:t>
      </w:r>
      <w:r>
        <w:rPr>
          <w:rFonts w:ascii="Georgia" w:cs="Georgia" w:eastAsia="Georgia" w:hAnsi="Georgia"/>
          <w:sz w:val="18"/>
          <w:szCs w:val="18"/>
          <w:b w:val="1"/>
          <w:bCs w:val="1"/>
          <w:i w:val="1"/>
          <w:iCs w:val="1"/>
          <w:color w:val="auto"/>
        </w:rPr>
        <w:t>Opinion on the Financial Statements</w:t>
      </w:r>
    </w:p>
    <w:p>
      <w:pPr>
        <w:spacing w:after="0" w:line="4" w:lineRule="exact"/>
        <w:rPr>
          <w:sz w:val="20"/>
          <w:szCs w:val="20"/>
          <w:color w:val="auto"/>
        </w:rPr>
      </w:pPr>
    </w:p>
    <w:p>
      <w:pPr>
        <w:ind w:left="60" w:right="31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Westrock Coffee Company and its subsidiaries (the “Company”) as of December 31, 2023 and 2022, and the related consolidated statements of operations, of comprehensive income (loss), of shareholders’ equity (deficit) and of cash flows for each of the three years in the period ended December 31, 2023, including the related notes and financial statement schedule listed in the index appearing under Item 15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i w:val="1"/>
          <w:iCs w:val="1"/>
          <w:color w:val="auto"/>
        </w:rPr>
        <w:t>Change in Accounting Principle</w:t>
      </w:r>
    </w:p>
    <w:p>
      <w:pPr>
        <w:spacing w:after="0" w:line="161" w:lineRule="exact"/>
        <w:rPr>
          <w:sz w:val="20"/>
          <w:szCs w:val="20"/>
          <w:color w:val="auto"/>
        </w:rPr>
      </w:pPr>
    </w:p>
    <w:p>
      <w:pPr>
        <w:ind w:left="60" w:right="279"/>
        <w:spacing w:after="0" w:line="237" w:lineRule="auto"/>
        <w:rPr>
          <w:sz w:val="20"/>
          <w:szCs w:val="20"/>
          <w:color w:val="auto"/>
        </w:rPr>
      </w:pPr>
      <w:r>
        <w:rPr>
          <w:rFonts w:ascii="Georgia" w:cs="Georgia" w:eastAsia="Georgia" w:hAnsi="Georgia"/>
          <w:sz w:val="18"/>
          <w:szCs w:val="18"/>
          <w:color w:val="auto"/>
        </w:rPr>
        <w:t>As discussed in Note 3 to the consolidated financial statements, the Company changed the manner in which it accounts for leases in 2022.</w:t>
      </w:r>
    </w:p>
    <w:p>
      <w:pPr>
        <w:spacing w:after="0" w:line="202"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202" w:lineRule="exact"/>
        <w:rPr>
          <w:sz w:val="20"/>
          <w:szCs w:val="20"/>
          <w:color w:val="auto"/>
        </w:rPr>
      </w:pPr>
    </w:p>
    <w:p>
      <w:pPr>
        <w:ind w:left="60" w:right="1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left="60" w:right="17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ind w:left="60" w:right="3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/s/ PricewaterhouseCoopers LLP</w:t>
      </w:r>
    </w:p>
    <w:p>
      <w:pPr>
        <w:ind w:left="60"/>
        <w:spacing w:after="0" w:line="237" w:lineRule="auto"/>
        <w:rPr>
          <w:sz w:val="20"/>
          <w:szCs w:val="20"/>
          <w:color w:val="auto"/>
        </w:rPr>
      </w:pPr>
      <w:r>
        <w:rPr>
          <w:rFonts w:ascii="Georgia" w:cs="Georgia" w:eastAsia="Georgia" w:hAnsi="Georgia"/>
          <w:sz w:val="18"/>
          <w:szCs w:val="18"/>
          <w:color w:val="auto"/>
        </w:rPr>
        <w:t>Little Rock, Arkansas</w:t>
      </w:r>
    </w:p>
    <w:p>
      <w:pPr>
        <w:ind w:left="60"/>
        <w:spacing w:after="0"/>
        <w:rPr>
          <w:sz w:val="20"/>
          <w:szCs w:val="20"/>
          <w:color w:val="auto"/>
        </w:rPr>
      </w:pPr>
      <w:r>
        <w:rPr>
          <w:rFonts w:ascii="Georgia" w:cs="Georgia" w:eastAsia="Georgia" w:hAnsi="Georgia"/>
          <w:sz w:val="18"/>
          <w:szCs w:val="18"/>
          <w:color w:val="auto"/>
        </w:rPr>
        <w:t>March 15, 2024</w:t>
      </w:r>
    </w:p>
    <w:p>
      <w:pPr>
        <w:spacing w:after="0" w:line="200"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We have served as the Company's auditor since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1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6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37,196</w:t>
            </w:r>
          </w:p>
        </w:tc>
        <w:tc>
          <w:tcPr>
            <w:tcW w:w="56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$2,915 and $3,023, respectively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99,158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149,921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Derivative assets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12,473</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313,050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298,099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344,038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122,945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67,601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Other long-term assets</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7,769</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971,514</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746,213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CONVERTIBLE PREFERRED SHARES AND SHAREHOLDERS' EQUITY</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56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9,811</w:t>
            </w:r>
          </w:p>
        </w:tc>
        <w:tc>
          <w:tcPr>
            <w:tcW w:w="560" w:type="dxa"/>
            <w:vAlign w:val="bottom"/>
            <w:gridSpan w:val="2"/>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Short-term debt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69,106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Supply chain finance program</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78,076</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Derivative liabilities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3,731</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35,217</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239,635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216,135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Long-term debt, net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223,092</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63,554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Warrant liabilities</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44,801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583,558</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459,548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(Note 21)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23,512 shares and 23,588</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shares issued and outstanding at December 31, 2023 and December 31, 2022, respectively, $11.50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liquidation value</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274,216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274,936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Shareholders' Equity</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Common stock, $0.01 par value, 300,000 shares authorized, 88,051 shares and 75,020 shares issued and</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outstanding at December 31, 2023 and December 31, 2022, respectively</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471,666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(362,624)</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(328,042)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3,818</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 attributable to Westrock Coffee Company</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113,740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9,269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Non-controlling interest</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113,740</w:t>
            </w:r>
          </w:p>
        </w:tc>
        <w:tc>
          <w:tcPr>
            <w:tcW w:w="2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Convertible Preferred Shares and Shareholders' Equity</w:t>
            </w:r>
          </w:p>
        </w:tc>
        <w:tc>
          <w:tcPr>
            <w:tcW w:w="5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971,514</w:t>
            </w:r>
          </w:p>
        </w:tc>
        <w:tc>
          <w:tcPr>
            <w:tcW w:w="5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 except per share data)</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864,714</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867,872</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698,144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Costs of sales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724,856</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715,107</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552,721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139,858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152,765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145,423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144,577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129,985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restructuring and integration 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160,287</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144,089</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137,584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(20,429)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8,676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7,839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before income taxes and equity in earnings from unconsolidated entities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(40,825)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(55,350)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(24,676)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4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(34,567)</w:t>
            </w:r>
          </w:p>
        </w:tc>
        <w:tc>
          <w:tcPr>
            <w:tcW w:w="14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(55,461)</w:t>
            </w:r>
          </w:p>
        </w:tc>
        <w:tc>
          <w:tcPr>
            <w:tcW w:w="140" w:type="dxa"/>
            <w:vAlign w:val="bottom"/>
          </w:tcPr>
          <w:p>
            <w:pPr>
              <w:spacing w:after="0"/>
              <w:rPr>
                <w:sz w:val="12"/>
                <w:szCs w:val="12"/>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shareholders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(34,582)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(55,185)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(21,947)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Loss on extinguishment of Redeemable Common Equivalent Preferred Units, net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common shareholders</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(34,743)</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(77,633)</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Loss per common share</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Weighted-average number of shares outstanding</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80,684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48,444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34,472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80,684</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48,444</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Retroactively adjusted for de-SPAC merger transaction as described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20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4"/>
                <w:szCs w:val="14"/>
                <w:color w:val="auto"/>
              </w:rPr>
            </w:pPr>
          </w:p>
        </w:tc>
      </w:tr>
      <w:tr>
        <w:trPr>
          <w:trHeight w:val="142"/>
        </w:trPr>
        <w:tc>
          <w:tcPr>
            <w:tcW w:w="49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(34,567)</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(55,461)</w:t>
            </w: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(21,308)</w:t>
            </w:r>
          </w:p>
        </w:tc>
        <w:tc>
          <w:tcPr>
            <w:tcW w:w="20" w:type="dxa"/>
            <w:vAlign w:val="bottom"/>
          </w:tcPr>
          <w:p>
            <w:pPr>
              <w:spacing w:after="0"/>
              <w:rPr>
                <w:sz w:val="12"/>
                <w:szCs w:val="12"/>
                <w:color w:val="auto"/>
              </w:rPr>
            </w:pPr>
          </w:p>
        </w:tc>
      </w:tr>
      <w:tr>
        <w:trPr>
          <w:trHeight w:val="14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gain (loss) on derivative instruments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9,717</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(18,114)</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8,178</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2"/>
                <w:szCs w:val="12"/>
                <w:color w:val="auto"/>
              </w:rPr>
            </w:pPr>
          </w:p>
        </w:tc>
      </w:tr>
      <w:tr>
        <w:trPr>
          <w:trHeight w:val="142"/>
        </w:trPr>
        <w:tc>
          <w:tcPr>
            <w:tcW w:w="5340" w:type="dxa"/>
            <w:vAlign w:val="bottom"/>
            <w:tcBorders>
              <w:top w:val="single" w:sz="8" w:color="CCEEFF"/>
            </w:tcBorders>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9,921</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(18,121)</w:t>
            </w: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8,198</w:t>
            </w:r>
          </w:p>
        </w:tc>
        <w:tc>
          <w:tcPr>
            <w:tcW w:w="20" w:type="dxa"/>
            <w:vAlign w:val="bottom"/>
          </w:tcPr>
          <w:p>
            <w:pPr>
              <w:spacing w:after="0"/>
              <w:rPr>
                <w:sz w:val="12"/>
                <w:szCs w:val="12"/>
                <w:color w:val="auto"/>
              </w:rPr>
            </w:pPr>
          </w:p>
        </w:tc>
      </w:tr>
      <w:tr>
        <w:trPr>
          <w:trHeight w:val="142"/>
        </w:trPr>
        <w:tc>
          <w:tcPr>
            <w:tcW w:w="5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Comprehensive loss</w:t>
            </w: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(24,646)</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(73,582)</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(13,110)</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(276)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20" w:type="dxa"/>
            <w:vAlign w:val="bottom"/>
          </w:tcPr>
          <w:p>
            <w:pPr>
              <w:spacing w:after="0"/>
              <w:rPr>
                <w:sz w:val="12"/>
                <w:szCs w:val="12"/>
                <w:color w:val="auto"/>
              </w:rPr>
            </w:pPr>
          </w:p>
        </w:tc>
      </w:tr>
      <w:tr>
        <w:trPr>
          <w:trHeight w:val="142"/>
        </w:trPr>
        <w:tc>
          <w:tcPr>
            <w:tcW w:w="5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shareholders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(24,661)</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(73,306)</w:t>
            </w: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(13,749)</w:t>
            </w:r>
          </w:p>
        </w:tc>
        <w:tc>
          <w:tcPr>
            <w:tcW w:w="20" w:type="dxa"/>
            <w:vAlign w:val="bottom"/>
          </w:tcPr>
          <w:p>
            <w:pPr>
              <w:spacing w:after="0"/>
              <w:rPr>
                <w:sz w:val="12"/>
                <w:szCs w:val="12"/>
                <w:color w:val="auto"/>
              </w:rPr>
            </w:pPr>
          </w:p>
        </w:tc>
      </w:tr>
      <w:tr>
        <w:trPr>
          <w:trHeight w:val="149"/>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(161)</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(1,316)</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Loss on extinguishment of Redeemable Common Equivalent Preferred Units, net</w:t>
            </w:r>
          </w:p>
        </w:tc>
        <w:tc>
          <w:tcPr>
            <w:tcW w:w="2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(2,870)</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(4,380)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2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(13,882)</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(24,208)</w:t>
            </w:r>
          </w:p>
        </w:tc>
        <w:tc>
          <w:tcPr>
            <w:tcW w:w="20" w:type="dxa"/>
            <w:vAlign w:val="bottom"/>
          </w:tcPr>
          <w:p>
            <w:pPr>
              <w:spacing w:after="0"/>
              <w:rPr>
                <w:sz w:val="12"/>
                <w:szCs w:val="12"/>
                <w:color w:val="auto"/>
              </w:rPr>
            </w:pPr>
          </w:p>
        </w:tc>
      </w:tr>
      <w:tr>
        <w:trPr>
          <w:trHeight w:val="142"/>
        </w:trPr>
        <w:tc>
          <w:tcPr>
            <w:tcW w:w="534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common shareholders</w:t>
            </w:r>
          </w:p>
        </w:tc>
        <w:tc>
          <w:tcPr>
            <w:tcW w:w="200" w:type="dxa"/>
            <w:vAlign w:val="bottom"/>
            <w:tcBorders>
              <w:top w:val="single" w:sz="8" w:color="auto"/>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(24,822)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(95,754)</w:t>
            </w: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(37,957)</w:t>
            </w:r>
          </w:p>
        </w:tc>
        <w:tc>
          <w:tcPr>
            <w:tcW w:w="2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r>
        <w:rPr>
          <w:rFonts w:ascii="Times New Roman" w:cs="Times New Roman" w:eastAsia="Times New Roman" w:hAnsi="Times New Roman"/>
          <w:sz w:val="26"/>
          <w:szCs w:val="26"/>
          <w:b w:val="1"/>
          <w:bCs w:val="1"/>
          <w:color w:val="auto"/>
          <w:vertAlign w:val="superscript"/>
        </w:rPr>
        <w:t>(1)</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218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auto"/>
              </w:rPr>
              <w:t>(Thousands)</w:t>
            </w:r>
          </w:p>
        </w:tc>
        <w:tc>
          <w:tcPr>
            <w:tcW w:w="76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34,202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59,570</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(205,570)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3,820</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2,097</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(139,741)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8,198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Borders>
              <w:bottom w:val="single" w:sz="8" w:color="CCEEFF"/>
            </w:tcBorders>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Accumulating preferred dividends</w:t>
            </w: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Borders>
              <w:bottom w:val="single" w:sz="8" w:color="CCEEFF"/>
            </w:tcBorders>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34,523</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60,628</w:t>
            </w: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(251,725)</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12,018</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2,736</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34,523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60,628</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(251,725)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12,018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(175,998)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(55,185)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(55,461)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shares upon</w:t>
            </w: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closing of de-SPAC merger</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transaction, net of issuance costs, net</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of $3,178 of taxes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PIPE financing</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205,694</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205,900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conversion of debt to equity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24,975</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conversion of Common Equivalent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Preferred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Public Warrant exercise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acquisitions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23,416</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Equivalent Preferred Unit</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dividends ($0.02 per unit)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Loss on extinguishment of Common</w:t>
            </w: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Equivalent Preferred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Preferred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(18,121)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2,628</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Borders>
              <w:bottom w:val="single" w:sz="8" w:color="CCEEFF"/>
            </w:tcBorders>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Accumulating preferred dividends</w:t>
            </w: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(13,882)</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(13,882)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60" w:type="dxa"/>
            <w:vAlign w:val="bottom"/>
            <w:tcBorders>
              <w:bottom w:val="single" w:sz="8" w:color="CCEEFF"/>
            </w:tcBorders>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75,020</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342,664</w:t>
            </w: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(328,042)</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(6,103)</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2,460</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Retroactively adjusted for de-SPAC merger transaction as described in Note 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57</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5"/>
        </w:trPr>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3"/>
                <w:szCs w:val="13"/>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2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(Thousands)</w:t>
            </w:r>
          </w:p>
        </w:tc>
        <w:tc>
          <w:tcPr>
            <w:tcW w:w="88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1"/>
                <w:szCs w:val="11"/>
                <w:color w:val="auto"/>
              </w:rPr>
            </w:pPr>
          </w:p>
        </w:tc>
        <w:tc>
          <w:tcPr>
            <w:tcW w:w="880" w:type="dxa"/>
            <w:vAlign w:val="bottom"/>
            <w:gridSpan w:val="2"/>
          </w:tcPr>
          <w:p>
            <w:pPr>
              <w:jc w:val="right"/>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4"/>
              </w:rPr>
              <w:t>Equity (Deficit)</w:t>
            </w:r>
          </w:p>
        </w:tc>
      </w:tr>
      <w:tr>
        <w:trPr>
          <w:trHeight w:val="128"/>
        </w:trPr>
        <w:tc>
          <w:tcPr>
            <w:tcW w:w="20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75,020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342,664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(328,042)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(6,103)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2,460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11,729</w:t>
            </w:r>
          </w:p>
        </w:tc>
      </w:tr>
      <w:tr>
        <w:trPr>
          <w:trHeight w:val="135"/>
        </w:trPr>
        <w:tc>
          <w:tcPr>
            <w:tcW w:w="2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(34,582)</w:t>
            </w:r>
          </w:p>
        </w:tc>
        <w:tc>
          <w:tcPr>
            <w:tcW w:w="8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(34,567)</w:t>
            </w:r>
          </w:p>
        </w:tc>
      </w:tr>
      <w:tr>
        <w:trPr>
          <w:trHeight w:val="117"/>
        </w:trPr>
        <w:tc>
          <w:tcPr>
            <w:tcW w:w="220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117"/>
        </w:trPr>
        <w:tc>
          <w:tcPr>
            <w:tcW w:w="220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Public Warrant exercise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w:t>
            </w:r>
          </w:p>
        </w:tc>
      </w:tr>
      <w:tr>
        <w:trPr>
          <w:trHeight w:val="117"/>
        </w:trPr>
        <w:tc>
          <w:tcPr>
            <w:tcW w:w="220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17"/>
        </w:trPr>
        <w:tc>
          <w:tcPr>
            <w:tcW w:w="220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2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Series A Convertible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3"/>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r>
      <w:tr>
        <w:trPr>
          <w:trHeight w:val="117"/>
        </w:trPr>
        <w:tc>
          <w:tcPr>
            <w:tcW w:w="220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(2,475)</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17"/>
        </w:trPr>
        <w:tc>
          <w:tcPr>
            <w:tcW w:w="220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shares, net of</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issuance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117,648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117,767</w:t>
            </w:r>
          </w:p>
        </w:tc>
      </w:tr>
      <w:tr>
        <w:trPr>
          <w:trHeight w:val="117"/>
        </w:trPr>
        <w:tc>
          <w:tcPr>
            <w:tcW w:w="220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(161)</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35"/>
        </w:trPr>
        <w:tc>
          <w:tcPr>
            <w:tcW w:w="2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9,921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9,921</w:t>
            </w:r>
          </w:p>
        </w:tc>
      </w:tr>
      <w:tr>
        <w:trPr>
          <w:trHeight w:val="135"/>
        </w:trPr>
        <w:tc>
          <w:tcPr>
            <w:tcW w:w="22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8,708</w:t>
            </w:r>
          </w:p>
        </w:tc>
      </w:tr>
      <w:tr>
        <w:trPr>
          <w:trHeight w:val="135"/>
        </w:trPr>
        <w:tc>
          <w:tcPr>
            <w:tcW w:w="2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(2,977)</w:t>
            </w:r>
          </w:p>
        </w:tc>
        <w:tc>
          <w:tcPr>
            <w:tcW w:w="6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(2,977)</w:t>
            </w:r>
          </w:p>
        </w:tc>
      </w:tr>
      <w:tr>
        <w:trPr>
          <w:trHeight w:val="128"/>
        </w:trPr>
        <w:tc>
          <w:tcPr>
            <w:tcW w:w="2200" w:type="dxa"/>
            <w:vAlign w:val="bottom"/>
            <w:tcBorders>
              <w:top w:val="single" w:sz="8" w:color="CCEEFF"/>
              <w:bottom w:val="single" w:sz="8" w:color="CCEEFF"/>
            </w:tcBorders>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88,051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471,666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(362,624)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113,740</w:t>
            </w: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5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340" w:type="dxa"/>
            <w:vAlign w:val="bottom"/>
            <w:gridSpan w:val="2"/>
          </w:tcPr>
          <w:p>
            <w:pPr>
              <w:jc w:val="right"/>
              <w:ind w:right="1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(34,567)</w:t>
            </w:r>
          </w:p>
        </w:tc>
        <w:tc>
          <w:tcPr>
            <w:tcW w:w="3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(55,461)</w:t>
            </w:r>
          </w:p>
        </w:tc>
        <w:tc>
          <w:tcPr>
            <w:tcW w:w="36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26,584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24,210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8,708</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Paid-in-kind interest added to debt principal</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979</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Write-off of unamortized deferred financing fees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Loss on debt extinguishment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Mark-to-market adjustments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29,675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Foreign currency transactions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Deferred income tax benefit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(6,512)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(16,789)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(46,770)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Derivative assets and liabilities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6,440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(22,937)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Prepaid expense and other assets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(15,476)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(59,292)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27,646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Accrued liabilities and other</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(5,826)</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2,685</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(64,064)</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(56,628)</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2,877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property, plant and equipment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(164,611)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(63,261)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intangible assets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(14,885)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Acquisition of equity method investments and non-marketable securities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4,144</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(168,355)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(74,169)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(22,647)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debt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(199,196)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(438,571)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(111,313)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258,490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328,539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119,740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supply chain financing program</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(32,141)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supply chain financing program</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110,217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related party debt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11,700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Debt extinguishment costs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(3,158)</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(6,007)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de-SPAC merger and PIPE financing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255,737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common equity issuance costs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(23,998)</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common equity issuance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118,767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preferred equity issuance costs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proceeds from (repayments of) repurchase agreements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(6,268)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14,588</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848</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exercise of Public Warrants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2,632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Common equivalent preferred dividends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purchase of non-controlling interest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taxes for net share settlement of equity awards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(2,977)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the issuance of common equivalent preferred units</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17,000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244,214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134,676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23,839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(344)</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increase in cash and cash equivalents and restricted cash</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11,435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3,535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26,405</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22,870</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18,652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37,840</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26,405</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340" w:type="dxa"/>
            <w:vAlign w:val="bottom"/>
            <w:gridSpan w:val="2"/>
          </w:tcPr>
          <w:p>
            <w:pPr>
              <w:jc w:val="right"/>
              <w:ind w:right="1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23,124</w:t>
            </w:r>
          </w:p>
        </w:tc>
        <w:tc>
          <w:tcPr>
            <w:tcW w:w="3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8,811</w:t>
            </w:r>
          </w:p>
        </w:tc>
        <w:tc>
          <w:tcPr>
            <w:tcW w:w="36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Accumulating preferred dividends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13,882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w w:val="98"/>
              </w:rPr>
              <w:t>Exchange of Redeemable Common Equivalent Preferred Units for Series A Convertible Preferred Shares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271,539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Exchange of Redeemable Common Equivalent Preferred Units for common shares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24,214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Related party debt exchanged for common shares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Loss on extinguishment of Common Equivalent Preferred Units</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2,870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340" w:type="dxa"/>
            <w:vAlign w:val="bottom"/>
            <w:gridSpan w:val="2"/>
          </w:tcPr>
          <w:p>
            <w:pPr>
              <w:jc w:val="right"/>
              <w:ind w:right="1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29,446</w:t>
            </w:r>
          </w:p>
        </w:tc>
        <w:tc>
          <w:tcPr>
            <w:tcW w:w="34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30,448</w:t>
            </w:r>
          </w:p>
        </w:tc>
        <w:tc>
          <w:tcPr>
            <w:tcW w:w="360" w:type="dxa"/>
            <w:vAlign w:val="bottom"/>
            <w:gridSpan w:val="2"/>
          </w:tcPr>
          <w:p>
            <w:pPr>
              <w:jc w:val="right"/>
              <w:ind w:right="10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Cash paid for income taxes, net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83"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spacing w:after="0" w:line="180"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operates three manufacturing facilities in Concord, North Carolina, one in North Little Rock, Arkansas, one in Richmond, California, one in Kigali, Rwanda, and one in Johor Bahru, Malaysia. The Company is currently completing the build out of its Conway, Arkansas facility, which is expected to begin commercial production in 2024.</w:t>
      </w:r>
    </w:p>
    <w:p>
      <w:pPr>
        <w:spacing w:after="0" w:line="1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August 26, 2022 (the “Closing Date”),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 Company.” Pursuant to the Transaction Agreement, Merger Sub I merged with and into Riverview, with Riverview surviving the merger as a direct wholly owned subsidiary of the Company (such merger, the “SPAC Merger”) and immediately following the consummation of the SPAC Merger, Riverview merged with and into Merger Sub II, with Merger Sub II surviving the merger as a direct wholly owned subsidiary of the Company (the “LLC Merger”, and together with the SPAC Merger, the “Mergers”). See Note 4 for additional disclosures related to the Transaction</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stock, par value $0.01 per share, of the Company (the “Common Shares”) at a purchase price per share of $10.00 for aggregate gross proceeds to the Company of $50.0 million (such transaction, the “HF Investment”). On August 3, 2023, the HF Investment closed after the expiration of the applicable waiting period under the Hart-Scott-Rodino Antitrust Improvements Act of 1976, as amended.</w:t>
      </w:r>
    </w:p>
    <w:p>
      <w:pPr>
        <w:spacing w:after="0" w:line="189"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at a purchase price per share of $10.00 for aggregate gross proceeds to the Company of $50.0 million (such transactions the “PIPE Investments”). On August 3, 2023, the Company closed on the PIPE Investments.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July 24, 2023, affiliates of Brown Brothers Harriman &amp; Co. (the “BBH Investors”) exercised preemptive rights (the “BBH Preemptive Rights”) to purchase approximately 1.9 million Common Shares at a purchase price per share of $10.00, under the terms of that certain Investor Rights Agreement, dated April 4, 2022, by and among the Company, the BBH Investors, and the other parties thereto. On August 7, 2023, the Company sold and issued the Common Shares to the BBH Investors, receiving aggregate gross proceeds of approximately $18.8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using the U.S. dollar as the reporting currency. The Consolidated Financial Statements include the activities of the Company and its wholly owned and/or controlled subsidiaries. All intercompany balances and transactions have been eliminated.</w:t>
      </w:r>
    </w:p>
    <w:p>
      <w:pPr>
        <w:spacing w:after="0" w:line="18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shares of Common Shares. Due to the Company’s controlling financial interest in Falcon prior to the purchase, the transaction was accounted for as an equity transaction. For periods prior to April 3, 2023, equity interests not owned by us are reflected as non-controlling interests. In the Consolidated Statements of Operations, we allocate net income (loss) attributable to non-controlling interest to arrive at net income (loss) attributable to common shareholders based on their proportionate share. Falcon operates our trading business and is reported within our Sustainable Sourcing &amp; Traceability segment.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Unit Conversion</w:t>
      </w:r>
    </w:p>
    <w:p>
      <w:pPr>
        <w:spacing w:after="0" w:line="227" w:lineRule="exact"/>
        <w:rPr>
          <w:sz w:val="20"/>
          <w:szCs w:val="20"/>
          <w:color w:val="auto"/>
        </w:rPr>
      </w:pPr>
    </w:p>
    <w:p>
      <w:pPr>
        <w:ind w:left="60" w:right="139"/>
        <w:spacing w:after="0" w:line="276" w:lineRule="auto"/>
        <w:rPr>
          <w:sz w:val="20"/>
          <w:szCs w:val="20"/>
          <w:color w:val="auto"/>
        </w:rPr>
      </w:pPr>
      <w:r>
        <w:rPr>
          <w:rFonts w:ascii="Times New Roman" w:cs="Times New Roman" w:eastAsia="Times New Roman" w:hAnsi="Times New Roman"/>
          <w:sz w:val="17"/>
          <w:szCs w:val="17"/>
          <w:color w:val="auto"/>
        </w:rPr>
        <w:t>In connection with the Transaction and pursuant to the Transaction Agreement, (a) each issued and outstanding common unit of the Converting Company (“Common Units”) was automatically converted into 0.1049203474320 Common Shares,</w:t>
      </w:r>
    </w:p>
    <w:p>
      <w:pPr>
        <w:spacing w:after="0" w:line="1" w:lineRule="exact"/>
        <w:rPr>
          <w:sz w:val="20"/>
          <w:szCs w:val="20"/>
          <w:color w:val="auto"/>
        </w:rPr>
      </w:pPr>
    </w:p>
    <w:p>
      <w:pPr>
        <w:ind w:left="60" w:right="99" w:hanging="10"/>
        <w:spacing w:after="0" w:line="251"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common equivalent preferred unit of the Converting Company (the “Common Equivalent Preferred Units”) for which the holder had not elected to convert such unit into shares of Series A convertible preferred stock, par value $0.01 per share, of the Company (the “Westrock Series A Preferred Shares”), automatically converted into 0.1086138208640 Common Shares if such Common Equivalent Preferred Unit was designated a Westrock Series A Common Equivalent Preferred Unit or 0.1049203474320 Common Shares if such Common Equivalent Preferred Unit was designated a Series B Common Equivalent Preferred Unit and (c) each outstanding Common Equivalent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w:t>
      </w:r>
    </w:p>
    <w:p>
      <w:pPr>
        <w:spacing w:after="0" w:line="193"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For the periods prior to the Closing, the number of outstanding units, weighted average number of outstanding units, loss per common unit, equity-based compensation and other financial amounts previously expressed on the basis of Common Units have been retroactively adjusted on the basis of Common Shares reflecting the common unit conversion ratio, as described above.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Certain reclassifications of prior years’ amounts have been made to conform with the current period financial statements presentation. These reclassifications had no impact on prior years’ net income as previously reported.</w:t>
      </w:r>
    </w:p>
    <w:p>
      <w:pPr>
        <w:spacing w:after="0" w:line="200" w:lineRule="exact"/>
        <w:rPr>
          <w:sz w:val="20"/>
          <w:szCs w:val="20"/>
          <w:color w:val="auto"/>
        </w:rPr>
      </w:pPr>
    </w:p>
    <w:p>
      <w:pPr>
        <w:spacing w:after="0" w:line="39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consolidated financial statements.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 xml:space="preserve">In accordance with Accounting Standards Update (“ASU”) 2014-15, </w:t>
      </w:r>
      <w:r>
        <w:rPr>
          <w:rFonts w:ascii="Times New Roman" w:cs="Times New Roman" w:eastAsia="Times New Roman" w:hAnsi="Times New Roman"/>
          <w:sz w:val="17"/>
          <w:szCs w:val="17"/>
          <w:i w:val="1"/>
          <w:iCs w:val="1"/>
          <w:color w:val="auto"/>
        </w:rPr>
        <w:t>Disclosure of Uncertainties about an Entity’s Ability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Continue as a Going Concern (Subtopic 205-40)</w:t>
      </w:r>
      <w:r>
        <w:rPr>
          <w:rFonts w:ascii="Times New Roman" w:cs="Times New Roman" w:eastAsia="Times New Roman" w:hAnsi="Times New Roman"/>
          <w:sz w:val="17"/>
          <w:szCs w:val="17"/>
          <w:color w:val="auto"/>
        </w:rPr>
        <w:t>, the Company has the responsibility to evaluate whether conditions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events raise substantial doubt about its ability to meet its obligations as they become due within one year after the date that the financial statements are available to be issued. The Company is dependent on borrowings under its Credit Agreement and cash generated from operations to finance its operations, service its debt requirements, maintain compliance with its covenants, and to fund capital requirements. The Company believes that proceeds from the equity issuance in August 2023 described in Note 1, the issuance of convertible notes described in Note 23, projected cash flow from operations and available borrowings under its Credit Agreement, as amended, as described in Note 23, will be sufficient to fund operations for at least the next twelve months. However, during the years ended December 31, 2023, 2022 and 2021, we incurred net losses of $34.6 million, $55.5 million and $21.3 million, respectively, and if we are unable to meet our financial targets and generate sufficient cash flows from operations, it may restrict our liquidity and capital resources and our ability to maintain compliance with our financial covenants. During the years ended December 31, 2023 and 2022, net cash used in operating activities was $64.1 million and $56.6 million, respectively, and during the year ended December 31, 2021, net cash provided by operating activities was $2.9 million. As management’s ability to amend its financial covenants cannot be assured, management has committed to raise additional capital, delay growth capital expenditures and/or reduce operating expenses, including headcount, salary and/or bonus reductions, all of which are in the Company’s control, as necessary, in order to have adequate liquidity and to remain in compliance with its debt covenants. The accompanying Consolidated Financial Statements have been prepared assuming that the Company will continue as a going concern, which contemplates the realization of assets and satisfaction of liabilities in the ordinary course of business.</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all highly liquid investments with original maturities not exceeding three months at the time of purchase. The fair values of our cash and cash equivalents approximate the amounts shown on our Consolidated Balance Sheets due to their short-term nature.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Restricted cash represents cash maintained in margin accounts in accordance with futures market and broker regulations. In accordance with the Company’s accounting policy, the Company does not adjust the value of its derivative assets or liabilities by the amount of cash held in margin accounts.</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cash and cash equivalents and restricted cash is as follows: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w:t>
            </w: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w:t>
            </w: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w:t>
            </w:r>
          </w:p>
        </w:tc>
      </w:tr>
      <w:tr>
        <w:trPr>
          <w:trHeight w:val="20"/>
        </w:trPr>
        <w:tc>
          <w:tcPr>
            <w:tcW w:w="5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Activity in the allowance for credit losses was as follows:</w:t>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3" w:lineRule="exact"/>
        <w:rPr>
          <w:sz w:val="20"/>
          <w:szCs w:val="20"/>
          <w:color w:val="auto"/>
        </w:rPr>
      </w:pPr>
    </w:p>
    <w:p>
      <w:pPr>
        <w:ind w:left="60" w:right="1500"/>
        <w:spacing w:after="0" w:line="255" w:lineRule="auto"/>
        <w:rPr>
          <w:sz w:val="20"/>
          <w:szCs w:val="20"/>
          <w:color w:val="auto"/>
        </w:rPr>
      </w:pPr>
      <w:r>
        <w:rPr>
          <w:rFonts w:ascii="Times New Roman" w:cs="Times New Roman" w:eastAsia="Times New Roman" w:hAnsi="Times New Roman"/>
          <w:sz w:val="18"/>
          <w:szCs w:val="18"/>
          <w:color w:val="auto"/>
        </w:rPr>
        <w:t>Charged to selling, general and administrative expense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-141605</wp:posOffset>
            </wp:positionV>
            <wp:extent cx="56489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17316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48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7" w:lineRule="exact"/>
        <w:rPr>
          <w:sz w:val="20"/>
          <w:szCs w:val="20"/>
          <w:color w:val="auto"/>
        </w:rPr>
      </w:pPr>
    </w:p>
    <w:p>
      <w:pPr>
        <w:spacing w:after="0"/>
        <w:tabs>
          <w:tab w:leader="none" w:pos="780" w:val="left"/>
          <w:tab w:leader="none" w:pos="146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3,023</w:t>
        <w:tab/>
        <w:t>$</w:t>
      </w:r>
      <w:r>
        <w:rPr>
          <w:sz w:val="20"/>
          <w:szCs w:val="20"/>
          <w:color w:val="auto"/>
        </w:rPr>
        <w:tab/>
      </w:r>
      <w:r>
        <w:rPr>
          <w:rFonts w:ascii="Times New Roman" w:cs="Times New Roman" w:eastAsia="Times New Roman" w:hAnsi="Times New Roman"/>
          <w:sz w:val="17"/>
          <w:szCs w:val="17"/>
          <w:color w:val="auto"/>
        </w:rPr>
        <w:t>3,749</w:t>
      </w:r>
    </w:p>
    <w:p>
      <w:pPr>
        <w:spacing w:after="0" w:line="7" w:lineRule="exact"/>
        <w:rPr>
          <w:sz w:val="20"/>
          <w:szCs w:val="20"/>
          <w:color w:val="auto"/>
        </w:rPr>
      </w:pPr>
    </w:p>
    <w:p>
      <w:pPr>
        <w:ind w:left="2280" w:hanging="1343"/>
        <w:spacing w:after="0"/>
        <w:tabs>
          <w:tab w:leader="none" w:pos="2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1,790</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(1,087)(2,516)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17316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tabs>
          <w:tab w:leader="none" w:pos="780" w:val="left"/>
          <w:tab w:leader="none" w:pos="146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2,915</w:t>
        <w:tab/>
        <w:t>$</w:t>
      </w:r>
      <w:r>
        <w:rPr>
          <w:sz w:val="20"/>
          <w:szCs w:val="20"/>
          <w:color w:val="auto"/>
        </w:rPr>
        <w:tab/>
      </w:r>
      <w:r>
        <w:rPr>
          <w:rFonts w:ascii="Times New Roman" w:cs="Times New Roman" w:eastAsia="Times New Roman" w:hAnsi="Times New Roman"/>
          <w:sz w:val="17"/>
          <w:szCs w:val="17"/>
          <w:color w:val="auto"/>
        </w:rPr>
        <w:t>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73164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31645" cy="25400"/>
                    </a:xfrm>
                    <a:prstGeom prst="rect">
                      <a:avLst/>
                    </a:prstGeom>
                    <a:noFill/>
                  </pic:spPr>
                </pic:pic>
              </a:graphicData>
            </a:graphic>
          </wp:anchor>
        </w:drawing>
      </w:r>
    </w:p>
    <w:p>
      <w:pPr>
        <w:spacing w:after="0" w:line="665" w:lineRule="exact"/>
        <w:rPr>
          <w:sz w:val="20"/>
          <w:szCs w:val="20"/>
          <w:color w:val="auto"/>
        </w:rPr>
      </w:pPr>
    </w:p>
    <w:p>
      <w:pPr>
        <w:sectPr>
          <w:pgSz w:w="11900" w:h="16838" w:orient="portrait"/>
          <w:cols w:equalWidth="0" w:num="2">
            <w:col w:w="5500" w:space="720"/>
            <w:col w:w="2799"/>
          </w:cols>
          <w:pgMar w:left="1440" w:top="513" w:right="1440" w:bottom="1440" w:gutter="0" w:footer="0" w:header="0"/>
          <w:type w:val="continuous"/>
        </w:sectPr>
      </w:pPr>
    </w:p>
    <w:p>
      <w:pPr>
        <w:spacing w:after="0" w:line="2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average cost method, or net realizable value. Finished goods and work-in-process include the inventory costs of raw materials, direct labor and manufacturing overhead costs.</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Consolidated Statements of Operations. For the years ended December 31, 2023, 2022 and 2021, we recognized $4.2 million of net unrealized gains, $12.3 million of net unrealized losses and $8.4 million of net unrealized gains, respectively, on green coffee inventory associated with our forward sales and purchase contracts.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ind w:left="60" w:right="279"/>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allocated between cost of sales and selling, general and administrative expense and is determined using the straight-line method over the estimated useful life of the assets. Leasehold improvements are amortized using the straight-line method over the remaining life of the lease or useful life of the asset, whichever is shorter. Maintenance and repairs are charged to operating expense when incurred.</w:t>
      </w:r>
    </w:p>
    <w:p>
      <w:pPr>
        <w:spacing w:after="0" w:line="183"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As part of normal business operations, we identify long-lived assets that are no longer productive and dispose of them. Gains and losses on disposals of assets are presented separately in our Consolidated Statements of Operations as part of operating expenses.</w:t>
      </w:r>
    </w:p>
    <w:p>
      <w:pPr>
        <w:sectPr>
          <w:pgSz w:w="11900" w:h="16838" w:orient="portrait"/>
          <w:cols w:equalWidth="0" w:num="1">
            <w:col w:w="9019"/>
          </w:cols>
          <w:pgMar w:left="1440" w:top="513" w:right="1440" w:bottom="1440" w:gutter="0" w:footer="0" w:header="0"/>
          <w:type w:val="continuous"/>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year ended December 31, 2023, we capitalized approximately $3.2 million of interest costs. No such interest was capitalized during the year ended December 31, 2022.</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Amounts paid by the financing provider to suppliers are reported as cash inflows from financing activities and a corresponding cash outflow from operating activities in our Consolidated Statements of Cash Flows. Amounts paid to the financing provider are reflected as cash outflows from financing activities in our Consolidated Statements of Cash Flows. As of December 31, 2023, there were $78.1 million obligations outstanding under the Program. There were no such obligations outstanding as of December 31, 2022.</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110,217</w:t>
            </w:r>
          </w:p>
        </w:tc>
      </w:tr>
      <w:tr>
        <w:trPr>
          <w:trHeight w:val="216"/>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w:t>
            </w:r>
          </w:p>
        </w:tc>
      </w:tr>
      <w:tr>
        <w:trPr>
          <w:trHeight w:val="20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end of the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78,076</w:t>
            </w:r>
          </w:p>
        </w:tc>
      </w:tr>
      <w:tr>
        <w:trPr>
          <w:trHeight w:val="20"/>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Goodwill – Intangible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2023, all of our goodwill is assigned to our Beverage Solutions reporting unit. Unless circumstances otherwise dictate, the annual impairment test is performed as of October 1.</w:t>
      </w:r>
    </w:p>
    <w:p>
      <w:pPr>
        <w:spacing w:after="0" w:line="1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first evaluate impairment of goodwill by assessing qualitative factors to determine whether it is more likely than not that the fair value of our reporting unit is less than its carrying amount (the “Step Zero” analysis). If the Step Zero analysis indicates that it is more likely than not that the fair value of our reporting unit is less than its carrying amount, we will perform a quantitative assessment of goodwill impairment.</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circumstances affecting the reporting unit. If we choose to perform a qualitative assessment and, after consideration of all relevant factors and circumstances, we determine that it is more likely than not that a reporting unit’s fair value is less than its carrying value, we would perform a quantitative fair value test.</w:t>
      </w:r>
    </w:p>
    <w:p>
      <w:pPr>
        <w:spacing w:after="0" w:line="18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 multiples paid in recent transactions. We evaluate the appropriateness of each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valuation methodology in determining the weighting applied to each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Operations not to exceed the carrying value of goodwill.</w:t>
      </w:r>
    </w:p>
    <w:p>
      <w:pPr>
        <w:spacing w:after="0" w:line="164"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will prove to be an accurate prediction of future results. Key assumptions include our expected revenue growth rates, operating profits, levels of capital expenditures, and costs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73"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completed a qualitative analysis to evaluate impairment of goodwill and concluded that it was more likely than not that the fair value of our goodwill reporting unit exceeded the carrying amount. As a result, the Company concluded that no impairment existed in the year ending December 31, 2023.</w:t>
      </w:r>
    </w:p>
    <w:p>
      <w:pPr>
        <w:spacing w:after="0" w:line="176"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We reached this conclusion based on consideration of the significant excess fair value over carrying value of previous quantitative goodwill impairment evaluations, the recently completed PIPE Investment and the Company’s current market capitalization. Our previous quantitative goodwill analysis indicated that the estimated fair value of our reporting units exceeded their carrying values by over 50%. Subsequent to that evaluation, we have noted no events or circumstances that would indicate that it is more likely than not that the carrying value of our reporting units exceed their fair value.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Property, Plant and Equipment</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review our property, plant and equipment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For the years ended December 31, 2023, 2022 and 2021, there were no events or changes in circumstances indicating that the carrying amount of any of our asset groups were not recoverable from future undiscounted cash flows we expect the asset groups to generate, and no impairment losses were recognized.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of December 31, 2023, our intangible assets subject to amortization, net of accumulated amortization were $122.9 million. Intangible assets, including acquired finite-lived intangible assets, are amortized on a straight-line basis over their remaining useful lives. The useful life for the customer relationship intangible assets acquired in our acquisitions was determined to be the expected remaining life of those relationships on a basis that reflects the pattern of realization. Other intangible assets are amortized over their expected recovery periods.</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tested for impairment with the applicable asset group and evaluated for impairment along with property, plant and equipment. For the years ended December 31, 2023, 2022 and 2021, no impairment losses were recognized related to intangible assets subject to amortization.</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account for warrants assumed in connection with the Transaction (see Note 4)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Consolidated Statements of Operations.</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Company re-measures the fair value of the Westrock Public Warrants (as defined in Note 4) based on the quoted market price of the Westrock Public Warrants. The Westrock Private Warrants (as defined in Note 4) are valued using a binomial lattice valuation model. For the years ended December 31, 2023 and 2022, the Company recognized $10.2 million of gains and $29.7 million of losses, respectively, related to the change in fair value of warrant liabilities, which is recognized in other (income) expense in the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equity method of accounting is used for investments in entities, partnerships and similar interests in which we have significant influence but do not control. Under the equity method, we adjust our investment in unconsolidated entities for additional contributions made, distributions received and income or losses from our pro-rata share of these unconsolidated entities’ net income or loss. At December 31, 2023, we had a $0.4 million investment in one unconsolidated entity, which is recorded in other long-term assets on the Consolidated Balance Sheets.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Company holds strategic investments in other companies. These investments are accounted for under the measurement alternative described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equity investments that do not have readily determinable fair values. These investments are measured at cost, less impairment, if any. The Company does not exercise significant influence over these companies. These investments are recorded in other long-term assets on the Consolidated Balance Sheets. At December 31, 2023, the Company had equity investments with a carrying value of approximately $1.0 million, for which there is no readily determinable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Debt issuance costs consist primarily of loan origination fees, underwriting, legal and other direct costs related to the issuance of debt. Fees related to the issuance of our Term Loan Facility are capitalized and amortized to interest expense over the term of the debt using the frozen effective yield method. The unamortized amount is presented as a reduction of long-term debt on the Consolidated Balance Sheets. Fees related to our Revolving Credit Facility are amortized ratably over the term of the Revolving Credit Facility and are included in other long-term assets in the accompanying Consolidated Balance Sheets. Amortization of deferred debt issuance costs are included in interest expense in the Consolidated Statements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We use derivative financial instruments to manage our exposure to movements in certain commodity prices, primarily green coffee. All derivative instruments are valued at fair value in the Consolidated Balance Sheets. We do not use derivative instruments for speculative purposes.</w:t>
      </w:r>
    </w:p>
    <w:p>
      <w:pPr>
        <w:spacing w:after="0" w:line="1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For coffee-related derivative instruments designated as cash flow hedges, the change in fair value of the derivative is reported as accumulated other comprehensive income (loss) (“AOCI”) and subsequently reclassified into product costs of sales in the period, or periods, when the hedged transaction affects earnings. Due to the high degree of effectiveness between the hedging instruments and the underlying exposures being hedged, fluctuations in the value of the derivative instruments are generally offset by changes in the fair values of the cash flows of the underlying exposures being hedged. The change in fair value of derivatives that were not designated and/or did not qualify as hedging instruments are immediately recognized in earnings.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revenue consists of products and services which are accounted for under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(“ASC 606”) and from commodity contracts that are accounted for under ASC 815.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 net of sales returns, when ownership passes to customers for products manufactured in our own plants and/or by third parties on our behalf, and when prices to our customers are fixed or determinable and collection is reasonably assured. This may be upon shipment of goods or upon delivery to the customer, depending on the contractual terms. Shipping and handling costs paid by the customer to us are included in revenue. Although we occasionally accept returns of products from our customers, historically returns have not been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participate in various incentive programs with our customers, including volume-based incentives, contractual rebates and promotional allowances. Volume incentives are based on our customers achieving volume targets for a period of time. Volume incentives and contractual rebates are deducted from revenue and accrued as the incentives are earned and are based on management’s estimate of the total the customer is expected to earn and claim. Promotional allowances are accrued at the time of revenue recognition and are deducted from revenue based on either the volume shipped, or the volume sold at the retailer location, depending on the terms of the allowance. We regularly review customer sales forecasts to ensure volume targets will be met and adjust incentive accruals and revenues accordingly.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osts of Sales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record costs associated with the manufacturing of our products in costs of sales. Finished goods inventory costs include the costs of direct labor and materials and the applicable share of overhead expense chargeable to production.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We record all other expenses not charged to production as selling, general and administrative expense, except those meeting the definition of transaction, restructuring and integration expenses. Advertising costs are expensed at the commencement of an advertising campaign and are recognized as a component of selling, general and administrative expense. For the years ended December 31, 2023, 2022 and 2021, advertising expenses were approximately $1.9 million, $3.6 million and $2.9 million,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Shipping and handling costs incurred to deliver products from our locations to the end-user consumer of those products are recorded in selling, general and administrative expense in our Consolidated Statements of Operations. Shipping and handling costs included in selling, general and administrative expense were $17.8 million, $22.1 million and $19.9 million, for the years ended December 31, 2023, 2022 and 2021, respectively.</w:t>
      </w:r>
    </w:p>
    <w:p>
      <w:pPr>
        <w:spacing w:after="0" w:line="18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Shipping and handling costs incurred to store, prepare, and move products between production facilities or from production facilities to branch locations or storage facilities are recorded in costs of sales.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22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have determined that our equity-based awards qualify as equity classified awards, and are measured based on the fair value of the award on the date of the grant. See Note 16.</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The functional currency of our Rwandan subsidiary is the Rwandan Franc. All other international subsidiaries of the Company use the U.S. Dollar as their functional currency. The assets and liabilities of non-U.S. active operations are translated to U.S. dollars at the exchange rates in effect at the balance sheet dates. Revenues and expenses are translated using average monthly exchange rates prevailing during the period. The resulting gains or losses are recorded in AOCI.</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using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based on the technical merits. The second step requires management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w:t>
      </w:r>
    </w:p>
    <w:p>
      <w:pPr>
        <w:spacing w:after="0" w:line="188"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income tax benefit line in the accompanying Consolidated Statements of Operations, and we include accrued interest and penalties within other long-term liabilities in the accompanying Consolidated Balance Sheets.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The purchase price of each business acquired is allocated to the tangible and intangible assets acquired and the liabilities assumed based on information regarding their respective fair values on the date of acquisition. Any excess of the purchase price over the fair value of the separately identifiable assets acquired and the liabilities assumed is allocated to goodwill. The fair value of the acquired assets and liabilities assumed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costs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 The results of operations of businesses acquired are included in the Company’s Consolidated Financial Statements from their dates of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Restructuring and Integration Expense</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expenses non-capitalizable transaction, restructuring and integration expenses in the period in which they are incurred and services are received. Transaction costs represent incremental transaction pursuit and unsuccessful pursuit costs, including professional services (legal, accounting, advisory, etc.), finder’s fees and other direct expenses associated with an acquisition or other capital markets transactions. Restructuring and integration costs include direct costs related to restructuring activities, and costs necessary to integrate an acquired business, including professional services, systems and data conversions, severance and retention bonuses to employees of an acquired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Update ASU 2016-02 – Leases (Topic 842) and Update ASU 2018-10 – Codification Improvements to Topic 842, Leases</w:t>
      </w:r>
    </w:p>
    <w:p>
      <w:pPr>
        <w:spacing w:after="0" w:line="11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2022, 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standard 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statement of operations.</w:t>
      </w:r>
    </w:p>
    <w:p>
      <w:pPr>
        <w:spacing w:after="0" w:line="18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 xml:space="preserve">We adopted ASC 842 using a modified retrospective transition approach as permitted by the amendments of Accounting Standards Update (“ASU”) 2018-11 </w:t>
      </w:r>
      <w:r>
        <w:rPr>
          <w:rFonts w:ascii="Times New Roman" w:cs="Times New Roman" w:eastAsia="Times New Roman" w:hAnsi="Times New Roman"/>
          <w:sz w:val="18"/>
          <w:szCs w:val="18"/>
          <w:i w:val="1"/>
          <w:iCs w:val="1"/>
          <w:color w:val="auto"/>
        </w:rPr>
        <w:t>Leases (Topic 842): Target Improvements</w:t>
      </w:r>
      <w:r>
        <w:rPr>
          <w:rFonts w:ascii="Times New Roman" w:cs="Times New Roman" w:eastAsia="Times New Roman" w:hAnsi="Times New Roman"/>
          <w:sz w:val="18"/>
          <w:szCs w:val="18"/>
          <w:color w:val="auto"/>
        </w:rPr>
        <w:t>, which provides an alternative modified retrospective transition method. As a result, we were not required to adjust our comparative period financial information for effects of the standard or make the new required lease disclosures for periods before the date of adoption (i.e., January 1, 2022).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and (ii) the customer has a right to control the use of the identified asset. We enter into lease contracts for manufacturing and production facilities, distribution and warehousing facilities, vehicles and machinery and equipment. Upon adoption, we recognized $13.0 million of ROU assets and lease liabilities on our Consolidated Balance Sheets. See Note 9 for additional disclosures related to leases.</w:t>
      </w:r>
    </w:p>
    <w:p>
      <w:pPr>
        <w:spacing w:after="0" w:line="18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ROU assets are initially measured at cost, which comprises the initial amount of the lease liability adjusted for lease payments made at or before the lease commencement date, plus any initial direct costs incurred, less any lease incentives received. The lease liabilities are initially measured at the present value of the unpaid lease payments at the lease commencement date. Lease expense, for operating leases, is recognized on a straight-line basis over the lease term.</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Key estimates and judgements include the following:</w:t>
      </w:r>
    </w:p>
    <w:p>
      <w:pPr>
        <w:spacing w:after="0" w:line="225" w:lineRule="exact"/>
        <w:rPr>
          <w:sz w:val="20"/>
          <w:szCs w:val="20"/>
          <w:color w:val="auto"/>
        </w:rPr>
      </w:pPr>
    </w:p>
    <w:p>
      <w:pPr>
        <w:ind w:left="1040" w:right="139" w:hanging="639"/>
        <w:spacing w:after="0" w:line="25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xml:space="preserve"> – ASC 842 requires a lessee to discount its unpaid lease payments using the rate implicit in the lease or, if that rate cannot be readily determined, its incremental borrowing rate. As we generally do not know the rate implicit in our leases, we use our incremental borrowing rate, based on the information available at the lease commencement date, in determining the present value of our lease payments. Our incremental borrowing rate for a lease is the rate of interest we would have to pay on a collateralized basis to borrow an amount equal to the lease payments under similar terms.</w:t>
      </w:r>
    </w:p>
    <w:p>
      <w:pPr>
        <w:spacing w:after="0" w:line="187" w:lineRule="exact"/>
        <w:rPr>
          <w:rFonts w:ascii="Times New Roman" w:cs="Times New Roman" w:eastAsia="Times New Roman" w:hAnsi="Times New Roman"/>
          <w:sz w:val="18"/>
          <w:szCs w:val="18"/>
          <w:color w:val="auto"/>
        </w:rPr>
      </w:pPr>
    </w:p>
    <w:p>
      <w:pPr>
        <w:ind w:left="1040" w:right="99" w:hanging="639"/>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term</w:t>
      </w:r>
      <w:r>
        <w:rPr>
          <w:rFonts w:ascii="Times New Roman" w:cs="Times New Roman" w:eastAsia="Times New Roman" w:hAnsi="Times New Roman"/>
          <w:sz w:val="18"/>
          <w:szCs w:val="18"/>
          <w:color w:val="auto"/>
        </w:rPr>
        <w:t xml:space="preserve"> – The lease term for all of our leases includes the noncancellable period of the lease plus any additional periods covered by either a lessee option to extend (or not to terminate) the lease that is reasonably certain to be exercised.</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Variable lease payments associated with our leases are recognized when the event, activity, or circumstance in the lease agreement on which those payments are assessed occurs. Variable lease payments are included in both costs of sales and selling, general and administrative expenses in our Consolidated Statements of Operations.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monitor for events or changes in circumstances that require a reassessment of a lease. When a reassessment results in the remeasurement of a lease liability, a corresponding adjustment is made to the carrying amount of the associated ROU asset, unless doing so would reduce the carrying amount of the ROU asset to an amount less than zero. In that case, the amount of the adjustment that would result in a negative ROU asset is recorded in the Consolidated Statements of Operations.</w:t>
      </w:r>
    </w:p>
    <w:p>
      <w:pPr>
        <w:spacing w:after="0" w:line="183"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 Furthermore, we have elected to combine lease and non-lease components for all contracts. Non-lease components primarily relate to maintenance services related to the leased asset.</w:t>
      </w:r>
    </w:p>
    <w:p>
      <w:pPr>
        <w:spacing w:after="0" w:line="178"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ASU 2022-04 - Liabilities—Supplier Finance Programs (Subtopic 405-50): Disclosure of Supplier Finance Program Obligations</w:t>
      </w:r>
    </w:p>
    <w:p>
      <w:pPr>
        <w:spacing w:after="0" w:line="16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The Company adopted the applicable amendments within ASU 2022-04 on a retrospective basis effective January 1, 2023. The amendments to ASU 2022-04 do not affect the recognition, measurement or financial statement presentation of obligations covered by supplier finance programs.</w:t>
      </w:r>
    </w:p>
    <w:p>
      <w:pPr>
        <w:spacing w:after="0" w:line="186" w:lineRule="exact"/>
        <w:rPr>
          <w:sz w:val="20"/>
          <w:szCs w:val="20"/>
          <w:color w:val="auto"/>
        </w:rPr>
      </w:pPr>
    </w:p>
    <w:p>
      <w:pPr>
        <w:ind w:left="60" w:right="739"/>
        <w:spacing w:after="0" w:line="284" w:lineRule="auto"/>
        <w:rPr>
          <w:sz w:val="20"/>
          <w:szCs w:val="20"/>
          <w:color w:val="auto"/>
        </w:rPr>
      </w:pPr>
      <w:r>
        <w:rPr>
          <w:rFonts w:ascii="Times New Roman" w:cs="Times New Roman" w:eastAsia="Times New Roman" w:hAnsi="Times New Roman"/>
          <w:sz w:val="18"/>
          <w:szCs w:val="18"/>
          <w:i w:val="1"/>
          <w:iCs w:val="1"/>
          <w:color w:val="auto"/>
        </w:rPr>
        <w:t>ASU 2021-08 – Business Combinations (Topic 805): Accounting for Contract Assets and Contract Liabilities from Contracts with Customers</w:t>
      </w:r>
    </w:p>
    <w:p>
      <w:pPr>
        <w:spacing w:after="0" w:line="5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“Business Combinations (Topic 805): Accounting for Contract Assets and Contract Liabilities from Contracts with Customers”, which requires an entity to recognize and measure contract assets and contract liabilities acquired in a business combination in accordance with ASC 606, instead of at fair value on the acquisition date as previously required by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amendments improve comparability after the business combination by providing consistent recognition and measurement guidance for acquired revenue contracts and revenue contracts not acquired in a business combination. ASU 2021-08 was effective for years beginning after December 15, 2022. The adoption of ASU 2021-08 did not have a significant impact on the Company’s financial position or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2023-07 – Segment Reporting (Topic 280): Improvements to Reportable Segment Disclosures</w:t>
      </w:r>
    </w:p>
    <w:p>
      <w:pPr>
        <w:spacing w:after="0" w:line="2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the update are intended to improve reportable segment disclosure requirements, primarily through enhanced disclosures about significant expenses. ASU 2023-07 requires disclosure to include significant segment expenses that are regularly provided to the chief operating decision maker (“CODM”) and a description of other segment items by reportable segment. ASU 2023-07 also requires all annual disclosures currently required by Topic 280 to be included in interim periods. The amendments in the update are effective for fiscal years beginning after December 31, 2023, and interim periods within fiscal years beginning after December 31, 2024, with early adoption permitted. The amendments in the update require retrospective application to all prior periods presented in the financial statements. The Company is currently evaluating the impact that ASU 2023-07 will have on our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2023-09 – Income Taxes (Topic 740): Improvements to Income Tax Disclosures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 amendments in the update should be applied on a prospective basis, with retrospective application permitted. The Company is currently evaluating the impact that ASU 2023-09 will have on our consolidated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De-SPAC Merger Transaction</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the Closing Date, the Company completed the Transaction with Riverview. At Closing, the Company issued 12,868,151 Common Shares to public and class B shareholders of Riverview, receiving $49.8 million of the cash held in the trust account of Riverview, which is net of $17.1 million of Riverview transaction expenses that were either paid by Riverview prior to Closing or offset against proceeds received by the Company at Closing. The 12,868,151 shares issued at Closing include 1,910,000 shares issued to PIPE investors who elected to satisfy their PIPE commitments through the purchase of shares of Class A common stock of Riverview (“Riverview Class A Shares”) on the public market, pursuant to the terms of their respective subscription agreements.</w:t>
      </w:r>
    </w:p>
    <w:p>
      <w:pPr>
        <w:spacing w:after="0" w:line="18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Substantially concurrently with the Closing, the Company received $205.9 million in cash proceeds (which amount excludes contribution to the Company of certain related party notes outstanding immediately prior to Closing) from common stock PIPE investments, issued 20,590,000 Common Shares to the PIPE investors (which share amount excludes the conversion of the related party notes), and entered into a credit agreement that includes (a) a senior secured first lien revolving credit facility in an initial aggregate principal amount of $175.0 million and (b) a senior secured first lien term loan facility in an initial aggregate principal amount of $175.0 million.</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Prior to the Closing, the Company’s ownership interests consist of two classes of equity, referred to as Common Units and Common Equivalent Preferred Units. At inception, each Common Equivalent Preferred Unit has a liquidation preference of $1.00 per unit, increased by an amount accruing at the rate of 10% per annum, compounding annually, based on its liquidation preference as of the time of such accrual, and reduced by the cumulative amount of any cash dividends or distributions, if any, made by the Company in respect of such Common Equivalent Preferred Unit. During the years ended December 31, 2022 and 2021, the Common Equivalent Preferred Units accrued $13.9 million and $24.2 million of liquidation preference, respectively. In connection with the Closing, holders of Common Equivalent Preferred Units were paid a cash dividend totaling $4.4 million, which is equal to the accreted liquidation preference of the Common Equivalent Preferred Units from June 30, 2022 through Closing.</w:t>
      </w:r>
    </w:p>
    <w:p>
      <w:pPr>
        <w:spacing w:after="0" w:line="188"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Pursuant to the Transaction Agreement, (a) each issued and outstanding Common Unit converted into 0.1049203474320 Common Shares, (b) each issued and outstanding Common Equivalent Preferred Unit for which the holder had not elected to convert such unit into shares of Westrock Series A Preferred Shares (see Note 13), automatically converted into</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0.1086138208640 Common Shares if such Westrock Preferred Unit was designated a Series A Common Equivalent Preferred Unit or 0.1049203474320 Common Shares if such Common Equivalent Preferred Unit was designated a Series B Common Equivalent Preferred Unit and (c) each outstanding Westrock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w:t>
      </w:r>
    </w:p>
    <w:p>
      <w:pPr>
        <w:spacing w:after="0" w:line="18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As a result, we issued 34,855,535 Common Shares to holders of Common Units, 2,220,305 Common Shares to holders of Common Equivalent Preferred Units who elected to convert their Common Equivalent Preferred Units into Common Shares, and 23,587,952 Westrock Series A Preferred Shares to holders who elected to convert their Common Equivalent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Preferred Units into Westrock Series A Preferred Shares. During the year ended December 31, 2022, the Company realized a net loss on extinguishment of the Common Equivalent Preferred Units of $2.9 million, including the payment of approximately $1.3 million of issuance costs, which have been recorded within accumulated deficit on our Consolidated Balance Sheets and adjusts earnings attributable to common shareholders in computing basic and diluted earnings per share.</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addition, at Closing, (i) each outstanding share of class B common stock of Riverview (the “Riverview Class B Shares” together with the Riverview Class A Shares, the “Riverview Shares”) (other than the Riverview Class B Shares held as treasury stock, which were automatically cancelled and extinguished at Closing), automatically converted into one Riverview Class A Share, (ii) each outstanding Riverview Class A Share (including the Riverview Class A Shares resulting from the conversion of Riverview Class B Shares at Closing but excluding any Riverview Class A Shares held as treasury stock, which were automatically cancelled and extinguished at Closing) were exchanged for one Common Share, (iii) each outstanding warrant to purchase Riverview Class A Shares (the “Riverview Warrants”) was, by its terms, automatically converted into a comparable warrant to purchase Common Shares (the “Westrock Warrants”) on the terms and subject to the conditions set forth in the warrant agreement for the Riverview Warrants and the amended and restated warrant agreement for the Westrock Warrants, (iv) each Riverview Share held immediately prior to Closing by Riverview as treasury stock was automatically canceled and extinguished and (v) each share of capital stock of Merger Sub I issued and outstanding immediately prior to Closing was automatically canceled and extinguished and converted into one share of common stock, par value $0.01, of the surviving corporation in the SPAC Merger. In connection with obtaining the approval of the Mergers by Riverview’s shareholders, Riverview provided an opportunity for its shareholders to redeem all or a portion of their outstanding Riverview Class A Shares.</w:t>
      </w:r>
    </w:p>
    <w:p>
      <w:pPr>
        <w:spacing w:after="0" w:line="19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Transaction is a capital transaction in substance and not a business combination under ASC 805. As a result, Westrock is treated as the accounting acquirer and Riverview is treated as the acquired company for financial reporting purposes per ASC 805. Accordingly, for accounting purposes, the Transaction is treated similar to an equity contribution in exchange for the issuance of Common Shares.</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combined entity represent a continuation of the financial statements of Westrock, and the net assets of Riverview have been stated at historical cost, with no goodwill or other intangible assets recorded. The equity and net loss per unit attributable to common equity holders of the Company, prior to the Closing, have been retroactively adjusted as shares reflecting the common unit conversion ratio discussed above.</w:t>
      </w:r>
    </w:p>
    <w:p>
      <w:pPr>
        <w:spacing w:after="0" w:line="180"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Proceeds from the Transaction and the $175.0 million term loan facility were used to pay off and terminate our then existing term loan and asset-based lending agreements, and to pay expenses related to the Transaction and the new credit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Company and Riverview incurred $24.0 million and $17.1 million, respectively, of expenses related to the Transaction.</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expenses consist of underwriting fees, professional services (legal, accounting, advisory, etc.) and other direct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associated with the Transaction. Costs incurred by Westrock were initially capitalized as incurred in the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assets on the Consolidated Balance Sheets. As a result of the transaction, $24.0 million of transaction costs incurred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related to the issuance of shares were recognized in additional paid-in capital as a reduction of proceeds.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$17.1 million of expenses incurred by Riverview were either paid by Riverview prior to Closing or netted against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received by the Company at Closing.</w:t>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11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assumed 12,500,000 publicly-traded Riverview Warrants (“Public Warrants”) and 7,400,000 private placement Riverview Warrants (“Private Warrants”), which were originally issued by Riverview in connection with its initial public offering and, as a result of the assumption by the Company, became Westrock Warrants. The Public Warrants assumed by Westrock are referred to as the “Westrock Public Warrants” and the Private Warrants assumed by Westrock are referred to as the “Westrock Private Warrants”. The Westrock Warrants are included in warrant liabilities on the Company’s Consolidated Balance Sheet. The Westrock Warrants entitle the holder to purchase one Common Share at an exercise price of $11.50 per share.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Westrock Warrants may only be exercised for a whole number of shares, and will expire on August 26, 2027 (i.e., five years following the Closing), or earlier upon redemption or liquidation.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During any period when Westrock fails to maintain an effective registration statement registering the Common Shares issuable upon the exercise of the Westrock Warrants, Westrock is required to permit holders of Westrock Warrants to exercise their Westrock Warrants on a “cashless basis” in accordance with Section 3(a)(9) of the Securities Act of 1933, as amended, or another exemption.</w:t>
      </w:r>
    </w:p>
    <w:p>
      <w:pPr>
        <w:spacing w:after="0" w:line="188" w:lineRule="exact"/>
        <w:rPr>
          <w:sz w:val="20"/>
          <w:szCs w:val="20"/>
          <w:color w:val="auto"/>
        </w:rPr>
      </w:pPr>
    </w:p>
    <w:p>
      <w:pPr>
        <w:ind w:left="60" w:right="179"/>
        <w:spacing w:after="0" w:line="312" w:lineRule="auto"/>
        <w:rPr>
          <w:sz w:val="20"/>
          <w:szCs w:val="20"/>
          <w:color w:val="auto"/>
        </w:rPr>
      </w:pPr>
      <w:r>
        <w:rPr>
          <w:rFonts w:ascii="Times New Roman" w:cs="Times New Roman" w:eastAsia="Times New Roman" w:hAnsi="Times New Roman"/>
          <w:sz w:val="17"/>
          <w:szCs w:val="17"/>
          <w:color w:val="auto"/>
        </w:rPr>
        <w:t>If and when the Westrock Public Warrants become redeemable by Westrock, Westrock may exercise its redemption right even if Westrock is unable to register or qualify the underlying securities for sale under all applicable state securities laws.</w:t>
      </w:r>
    </w:p>
    <w:p>
      <w:pPr>
        <w:spacing w:after="0" w:line="14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Westrock Private Warrants, which were initially held by Riverview Sponsor Partners, LLC (the “Riverview Sponsor”), are generally identical to the Westrock Public Warrants, except they cannot be redeemable by Westrock so long as they are held by the Riverview Sponsor or its permitted transferees. Furthermore, the Riverview Sponsor, or its permitted transferees, have the option to exercise the Westrock Private Warrants on a cashless basis. During the year ended December 31, 2023, the Riverview Sponsor transferred ownership of its Westrock Private Warrants. At December 31, 2023, 2,026,046 warrants are held by permitted transferees and retain the rights of the Westrock Private Warrants described above, while 5,373,954 warrants are now redeemable by Westrock and exercisable by the holders on the same basis as the Westrock Public Warrants.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8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December 31, 2023 and 2022, the Company has $8.3 million and $14.6 million, respectively, of such repurchase agreement obligations, collateralized by the corresponding inventory, that are recorded within accrued expenses and other current liabilities on the Consolidated Balance Sheets. Net cash flows associated with these repurchase agreements are reported as financing activities in the Consolidated Statements of Cash Flows.</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 to the customer. Prior to settlement, these forward sales contracts are recognized at fair value with the unrealized gains or losses recorded within cost of sales on our Consolidated Statements of Operations. For the years ended December 31, 2023, 2022 and 2021, we recorded $4.1 million of net unrealized losses, $8.8 million of net unrealized gains and $4.8 million of net unrealized losses, respectively, within costs of sales.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2023, 2022 and 2021, the Company recognized $141.0 million, $181.7 million and</w:t>
      </w:r>
    </w:p>
    <w:p>
      <w:pPr>
        <w:spacing w:after="0" w:line="27"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$145.6 million in revenues under ASC 815, respectively, and are reported within the Company’s Sustainable Sourcing &amp; Traceability segment.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27"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Consolidated Balance Sheets. Accrued sales incentives were $1.5 million at December 31, 2023 and $1.3 million at December 31, 2022. Other accrued deductions were $2.7 million at December 31, 2023 and $1.4 million at December 31, 2022 and are included as a reduction to accounts receivable, net in the Consolidated Balance Sheets.</w:t>
      </w:r>
    </w:p>
    <w:p>
      <w:pPr>
        <w:spacing w:after="0" w:line="17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does not have any material contract liabilities as of December 31, 2023 or 2022. Receivables from contracts with customers are included in accounts receivable, net on the Company’s Consolidated Balance Sheets. At December 31, 2023 and 2022, accounts receivable, net included $104.8 million and $104.7 million in receivables from contracts with customers, respectively.</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December 31, 2023 and 2022, no costs were capitalized as all arrangements were less than a year.</w:t>
      </w:r>
    </w:p>
    <w:p>
      <w:pPr>
        <w:spacing w:after="0" w:line="17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Contract assets, primarily deferred promotional incentives paid to customers, totaled $0.3 million at December 31, 2023 and $0.4 million at December 31, 2022, and were included in prepaid expenses and other current assets on our Consolidated Balance Sheets. Deferred promotional incentives are amortized straight-line over the contract life. Amortization of deferred contract costs for the years ended December 31, 2023, 2022 and 2021 was $2.4 million, $1.2 million and $0.3 million, respectively, and are included in revenues in our Consolidated Statements of Operations.</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Customers</w:t>
      </w:r>
    </w:p>
    <w:p>
      <w:pPr>
        <w:spacing w:after="0" w:line="22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one customer, who is represented in the Company’s Beverage Solutions segment, accounted for 10.4%, or $90.0 million, of the Company’s consolidated net revenues. For the years ended December 31, 2022 and 2021, no customers accounted for more than 10% of our consolidated net revenues.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for the periods indicated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10"/>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Coffee &amp; tea</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445,466</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141,849</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182,569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147,131</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0"/>
          </w:tcPr>
          <w:p>
            <w:pPr>
              <w:ind w:lef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744,067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719,437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583,011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120,647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115,133</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864,714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Bixby Roasting Co.</w:t>
      </w:r>
    </w:p>
    <w:p>
      <w:pPr>
        <w:spacing w:after="0" w:line="227"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 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Kohana Coffee, LLC</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November 14, 2022, Westrock Beverage Solutions, LLC, a Delaware limited liability company and wholly owned subsidiary of the Company, acquired one hundred percent (100%) of the equity securities of Kohana Coffee, LLC (“Kohana Coffee”), a Texas limited liability company (“Kohana Acquisition”). Kohana Coffee is an extract and ready-to-drink focused business, based in Richmond, California, serving customers in the retail and CPG industries.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acquisition allows the Company to accelerate the development, production, and distribution of ready-to-drink products in cans and bottles. Aggregate consideration paid for Kohana Coffee included 1,852,608 Common Shares and approximately $15.7 million in cash, subject to customary adjustments.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stock consideration was based on the closing price of the Common Shares on the date of acquisition.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consideration paid in the Kohana Acquisition is summarized below:</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0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w:t>
            </w:r>
          </w:p>
        </w:tc>
      </w:tr>
      <w:tr>
        <w:trPr>
          <w:trHeight w:val="216"/>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stock consideration</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23,435</w:t>
            </w:r>
          </w:p>
        </w:tc>
      </w:tr>
      <w:tr>
        <w:trPr>
          <w:trHeight w:val="210"/>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39,117</w:t>
            </w:r>
          </w:p>
        </w:tc>
      </w:tr>
      <w:tr>
        <w:trPr>
          <w:trHeight w:val="20"/>
        </w:trPr>
        <w:tc>
          <w:tcPr>
            <w:tcW w:w="7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3"/>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assets and liabilities acquired in the Kohana Acquisition are recorded at their estimated fair values.</w:t>
            </w:r>
          </w:p>
        </w:tc>
        <w:tc>
          <w:tcPr>
            <w:tcW w:w="1360" w:type="dxa"/>
            <w:vAlign w:val="bottom"/>
          </w:tcPr>
          <w:p>
            <w:pPr>
              <w:spacing w:after="0"/>
              <w:rPr>
                <w:sz w:val="24"/>
                <w:szCs w:val="24"/>
                <w:color w:val="auto"/>
              </w:rPr>
            </w:pPr>
          </w:p>
        </w:tc>
      </w:tr>
      <w:tr>
        <w:trPr>
          <w:trHeight w:val="378"/>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Acquired Value</w:t>
            </w: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above purchase price allocation was finalized during the second quarter of 2023.</w:t>
      </w:r>
    </w:p>
    <w:p>
      <w:pPr>
        <w:spacing w:after="0" w:line="225"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cost of the acquisition in excess of the fair market value of the tangible and intangible assets acquired less liabilities assumed represents acquired goodwill, which is deductible for tax purposes. The goodwill arising from the transaction is primarily attributable to strategic opportunities from the acquisition of Kohana, including our ability to accelerate the development, production, and distribution of ready-to-drink products in cans and bottles to our existing customers.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our determination of the fair value of intangible assets, we consider, among other factors, the best use of acquired assets, analysis of historical financial performance and estimates of future performance of the acquired business’ products. The estimated fair values of identified intangible assets are calculated considering both market participant expectations, using an income approach, as well as estimates and assumptions provided by Westrock management and management of the acquired business. Assumptions include, but are not limited to, expected revenue growth, weighted-average terminal growth rates, risk adjusted discount rate and royalty rate.</w:t>
      </w:r>
    </w:p>
    <w:p>
      <w:pPr>
        <w:spacing w:after="0" w:line="18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estimated fair value of customer relationships represents future after-tax discounted cash flows that will be derived from sales to existing customers of the acquired business as of the date of acquisition.</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identified intangible assets associated with the Kohana Acquisition and their estimated weighted average useful lives: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73"/>
        </w:trPr>
        <w:tc>
          <w:tcPr>
            <w:tcW w:w="6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Kohana Coffee, which is reported within our Beverage Solutions segment, contributed net sales of $1.5 million and operating losses of $0.5 million from the date of acquisition through December 31, 2022. Expenses associated with the acquisition were not material.</w:t>
      </w:r>
    </w:p>
    <w:p>
      <w:pPr>
        <w:spacing w:after="0" w:line="1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pro forma summary of our financial results as if the Kohana Acquisition had occurred on January 1, 2021. The pro forma results include additional depreciation and amortization resulting from purchase accounting adjustments. The pro forma results do not include any synergies or other benefits of the acquisition. The pro forma results are not indicative of future results of operations, or results that might have been achieved had the acquisition been consummated on January 1, 2021.</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884,228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(84,651)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 7. Inventories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inventories as of December 31, 2023 and 2022: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145,836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Green coffee inventories represents green coffee held for resale. At December 31, 2023 and 2022, all green coffee held for resale was included within our Sustainable Sourcing &amp; Traceability segment.</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Property, Plant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December 31, 2023 and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Buildings</w:t>
            </w:r>
            <w:r>
              <w:rPr>
                <w:rFonts w:ascii="Times New Roman" w:cs="Times New Roman" w:eastAsia="Times New Roman" w:hAnsi="Times New Roman"/>
                <w:sz w:val="25"/>
                <w:szCs w:val="25"/>
                <w:color w:val="auto"/>
                <w:vertAlign w:val="superscript"/>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10-40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35,499</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Plant equipment</w:t>
            </w:r>
            <w:r>
              <w:rPr>
                <w:rFonts w:ascii="Times New Roman" w:cs="Times New Roman" w:eastAsia="Times New Roman" w:hAnsi="Times New Roman"/>
                <w:sz w:val="25"/>
                <w:szCs w:val="25"/>
                <w:color w:val="auto"/>
                <w:vertAlign w:val="superscript"/>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107,215</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systems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Furniture and fixtures</w:t>
            </w:r>
            <w:r>
              <w:rPr>
                <w:rFonts w:ascii="Times New Roman" w:cs="Times New Roman" w:eastAsia="Times New Roman" w:hAnsi="Times New Roman"/>
                <w:sz w:val="25"/>
                <w:szCs w:val="25"/>
                <w:color w:val="auto"/>
                <w:vertAlign w:val="superscript"/>
              </w:rPr>
              <w:t>(4)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Customer beverage equipment</w:t>
            </w:r>
            <w:r>
              <w:rPr>
                <w:rFonts w:ascii="Times New Roman" w:cs="Times New Roman" w:eastAsia="Times New Roman" w:hAnsi="Times New Roman"/>
                <w:sz w:val="25"/>
                <w:szCs w:val="25"/>
                <w:color w:val="auto"/>
                <w:vertAlign w:val="superscript"/>
              </w:rPr>
              <w:t>(2)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 right-of-use assets</w:t>
            </w:r>
            <w:r>
              <w:rPr>
                <w:rFonts w:ascii="Times New Roman" w:cs="Times New Roman" w:eastAsia="Times New Roman" w:hAnsi="Times New Roman"/>
                <w:sz w:val="25"/>
                <w:szCs w:val="25"/>
                <w:color w:val="auto"/>
                <w:vertAlign w:val="superscript"/>
              </w:rPr>
              <w:t>(3)</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Construction in progress and equipment deposits</w:t>
            </w:r>
            <w:r>
              <w:rPr>
                <w:rFonts w:ascii="Times New Roman" w:cs="Times New Roman" w:eastAsia="Times New Roman" w:hAnsi="Times New Roman"/>
                <w:sz w:val="25"/>
                <w:szCs w:val="25"/>
                <w:color w:val="auto"/>
                <w:vertAlign w:val="superscript"/>
              </w:rPr>
              <w:t>(4)</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208,308</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70,004</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252,208</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(83,261)</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(67,002)</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344,038</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60"/>
        <w:spacing w:after="0" w:line="22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60"/>
        <w:spacing w:after="0" w:line="222" w:lineRule="auto"/>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ind w:left="60" w:right="259"/>
        <w:spacing w:after="0" w:line="239" w:lineRule="auto"/>
        <w:rPr>
          <w:sz w:val="20"/>
          <w:szCs w:val="20"/>
          <w:color w:val="auto"/>
        </w:rPr>
      </w:pPr>
      <w:r>
        <w:rPr>
          <w:rFonts w:ascii="Times New Roman" w:cs="Times New Roman" w:eastAsia="Times New Roman" w:hAnsi="Times New Roman"/>
          <w:sz w:val="14"/>
          <w:szCs w:val="14"/>
          <w:color w:val="auto"/>
        </w:rPr>
        <w:t>4 – We identified a $10.1 million classification error in the disclosure of buildings, plant equipment, furniture and fixtures, and construction in progress and equipment deposits for the year ended December 31, 2022. Amounts presented above reflect the corrected amounts.</w:t>
      </w:r>
    </w:p>
    <w:p>
      <w:pPr>
        <w:spacing w:after="0" w:line="181"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$18.4 million, $17.4 million and $18.8 million, respectively. Assets classified as construction in progress and equipment deposits are not depreciated, 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they are not ready for production use. All assets classified as construction in progress and equipment deposits at December 31, 2023 are expected to be in production use.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Consolidated Balance Sheets: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r>
    </w:tbl>
    <w:p>
      <w:pPr>
        <w:spacing w:after="0" w:line="21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Depending on the nature of the lease, lease costs are classified within costs of sales or selling, general and administrative expense on the Company’s Consolidated Statements of Operations. The components of lease costs for the year ended December 31, 2023 and 2022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7"/>
                <w:szCs w:val="17"/>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16"/>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We identified a $3.3 million disclosure error in the disclosure of the components of lease costs for the year ended December 31, 2022. The amounts presented above reflect the corrected amounts.</w:t>
      </w:r>
    </w:p>
    <w:p>
      <w:pPr>
        <w:spacing w:after="0" w:line="16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weighted average discount rate and remaining lease term as of December 31, 2023 and 2022:</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3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years</w:t>
            </w:r>
          </w:p>
        </w:tc>
        <w:tc>
          <w:tcPr>
            <w:tcW w:w="20" w:type="dxa"/>
            <w:vAlign w:val="bottom"/>
          </w:tcPr>
          <w:p>
            <w:pPr>
              <w:spacing w:after="0"/>
              <w:rPr>
                <w:sz w:val="20"/>
                <w:szCs w:val="20"/>
                <w:color w:val="auto"/>
              </w:rPr>
            </w:pPr>
          </w:p>
        </w:tc>
      </w:tr>
      <w:tr>
        <w:trPr>
          <w:trHeight w:val="846"/>
        </w:trPr>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560"/>
        </w:trPr>
        <w:tc>
          <w:tcPr>
            <w:tcW w:w="5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about the Company’s leases as of December 31, 2023 and 2022, respectively,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r>
      <w:tr>
        <w:trPr>
          <w:trHeight w:val="169"/>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3,373</w:t>
            </w:r>
          </w:p>
        </w:tc>
      </w:tr>
    </w:tbl>
    <w:p>
      <w:pPr>
        <w:spacing w:after="0" w:line="198"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We identified a $2.5 million disclosure error in the disclosure of operating cash flows from operating leases for the year ended December 31, 2022. The amount presented above reflects the corrected amount.</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obtained $60.2 million of right-of-use operating lease assets in exchange for lease obligations.</w:t>
      </w:r>
    </w:p>
    <w:p>
      <w:pPr>
        <w:spacing w:after="0" w:line="162"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Finance lease assets are recorded in property, plant and equipment, net with the corresponding lease liabilities included in accrued expenses and other current liabilities and long-term debt, net on the Consolidated Balance Sheets. There were no material finance leases as of December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2023 are as follows: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69,498</w:t>
            </w:r>
          </w:p>
        </w:tc>
      </w:tr>
      <w:tr>
        <w:trPr>
          <w:trHeight w:val="210"/>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111,754</w:t>
            </w: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(43,391)</w:t>
            </w:r>
          </w:p>
        </w:tc>
      </w:tr>
      <w:tr>
        <w:trPr>
          <w:trHeight w:val="210"/>
        </w:trPr>
        <w:tc>
          <w:tcPr>
            <w:tcW w:w="7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68,363</w:t>
            </w: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On February 12, 2024, following the completion of its 530,000 square foot distribution center in Conway, Arkansas, the Company entered into a lease termination agreement for the premises located at 1601 Gregory Street, North Little Rock, Arkansas, 72114, originally entered into on October 24, 2018. The lease will terminate by mutual agreement, effective June 30, 2024. As of December 31, 2023, the premises associated with this lease was classified as held and used. As of the date of this Annual Report on Form 10-K, no costs have been incurred, and no costs are expected to be incurred, by the Company as a result of the lease termination. This lease termination event does not significantly alter the Company’s operational capabilities or its financial position.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229"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Changes in the carrying amount of goodwill occurring during the years ended December 31, 2023 and 2022 were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173,936</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173,936</w:t>
            </w: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(76,883)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97,053</w:t>
            </w: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Changes during the period: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16"/>
        </w:trPr>
        <w:tc>
          <w:tcPr>
            <w:tcW w:w="6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190,882</w:t>
            </w: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(76,883)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113,999</w:t>
            </w: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Changes during the period: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Measurement period and other adjustments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(76,883)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10"/>
        </w:trPr>
        <w:tc>
          <w:tcPr>
            <w:tcW w:w="6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December 31, 2023 and 2022:</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Borders>
              <w:bottom w:val="single" w:sz="8" w:color="auto"/>
            </w:tcBorders>
          </w:tcPr>
          <w:p>
            <w:pPr>
              <w:spacing w:after="0"/>
              <w:rPr>
                <w:sz w:val="15"/>
                <w:szCs w:val="15"/>
                <w:color w:val="auto"/>
              </w:rPr>
            </w:pPr>
          </w:p>
        </w:tc>
      </w:tr>
      <w:tr>
        <w:trPr>
          <w:trHeight w:val="144"/>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122,945</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8"/>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20" w:type="dxa"/>
            <w:vAlign w:val="bottom"/>
            <w:tcBorders>
              <w:bottom w:val="single" w:sz="8" w:color="auto"/>
            </w:tcBorders>
          </w:tcPr>
          <w:p>
            <w:pPr>
              <w:spacing w:after="0"/>
              <w:rPr>
                <w:sz w:val="24"/>
                <w:szCs w:val="24"/>
                <w:color w:val="auto"/>
              </w:rPr>
            </w:pPr>
          </w:p>
        </w:tc>
      </w:tr>
      <w:tr>
        <w:trPr>
          <w:trHeight w:val="144"/>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150,277</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130,886</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was $8.2 million, $6.8 million and $6.7 million for the years ended December 31, 2023, 2022 and 2021, respectively. As of December 31, 2023, the weighted average useful life for definite-lived intangibles is approximately 20 years.</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for intangible assets subject to amortization over the next five years is: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83,642</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122,945</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Debt</w:t>
            </w: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Our long-term debt as of December 31, 2023 and 2022 was as follows: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24"/>
                <w:szCs w:val="24"/>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278,975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223,092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long-term debt payments required in each of the next five years and thereafter:</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235,281</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At December 31, 2023, we had $65.0 million of outstanding borrowings under the Revolving Credit Facility, with a weighted average interest rate of 8.9%, and the interest rate applicable to our Term Loan Facility was 9.2%, and we had $2.6 million of standby letters of credit outstanding. At December 31, 2023, no amounts were outstanding under the Delayed Draw Term Loan Facility; however, on January 8, 2024, the Company borrowed $50.0 million under the Delayed Draw Term Loan Facility, using a portion of the proceeds to repay outstanding borrowings under the Revolving Credit Facility.</w:t>
      </w:r>
    </w:p>
    <w:p>
      <w:pPr>
        <w:spacing w:after="0" w:line="18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June 30, 2023, we entered into Amendment No. 2 (the “Second Amendment”) to the Credit Agreement. The Second Amendment established a covenant relief period (the “Covenant Relief Period”) commencing on June 30, 2023, and ending on the earlier to occur of (i) April 1, 2025 and (ii) the date following December 31, 2023, on which the Borrower delivers to the administrative agent a certificate of a responsible officer (a) electing to terminate the Covenant Relief Period, (b) demonstrating a total net leverage ratio less than 3.75:1.00 and (c) attaching projections demonstrating compliance with the total net leverage ratio financial covenant (as in effect prior to giving effect to the Covenant Relief Period) until the then-existing latest maturity date.</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During the Covenant Relief Period, (i) the total net leverage ratio financial covenant will be (a) 5.00:1.00 for the test period ending June 30, 2023, (b) 5.25:1.00 for the test period ending September 30, 2023, (c) 5.50:1.00 for the test periods ending on or after December 31, 2023 to and including September 30, 2024, (d) 5.00:1.00 for the test period ending December 31, 2024 and (e) 4.50:1.00 for the test period ending March 31, 2025 and (ii) the applicable margin for any term SOFR rate loan will range from 2.50% to 3.75% and for any ABR loan will range from 1.50% to 2.75%, in each case depending on the total net leverage ratio. After the Covenant Relief Period, the total net leverage ratio financial covenant and the applicable margin for term SOFR rate loans and ABR loans will revert to the pre-amendment terms of the Credit Agreement. During and after the Covenant Relief Period, the minimum interest coverage ratio financial covenant will be 2.00:1.00. As of December 31, 2023, we were in compliance with the Financial Covenants. See Note 23 for disclosures regarding the entry into Amendment No. 3 to the Credit Agreement on February 15, 2024, which modifies certain requirements of the Company during the Covenant Relief Period.</w:t>
      </w:r>
    </w:p>
    <w:p>
      <w:pPr>
        <w:spacing w:after="0" w:line="19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 quarterly principal payments during the first three years of 1.25% of the original principal balance. Quarterly payments increase to 1.875% and 2.5% of the original principal balance during the fourth and fifth years, respectively.</w:t>
      </w:r>
    </w:p>
    <w:p>
      <w:pPr>
        <w:spacing w:after="0" w:line="176"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We incurred a total of $6.6 million of financing fees in connection with the Credit Agreement and related amendments. $3.3 million of the fees were allocated to the Term Loan Facility and are being amortized utilizing the frozen effective yield method based on the interest rate in place at the issuance of the Term Loan Facility. $3.3 million of the fees were allocated to the Revolving Credit Facility, which are reported within other long-term assets on the Consolidated Balance Sheets and are being amortized ratably over the term of the Revolving Credit Facility.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Prior Term Loan Facility</w:t>
      </w:r>
    </w:p>
    <w:p>
      <w:pPr>
        <w:spacing w:after="0" w:line="227" w:lineRule="exact"/>
        <w:rPr>
          <w:sz w:val="20"/>
          <w:szCs w:val="20"/>
          <w:color w:val="auto"/>
        </w:rPr>
      </w:pPr>
    </w:p>
    <w:p>
      <w:pPr>
        <w:ind w:left="60" w:right="259"/>
        <w:spacing w:after="0" w:line="274" w:lineRule="auto"/>
        <w:rPr>
          <w:sz w:val="20"/>
          <w:szCs w:val="20"/>
          <w:color w:val="auto"/>
        </w:rPr>
      </w:pPr>
      <w:r>
        <w:rPr>
          <w:rFonts w:ascii="Times New Roman" w:cs="Times New Roman" w:eastAsia="Times New Roman" w:hAnsi="Times New Roman"/>
          <w:sz w:val="17"/>
          <w:szCs w:val="17"/>
          <w:color w:val="auto"/>
        </w:rPr>
        <w:t>On February 28, 2020, Westrock Beverage Solutions, LLC, as borrower, borrowed $240.0 million of term loans from various financial institutions pursuant to a loan and security agreement (the “Prior Term Loan Agreement”) (such term loans, the “Prior Term Loan Facility”). In connection with the Closing, all outstanding Prior Term Loan Facility balances were repaid, and the associated Prior Term Loan Agreement was terminated. The Company paid a $1.6 million early termination fee, and wrote off $4.0 million of unamortized deferred financing fees associated with the termination of the Prior Term Loan Facility, which are recorded within interest expense on the Consolidated Statement of Operations.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Prior ABL Facility</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28, 2020, Westrock Beverage Solutions, LLC, as borrower, entered into a loan and security agreement with Bank of America as administrative agent (the “Prior ABL Credit Agreement”) that created an asset-based loan of $90.0 million (the “Prior ABL Facility”). In connection with the Closing, all outstanding Prior ABL Facility balances were repaid, and the associated Prior ABL Credit Agreement was terminated. Upon termination, we wrote off $0.3 million of the $1.3 million unamortized deferred financing fees associated with the Prior ABL Facility, which are recorded within interest expense on the Consolidated Statement of Operations. The remaining unamortized deferred financing fees were allocated to the new Revolving Credit Facility and will be amortized over the life of the Revolving Credit Facility. Outstanding letters of credit under the Prior ABL Facility were replaced by letters of credit under the Credit Agreement.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March 21, 2023, we entered into a $70 million working capital trade finance facility with multiple financial institutions through our subsidiary, Falcon. The facility replaced Falcon’s then existing working capital trade finance facility. The facility is uncommitted and repayable on demand, with certain of Falcon’s assets pledged as collateral against the facility. The facility will mature one year from inception. Borrowings under the facility will bear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At December 31, 2023, there was $37.0 million of outstanding borrowings under the facility, which is recorded in short-term debt in the Consolidated Balance Sheets. Falcon’s facility contains certain restrictive financial covenants which require Falcon to maintain certain levels of working capital, debt, and net worth. Falcon was in compliance with these financial covenants as of December 31, 2023.</w:t>
      </w:r>
    </w:p>
    <w:p>
      <w:pPr>
        <w:spacing w:after="0" w:line="190"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17"/>
          <w:szCs w:val="17"/>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before the Quotation day; or (b) the most recent applicable Term SOFR (as of Quotation Day) for the shortest period (for which Term SOFR is available) which exceeds the applicable interest period of that loan, in each case plus the applicable margin. At December 31, 2023, there was $5.0 million of outstanding borrowings under the facility, of which $4.5 million and $0.5 million is recorded in long-term debt, net and current maturities of long-term debt, respectively, on the Consolidated Balance Sheets. Falcon’s facility contains certain restrictive financial covenants which require Falcon to maintain certain levels of working capital, debt, and tangible net worth. Falcon was in compliance with these financial covenants as of December 31, 2023.</w:t>
      </w:r>
    </w:p>
    <w:p>
      <w:pPr>
        <w:spacing w:after="0" w:line="176"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Westrock Coffee International, LLC, through its subsidiary Rwanda Trading Company, maintains two mortgage and inventory-backed lending facilities with a local bank in Rwanda: (a) a short-term trade finance facility with a balance of $6.7 million at December 31, 2023 and (b) a long-term note payable with a balance of $1.2 million at December 31, 2023.</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Series A Preferred Shares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the Company issued 23,587,952 Westrock Series A Preferred Shares,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539" w:hanging="10"/>
        <w:spacing w:after="0" w:line="260" w:lineRule="auto"/>
        <w:tabs>
          <w:tab w:leader="none" w:pos="3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whole number of Common Shares at any time at a rate equal to the quotient of (a) the liquidation preference as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conversion date, divided by (b) the conversion price as of the applicable conversion date, which is currently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$11.50 per Westrock Series A Preferred Share, plus cash in lieu of fractional shares. The initial conversion price of $11.50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Westrock Series A Preferred Share is subject to customary adjustments for the issuance of Common Shares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or distribution to the holders of Common Shares, a subdivision or combination of the Common Shares,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 of the Common Shares into a greater or lesser number of Common Shares, certain tender or exchange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offers for the Common Shares, and issuances of Common Shares below a specified price.</w:t>
      </w:r>
    </w:p>
    <w:p>
      <w:pPr>
        <w:spacing w:after="0" w:line="20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issued 76,030 Common Shares upon the conversion of 76,030 Westrock Series A Preferred Shares, receiving no proceeds upon the issuance of the Common Shares.</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After February 26, 2028 (i.e., the five and a half year anniversary of the Closing),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23,511,922 Series A Preferred Shares outstanding at December 31, 2023 remain outstanding after February 26, 2028, we estimate an aggregate redemption payment of at least approximately $270.4 million.</w:t>
      </w:r>
    </w:p>
    <w:p>
      <w:pPr>
        <w:spacing w:after="0" w:line="192" w:lineRule="exact"/>
        <w:rPr>
          <w:sz w:val="20"/>
          <w:szCs w:val="20"/>
          <w:color w:val="auto"/>
        </w:rPr>
      </w:pPr>
    </w:p>
    <w:p>
      <w:pPr>
        <w:ind w:left="60" w:right="479"/>
        <w:spacing w:after="0" w:line="272" w:lineRule="auto"/>
        <w:rPr>
          <w:sz w:val="20"/>
          <w:szCs w:val="20"/>
          <w:color w:val="auto"/>
        </w:rPr>
      </w:pPr>
      <w:r>
        <w:rPr>
          <w:rFonts w:ascii="Times New Roman" w:cs="Times New Roman" w:eastAsia="Times New Roman" w:hAnsi="Times New Roman"/>
          <w:sz w:val="17"/>
          <w:szCs w:val="17"/>
          <w:color w:val="auto"/>
        </w:rPr>
        <w:t>At any time after February 26, 2028 (i.e., the five and a half year anniversary of the date of Closing), Westrock may redeem, ratably, in whole or, from time to time in part, the Westrock Series A Preferred Shares of any holder then outstanding at the redemption price in cash, equal to the greater of (i) the liquidation preference and (ii) the product of</w:t>
      </w:r>
    </w:p>
    <w:p>
      <w:pPr>
        <w:spacing w:after="0" w:line="2" w:lineRule="exact"/>
        <w:rPr>
          <w:sz w:val="20"/>
          <w:szCs w:val="20"/>
          <w:color w:val="auto"/>
        </w:rPr>
      </w:pPr>
    </w:p>
    <w:p>
      <w:pPr>
        <w:ind w:left="60" w:right="179" w:hanging="10"/>
        <w:spacing w:after="0" w:line="251"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194"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Consolidated Balance Sheets at fair value. Subsequently, the Company will accrete changes in the redemption value from the date of issuance to the earliest redemption date (i.e., the five and a half year anniversary of the date of Closing)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years ended December 31, 2023 and 2022, the Company recorded $0.2 million and $1.3 million of accretion, respectively, with respect to the Westrock Series A Preferred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Derivatives</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We record all derivatives, whether designated in a hedging relationship or not, at fair value on the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futures contracts are traded on an exchange. Option contracts are agreements to facilitate a potential transaction involving the commodity at a preset price and date.</w:t>
      </w:r>
    </w:p>
    <w:p>
      <w:pPr>
        <w:spacing w:after="0" w:line="18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Consolidated Statements of Operations in which the hedged items are recorded in the same period the hedged items affect earnings.</w:t>
      </w:r>
    </w:p>
    <w:p>
      <w:pPr>
        <w:spacing w:after="0" w:line="18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years ended December 31, 2023, 2022 or 2021.</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notional amount for the coffee futures contracts that were designated and qualified for our commodity cash flow hedging program was 11.5 million pounds and 29.2 million pounds as of December 31, 2023 and 2022, respectively. During the years ended December 31, 2023 and 2022, the Company purchased coffee futures contracts and coffee options contracts under our cash flow hedging program with aggregate notional amount of 63.4 million pounds and 98.6 million pounds, respectively.</w:t>
      </w:r>
    </w:p>
    <w:p>
      <w:pPr>
        <w:spacing w:after="0" w:line="18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Approximately $6.4 million of net realized loss, $13.1 million of net realized gains and $7.2 million of net realized gains, representing the effective portion of the cash-flow hedge, were subsequently reclassified from AOCI to earnings and recognized in cost of sales in the Consolidated Statements of Operations for the years ended December 31, 2023, 2022 and 2021, respectively. As of December 31, 2023, the estimated amount of net gains reported in AOCI that is expected to be reclassified to the Consolidated Statements of Operations within the next twelve months is $6.6 million.</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Consolidated Balance Sheets are set forth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2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6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5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w:t>
            </w:r>
          </w:p>
        </w:tc>
        <w:tc>
          <w:tcPr>
            <w:tcW w:w="2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6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5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4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designated as cash flow</w:t>
            </w: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5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fair value of coffee futures excludes amounts related to margin accounts.</w:t>
      </w:r>
    </w:p>
    <w:p>
      <w:pPr>
        <w:spacing w:after="0" w:line="20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 for the years ended December 31, 2023, 2022 and 2021:</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3760" w:type="dxa"/>
            <w:vAlign w:val="bottom"/>
            <w:gridSpan w:val="3"/>
            <w:vMerge w:val="continue"/>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4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Costs of sales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purchase contracts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Costs of sales</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5"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88"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2023:</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Coffee futures contracts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Westrock Public Warrants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the fair value of Level 3 Westrock Private Warrants liabilities during the year ended December 31, 2023: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Westrock</w:t>
            </w:r>
          </w:p>
        </w:tc>
      </w:tr>
      <w:tr>
        <w:trPr>
          <w:trHeight w:val="17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Private Warrants</w:t>
            </w:r>
          </w:p>
        </w:tc>
      </w:tr>
      <w:tr>
        <w:trPr>
          <w:trHeight w:val="210"/>
        </w:trPr>
        <w:tc>
          <w:tcPr>
            <w:tcW w:w="20" w:type="dxa"/>
            <w:vAlign w:val="bottom"/>
          </w:tcPr>
          <w:p>
            <w:pPr>
              <w:spacing w:after="0"/>
              <w:rPr>
                <w:sz w:val="18"/>
                <w:szCs w:val="18"/>
                <w:color w:val="auto"/>
              </w:rPr>
            </w:pPr>
          </w:p>
        </w:tc>
        <w:tc>
          <w:tcPr>
            <w:tcW w:w="7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Transfer out of level 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1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560"/>
        </w:trPr>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2022:</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Coffee futures contracts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Westrock Public Warrants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the fair value of Level 3 Westrock Private Warrants liabilities during the year ended December 31, 2022:</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Westrock</w:t>
            </w:r>
          </w:p>
        </w:tc>
      </w:tr>
      <w:tr>
        <w:trPr>
          <w:trHeight w:val="19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Private Warrants</w:t>
            </w:r>
          </w:p>
        </w:tc>
      </w:tr>
      <w:tr>
        <w:trPr>
          <w:trHeight w:val="210"/>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Assumption of warrants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r>
      <w:tr>
        <w:trPr>
          <w:trHeight w:val="216"/>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r>
      <w:tr>
        <w:trPr>
          <w:trHeight w:val="21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28,342</w:t>
            </w:r>
          </w:p>
        </w:tc>
      </w:tr>
      <w:tr>
        <w:trPr>
          <w:trHeight w:val="20"/>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Westrock Public Warrants are valued based on their quoted market price of $2.30 and $2.27 per warrant as of December 31, 2023 and 2022, respectively. Westrock Private Warrants price of $2.68 and $3.83 per warrant as of December 31, 2023 and 2022, respectively, are valued using a binomial lattice valuation model, which is considered to be a Level 3 fair value measurement. The primary unobservable inputs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return</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most significant of these primary unobservable inputs utilized in determining the fair value of the Westrock Private Warrants is the expected volatility of the stock price, which is determined by use of an option pricing model.</w:t>
      </w:r>
    </w:p>
    <w:p>
      <w:pPr>
        <w:spacing w:after="0" w:line="162"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 supply chain finance program and long-term debt. The carrying amount of cash, accounts receivable, accounts payable and the supply chain finance program was estimated by management to approximate fair value due to the relatively short period of time to maturity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for those instruments. The Term Loan Facility and the Revolving Credit Facility are carried on the Consolidated Balance Sheets at amortized cost and are estimated by management to approximate fair value as of December 31, 2023, as the interest rate on these facilities is adjusted for changes in the market rates. The fair value of the Term Loan Facility and the Revolving Credit Facility was determined based on Level 2 inputs under the fair value hierarchy.</w:t>
      </w:r>
    </w:p>
    <w:p>
      <w:pPr>
        <w:spacing w:after="0" w:line="180"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years ended December 31, 2023 and 2022 requiring these non-financial assets and liabilities to be subsequently recognized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Equity-Based Compensation</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Company has implemented equity compensation programs, which are designed to attract and retain key employees while also aligning employees’ interests with the interests of our shareholders.</w:t>
      </w:r>
    </w:p>
    <w:p>
      <w:pPr>
        <w:spacing w:after="0" w:line="162"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Compensation expense for all equity-based compensation awards is based on the grant date fair value estimate. As equity-based compensation expense recognized is based on awards ultimately expected to vest, such expense is reduced for forfeitures estimated at the date of grant based on our historical experience and future expectations. Income tax benefits related to the tax deductions for share-based awards are recognized only upon settlement of the related share-based awards.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August 2022, in connection with the Transaction, unit option awards issued under the Company’s 2020 Unit Option Incentive Plan, as amended (the “2020 Option Plan”), were equitably converted in accordance with the terms of the 2020 Option Plan and the Transaction Agreement. Each outstanding option to purchase units of Westrock Coffee Holdings, LLC, whether vested or unvested, was converted into an option to purchase Common Shares based on an exchange ratio (the “Exchange Ratio”) defined in the Transaction Agreement. The per unit exercise price of unit options was converted to a per share exercise price based on the Exchange Ratio, and with respect to performance-based options, such options converted into performance-based options to purchase Common Shares that vest once the simple average of the daily volume weighted average price per share of Common Shares for 10 trading days in any consecutive 30-day period is $18.50 per share. These changes were deemed to be Type I modifications under ASC 718, Compensation – Stock Compensation; however, these modifications did not result in any additional compensation expense to be recognized by the Company. As of August 26, 2022, the effective date of the Company’s 2022 Equity Incentive Plan (the “2022 Equity Plan”), no additional awards will be granted under the 2020 Option Plan.</w:t>
      </w:r>
    </w:p>
    <w:p>
      <w:pPr>
        <w:spacing w:after="0" w:line="19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fair value of the Westrock common units underlying the options granted under the 2020 Option Plan had been determined by the Westrock board of directors, with input from management and corroboration from contemporaneous, independent third-party valuations. Given the absence of a public trading market for the Westrock common units when the options were granted under the 2020 Option Plan, and in accordance with the American Institute of Certified Public Accountants Accounting and Valuation Guide: Valuation of Privately Held Company Equity Securities Issued as Compensation (the “AICPA Practice Guide”), the Westrock board exercised reasonable judgment and considered a number of objective and subjective factors to determine the best estimate of the fair value of the Westrock common units at each grant date, including obtaining independent third-party valuations.</w:t>
      </w:r>
    </w:p>
    <w:p>
      <w:pPr>
        <w:spacing w:after="0" w:line="1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Independent third-party valuations that we utilized to estimate the fair value of the Westrock common units underlying the unit options under the 2020 Option Plan included a combination of an income approach, based on the present value of estimated future cash flows, and a market approach based on market data of comparable businesses and acquisition multiples paid in recent transactions. The discounted cash flow model reflected our assumptions regarding revenue growth rates, cost structure, economic and market trends, and other expectations around the anticipated operating results of our business. We discounted the estimated cash flows for the entity using rates that represented a market participant’s weighted average cost of capital commensurate with the underlying business operations. The market approach developed an indication of fair value by calculating average market pricing multiples of revenues and EBITDA for selected peer publicly traded companies, as well as multiples for relevant transactions that have taken place. We evaluated the weighting applied to each valuation methodology in the determination of the concluded fair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granted 0.3 million options to employees. One-half of the options granted vest over four years of continuous service by the employee, and one-half of the options vest once the simple average of the daily volume weighted average price per share of Common Shares for 10 trading days in any consecutive 30-day period is $18.50 per share (“Performance Options”), provided that the recipient is either still working for the Company at the date of such realization event or that the performance goals are achieved within one year following a qualified termination of the recipient’s employment. All option grants have an exercise price of $9.54 and generally have a ten-year term prior to expiration. The fair value of the option grants is amortized to expense over the vesting period, which is generally four years.</w:t>
      </w:r>
    </w:p>
    <w:p>
      <w:pPr>
        <w:spacing w:after="0" w:line="1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recognizes expense related to the options using graded vesting attribution and recognized approximately $0.4 million, $0.6 million and $0.5 million of expense for the years ended December 31, 2023, 2022 and 2021, respectively, which is included in selling, general and administrative expense on our Consolidated Statements of Operations. The total compensation cost of unvested options, not yet recognized, is approximately $0.1 million, which is to be recognized over the next four years.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3,217,349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7.8 years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(88,525)</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2,805,676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6.8 years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841,705</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6.7 years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Intrinsic value for stock options is defined as the amount by which the current market price of the underlying stock exceeds the weighted-average exercise price. For stock options where the weighted-average exercise price exceeds the current market price of the underlying stock, the intrinsic value is zero. The intrinsic value of options outstanding as of December 31, 2023 was $1.9 million, calculated using $10.21 per share, which was the closing price of our common stock on December 29, 2023, the last trading day of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On February 28, 2020, the Company granted restricted Common Units to three key executives. In August 2022, in connection with the Transaction, each restricted Common Unit was converted into 0.1049203474320 restricted Common Shares (“RCSs”). Such RCSs carry the same rights and limitations as the Common Shares under the organizational documents of the Company, except that the RCSs are subject to vesting and forfeiture. The RCSs vest in three installments on each anniversary of the grant date, vesting in full on February 28, 2023. During the years ended December 31, 2023, 2022 and 2021, the Company issued 310,670, 332,251 and 320,998 Common Shares upon vesting of RCSs, for which no proceeds were recorded.</w:t>
      </w:r>
    </w:p>
    <w:p>
      <w:pPr>
        <w:spacing w:after="0" w:line="18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RCS expense is based on the fair value of the common units on the date of grant and is amortized over the vesting period, which is generally three years. The value of the RCSs was calculated using a combination of historic equity and implied asset volatility of 40%, a risk-free rate of 1.14%, and a marketability discount of 30%.</w:t>
      </w:r>
    </w:p>
    <w:p>
      <w:pPr>
        <w:spacing w:after="0" w:line="176"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$0.1 million, $0.3 million and $0.8 million in expense for the RCSs in the years ended December 31, 2023, 2022 and 2021, respectively, which is included in selling, general and administrative expense on our Consolidated Statements of Operations.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granted 1.4 million and 1.1 million restricted stock units (“RSUs”), respectively, under the 2022 Equity Plan. The RSUs had a grant date fair value of $15.8 million and $13.1 million, respectively, which was calculated using the closing price of the Common Shares on the applicable date of grant. The RSUs are amortized on a straight-line basis to expense over the vesting period, which is generally three years. During the years ended December 31, 2023 and 2022, the Company recognized approximately $8.3 and $1.7 million, respectively, in expense for the RSUs, which is included in selling, general and administrative expense on our Consolidated Statements of Operations. As of December 31, 2023, there were 2.2 million shares available for future issuance under the 2022 Equity Plan.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RSU activity under the 2022 Equity Plan for the year ended December 31, 2023.</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1,370,564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(416,705)</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1,989,782</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310,635 Common Shares upon the vesting of RSUs, for which no proceeds were recorded. The aggregate intrinsic value of RSUs vested for the year ended December 31, 2023 was $4.8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Accumulated Other Comprehensive Income (Loss)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Comprehensive income (loss) includes all changes in equity during the period, except those resulting from transactions with our shareholders. Comprehensive income (loss) is comprised of net earnings and other comprehensive income (loss). Accumulated other comprehensive income (loss) reported on our Consolidated Balance Sheets consists of foreign currency translation adjustments and other items and the unrealized gains and losses, net of applicable taxes, on derivative instruments that have been designated and qualify as cash flow hedges.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is as follows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2022 and 2021: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r>
      <w:tr>
        <w:trPr>
          <w:trHeight w:val="169"/>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 changes in fair value gain (loss):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09"/>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r>
      <w:tr>
        <w:trPr>
          <w:trHeight w:val="20"/>
        </w:trPr>
        <w:tc>
          <w:tcPr>
            <w:tcW w:w="5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 and international components of loss before income taxes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10"/>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(40,825)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(55,350)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0"/>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expense (benefit)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expense (benefit)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16"/>
        </w:trPr>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income tax expense (benefit) to the federal statutory rate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at U.S. statutory income tax rate</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expense (benefit), net of federal benefit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intangible low-taxed income ("GILTI") inclusion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(windfall)/shortfall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Corporate interest restriction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compensation (§162(m))</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foreign tax rates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were recognized on temporary differences between the financial and tax basis of existing assets and liabilities as follows: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and reserves</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limitation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expenses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37,739</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r>
      <w:tr>
        <w:trPr>
          <w:trHeight w:val="209"/>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(27,358)</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0"/>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(43,630)</w:t>
            </w: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establish a valuation allowance to reduce deferred tax assets if, based on the weight of the available evidence, both positive and negative, for each respective tax jurisdiction, it is more likely than not that some portion or all of the deferred tax assets will not be realized. A valuation allowance related to domestic deferred tax assets of $9.9 million and $6.9 million, respectively, was recorded, of which $7.6 million and $5.5 million, respectively, was against a portion of the Company’s Section 163(j) interest limitation carryforward, and the remainder was against certain state net operating losses as of December 31, 2023 and 2022, respectively. A valuation allowance related to foreign deferred tax assets of $3.0 million and $1.6 million was recorded against certain foreign net operating losses as of December 31, 2023 and 2022, respectively. The amount of deferred tax assets considered realizable could be adjusted in the near term, resulting in an increase to the valuation allowance, if estimates of future taxable income during the carryforward period are reduced.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the valuation allowance is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of approximately $88.3 million which do not expire. As of December 31, 2023, the Company had post-apportionment state net operating loss carryforwards of approximately $96.6 million which begin to expire in 2030. As of December 31, 2023, the Company had foreign net operating loss carryforwards of approximately $10.9 million which begin to expire in 2025.</w:t>
      </w:r>
    </w:p>
    <w:p>
      <w:pPr>
        <w:spacing w:after="0" w:line="18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Company’s reserve for uncertain tax positions was $4.0 million and $0.1 million, respectively. It is reasonably possible the Company’s reserve for uncertain tax positions could increase or decrease in the next 12 months. However, it is not practical to estimate the change, which may be influenced by several factors. Of the total reserve for uncertain tax positions as of December 31, 2023, only $0.1 million would impact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effective tax rate if released. As indicated in Note 3, the Company re-evaluates uncertain tax positions on a quarterly basis. The Company recognizes potential interest and penalties relating to unrecognized tax positions as a component of income tax expense (benefit). A reconciliation of the beginning and ending balances of the total amounts of unrecognized tax benefits is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the U.S. Tax Cuts and Jobs Act of 2017, or the Tax Act, our accumulated foreign earnings have been subjected to U.S. tax. Moreover, all future foreign earnings will be subject to a new territorial tax system and dividends received deduction regime in the U.S. As of December 31, 2023, undistributed earnings of certain foreign subsidiaries of approximately $6.8 million are intended to be permanently reinvested outside the U.S. Accordingly, no provision for foreign withholding tax or state income taxes associated with a distribution of these earnings has been made. Determination of the amount of the unrecognized deferred tax liability on these unremitted earnings is not practicable.</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and foreign jurisdictions, including the United Kingdom. As of December 31, 2023, we have no tax years under examination by the IRS, and there are currently no state or foreign income tax examinations in process. The Company is subject to United States federal income tax examinations for years after 2020 and to state and foreign income tax examinations for years after 2015.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Earnings Per Share</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Prior to the Conversion, the Company’s ownership interests consisted of two classes of equity units, referred to as Common Units and Common Equivalent Preferred Units (“CEP Units”), which have been retroactively adjusted as shares reflecting the conversion ratios discussed in Note 4.</w:t>
      </w:r>
    </w:p>
    <w:p>
      <w:pPr>
        <w:spacing w:after="0" w:line="1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the Series A Preferred Shares nor the RSUs have a contractual obligation to share in losses of the Company. However, undistributed earnings are allocated to the participating securities.</w:t>
      </w:r>
    </w:p>
    <w:p>
      <w:pPr>
        <w:spacing w:after="0" w:line="18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Prior to the Conversion, the dilutive effect of CEP Units was calculated by using the “if-converted” method. This assumed an add-back of dividends on the CEP Units to net income attributable to shareholders as if the securities were converted to common shares at the beginning of the reporting period (or at the time of issuance, if later), and the resulting common shares were included in the number of weighted-average units outstanding.</w:t>
      </w:r>
    </w:p>
    <w:p>
      <w:pPr>
        <w:spacing w:after="0" w:line="18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dilutive effect of Westrock Series A Preferred Shares is calculated using the if-converted method, which assumes an add-back of any accretion on preferred shares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80"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for the periods indicated because their inclusion would have an anti-dilutive effect on dilutive earnings (loss) per common share.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69"/>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If-converted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25,092</w:t>
            </w:r>
          </w:p>
        </w:tc>
      </w:tr>
    </w:tbl>
    <w:p>
      <w:pPr>
        <w:spacing w:after="0" w:line="17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9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participating securities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non-participating securities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participating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loss per common share</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two operating segments, Beverage Solutions and Sustainable Sourcing &amp; Traceability, are evaluated using Adjusted EBITDA, which is a segment performance measure we define as net income determined in accordance with GAAP, before interest expense, provision for income taxes, depreciation and amortization, equity-based compensation expense and the impact, which may be recurring in nature, of transaction, restructuring and integrations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and other similar or infrequent items (although we may not have had such charges in the periods presented).</w:t>
      </w: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Total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722,865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146,911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(5,062)</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Conway extract and ready-to-drink facility start-up costs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5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164,474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971,514</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7"/>
              </w:rPr>
              <w:t>Total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7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(25,010)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(gain) on disposal of property, plant and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746,213</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Total of</w:t>
            </w:r>
          </w:p>
        </w:tc>
      </w:tr>
      <w:tr>
        <w:trPr>
          <w:trHeight w:val="176"/>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0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2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Reportable</w:t>
            </w:r>
          </w:p>
        </w:tc>
      </w:tr>
      <w:tr>
        <w:trPr>
          <w:trHeight w:val="17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0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698,144</w:t>
            </w:r>
          </w:p>
        </w:tc>
      </w:tr>
      <w:tr>
        <w:trPr>
          <w:trHeight w:val="216"/>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32,549</w:t>
            </w: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25,501</w:t>
            </w: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w:t>
            </w: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16"/>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198"/>
        </w:trPr>
        <w:tc>
          <w:tcPr>
            <w:tcW w:w="43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Loss (gain) on disposal of property, plant and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49"/>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(21,308)</w:t>
            </w:r>
          </w:p>
        </w:tc>
      </w:tr>
      <w:tr>
        <w:trPr>
          <w:trHeight w:val="197"/>
        </w:trPr>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w:t>
            </w: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593,020</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100% of our long-lived assets were located in the United States as of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21. Commitments and Contingencies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have future purchase obligations of $238.7 million as of December 31, 2023 that consist of commitments for the purchase of inventory over the next 12 months. These obligations represent the minimum contractual obligations expected under the normal course of business.</w:t>
      </w:r>
    </w:p>
    <w:p>
      <w:pPr>
        <w:spacing w:after="0" w:line="176" w:lineRule="exact"/>
        <w:rPr>
          <w:sz w:val="20"/>
          <w:szCs w:val="20"/>
          <w:color w:val="auto"/>
        </w:rPr>
      </w:pPr>
    </w:p>
    <w:p>
      <w:pPr>
        <w:ind w:left="60" w:right="119"/>
        <w:spacing w:after="0" w:line="281" w:lineRule="auto"/>
        <w:rPr>
          <w:sz w:val="20"/>
          <w:szCs w:val="20"/>
          <w:color w:val="auto"/>
        </w:rPr>
      </w:pPr>
      <w:r>
        <w:rPr>
          <w:rFonts w:ascii="Times New Roman" w:cs="Times New Roman" w:eastAsia="Times New Roman" w:hAnsi="Times New Roman"/>
          <w:sz w:val="17"/>
          <w:szCs w:val="17"/>
          <w:color w:val="auto"/>
        </w:rPr>
        <w:t>In addition, at December 31, 2023 we had an obligation to repurchase $8.3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Consolidated Balance Sheet.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22. Related Party Transactions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Conversion, the Company had subordinated debt issued to Wooster Capital, LLC, which is owned and controlled by our co-founder and Chairman, Joe T. Ford, and the estate of Jo Ellen Ford, who have or had ownership in the Company. During 2022, Brown Brothers Harriman &amp; Co., which is a holder of Westrock Series A Preferred Shares and participant of the August 2023 equity issuance, and prior to the Conversion was a holder of Westrock Series A and Series B Preferred Units, participated in Falcon’s working capital trade finance facility. As such, these persons and entities are deemed related parties.</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reflect the following transactions with related parties: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Brown Brothers Harriman</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tcPr>
          <w:p>
            <w:pPr>
              <w:spacing w:after="0"/>
              <w:rPr>
                <w:sz w:val="18"/>
                <w:szCs w:val="18"/>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 Ellen Ford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Westrock Finance, LLC</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8"/>
                <w:szCs w:val="18"/>
                <w:color w:val="auto"/>
              </w:rPr>
            </w:pPr>
          </w:p>
        </w:tc>
      </w:tr>
      <w:tr>
        <w:trPr>
          <w:trHeight w:val="21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6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S&amp;D Coffee, Inc. in February 2020, the Company entered into a Management Services Agreement with Westrock Group, LLC (“Westrock Group”), whose controlling manager and controlling member, Greenbrier Holdings, LLC, is owned and controlled by our co-founder and Chief Executive Officer Scott Ford. Under the terms of the agreement, which expired in February 2023, Westrock Group was paid $10.0 million in return for financial, managerial, operational, and strategic services. The associated expense is recorded within selling, general and administrative expense in our Consolidated Statements of Operations. During each year ended December 31, 2023, 2022 and 2021, the Company recognized $0.6 million, $3.3 million and $3.3 million, respectively, of such expenses. In addition, the Company reimburses Westrock Group for the usage of a corporate aircraft, and its portion of shared administrative expense. For the years ended December 31, 2023, 2022 and 2021, the Company incurred expenses of $1.5 million, $0.9 million and $0.8 million, respectively, for such items, which are recorded in selling, general and administrative expense on our Consolidated Statements of Operations. At December 31, 2023, we had $0.2 million payable to Westrock Group.</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On January 8, 2024, the Company borrowed $50.0 million under the Delayed Draw Term Loan Facility, using a portion of the proceeds to repay outstanding borrowings under the Revolving Credit Facility.</w:t>
      </w:r>
    </w:p>
    <w:p>
      <w:pPr>
        <w:spacing w:after="0" w:line="16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“Convertible Notes”). The Convertible Notes will be unsecured and senior obligations of the Company and will accrue interest at a rate of 5.00% per annum.</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Convertible Notes do not contain any financial or operating covenants or restrictions on the payments of dividends, the incurrence of indebtedness or the issuance or repurchase of securities by the Company or any of its subsidiaries. The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Convertible Notes to become due and payable immediately. If an event of default involving certain events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of bankruptcy, insolvency or reorganization occurs, then the principal amount of, and all accrued and unpaid interest on, all of the Convertible Notes then outstanding will immediately become due and payable without any further action or notice by any person.</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purchasers of the Convertible Notes are Westrock Group, LLC (a holder of more than 5% of the outstanding Common Shares and an affiliate of Scott Ford, the Company’s Chief Executive Officer and a member of the board of directors of the Company), Wooster Capital, LLC (an affiliate of Joe Ford, chairman of the board of directors), an affiliate of The Stephens Group, LLC (a holder of more than 5% of the outstanding Common Shares), an affiliate of Sowell Westrock, L.P. (a holder of more than 5% of the outstanding Common Shares), HF Direct Investments Pool, LLC (a holder of more than 10% of the outstanding Common Shares), an affiliate of the Herbert Hunt family and an individual investor. The offer and sale of the Convertible Notes was authorized and approved unanimously by the Audit &amp; Finance Committee of the board of directors in accordance with the Company’s Related Party Transactions Policy.</w:t>
      </w:r>
    </w:p>
    <w:p>
      <w:pPr>
        <w:spacing w:after="0" w:line="1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15, 2024, Westrock Beverage Solutions, LLC, a Delaware limited liability company and wholly-owned subsidiary of the Company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w:t>
      </w:r>
    </w:p>
    <w:p>
      <w:pPr>
        <w:spacing w:after="0" w:line="19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49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8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December 31, 2023, the end of the period covered by this Annual Report. Based on this evaluation, our Principal Executive Officer and Principal Financial Officer concluded that our disclosure controls and procedures were not effective as of December 31, 2023 due to the material weaknesses in our internal control over financial reporting, described below.</w:t>
      </w:r>
    </w:p>
    <w:p>
      <w:pPr>
        <w:spacing w:after="0" w:line="183"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However, after giving full consideration to the material weaknesses, management believes that our consolidated financial statements included in this Annual Report on Form 10-K have been prepared in accordance with U.S. GAAP. Our Principal Executive Officer and Principal Financial Officer have certified that, based on such officer’s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 and Principal Financial Officer,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ind w:left="60" w:right="419"/>
        <w:spacing w:after="0" w:line="258"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2023, based on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(“COSO Framework”). Based on that assessment, management has concluded that, as of December 31, 2023, due to the material weaknesses in internal control over financial reporting discussed below, the Company’s internal control over financial reporting was not effective.</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December 31, 2023.</w:t>
      </w:r>
    </w:p>
    <w:p>
      <w:pPr>
        <w:spacing w:after="0" w:line="180"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Westrock did not design and maintain effective controls in response to the risks of material misstatement as changes to existing controls or the implementation of new controls were not sufficient to respond to changes to the risks of material</w:t>
      </w:r>
    </w:p>
    <w:p>
      <w:pPr>
        <w:spacing w:after="0" w:line="35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misstatement to financial reporting. This material weakness in risk assessment contributed to the following material weaknesses:</w:t>
      </w:r>
    </w:p>
    <w:p>
      <w:pPr>
        <w:spacing w:after="0" w:line="162" w:lineRule="exact"/>
        <w:rPr>
          <w:sz w:val="20"/>
          <w:szCs w:val="20"/>
          <w:color w:val="auto"/>
        </w:rPr>
      </w:pPr>
    </w:p>
    <w:p>
      <w:pPr>
        <w:ind w:left="720" w:right="79" w:hanging="319"/>
        <w:spacing w:after="0" w:line="254"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did not design and maintain effective controls over the period-end financial reporting process to achieve complete and accurate financial accounting, reporting and disclosures, including the presentation and classification of various accounts and the recognition of operating lease right-of-use assets and operating lease liabilities in the consolidated financial statements, which resulted in immaterial adjustments to certain interim and annual periods for the years ending December 31, 2020 through December 31, 2023, and material adjustments to the cash flow presentation of net repayments from repurchase agreements within financing activities within the condensed consolidated statement of cash flows for the six months ended June 30, 2023 and to operating lease right-of-use assets and operating lease liabilities within the consolidated balance sheet as of December 31, 2023.</w:t>
      </w:r>
    </w:p>
    <w:p>
      <w:pPr>
        <w:spacing w:after="0" w:line="191"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did not design and maintain effective controls over certain information technology (“IT”) or general computer controls for information systems that are relevant to the preparation of the consolidated financial statements. 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 These IT deficiencies did not result in adjustments to the consolidated financial statements. However, the deficiencies, when aggregated, could impact Westrock’s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it was determined that these deficiencies in the aggregate constitute a material weakness.</w:t>
      </w:r>
    </w:p>
    <w:p>
      <w:pPr>
        <w:spacing w:after="0" w:line="193"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176"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independent registered public accounting firm due to a transition period established by rules of the Securities and Exchange Commission for emerging growth companies.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Activities</w:t>
      </w:r>
    </w:p>
    <w:p>
      <w:pPr>
        <w:spacing w:after="0" w:line="227"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Westrock has taken and is taking certain measures to remediate the material weaknesses described above, including the following:</w:t>
      </w:r>
    </w:p>
    <w:p>
      <w:pPr>
        <w:spacing w:after="0" w:line="162" w:lineRule="exact"/>
        <w:rPr>
          <w:sz w:val="20"/>
          <w:szCs w:val="20"/>
          <w:color w:val="auto"/>
        </w:rPr>
      </w:pPr>
    </w:p>
    <w:p>
      <w:pPr>
        <w:ind w:left="720" w:right="11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accounting and IT personnel, including a new chief accounting officer hired in May 2021, a new technical accounting resource hired in April 2022, a new IT compliance resource hired in March 2023, and a new internal controls resource hired in April 2023 with the appropriate level of knowledge, training, and experience to improve our internal control over financial reporting and IT capabilities. Hired a Chief Information Officer in November 2023 with public company IT compliance and cybersecurity experience.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99" w:hanging="319"/>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formalizing a risk assessment process across the organization to identify risks and design new controls or enhance existing controls responsive to such risks to ensure timely and accurate financial reporting based on criteria established in the COSO Framework. Entity level controls necessary to support management’s risk assessment and a process to evaluate the control environment in accordance with the COSO Framework were improved or implemented throughout 2023. Management is at various stages of designing or implementing additional controls that would further improve risk assessment.</w:t>
      </w:r>
    </w:p>
    <w:p>
      <w:pPr>
        <w:spacing w:after="0" w:line="92"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assist in designing and implementing controls related to period-end financial reporting, segregation of duties and IT general controls.</w:t>
      </w:r>
    </w:p>
    <w:p>
      <w:pPr>
        <w:spacing w:after="0" w:line="67"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during the quarters ended June 30, September 30, and December 31, 2023 to formalize roles and review responsibilities to align with Westrock’s team’s skills and experience and designing and implementing controls over segregation of duties that include workflow automation and documentation, task reassignment, and policies and procedures enhancement around the preparation, review and oversight of account reconciliations and journal entries.</w:t>
      </w:r>
    </w:p>
    <w:p>
      <w:pPr>
        <w:spacing w:after="0" w:line="88" w:lineRule="exact"/>
        <w:rPr>
          <w:rFonts w:ascii="Times New Roman" w:cs="Times New Roman" w:eastAsia="Times New Roman" w:hAnsi="Times New Roman"/>
          <w:sz w:val="18"/>
          <w:szCs w:val="18"/>
          <w:color w:val="auto"/>
        </w:rPr>
      </w:pPr>
    </w:p>
    <w:p>
      <w:pPr>
        <w:ind w:left="720" w:right="139" w:hanging="319"/>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formal accounting procedures and controls during the quarters ended September 30, and December 31, 2023 that support Westrock’s period-end financial reporting process, including controls over close procedures workflow, the preparation, review and oversight of account reconciliations and journal entries, evaluation of internal information for disclosure, and controls to reconcile financial statement and disclosure information to source documentation. Management is at various stages of designing other controls that would further improve period-end financial reporting.</w:t>
      </w:r>
    </w:p>
    <w:p>
      <w:pPr>
        <w:spacing w:after="0" w:line="92" w:lineRule="exact"/>
        <w:rPr>
          <w:rFonts w:ascii="Times New Roman" w:cs="Times New Roman" w:eastAsia="Times New Roman" w:hAnsi="Times New Roman"/>
          <w:sz w:val="18"/>
          <w:szCs w:val="18"/>
          <w:color w:val="auto"/>
        </w:rPr>
      </w:pPr>
    </w:p>
    <w:p>
      <w:pPr>
        <w:ind w:left="720" w:right="119" w:hanging="319"/>
        <w:spacing w:after="0" w:line="253"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2023, enhanced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and</w:t>
      </w:r>
    </w:p>
    <w:p>
      <w:pPr>
        <w:spacing w:after="0" w:line="5"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review of service organization reports and related end-user control considerations.</w:t>
      </w:r>
    </w:p>
    <w:p>
      <w:pPr>
        <w:spacing w:after="0" w:line="112" w:lineRule="exact"/>
        <w:rPr>
          <w:rFonts w:ascii="Times New Roman" w:cs="Times New Roman" w:eastAsia="Times New Roman" w:hAnsi="Times New Roman"/>
          <w:sz w:val="18"/>
          <w:szCs w:val="18"/>
          <w:color w:val="auto"/>
        </w:rPr>
      </w:pPr>
    </w:p>
    <w:p>
      <w:pPr>
        <w:ind w:left="720" w:right="119" w:hanging="319"/>
        <w:spacing w:after="0" w:line="263"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IT general controls, including controls over change management, the review and update of user access rights and privileges, controls over batch jobs and data backups, and program development approvals and testing for all IT systems during the quarters ended September 30, and December 31, 2023.</w:t>
      </w:r>
    </w:p>
    <w:p>
      <w:pPr>
        <w:spacing w:after="0" w:line="30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enhancements are expected to remediate the material weaknesses described above when each is fully implemented and operating effectively.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3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Other than the remediation activities related to the material weaknesses described above in the Remediation Activities section, there were no changes in our internal control over financial reporting, as such term is defined in Rule 13a-15(f) under the Exchange Act, that occurred during the quarter ended December 31, 2023, that have materially affected, or are reasonably likely to materially affect, our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35"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2023, none of the Company’s directors or officers (as defined in Rule 16a-1(f) of the Securities Exchange Act of 1934) adopted or terminated a Rule 10b5-1 trading arrangement or non-Rule 10b5-1 trading arrangement, (as such terms are defined in Item 408(a) of Regulation S-K).</w:t>
      </w:r>
    </w:p>
    <w:p>
      <w:pPr>
        <w:spacing w:after="0" w:line="91" w:lineRule="exact"/>
        <w:rPr>
          <w:sz w:val="20"/>
          <w:szCs w:val="20"/>
          <w:color w:val="auto"/>
        </w:rPr>
      </w:pPr>
    </w:p>
    <w:p>
      <w:pPr>
        <w:ind w:left="60" w:right="3139"/>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5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2024 annual meeting of stockholders (our “Proxy Statement”), which we expect to be filed with the SEC no later than 120 days after December 31, 2023, pursuant to Regulation 14A under the Exchange Act.</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or “Code of Ethics,” which apply to all of our directors, officers and employees, including our principal executive officer, principal financial officer, principal accounting officer and persons performing similar functions. The board of directors also adopted the Westrock Coffee Company Supplemental Code of Ethics for Chief Executive Officer and Senior Financial Officers (the “Supplemental Code of Ethics”). The Supplemental Code of Ethics applies to the Company’s chief executive officer, president, if any, chief financial officer and principal accounting officer. The Code of Ethics and Supplemental Code of Ethics are available on our website at www.investors.westrockcoffee.com. If we amend or grant any waiver from a provision of our Code of Ethics that applies to any of our executive officers or Supplemental Code of Ethics, we will publicly disclose such amendment or waiver as required by applicable law.</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Except as set forth below, information required to be set forth herein is incorporated by reference, when filed, from our Proxy Statement.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our common stock that may be issued under our existing equity compensation plans as of December 31, 2023.</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2"/>
                <w:szCs w:val="12"/>
                <w:color w:val="auto"/>
              </w:rPr>
            </w:pPr>
          </w:p>
        </w:tc>
        <w:tc>
          <w:tcPr>
            <w:tcW w:w="158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20" w:type="dxa"/>
            <w:vAlign w:val="bottom"/>
            <w:gridSpan w:val="5"/>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4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6"/>
        </w:trPr>
        <w:tc>
          <w:tcPr>
            <w:tcW w:w="4220" w:type="dxa"/>
            <w:vAlign w:val="bottom"/>
            <w:gridSpan w:val="2"/>
            <w:vMerge w:val="continue"/>
          </w:tcPr>
          <w:p>
            <w:pPr>
              <w:spacing w:after="0"/>
              <w:rPr>
                <w:sz w:val="15"/>
                <w:szCs w:val="15"/>
                <w:color w:val="auto"/>
              </w:rPr>
            </w:pPr>
          </w:p>
        </w:tc>
        <w:tc>
          <w:tcPr>
            <w:tcW w:w="1520" w:type="dxa"/>
            <w:vAlign w:val="bottom"/>
            <w:gridSpan w:val="5"/>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4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20"/>
                <w:szCs w:val="20"/>
                <w:b w:val="1"/>
                <w:bCs w:val="1"/>
                <w:color w:val="auto"/>
                <w:w w:val="99"/>
                <w:vertAlign w:val="superscript"/>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28"/>
        </w:trPr>
        <w:tc>
          <w:tcPr>
            <w:tcW w:w="4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w w:val="89"/>
              </w:rPr>
              <w:t>(a)</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right"/>
              <w:ind w:right="470"/>
              <w:spacing w:after="0" w:line="129" w:lineRule="exact"/>
              <w:rPr>
                <w:sz w:val="20"/>
                <w:szCs w:val="20"/>
                <w:color w:val="auto"/>
              </w:rPr>
            </w:pPr>
            <w:r>
              <w:rPr>
                <w:rFonts w:ascii="Times New Roman" w:cs="Times New Roman" w:eastAsia="Times New Roman" w:hAnsi="Times New Roman"/>
                <w:sz w:val="14"/>
                <w:szCs w:val="14"/>
                <w:color w:val="auto"/>
              </w:rPr>
              <w:t>(b)</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470"/>
              <w:spacing w:after="0" w:line="129" w:lineRule="exact"/>
              <w:rPr>
                <w:sz w:val="20"/>
                <w:szCs w:val="20"/>
                <w:color w:val="auto"/>
              </w:rPr>
            </w:pPr>
            <w:r>
              <w:rPr>
                <w:rFonts w:ascii="Times New Roman" w:cs="Times New Roman" w:eastAsia="Times New Roman" w:hAnsi="Times New Roman"/>
                <w:sz w:val="14"/>
                <w:szCs w:val="14"/>
                <w:color w:val="auto"/>
                <w:w w:val="89"/>
              </w:rPr>
              <w:t>(c)</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2,831,487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w:t>
            </w:r>
          </w:p>
        </w:tc>
        <w:tc>
          <w:tcPr>
            <w:tcW w:w="1720" w:type="dxa"/>
            <w:vAlign w:val="bottom"/>
            <w:gridSpan w:val="6"/>
            <w:shd w:val="clear" w:color="auto" w:fill="CCEEFF"/>
          </w:tcPr>
          <w:p>
            <w:pPr>
              <w:jc w:val="right"/>
              <w:spacing w:after="0" w:line="234" w:lineRule="exact"/>
              <w:rPr>
                <w:sz w:val="20"/>
                <w:szCs w:val="20"/>
                <w:color w:val="auto"/>
              </w:rPr>
            </w:pPr>
            <w:r>
              <w:rPr>
                <w:rFonts w:ascii="Times New Roman" w:cs="Times New Roman" w:eastAsia="Times New Roman" w:hAnsi="Times New Roman"/>
                <w:sz w:val="18"/>
                <w:szCs w:val="18"/>
                <w:color w:val="auto"/>
              </w:rPr>
              <w:t xml:space="preserve">2,168,278 </w:t>
            </w:r>
            <w:r>
              <w:rPr>
                <w:rFonts w:ascii="Times New Roman" w:cs="Times New Roman" w:eastAsia="Times New Roman" w:hAnsi="Times New Roman"/>
                <w:sz w:val="25"/>
                <w:szCs w:val="25"/>
                <w:color w:val="auto"/>
                <w:vertAlign w:val="subscript"/>
              </w:rPr>
              <w:t>(3)</w:t>
            </w:r>
          </w:p>
        </w:tc>
        <w:tc>
          <w:tcPr>
            <w:tcW w:w="0" w:type="dxa"/>
            <w:vAlign w:val="bottom"/>
          </w:tcPr>
          <w:p>
            <w:pPr>
              <w:spacing w:after="0"/>
              <w:rPr>
                <w:sz w:val="1"/>
                <w:szCs w:val="1"/>
                <w:color w:val="auto"/>
              </w:rPr>
            </w:pPr>
          </w:p>
        </w:tc>
      </w:tr>
      <w:tr>
        <w:trPr>
          <w:trHeight w:val="198"/>
        </w:trPr>
        <w:tc>
          <w:tcPr>
            <w:tcW w:w="4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2,831,487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right="519" w:hanging="190"/>
        <w:spacing w:after="0" w:line="232" w:lineRule="auto"/>
        <w:tabs>
          <w:tab w:leader="none" w:pos="237"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This amount represents the number of shares of common stock underlying (i) stock options granted under the 2020 Option Plan (841,705) and (ii) RSUs granted under the 2022 Equity Plan (1,989,782).</w:t>
      </w:r>
    </w:p>
    <w:p>
      <w:pPr>
        <w:spacing w:after="0" w:line="7" w:lineRule="exact"/>
        <w:rPr>
          <w:rFonts w:ascii="Times New Roman" w:cs="Times New Roman" w:eastAsia="Times New Roman" w:hAnsi="Times New Roman"/>
          <w:sz w:val="23"/>
          <w:szCs w:val="23"/>
          <w:color w:val="auto"/>
          <w:vertAlign w:val="superscript"/>
        </w:rPr>
      </w:pPr>
    </w:p>
    <w:p>
      <w:pPr>
        <w:ind w:left="240" w:right="579" w:hanging="190"/>
        <w:spacing w:after="0" w:line="215" w:lineRule="auto"/>
        <w:tabs>
          <w:tab w:leader="none" w:pos="248"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weighted average exercise price set forth in this column is calculated excluding outstanding RSUs since recipients are not required to pay an exercise price to receive the shares subject to such awards.</w:t>
      </w:r>
    </w:p>
    <w:p>
      <w:pPr>
        <w:spacing w:after="0" w:line="6" w:lineRule="exact"/>
        <w:rPr>
          <w:rFonts w:ascii="Times New Roman" w:cs="Times New Roman" w:eastAsia="Times New Roman" w:hAnsi="Times New Roman"/>
          <w:sz w:val="25"/>
          <w:szCs w:val="25"/>
          <w:color w:val="auto"/>
          <w:vertAlign w:val="superscript"/>
        </w:rPr>
      </w:pPr>
    </w:p>
    <w:p>
      <w:pPr>
        <w:ind w:left="240" w:right="259" w:hanging="190"/>
        <w:spacing w:after="0" w:line="215" w:lineRule="auto"/>
        <w:tabs>
          <w:tab w:leader="none" w:pos="248"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Shares of common stock remaining available for grant under the 2022 Equity Plan, excluding shares underlying awards reflected in column (a). No further awards may be granted under the 2020 Option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in this Annual Report on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noted below, Financial Statement Schedules are omitted because they are not required or are not applicable, or the required information is provided in the consolidated financial statements or related notes in Part II, Item 8 in this Annual Report on Form 10-K.</w:t>
      </w:r>
    </w:p>
    <w:p>
      <w:pPr>
        <w:spacing w:after="0" w:line="17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Schedule I – Condensed Financial Information of the Registrant (Parent Company) as of December 31, 2023 and 2022, and for each of the three years in the period ended December 31, 2023 appearing on pages S-1, S-2, S-3 and S-4 of this report.</w:t>
      </w:r>
    </w:p>
    <w:p>
      <w:pPr>
        <w:spacing w:after="0" w:line="200" w:lineRule="exact"/>
        <w:rPr>
          <w:sz w:val="20"/>
          <w:szCs w:val="20"/>
          <w:color w:val="auto"/>
        </w:rPr>
      </w:pPr>
    </w:p>
    <w:p>
      <w:pPr>
        <w:spacing w:after="0" w:line="37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0"/>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9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3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Transaction Agreement, dated as of April 4, 2022,</w:t>
              </w:r>
            </w:hyperlink>
          </w:p>
        </w:tc>
        <w:tc>
          <w:tcPr>
            <w:tcW w:w="360" w:type="dxa"/>
            <w:vAlign w:val="bottom"/>
            <w:gridSpan w:val="7"/>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by and among Riverview Acquisition Corp.,</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Westrock Coffee Holdings, LLC, Origin Merger Sub</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 Inc. and Origin Merger Sub II, LLC</w:t>
              </w:r>
            </w:hyperlink>
          </w:p>
        </w:tc>
        <w:tc>
          <w:tcPr>
            <w:tcW w:w="2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Certificate of Incorporation of Westrock Coffee</w:t>
              </w:r>
            </w:hyperlink>
          </w:p>
        </w:tc>
        <w:tc>
          <w:tcPr>
            <w:tcW w:w="560" w:type="dxa"/>
            <w:vAlign w:val="bottom"/>
            <w:gridSpan w:val="12"/>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Company</w:t>
              </w:r>
            </w:hyperlink>
          </w:p>
        </w:tc>
        <w:tc>
          <w:tcPr>
            <w:tcW w:w="3260" w:type="dxa"/>
            <w:vAlign w:val="bottom"/>
            <w:gridSpan w:val="22"/>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Bylaws of Westrock Coffee Company</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6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Amended and Restated Warrant Agreement by and</w:t>
              </w:r>
            </w:hyperlink>
          </w:p>
        </w:tc>
        <w:tc>
          <w:tcPr>
            <w:tcW w:w="300" w:type="dxa"/>
            <w:vAlign w:val="bottom"/>
            <w:gridSpan w:val="6"/>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among Westrock Coffee Company, Computershare</w:t>
              </w:r>
            </w:hyperlink>
          </w:p>
        </w:tc>
        <w:tc>
          <w:tcPr>
            <w:tcW w:w="3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Inc. and Computershare Trust Company, N.A.</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Specimen Common Stock Certificate of Westrock</w:t>
              </w:r>
            </w:hyperlink>
          </w:p>
        </w:tc>
        <w:tc>
          <w:tcPr>
            <w:tcW w:w="380" w:type="dxa"/>
            <w:vAlign w:val="bottom"/>
            <w:gridSpan w:val="8"/>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Coffee Company</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Specimen Warrant Certificate of Westrock Coffee</w:t>
              </w:r>
            </w:hyperlink>
          </w:p>
        </w:tc>
        <w:tc>
          <w:tcPr>
            <w:tcW w:w="400" w:type="dxa"/>
            <w:vAlign w:val="bottom"/>
            <w:gridSpan w:val="9"/>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25">
              <w:r>
                <w:rPr>
                  <w:rFonts w:ascii="Times New Roman" w:cs="Times New Roman" w:eastAsia="Times New Roman" w:hAnsi="Times New Roman"/>
                  <w:sz w:val="18"/>
                  <w:szCs w:val="18"/>
                  <w:color w:val="0000EE"/>
                  <w:w w:val="97"/>
                </w:rPr>
                <w:t>Company</w:t>
              </w:r>
            </w:hyperlink>
          </w:p>
        </w:tc>
        <w:tc>
          <w:tcPr>
            <w:tcW w:w="3280" w:type="dxa"/>
            <w:vAlign w:val="bottom"/>
            <w:gridSpan w:val="2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and Restated Investor Rights Agreement,</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June 30, 2023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dated as of June 29, 2023, by and among Westrock</w:t>
              </w:r>
            </w:hyperlink>
          </w:p>
        </w:tc>
        <w:tc>
          <w:tcPr>
            <w:tcW w:w="20" w:type="dxa"/>
            <w:vAlign w:val="bottom"/>
            <w:tcBorders>
              <w:top w:val="single" w:sz="8" w:color="0000EE"/>
            </w:tcBorders>
          </w:tcPr>
          <w:p>
            <w:pPr>
              <w:spacing w:after="0"/>
              <w:rPr>
                <w:sz w:val="18"/>
                <w:szCs w:val="18"/>
                <w:color w:val="auto"/>
              </w:rPr>
            </w:pPr>
          </w:p>
        </w:tc>
        <w:tc>
          <w:tcPr>
            <w:tcW w:w="2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Coffee Company, Westrock Group, LLC, BBH</w:t>
              </w:r>
            </w:hyperlink>
          </w:p>
        </w:tc>
        <w:tc>
          <w:tcPr>
            <w:tcW w:w="60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Capital Partners V, L.P., BBH Capital Partners V-A,</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L.P., BBH CPV WCC Co-Investment LLC,</w:t>
              </w:r>
            </w:hyperlink>
          </w:p>
        </w:tc>
        <w:tc>
          <w:tcPr>
            <w:tcW w:w="2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Riverview Sponsor Partners, LLC and HF Direct</w:t>
              </w:r>
            </w:hyperlink>
          </w:p>
        </w:tc>
        <w:tc>
          <w:tcPr>
            <w:tcW w:w="46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Investments Pool, LLC</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3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Form of Convertible Note of Westrock Coffee</w:t>
              </w:r>
            </w:hyperlink>
          </w:p>
        </w:tc>
        <w:tc>
          <w:tcPr>
            <w:tcW w:w="660" w:type="dxa"/>
            <w:vAlign w:val="bottom"/>
            <w:gridSpan w:val="14"/>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February 15,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Company, dated February 15, 2024</w:t>
              </w:r>
            </w:hyperlink>
          </w:p>
        </w:tc>
        <w:tc>
          <w:tcPr>
            <w:tcW w:w="144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 Registered</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under Section 12 of the Securities Exchange Act of</w:t>
            </w:r>
          </w:p>
        </w:tc>
        <w:tc>
          <w:tcPr>
            <w:tcW w:w="2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EE"/>
                <w:w w:val="94"/>
              </w:rPr>
              <w:t>1934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Registration Rights Agreement, dated as of April 4,</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2022, by and among Westrock Coffee Holdings,</w:t>
              </w:r>
            </w:hyperlink>
          </w:p>
        </w:tc>
        <w:tc>
          <w:tcPr>
            <w:tcW w:w="2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LLC and the other parties thereto</w:t>
              </w:r>
            </w:hyperlink>
          </w:p>
        </w:tc>
        <w:tc>
          <w:tcPr>
            <w:tcW w:w="520" w:type="dxa"/>
            <w:vAlign w:val="bottom"/>
            <w:gridSpan w:val="11"/>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35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Sponsor Support Agreement, dated as of April 4,</w:t>
              </w:r>
            </w:hyperlink>
          </w:p>
        </w:tc>
        <w:tc>
          <w:tcPr>
            <w:tcW w:w="460" w:type="dxa"/>
            <w:vAlign w:val="bottom"/>
            <w:gridSpan w:val="10"/>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2022, by and among Westrock Coffee Holdings,</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820" w:type="dxa"/>
            <w:vAlign w:val="bottom"/>
            <w:tcBorders>
              <w:left w:val="single" w:sz="8" w:color="0000EE"/>
            </w:tcBorders>
            <w:gridSpan w:val="9"/>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LLC, Riverview Acquisition Corp., and Riverview</w:t>
              </w:r>
            </w:hyperlink>
          </w:p>
        </w:tc>
        <w:tc>
          <w:tcPr>
            <w:tcW w:w="3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5"/>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Sponsor Partners, LLC</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10.3#</w:t>
            </w:r>
          </w:p>
        </w:tc>
        <w:tc>
          <w:tcPr>
            <w:tcW w:w="3920" w:type="dxa"/>
            <w:vAlign w:val="bottom"/>
            <w:gridSpan w:val="27"/>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Indemnification Agreement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50"/>
        </w:trPr>
        <w:tc>
          <w:tcPr>
            <w:tcW w:w="7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00" w:type="dxa"/>
            <w:vAlign w:val="bottom"/>
          </w:tcPr>
          <w:p>
            <w:pPr>
              <w:spacing w:after="0"/>
              <w:rPr>
                <w:sz w:val="21"/>
                <w:szCs w:val="21"/>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8"/>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10.4</w:t>
            </w:r>
          </w:p>
        </w:tc>
        <w:tc>
          <w:tcPr>
            <w:tcW w:w="3920" w:type="dxa"/>
            <w:vAlign w:val="bottom"/>
            <w:gridSpan w:val="27"/>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Credit Agreement, dated as of August 29, 2022,</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132">
              <w:r>
                <w:rPr>
                  <w:rFonts w:ascii="Times New Roman" w:cs="Times New Roman" w:eastAsia="Times New Roman" w:hAnsi="Times New Roman"/>
                  <w:sz w:val="18"/>
                  <w:szCs w:val="18"/>
                  <w:color w:val="0000EE"/>
                  <w:w w:val="97"/>
                </w:rPr>
                <w:t>borrower, Westrock Coffee Company, Wells Fargo</w:t>
              </w:r>
            </w:hyperlink>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8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Bank, N.A., as administrative agent, collateral agent,</w:t>
              </w:r>
            </w:hyperlink>
          </w:p>
        </w:tc>
        <w:tc>
          <w:tcPr>
            <w:tcW w:w="10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and swingline lender, Wells Fargo Securities, LLC,</w:t>
              </w:r>
            </w:hyperlink>
          </w:p>
        </w:tc>
        <w:tc>
          <w:tcPr>
            <w:tcW w:w="24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7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as sustainability structuring agent, and each issuing</w:t>
              </w:r>
            </w:hyperlink>
          </w:p>
        </w:tc>
        <w:tc>
          <w:tcPr>
            <w:tcW w:w="22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2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bank and lender party thereto.</w:t>
              </w:r>
            </w:hyperlink>
          </w:p>
        </w:tc>
        <w:tc>
          <w:tcPr>
            <w:tcW w:w="1760" w:type="dxa"/>
            <w:vAlign w:val="bottom"/>
            <w:gridSpan w:val="21"/>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26"/>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10.5</w:t>
            </w:r>
          </w:p>
        </w:tc>
        <w:tc>
          <w:tcPr>
            <w:tcW w:w="3920" w:type="dxa"/>
            <w:vAlign w:val="bottom"/>
            <w:gridSpan w:val="27"/>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Incremental Assumption Agreement and</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February 14,</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Amendment No. 1, dated as of February 14, 2023,</w:t>
              </w:r>
            </w:hyperlink>
          </w:p>
        </w:tc>
        <w:tc>
          <w:tcPr>
            <w:tcW w:w="30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09"/>
        </w:trPr>
        <w:tc>
          <w:tcPr>
            <w:tcW w:w="740" w:type="dxa"/>
            <w:vAlign w:val="bottom"/>
          </w:tcPr>
          <w:p>
            <w:pPr>
              <w:spacing w:after="0"/>
              <w:rPr>
                <w:sz w:val="18"/>
                <w:szCs w:val="18"/>
                <w:color w:val="auto"/>
              </w:rPr>
            </w:pPr>
          </w:p>
        </w:tc>
        <w:tc>
          <w:tcPr>
            <w:tcW w:w="3920" w:type="dxa"/>
            <w:vAlign w:val="bottom"/>
            <w:gridSpan w:val="27"/>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among Westrock Beverage Solutions, LLC, as</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borrower, Westrock Coffee Company, as holdings,</w:t>
              </w:r>
            </w:hyperlink>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920" w:type="dxa"/>
            <w:vAlign w:val="bottom"/>
            <w:gridSpan w:val="27"/>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the other guarantors party thereto, the Amendment</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5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No. 1 delayed draw term loan lenders, the lenders</w:t>
              </w:r>
            </w:hyperlink>
          </w:p>
        </w:tc>
        <w:tc>
          <w:tcPr>
            <w:tcW w:w="60" w:type="dxa"/>
            <w:vAlign w:val="bottom"/>
            <w:tcBorders>
              <w:top w:val="single" w:sz="8" w:color="0000EE"/>
            </w:tcBorders>
            <w:gridSpan w:val="3"/>
          </w:tcPr>
          <w:p>
            <w:pPr>
              <w:spacing w:after="0"/>
              <w:rPr>
                <w:sz w:val="18"/>
                <w:szCs w:val="18"/>
                <w:color w:val="auto"/>
              </w:rPr>
            </w:pPr>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party thereto and Wells Fargo Bank, N.A., as</w:t>
              </w:r>
            </w:hyperlink>
          </w:p>
        </w:tc>
        <w:tc>
          <w:tcPr>
            <w:tcW w:w="680" w:type="dxa"/>
            <w:vAlign w:val="bottom"/>
            <w:gridSpan w:val="17"/>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920" w:type="dxa"/>
            <w:vAlign w:val="bottom"/>
            <w:gridSpan w:val="27"/>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administrative agent.</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26"/>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10.6</w:t>
            </w:r>
          </w:p>
        </w:tc>
        <w:tc>
          <w:tcPr>
            <w:tcW w:w="38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No. 2, dated as of June 30, 2023, among</w:t>
              </w:r>
            </w:hyperlink>
          </w:p>
        </w:tc>
        <w:tc>
          <w:tcPr>
            <w:tcW w:w="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June 30, 2023</w:t>
            </w:r>
          </w:p>
        </w:tc>
      </w:tr>
      <w:tr>
        <w:trPr>
          <w:trHeight w:val="209"/>
        </w:trPr>
        <w:tc>
          <w:tcPr>
            <w:tcW w:w="740" w:type="dxa"/>
            <w:vAlign w:val="bottom"/>
          </w:tcPr>
          <w:p>
            <w:pPr>
              <w:spacing w:after="0"/>
              <w:rPr>
                <w:sz w:val="18"/>
                <w:szCs w:val="18"/>
                <w:color w:val="auto"/>
              </w:rPr>
            </w:pPr>
          </w:p>
        </w:tc>
        <w:tc>
          <w:tcPr>
            <w:tcW w:w="3920" w:type="dxa"/>
            <w:vAlign w:val="bottom"/>
            <w:gridSpan w:val="27"/>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Westrock Beverage Solutions, LLC, as the borrower,</w:t>
              </w:r>
            </w:hyperlink>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80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the lenders party thereto and Wells Fargo Bank,</w:t>
              </w:r>
            </w:hyperlink>
          </w:p>
        </w:tc>
        <w:tc>
          <w:tcPr>
            <w:tcW w:w="1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4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N.A., as administrative agent.</w:t>
              </w:r>
            </w:hyperlink>
          </w:p>
        </w:tc>
        <w:tc>
          <w:tcPr>
            <w:tcW w:w="48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10.7</w:t>
            </w:r>
          </w:p>
        </w:tc>
        <w:tc>
          <w:tcPr>
            <w:tcW w:w="3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Amendment No. 3, dated as of February 15, 2024,</w:t>
              </w:r>
            </w:hyperlink>
          </w:p>
        </w:tc>
        <w:tc>
          <w:tcPr>
            <w:tcW w:w="30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February 15,</w:t>
            </w:r>
          </w:p>
        </w:tc>
      </w:tr>
      <w:tr>
        <w:trPr>
          <w:trHeight w:val="209"/>
        </w:trPr>
        <w:tc>
          <w:tcPr>
            <w:tcW w:w="740" w:type="dxa"/>
            <w:vAlign w:val="bottom"/>
          </w:tcPr>
          <w:p>
            <w:pPr>
              <w:spacing w:after="0"/>
              <w:rPr>
                <w:sz w:val="18"/>
                <w:szCs w:val="18"/>
                <w:color w:val="auto"/>
              </w:rPr>
            </w:pPr>
          </w:p>
        </w:tc>
        <w:tc>
          <w:tcPr>
            <w:tcW w:w="3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740" w:type="dxa"/>
            <w:vAlign w:val="bottom"/>
          </w:tcPr>
          <w:p>
            <w:pPr>
              <w:spacing w:after="0"/>
              <w:rPr>
                <w:sz w:val="18"/>
                <w:szCs w:val="18"/>
                <w:color w:val="auto"/>
              </w:rPr>
            </w:pPr>
          </w:p>
        </w:tc>
        <w:tc>
          <w:tcPr>
            <w:tcW w:w="3920" w:type="dxa"/>
            <w:vAlign w:val="bottom"/>
            <w:gridSpan w:val="27"/>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borrower, the lenders party thereto and Wells Fargo</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70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Bank, N.A., as administrative agent</w:t>
              </w:r>
            </w:hyperlink>
          </w:p>
        </w:tc>
        <w:tc>
          <w:tcPr>
            <w:tcW w:w="22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10.8#</w:t>
            </w:r>
          </w:p>
        </w:tc>
        <w:tc>
          <w:tcPr>
            <w:tcW w:w="37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920" w:type="dxa"/>
            <w:vAlign w:val="bottom"/>
            <w:gridSpan w:val="27"/>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and between Westrock Coffee Company and Scott T.</w:t>
              </w:r>
            </w:hyperlink>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3"/>
              </w:rPr>
            </w:pPr>
            <w:hyperlink r:id="rId136">
              <w:r>
                <w:rPr>
                  <w:rFonts w:ascii="Times New Roman" w:cs="Times New Roman" w:eastAsia="Times New Roman" w:hAnsi="Times New Roman"/>
                  <w:sz w:val="18"/>
                  <w:szCs w:val="18"/>
                  <w:color w:val="0000EE"/>
                  <w:w w:val="93"/>
                </w:rPr>
                <w:t>Ford</w:t>
              </w:r>
            </w:hyperlink>
          </w:p>
        </w:tc>
        <w:tc>
          <w:tcPr>
            <w:tcW w:w="3460" w:type="dxa"/>
            <w:vAlign w:val="bottom"/>
            <w:tcBorders>
              <w:top w:val="single" w:sz="8" w:color="0000EE"/>
            </w:tcBorders>
            <w:gridSpan w:val="22"/>
          </w:tcPr>
          <w:p>
            <w:pPr>
              <w:spacing w:after="0"/>
              <w:rPr>
                <w:sz w:val="18"/>
                <w:szCs w:val="18"/>
                <w:color w:val="auto"/>
              </w:rPr>
            </w:pPr>
          </w:p>
        </w:tc>
        <w:tc>
          <w:tcPr>
            <w:tcW w:w="1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10.9#</w:t>
            </w:r>
          </w:p>
        </w:tc>
        <w:tc>
          <w:tcPr>
            <w:tcW w:w="3920" w:type="dxa"/>
            <w:vAlign w:val="bottom"/>
            <w:gridSpan w:val="27"/>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Employment Agreement, dated August 26, 2022, by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4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and between Westrock Coffee Company and T.</w:t>
              </w:r>
            </w:hyperlink>
          </w:p>
        </w:tc>
        <w:tc>
          <w:tcPr>
            <w:tcW w:w="360" w:type="dxa"/>
            <w:vAlign w:val="bottom"/>
            <w:tcBorders>
              <w:top w:val="single" w:sz="8" w:color="0000EE"/>
            </w:tcBorders>
            <w:gridSpan w:val="9"/>
          </w:tcPr>
          <w:p>
            <w:pPr>
              <w:spacing w:after="0"/>
              <w:rPr>
                <w:sz w:val="18"/>
                <w:szCs w:val="18"/>
                <w:color w:val="auto"/>
              </w:rPr>
            </w:pPr>
          </w:p>
        </w:tc>
        <w:tc>
          <w:tcPr>
            <w:tcW w:w="16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920" w:type="dxa"/>
            <w:vAlign w:val="bottom"/>
            <w:gridSpan w:val="27"/>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Christopher Pledger</w:t>
              </w:r>
            </w:hyperlink>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10.10#</w:t>
            </w:r>
          </w:p>
        </w:tc>
        <w:tc>
          <w:tcPr>
            <w:tcW w:w="37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8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and between Westrock Coffee Company and William</w:t>
              </w:r>
            </w:hyperlink>
          </w:p>
        </w:tc>
        <w:tc>
          <w:tcPr>
            <w:tcW w:w="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r:id="rId138">
              <w:r>
                <w:rPr>
                  <w:rFonts w:ascii="Times New Roman" w:cs="Times New Roman" w:eastAsia="Times New Roman" w:hAnsi="Times New Roman"/>
                  <w:sz w:val="18"/>
                  <w:szCs w:val="18"/>
                  <w:color w:val="0000EE"/>
                  <w:w w:val="96"/>
                </w:rPr>
                <w:t>A. Ford</w:t>
              </w:r>
            </w:hyperlink>
          </w:p>
        </w:tc>
        <w:tc>
          <w:tcPr>
            <w:tcW w:w="3360" w:type="dxa"/>
            <w:vAlign w:val="bottom"/>
            <w:gridSpan w:val="25"/>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10.11#</w:t>
            </w:r>
          </w:p>
        </w:tc>
        <w:tc>
          <w:tcPr>
            <w:tcW w:w="3920" w:type="dxa"/>
            <w:vAlign w:val="bottom"/>
            <w:gridSpan w:val="27"/>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Employment Agreement, dated August 26, 2022, by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March 21,</w:t>
            </w:r>
          </w:p>
        </w:tc>
      </w:tr>
      <w:tr>
        <w:trPr>
          <w:trHeight w:val="210"/>
        </w:trPr>
        <w:tc>
          <w:tcPr>
            <w:tcW w:w="740" w:type="dxa"/>
            <w:vAlign w:val="bottom"/>
          </w:tcPr>
          <w:p>
            <w:pPr>
              <w:spacing w:after="0"/>
              <w:rPr>
                <w:sz w:val="18"/>
                <w:szCs w:val="18"/>
                <w:color w:val="auto"/>
              </w:rPr>
            </w:pPr>
          </w:p>
        </w:tc>
        <w:tc>
          <w:tcPr>
            <w:tcW w:w="374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and between Westrock Coffee Company and Robert</w:t>
              </w:r>
            </w:hyperlink>
          </w:p>
        </w:tc>
        <w:tc>
          <w:tcPr>
            <w:tcW w:w="20" w:type="dxa"/>
            <w:vAlign w:val="bottom"/>
            <w:tcBorders>
              <w:top w:val="single" w:sz="8" w:color="0000EE"/>
            </w:tcBorders>
          </w:tcPr>
          <w:p>
            <w:pPr>
              <w:spacing w:after="0"/>
              <w:rPr>
                <w:sz w:val="18"/>
                <w:szCs w:val="18"/>
                <w:color w:val="auto"/>
              </w:rPr>
            </w:pPr>
          </w:p>
        </w:tc>
        <w:tc>
          <w:tcPr>
            <w:tcW w:w="16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0"/>
        </w:trPr>
        <w:tc>
          <w:tcPr>
            <w:tcW w:w="740" w:type="dxa"/>
            <w:vAlign w:val="bottom"/>
          </w:tcPr>
          <w:p>
            <w:pPr>
              <w:spacing w:after="0"/>
              <w:rPr>
                <w:sz w:val="18"/>
                <w:szCs w:val="18"/>
                <w:color w:val="auto"/>
              </w:rPr>
            </w:pPr>
          </w:p>
        </w:tc>
        <w:tc>
          <w:tcPr>
            <w:tcW w:w="9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5"/>
              </w:rPr>
            </w:pPr>
            <w:hyperlink r:id="rId139">
              <w:r>
                <w:rPr>
                  <w:rFonts w:ascii="Times New Roman" w:cs="Times New Roman" w:eastAsia="Times New Roman" w:hAnsi="Times New Roman"/>
                  <w:sz w:val="18"/>
                  <w:szCs w:val="18"/>
                  <w:color w:val="0000EE"/>
                  <w:w w:val="95"/>
                </w:rPr>
                <w:t>P. McKinney</w:t>
              </w:r>
            </w:hyperlink>
          </w:p>
        </w:tc>
        <w:tc>
          <w:tcPr>
            <w:tcW w:w="2980" w:type="dxa"/>
            <w:vAlign w:val="bottom"/>
            <w:gridSpan w:val="2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10.12#</w:t>
            </w:r>
          </w:p>
        </w:tc>
        <w:tc>
          <w:tcPr>
            <w:tcW w:w="3920" w:type="dxa"/>
            <w:vAlign w:val="bottom"/>
            <w:gridSpan w:val="27"/>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Employment Agreement, dated August 26, 2022, by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March 21,</w:t>
            </w:r>
          </w:p>
        </w:tc>
      </w:tr>
      <w:tr>
        <w:trPr>
          <w:trHeight w:val="209"/>
        </w:trPr>
        <w:tc>
          <w:tcPr>
            <w:tcW w:w="740" w:type="dxa"/>
            <w:vAlign w:val="bottom"/>
          </w:tcPr>
          <w:p>
            <w:pPr>
              <w:spacing w:after="0"/>
              <w:rPr>
                <w:sz w:val="18"/>
                <w:szCs w:val="18"/>
                <w:color w:val="auto"/>
              </w:rPr>
            </w:pPr>
          </w:p>
        </w:tc>
        <w:tc>
          <w:tcPr>
            <w:tcW w:w="376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and between Westrock Coffee Company and John</w:t>
              </w:r>
            </w:hyperlink>
          </w:p>
        </w:tc>
        <w:tc>
          <w:tcPr>
            <w:tcW w:w="16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0"/>
        </w:trPr>
        <w:tc>
          <w:tcPr>
            <w:tcW w:w="740" w:type="dxa"/>
            <w:vAlign w:val="bottom"/>
          </w:tcPr>
          <w:p>
            <w:pPr>
              <w:spacing w:after="0"/>
              <w:rPr>
                <w:sz w:val="18"/>
                <w:szCs w:val="18"/>
                <w:color w:val="auto"/>
              </w:rPr>
            </w:pPr>
          </w:p>
        </w:tc>
        <w:tc>
          <w:tcPr>
            <w:tcW w:w="358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Blake Schuhmacher</w:t>
              </w:r>
            </w:hyperlink>
          </w:p>
        </w:tc>
        <w:tc>
          <w:tcPr>
            <w:tcW w:w="34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10.13#</w:t>
            </w:r>
          </w:p>
        </w:tc>
        <w:tc>
          <w:tcPr>
            <w:tcW w:w="3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Westrock Coffee Company 2022 Equity Incentive</w:t>
              </w:r>
            </w:hyperlink>
          </w:p>
        </w:tc>
        <w:tc>
          <w:tcPr>
            <w:tcW w:w="280" w:type="dxa"/>
            <w:vAlign w:val="bottom"/>
            <w:gridSpan w:val="9"/>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r:id="rId142">
              <w:r>
                <w:rPr>
                  <w:rFonts w:ascii="Times New Roman" w:cs="Times New Roman" w:eastAsia="Times New Roman" w:hAnsi="Times New Roman"/>
                  <w:sz w:val="18"/>
                  <w:szCs w:val="18"/>
                  <w:color w:val="0000EE"/>
                  <w:w w:val="93"/>
                </w:rPr>
                <w:t>Plan</w:t>
              </w:r>
            </w:hyperlink>
          </w:p>
        </w:tc>
        <w:tc>
          <w:tcPr>
            <w:tcW w:w="3560" w:type="dxa"/>
            <w:vAlign w:val="bottom"/>
            <w:gridSpan w:val="22"/>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10.14#</w:t>
            </w:r>
          </w:p>
        </w:tc>
        <w:tc>
          <w:tcPr>
            <w:tcW w:w="3880" w:type="dxa"/>
            <w:vAlign w:val="bottom"/>
            <w:gridSpan w:val="23"/>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Restricted Stock Unit Award Agreement</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250"/>
        </w:trPr>
        <w:tc>
          <w:tcPr>
            <w:tcW w:w="7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0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21"/>
                <w:szCs w:val="21"/>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8"/>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10.15#</w:t>
            </w:r>
          </w:p>
        </w:tc>
        <w:tc>
          <w:tcPr>
            <w:tcW w:w="3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Westrock Coffee Company Annual Cash Incentive</w:t>
              </w:r>
            </w:hyperlink>
          </w:p>
        </w:tc>
        <w:tc>
          <w:tcPr>
            <w:tcW w:w="22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r:id="rId144">
              <w:r>
                <w:rPr>
                  <w:rFonts w:ascii="Times New Roman" w:cs="Times New Roman" w:eastAsia="Times New Roman" w:hAnsi="Times New Roman"/>
                  <w:sz w:val="18"/>
                  <w:szCs w:val="18"/>
                  <w:color w:val="0000EE"/>
                  <w:w w:val="93"/>
                </w:rPr>
                <w:t>Plan</w:t>
              </w:r>
            </w:hyperlink>
          </w:p>
        </w:tc>
        <w:tc>
          <w:tcPr>
            <w:tcW w:w="3560" w:type="dxa"/>
            <w:vAlign w:val="bottom"/>
            <w:gridSpan w:val="22"/>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10.16#</w:t>
            </w:r>
          </w:p>
        </w:tc>
        <w:tc>
          <w:tcPr>
            <w:tcW w:w="3880" w:type="dxa"/>
            <w:vAlign w:val="bottom"/>
            <w:gridSpan w:val="23"/>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Amended and Restated Westrock Coffee Company</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24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2020 Stock Option Incentive Plan</w:t>
              </w:r>
            </w:hyperlink>
          </w:p>
        </w:tc>
        <w:tc>
          <w:tcPr>
            <w:tcW w:w="1200" w:type="dxa"/>
            <w:vAlign w:val="bottom"/>
            <w:tcBorders>
              <w:top w:val="single" w:sz="8" w:color="0000EE"/>
            </w:tcBorders>
            <w:gridSpan w:val="11"/>
          </w:tcPr>
          <w:p>
            <w:pPr>
              <w:spacing w:after="0"/>
              <w:rPr>
                <w:sz w:val="18"/>
                <w:szCs w:val="18"/>
                <w:color w:val="auto"/>
              </w:rPr>
            </w:pPr>
          </w:p>
        </w:tc>
        <w:tc>
          <w:tcPr>
            <w:tcW w:w="220" w:type="dxa"/>
            <w:vAlign w:val="bottom"/>
            <w:gridSpan w:val="5"/>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10.17#</w:t>
            </w:r>
          </w:p>
        </w:tc>
        <w:tc>
          <w:tcPr>
            <w:tcW w:w="3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Westrock Coffee Holdings, LLC Form of Option</w:t>
              </w:r>
            </w:hyperlink>
          </w:p>
        </w:tc>
        <w:tc>
          <w:tcPr>
            <w:tcW w:w="360" w:type="dxa"/>
            <w:vAlign w:val="bottom"/>
            <w:gridSpan w:val="12"/>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10"/>
        </w:trPr>
        <w:tc>
          <w:tcPr>
            <w:tcW w:w="740" w:type="dxa"/>
            <w:vAlign w:val="bottom"/>
          </w:tcPr>
          <w:p>
            <w:pPr>
              <w:spacing w:after="0"/>
              <w:rPr>
                <w:sz w:val="18"/>
                <w:szCs w:val="18"/>
                <w:color w:val="auto"/>
              </w:rPr>
            </w:pPr>
          </w:p>
        </w:tc>
        <w:tc>
          <w:tcPr>
            <w:tcW w:w="1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Award Agreement</w:t>
              </w:r>
            </w:hyperlink>
          </w:p>
        </w:tc>
        <w:tc>
          <w:tcPr>
            <w:tcW w:w="2560" w:type="dxa"/>
            <w:vAlign w:val="bottom"/>
            <w:gridSpan w:val="21"/>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10.18#</w:t>
            </w:r>
          </w:p>
        </w:tc>
        <w:tc>
          <w:tcPr>
            <w:tcW w:w="3880" w:type="dxa"/>
            <w:vAlign w:val="bottom"/>
            <w:gridSpan w:val="23"/>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Westrock Coffee Holdings, LLC Form of Restricted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10"/>
        </w:trPr>
        <w:tc>
          <w:tcPr>
            <w:tcW w:w="740" w:type="dxa"/>
            <w:vAlign w:val="bottom"/>
          </w:tcPr>
          <w:p>
            <w:pPr>
              <w:spacing w:after="0"/>
              <w:rPr>
                <w:sz w:val="18"/>
                <w:szCs w:val="18"/>
                <w:color w:val="auto"/>
              </w:rPr>
            </w:pPr>
          </w:p>
        </w:tc>
        <w:tc>
          <w:tcPr>
            <w:tcW w:w="374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Unit Award Agreement</w:t>
              </w:r>
            </w:hyperlink>
          </w:p>
        </w:tc>
        <w:tc>
          <w:tcPr>
            <w:tcW w:w="1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0"/>
        </w:trPr>
        <w:tc>
          <w:tcPr>
            <w:tcW w:w="7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10.19#</w:t>
            </w:r>
          </w:p>
        </w:tc>
        <w:tc>
          <w:tcPr>
            <w:tcW w:w="37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Westrock Coffee Company Deferred Compensation</w:t>
            </w:r>
          </w:p>
        </w:tc>
        <w:tc>
          <w:tcPr>
            <w:tcW w:w="1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0" w:type="dxa"/>
            <w:vAlign w:val="bottom"/>
          </w:tcPr>
          <w:p>
            <w:pPr>
              <w:spacing w:after="0"/>
              <w:rPr>
                <w:sz w:val="18"/>
                <w:szCs w:val="18"/>
                <w:color w:val="auto"/>
              </w:rPr>
            </w:pPr>
          </w:p>
        </w:tc>
        <w:tc>
          <w:tcPr>
            <w:tcW w:w="2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Plan for Non-Employee Directors</w:t>
            </w:r>
          </w:p>
        </w:tc>
        <w:tc>
          <w:tcPr>
            <w:tcW w:w="1440" w:type="dxa"/>
            <w:vAlign w:val="bottom"/>
            <w:gridSpan w:val="17"/>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21</w:t>
            </w: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List of Subsidiaries of Westrock Coffee Company</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23</w:t>
            </w:r>
          </w:p>
        </w:tc>
        <w:tc>
          <w:tcPr>
            <w:tcW w:w="35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300" w:type="dxa"/>
            <w:vAlign w:val="bottom"/>
            <w:gridSpan w:val="10"/>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60" w:type="dxa"/>
            <w:vAlign w:val="bottom"/>
            <w:gridSpan w:val="1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31.1</w:t>
            </w: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Chief Executive Officer—Certification pursuant to</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64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20" w:type="dxa"/>
            <w:vAlign w:val="bottom"/>
            <w:tcBorders>
              <w:top w:val="single" w:sz="8" w:color="0000EE"/>
            </w:tcBorders>
            <w:gridSpan w:val="2"/>
          </w:tcPr>
          <w:p>
            <w:pPr>
              <w:spacing w:after="0"/>
              <w:rPr>
                <w:sz w:val="18"/>
                <w:szCs w:val="18"/>
                <w:color w:val="auto"/>
              </w:rPr>
            </w:pPr>
          </w:p>
        </w:tc>
        <w:tc>
          <w:tcPr>
            <w:tcW w:w="220" w:type="dxa"/>
            <w:vAlign w:val="bottom"/>
            <w:gridSpan w:val="5"/>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560" w:type="dxa"/>
            <w:vAlign w:val="bottom"/>
            <w:gridSpan w:val="1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20" w:type="dxa"/>
            <w:vAlign w:val="bottom"/>
            <w:gridSpan w:val="13"/>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31.2</w:t>
            </w:r>
          </w:p>
        </w:tc>
        <w:tc>
          <w:tcPr>
            <w:tcW w:w="3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26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6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240" w:type="dxa"/>
            <w:vAlign w:val="bottom"/>
            <w:gridSpan w:val="7"/>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560" w:type="dxa"/>
            <w:vAlign w:val="bottom"/>
            <w:gridSpan w:val="14"/>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20" w:type="dxa"/>
            <w:vAlign w:val="bottom"/>
            <w:gridSpan w:val="13"/>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32.1</w:t>
            </w: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Chief Executive Officer—Certification pursuant to</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0" w:type="dxa"/>
            <w:vAlign w:val="bottom"/>
          </w:tcPr>
          <w:p>
            <w:pPr>
              <w:spacing w:after="0"/>
              <w:rPr>
                <w:sz w:val="18"/>
                <w:szCs w:val="18"/>
                <w:color w:val="auto"/>
              </w:rPr>
            </w:pPr>
          </w:p>
        </w:tc>
        <w:tc>
          <w:tcPr>
            <w:tcW w:w="36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220" w:type="dxa"/>
            <w:vAlign w:val="bottom"/>
            <w:gridSpan w:val="5"/>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60" w:type="dxa"/>
            <w:vAlign w:val="bottom"/>
            <w:gridSpan w:val="1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7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1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6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32.2</w:t>
            </w:r>
          </w:p>
        </w:tc>
        <w:tc>
          <w:tcPr>
            <w:tcW w:w="3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26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6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Rule 13a-14(b) or Rule 15d-14(b) of the Securities</w:t>
            </w:r>
          </w:p>
        </w:tc>
        <w:tc>
          <w:tcPr>
            <w:tcW w:w="220" w:type="dxa"/>
            <w:vAlign w:val="bottom"/>
            <w:gridSpan w:val="6"/>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1700" w:type="dxa"/>
            <w:vAlign w:val="bottom"/>
            <w:gridSpan w:val="1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7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1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60" w:type="dxa"/>
            <w:vAlign w:val="bottom"/>
            <w:gridSpan w:val="1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97</w:t>
            </w:r>
          </w:p>
        </w:tc>
        <w:tc>
          <w:tcPr>
            <w:tcW w:w="3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Westrock Coffee Company Compensation Recovery</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40" w:type="dxa"/>
            <w:vAlign w:val="bottom"/>
          </w:tcPr>
          <w:p>
            <w:pPr>
              <w:spacing w:after="0"/>
              <w:rPr>
                <w:sz w:val="17"/>
                <w:szCs w:val="17"/>
                <w:color w:val="auto"/>
              </w:rPr>
            </w:pPr>
          </w:p>
        </w:tc>
        <w:tc>
          <w:tcPr>
            <w:tcW w:w="37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Policy (“Clawback Policy”)</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 w:type="dxa"/>
            <w:vAlign w:val="bottom"/>
          </w:tcPr>
          <w:p>
            <w:pPr>
              <w:spacing w:after="0"/>
              <w:rPr>
                <w:sz w:val="19"/>
                <w:szCs w:val="19"/>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2140" w:type="dxa"/>
            <w:vAlign w:val="bottom"/>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its XBRL tags are embedded within the Inline XBRL</w:t>
            </w:r>
          </w:p>
        </w:tc>
        <w:tc>
          <w:tcPr>
            <w:tcW w:w="2140" w:type="dxa"/>
            <w:vAlign w:val="bottom"/>
          </w:tcPr>
          <w:p>
            <w:pPr>
              <w:spacing w:after="0"/>
              <w:rPr>
                <w:sz w:val="19"/>
                <w:szCs w:val="19"/>
                <w:color w:val="auto"/>
              </w:rPr>
            </w:pPr>
          </w:p>
        </w:tc>
      </w:tr>
      <w:tr>
        <w:trPr>
          <w:trHeight w:val="234"/>
        </w:trPr>
        <w:tc>
          <w:tcPr>
            <w:tcW w:w="760" w:type="dxa"/>
            <w:vAlign w:val="bottom"/>
          </w:tcPr>
          <w:p>
            <w:pPr>
              <w:spacing w:after="0"/>
              <w:rPr>
                <w:sz w:val="20"/>
                <w:szCs w:val="20"/>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2140" w:type="dxa"/>
            <w:vAlign w:val="bottom"/>
          </w:tcPr>
          <w:p>
            <w:pPr>
              <w:spacing w:after="0"/>
              <w:rPr>
                <w:sz w:val="20"/>
                <w:szCs w:val="20"/>
                <w:color w:val="auto"/>
              </w:rPr>
            </w:pP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920" w:right="4279" w:hanging="635"/>
        <w:spacing w:after="0" w:line="276" w:lineRule="auto"/>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8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60"/>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Designates management contract or compensatory plan or arrangement.</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20" w:type="dxa"/>
            <w:vAlign w:val="bottom"/>
          </w:tcPr>
          <w:p>
            <w:pPr>
              <w:spacing w:after="0"/>
              <w:rPr>
                <w:sz w:val="19"/>
                <w:szCs w:val="19"/>
                <w:color w:val="auto"/>
              </w:rPr>
            </w:pPr>
          </w:p>
        </w:tc>
        <w:tc>
          <w:tcPr>
            <w:tcW w:w="5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Westrock Coffee Company</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15, 2024</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T. Christopher Pledger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Pledger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5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15, 2024</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Blake Schuhmacher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Blake Schuhmacher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9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3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8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00" w:type="dxa"/>
            <w:vAlign w:val="bottom"/>
          </w:tcPr>
          <w:p>
            <w:pPr>
              <w:jc w:val="center"/>
              <w:ind w:left="1051"/>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T. Ford</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Scott T. Ford</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Pledger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 Christopher Pledger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Blake Schuhmacher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Blake Schuhmacher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T. Ford</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Joe T. Ford</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Patrick Kruczek</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Patrick Kruczek</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Hugh McColl, III</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Hugh McColl, III</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Brad Martin</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Brad Martin</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Edmunds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Edmunds</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Josie C. Natori</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Josie C. Natori</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Starr</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Leslie Starr</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/s/Oluwatoyin Umesiri</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Oluwatoyin Umesiri</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/s/Jeffrey H. Fox</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9"/>
              </w:rPr>
              <w:t>March 15, 2024</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Jeffrey H. Fox</w:t>
            </w:r>
          </w:p>
        </w:tc>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0"/>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432,991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336,753</w:t>
            </w:r>
          </w:p>
        </w:tc>
      </w:tr>
      <w:tr>
        <w:trPr>
          <w:trHeight w:val="250"/>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437,432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339,862</w:t>
            </w:r>
          </w:p>
        </w:tc>
      </w:tr>
      <w:tr>
        <w:trPr>
          <w:trHeight w:val="197"/>
        </w:trPr>
        <w:tc>
          <w:tcPr>
            <w:tcW w:w="6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4"/>
        </w:trPr>
        <w:tc>
          <w:tcPr>
            <w:tcW w:w="63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CONVERTIBLE PREFERRED SHARES AND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Related party payables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6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55,521</w:t>
            </w:r>
          </w:p>
        </w:tc>
      </w:tr>
      <w:tr>
        <w:trPr>
          <w:trHeight w:val="210"/>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55,657</w:t>
            </w: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8"/>
        </w:trPr>
        <w:tc>
          <w:tcPr>
            <w:tcW w:w="63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Shares, $0.01 par value, 24,000 shares authorized,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23,512 shares and 23,588 shares issued and outstanding at December 31, 2023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December 31, 2022, respectively, $11.50 liquidation value</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274,936</w:t>
            </w: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6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26,000 shares authorized, no shares issued and</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300,000 shares authorized, 88,051 shares and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75,020 shares issued and outstanding at December 31, 2023 and December 31,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2022, respectively</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342,664</w:t>
            </w: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(362,624)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(328,042)</w:t>
            </w: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210"/>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Shares and Shareholders' Equity</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437,432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339,862</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(earnings) from consolidated subsidiaries</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0" w:type="dxa"/>
            <w:vAlign w:val="bottom"/>
          </w:tcPr>
          <w:p>
            <w:pPr>
              <w:spacing w:after="0"/>
              <w:rPr>
                <w:sz w:val="1"/>
                <w:szCs w:val="1"/>
                <w:color w:val="auto"/>
              </w:rPr>
            </w:pPr>
          </w:p>
        </w:tc>
      </w:tr>
      <w:tr>
        <w:trPr>
          <w:trHeight w:val="216"/>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0" w:type="dxa"/>
            <w:vAlign w:val="bottom"/>
          </w:tcPr>
          <w:p>
            <w:pPr>
              <w:spacing w:after="0"/>
              <w:rPr>
                <w:sz w:val="1"/>
                <w:szCs w:val="1"/>
                <w:color w:val="auto"/>
              </w:rPr>
            </w:pPr>
          </w:p>
        </w:tc>
      </w:tr>
      <w:tr>
        <w:trPr>
          <w:trHeight w:val="20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common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(22,981)</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(14,950)</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(22,425)</w:t>
            </w:r>
          </w:p>
        </w:tc>
        <w:tc>
          <w:tcPr>
            <w:tcW w:w="0" w:type="dxa"/>
            <w:vAlign w:val="bottom"/>
          </w:tcPr>
          <w:p>
            <w:pPr>
              <w:spacing w:after="0"/>
              <w:rPr>
                <w:sz w:val="1"/>
                <w:szCs w:val="1"/>
                <w:color w:val="auto"/>
              </w:rPr>
            </w:pPr>
          </w:p>
        </w:tc>
      </w:tr>
      <w:tr>
        <w:trPr>
          <w:trHeight w:val="142"/>
        </w:trPr>
        <w:tc>
          <w:tcPr>
            <w:tcW w:w="468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related party debt</w:t>
            </w:r>
          </w:p>
        </w:tc>
        <w:tc>
          <w:tcPr>
            <w:tcW w:w="2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issuance of common equivalent preferred units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de-SPAC merger and PIPE financing</w:t>
            </w:r>
          </w:p>
        </w:tc>
        <w:tc>
          <w:tcPr>
            <w:tcW w:w="2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255,737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common equity issuance costs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(23,998)</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common equity issuance</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118,767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preferred equity issuance costs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(1,250)</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2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(4,380)</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taxes for net share settlement of equity awards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(2,977)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(477)</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exercise of Public Warrants</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Intercompany transactions, net</w:t>
            </w: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(95,317)</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(223,700)</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6,607</w:t>
            </w:r>
          </w:p>
        </w:tc>
        <w:tc>
          <w:tcPr>
            <w:tcW w:w="0" w:type="dxa"/>
            <w:vAlign w:val="bottom"/>
          </w:tcPr>
          <w:p>
            <w:pPr>
              <w:spacing w:after="0"/>
              <w:rPr>
                <w:sz w:val="1"/>
                <w:szCs w:val="1"/>
                <w:color w:val="auto"/>
              </w:rPr>
            </w:pPr>
          </w:p>
        </w:tc>
      </w:tr>
      <w:tr>
        <w:trPr>
          <w:trHeight w:val="142"/>
        </w:trPr>
        <w:tc>
          <w:tcPr>
            <w:tcW w:w="4680" w:type="dxa"/>
            <w:vAlign w:val="bottom"/>
            <w:tcBorders>
              <w:top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22,953</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14,007</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23,445</w:t>
            </w:r>
          </w:p>
        </w:tc>
        <w:tc>
          <w:tcPr>
            <w:tcW w:w="0" w:type="dxa"/>
            <w:vAlign w:val="bottom"/>
          </w:tcPr>
          <w:p>
            <w:pPr>
              <w:spacing w:after="0"/>
              <w:rPr>
                <w:sz w:val="1"/>
                <w:szCs w:val="1"/>
                <w:color w:val="auto"/>
              </w:rPr>
            </w:pPr>
          </w:p>
        </w:tc>
      </w:tr>
      <w:tr>
        <w:trPr>
          <w:trHeight w:val="149"/>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(943)</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4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77</w:t>
            </w:r>
          </w:p>
        </w:tc>
        <w:tc>
          <w:tcPr>
            <w:tcW w:w="180" w:type="dxa"/>
            <w:vAlign w:val="bottom"/>
          </w:tcPr>
          <w:p>
            <w:pPr>
              <w:spacing w:after="0"/>
              <w:rPr>
                <w:sz w:val="12"/>
                <w:szCs w:val="12"/>
                <w:color w:val="auto"/>
              </w:rPr>
            </w:pPr>
          </w:p>
        </w:tc>
        <w:tc>
          <w:tcPr>
            <w:tcW w:w="30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1,020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Parent Company Only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(the “Registrant”) have been prepared in accordance with Rule 12-04, Schedule I of Regulation S-X, as the restricted assets of the subsidiaries of Westrock, as defined in Rule 4-08(e)(3) of Regulation S-X, exceed 25% of the consolidated net assets of the Company.</w:t>
      </w:r>
    </w:p>
    <w:p>
      <w:pPr>
        <w:spacing w:after="0" w:line="1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have been prepared using the same accounting principles and policies described in Note 3, Summary of Significant Accounting Policies, of Part II, Item 8 Financial Statements and Supplementary Data of this Annual Report on Form 10-K, with the only exception being that the parent company accounts for its subsidiaries using the equity method of accounting. The parent company condensed financial information should be read in conjunction with the Company’s consolidated financial statements and the accompanying notes thereto included in Part II, Item 8 of this 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Debt Restrictions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Pursuant to the terms of the Credit Agreement, Westrock Beverage Solutions, LLC has restrictions on its ability to (i) declare or pay dividends or make any other distribution whether in cash, property, securities or a combination thereof or (ii) directly or indirectly redeem, purchase, retire or otherwise acquire for value any of Westrock Beverage Solutions, LLC’s equity interests or set aside any amount for such purpose, other than through the issuance of qualified equity interests,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the capital stock of Westrock Coffee Company, a Delaware corporation (“Westrock” or the “Company”), including the provisions included in our certificate of incorporation, bylaws and the amended and restated investor rights agreement, dated as of June 29, 2023, by and among Westrock, Westrock Group, LLC, The Stephens Group, LLC , Sowell Westrock, L.P., BBH Capital Partners V, L.P., BBH Capital Partners V-A, L.P., BBH CPV WCC Co-Investment LLC, Riverview Sponsor Partners, LLC and HF Direct Investments Pool, LLC (the “Investor Rights Agreement”) and the Amended and Restated Warrant Agreement, dated August 25, 2022, by and among us, Computershare Inc. and Computershare Trust Company, N.A. (the “Warrant Agreement”). This description is not complete and is qualified by reference to the full text of our certificate of incorporation, bylaws, the Investor Rights Agreement, and the Warrant Agreement, which are also included as exhibits to the Annual Report on Form 10-K on which this exhibit is filed, as well as the applicable provisions of the General Corporation Law of the State of Delaware (the “DGCL”).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our common stock, par value $0.01 per share (“Common Shares”) and 50,000,000 shares of preferred stock (“Preferred Shares”), of which 24,000,000 shares are designated as Series A convertible preferred stock (the “Series A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Each holder of Common Shares is entitled to one vote for each share on all matters submitted to a vote of the stockholders. Holders of Common Shares vote, as a single class, with holders of Series A Preferred Shares, on an as-converted basis, on all matters submitted to a vote of the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Shares, including the Series A Preferred Shares, holders of Common Shares are entitled to receive ratably any dividends that our board of directors may declare out of funds legally available for that purpose on a non-cumulative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229"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Shares are entitled to share ratably in all assets remaining after payment of liabilities and the liquidation preference of any outstanding shares of preferred stock, including the Series A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and Exchange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Common Shares are not subject to any conversion or exchange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29"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Other than preemptive rights granted to certain affiliates of Brown Brothers Harriman &amp; Co. (the “BBH Investors”) under the terms of the Investor Rights Agreement, holders of Common Shares have no preemptive or subscription rights. See the section titled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Agreement</w:t>
      </w:r>
      <w:r>
        <w:rPr>
          <w:rFonts w:ascii="Times New Roman" w:cs="Times New Roman" w:eastAsia="Times New Roman" w:hAnsi="Times New Roman"/>
          <w:sz w:val="18"/>
          <w:szCs w:val="18"/>
          <w:color w:val="auto"/>
        </w:rPr>
        <w:t>” for more information. There are no redemption or sinking fund provisions applicable to Common Shares.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Common Shares are fully paid and non-assessable. The rights, preferences and privileges of the holders of the Common Shares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6" w:name="page117"/>
    <w:bookmarkEnd w:id="116"/>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and may be adversely affected by, the rights of the holders of the Series A Preferred Shares and shares of any other series of Preferred Shares that we may designate and issue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is authorized, subject to limitations prescribed by the DGCL and by our certificate of incorporation, to issue up to 24,000,000 Series A Preferred Shares and up to 26,000,000 Preferred Shares in one or more other series without further action by the holders of Common Shares. Our board of directors has the discretion, subject to limitations prescribed by the DGCL, our certificate of incorporation and the Investor Rights Agreement, to determine the rights, preferences, privileges and restrictions, including voting rights, dividend rights, conversion rights, redemption privileges and liquidation preferences, of each series of preferred stock. The rights, preferences, privileges and restrictions of the Series A Preferred Shares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redemption and conversion rights described below, the Series A Preferred Shares are perpetual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A Preferred Shares rank, with respect to dividend rights and/or distribution rights upon the liquidation, winding up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as applicable, of Westrock: (i) senior to the Common Shares and each other class or series of capital stock of Westrock,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which do not expressly provide that such class or series ranks senior or on parity to the Series A Preferred Shares as to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or distribution rights upon Westrock’s liquidation, winding up or dissolution (such stock, “Junior Stock”); (ii) on parity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or series of capital stock of Westrock, the terms of which expressly provide that such class or series ranks on parity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A Preferred Shares as to dividend rights and distribution rights upon Westrock’s liquidation, winding-up or dissolution (such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“Parity Stock”); and (iii) junior to each class or series of any class or series of capital stock of Westrock, the terms of which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that such class or series ranks senior to the Series A Preferred Shares as to dividend rights or distribution rights upon Westrock’s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winding-up or dissolution (“Senior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Each holder of the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Consent Rights</w:t>
      </w:r>
    </w:p>
    <w:p>
      <w:pPr>
        <w:spacing w:after="0" w:line="229" w:lineRule="exact"/>
        <w:rPr>
          <w:sz w:val="20"/>
          <w:szCs w:val="20"/>
          <w:color w:val="auto"/>
        </w:rPr>
      </w:pPr>
    </w:p>
    <w:p>
      <w:pPr>
        <w:ind w:right="120" w:firstLine="360"/>
        <w:spacing w:after="0" w:line="254" w:lineRule="auto"/>
        <w:rPr>
          <w:sz w:val="20"/>
          <w:szCs w:val="20"/>
          <w:color w:val="auto"/>
        </w:rPr>
      </w:pPr>
      <w:r>
        <w:rPr>
          <w:rFonts w:ascii="Times New Roman" w:cs="Times New Roman" w:eastAsia="Times New Roman" w:hAnsi="Times New Roman"/>
          <w:sz w:val="18"/>
          <w:szCs w:val="18"/>
          <w:color w:val="auto"/>
        </w:rPr>
        <w:t>So long as any Series A Preferred Shares are outstanding, Westrock may not, without the affirmative vote or consent of the holders of record of at least a majority in voting power of the Series A Preferred Shares, voting together as a single, separate class: (a) amend, alter or repeal any provision of the certificate of incorporation, the bylaws or any other such organizational document of Westrock that would adversely affect the rights, preferences, privileges, voting power or special rights of the Series A Preferred Shares, (b) amend, alter, or supplement the certificate of incorporation, the bylaws or any other such organizational document of Westrock or any provision thereof, or take any other action to authorize or create, or increase the number of authorized or issued shares of, or any securities convertible into shares of, or reclassify any security into, or issue, any class or series of Senior Stock or Parity Stock, including with respect to dividend rights or rights upon Westrock’s liquidation, winding-up or dissolution, (c) increase or decrease the authorized number of the Series A Preferred Shares or issue Series A Preferred Shares, Parity Stock or Senior Stock and (d) for so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ind w:right="380"/>
        <w:spacing w:after="0" w:line="266" w:lineRule="auto"/>
        <w:rPr>
          <w:sz w:val="20"/>
          <w:szCs w:val="20"/>
          <w:color w:val="auto"/>
        </w:rPr>
      </w:pPr>
      <w:r>
        <w:rPr>
          <w:rFonts w:ascii="Times New Roman" w:cs="Times New Roman" w:eastAsia="Times New Roman" w:hAnsi="Times New Roman"/>
          <w:sz w:val="18"/>
          <w:szCs w:val="18"/>
          <w:color w:val="auto"/>
        </w:rPr>
        <w:t>as the BBH Investors and their controlled affiliates own at least sixty percent (60%) of the Series A Preferred Shares that the BBH Investors owned on August 26, 2022, consummate any Fundamental Change (as defined below) in which the holders of the Series A Preferred Shares would receive less than $18.50 per share (subject to customary adjustments).</w:t>
      </w:r>
    </w:p>
    <w:p>
      <w:pPr>
        <w:spacing w:after="0" w:line="176" w:lineRule="exact"/>
        <w:rPr>
          <w:sz w:val="20"/>
          <w:szCs w:val="20"/>
          <w:color w:val="auto"/>
        </w:rPr>
      </w:pPr>
    </w:p>
    <w:p>
      <w:pPr>
        <w:ind w:firstLine="363"/>
        <w:spacing w:after="0" w:line="252" w:lineRule="auto"/>
        <w:rPr>
          <w:sz w:val="20"/>
          <w:szCs w:val="20"/>
          <w:color w:val="auto"/>
        </w:rPr>
      </w:pPr>
      <w:r>
        <w:rPr>
          <w:rFonts w:ascii="Times New Roman" w:cs="Times New Roman" w:eastAsia="Times New Roman" w:hAnsi="Times New Roman"/>
          <w:sz w:val="18"/>
          <w:szCs w:val="18"/>
          <w:color w:val="auto"/>
        </w:rPr>
        <w:t>“Fundamental Change” means the consummation of (i) a sale of all or substantially all of the consolidated assets of Westrock (including by way of any reorganization, merger, consolidation or other similar transaction); (ii) a direct or indirect acquisition of beneficial ownership of more than fifty percent (50%) of the voting securities of Westrock by another person or group (other than an equityholder of Westrock immediately prior to the closing of the Business Combination or its affiliates or any “group” arising out of the Investor Rights Agreement) by means of any transaction or series of transactions (including any reorganization, merger, consolidation, joint venture, share transfer or other similar transaction); (iii) a consolidation, merger, reorganization or other form of acquisition of or by Westrock or other transaction in which Westrock’s stockholders retain less than fifty percent (50%) of the voting securities of the entity resulting from such transaction (including, without limitation, an entity that, as a result of such transaction, owns Westrock either directly or indirectly through one or more subsidiaries) upon consummation of such transaction; or (iv) the obtaining by any person or group (other than an equityholder of Westrock immediately prior to the closing of the Business Combination or its affiliates or any “group” arising out of the Investor Rights Agreement) of the power to elect a majority of the members of Westrock’s board of directors. “Business Combination” means the business combination transaction between Riverview Acquisition Corp., a Delaware corporation (“Riverview”) that was merged out of existence in the Business Combination with Merger Sub II as the successor entity, and Westrock pursuant to the transaction agreement, dated as of April 4, 2022, by and among Riverview, Westrock, Merger Sub I and Merger Sub II (the “Transaction Agreement”), whereby, among other things, (i) Westrock converted from a Delaware limited liability company to a Delaware corporation, (ii) Merger Sub I merged with and into Riverview, with Riverview surviving the merger as a direct wholly owned subsidiary of Westrock, (iii) immediately following such merger, Riverview merged with and into Merger Sub II, with Merger Sub II surviving as a wholly-owned subsidiary of Westrock and (iv) the other transactions contemplated by the Transaction Agreement. “Merger Sub I” means Origin Merger Sub I, Inc., a Delaware corporation and a wholly owned subsidiary of Westrock. Merger Sub I was merged out of existence in the Business Combination and Merger Sub II is the successor entity to Merger Sub I. “Merger Sub II” means Origin Merger Sub II, LLC, a Delaware limited liability company and a wholly owned subsidiary of Westrock.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Westrock may, subject to customary restrictions, but is not required to, declare or pay any dividends solely on the Series A Preferred Shares (such dividends, the “Preferred Dividends”) on a Dividend Payment Date. “Dividend Payment Date” means March 31, June 30, September 30 and December 31 of each year; provided that, if any such Dividend Payment Date is not a business day, then the applicable dividend shall be payable on the next business day immediately following such Dividend Payment Date, without any interest. The record date for payment of Preferred Dividends will be the close of business on the fifteenth (15th) day of the calendar month that contains the relevant Dividend Payment Date or such other record date fixed by our board of directors (or a duly authorized committee of our board of directors) that is not more than sixty (60) nor less than ten (10) days prior to such Dividend Payment Date.</w:t>
      </w:r>
    </w:p>
    <w:p>
      <w:pPr>
        <w:spacing w:after="0" w:line="189"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Holders of the Series A Preferred Shares are entitled to receive ratably any dividends that our board of directors declares and pays on the Common Shares, on an as-converted basis, when paid to holders of Common Shares (the “Participating Dividends”). The record date for each Participating Dividend shall be the same as the record date for the corresponding dividend on the Common Shares.</w:t>
      </w:r>
    </w:p>
    <w:p>
      <w:pPr>
        <w:spacing w:after="0" w:line="176"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Subject to customary exceptions, so long as any Series A Preferred Shares remain outstanding, unless (x) full dividends on all outstanding Series A Preferred Shares that have been declared have been paid in full, including, in arrearage, or a sum sufficient for the payment of those dividends has been or is set aside by Westrock, (y) no Escalation Event is ongoing and (z) if any Fundamental Change has occurred, the requirement of obtaining the consent of the holders of a majority of the Series A Preferred Shares (voting as a separate class), if applicable, was satisfied with respect to such Fundamental Change, Westrock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ind w:right="260"/>
        <w:spacing w:after="0" w:line="261" w:lineRule="auto"/>
        <w:rPr>
          <w:sz w:val="20"/>
          <w:szCs w:val="20"/>
          <w:color w:val="auto"/>
        </w:rPr>
      </w:pPr>
      <w:r>
        <w:rPr>
          <w:rFonts w:ascii="Times New Roman" w:cs="Times New Roman" w:eastAsia="Times New Roman" w:hAnsi="Times New Roman"/>
          <w:sz w:val="18"/>
          <w:szCs w:val="18"/>
          <w:color w:val="auto"/>
        </w:rPr>
        <w:t>declare any dividend on, or make any distributions relating to, the Common Shares or any other Junior Stock, or redeem, purchase, acquire or make a liquidation payment relating to, any Junior Stock. “Escalation Event” means (i) any event of default for a failure to make payment when due under the principal credit facility of Westrock or (ii) the failure of Westrock to redeem all Series A Preferred Shares that the holders thereof have elected for redemption.</w:t>
      </w:r>
    </w:p>
    <w:p>
      <w:pPr>
        <w:spacing w:after="0" w:line="180"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For so long as any Series A Preferred Shares remain outstanding, if declared dividends are not paid in full upon the Series A Preferred Shares and any Parity Stock, all dividends declared upon the Series A Preferred Shares and any Parity Stock will be declared on a proportional basis so that the amount of dividends declared per share will bear to each other the same ratio that all unpaid dividends as of the end of the most recent dividend payment period per Series A Preferred Share and accrued and unpaid dividends as of the end of the most recent dividend period per share of any Parity Stock bear to each other.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229"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The initial liquidation preference of the Series A Preferred Shares is $11.50 per share, plus any declared but unpaid dividends and subject to accretion if the PIK Rate (defined below) is in effect. In the event of our liquidation, dissolution or winding up, holders of the Series A Preferred Shares are entitled to receive, per Series A Preferred Share, the greater of (a) the liquidation preference and (b) the amount such holder would have received had they converted their Series A Preferred Shares into Common Shares immediately prior to such liquidation event.</w:t>
      </w:r>
    </w:p>
    <w:p>
      <w:pPr>
        <w:spacing w:after="0" w:line="18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If, upon the voluntary or involuntary liquidation, winding-up or dissolution of Westrock, the assets of Westrock available for distribution to the holders of the Series A Preferred Shares and holders of Parity Stock are insufficient to permit payment in full to such holders of the sums which such holders are entitled to receive in such case, then all of the assets available for distribution to the holders of the Series A Preferred Shares and holders of the Parity Stock shall be distributed among and paid to such holders, ratably in proportion to the respective amounts that would be payable to such holders if such assets were sufficient to permit payment in full.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Transferability and Exchange</w:t>
      </w:r>
    </w:p>
    <w:p>
      <w:pPr>
        <w:spacing w:after="0" w:line="22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Holders of Series A Preferred Shares may voluntarily convert their Series A Preferred Shares into a whole number of Common Shares at any time at a rate equal to the quotient of (a) the liquidation preference as of the applicable conversion date, divided by (b) the conversion price as of the applicable conversion date, which is currently $11.50 per Series A Preferred Share, plus cash in lieu of fractional shares. The initial conversion price of $11.50 per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w:t>
      </w:r>
    </w:p>
    <w:p>
      <w:pPr>
        <w:spacing w:after="0" w:line="187"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color w:val="auto"/>
        </w:rPr>
        <w:t>Subject to the rights described under “</w:t>
      </w:r>
      <w:r>
        <w:rPr>
          <w:rFonts w:ascii="Times New Roman" w:cs="Times New Roman" w:eastAsia="Times New Roman" w:hAnsi="Times New Roman"/>
          <w:sz w:val="18"/>
          <w:szCs w:val="18"/>
          <w:i w:val="1"/>
          <w:iCs w:val="1"/>
          <w:color w:val="auto"/>
        </w:rPr>
        <w:t>Fundamental Change</w:t>
      </w:r>
      <w:r>
        <w:rPr>
          <w:rFonts w:ascii="Times New Roman" w:cs="Times New Roman" w:eastAsia="Times New Roman" w:hAnsi="Times New Roman"/>
          <w:sz w:val="18"/>
          <w:szCs w:val="18"/>
          <w:color w:val="auto"/>
        </w:rPr>
        <w:t>” below, in the event of specified extraordinary transactions, as a result of which Common Shares would be converted into, or exchanged for, stock, other securities or other property or assets (including cash or any combination thereof), each Series A Preferred Share outstanding immediately prior to such event will, without the consent of the holders of the Series A Preferred Shares, become convertible into the kind of stock, other securities or other property or assets that such holder would have been entitled to receive if such holder had converted its Series A Preferred Shares into Common Shares immediately prior to such event.</w:t>
      </w:r>
    </w:p>
    <w:p>
      <w:pPr>
        <w:spacing w:after="0" w:line="182" w:lineRule="exact"/>
        <w:rPr>
          <w:sz w:val="20"/>
          <w:szCs w:val="20"/>
          <w:color w:val="auto"/>
        </w:rPr>
      </w:pPr>
    </w:p>
    <w:p>
      <w:pPr>
        <w:ind w:right="320" w:firstLine="360"/>
        <w:spacing w:after="0" w:line="284" w:lineRule="auto"/>
        <w:rPr>
          <w:sz w:val="20"/>
          <w:szCs w:val="20"/>
          <w:color w:val="auto"/>
        </w:rPr>
      </w:pPr>
      <w:r>
        <w:rPr>
          <w:rFonts w:ascii="Times New Roman" w:cs="Times New Roman" w:eastAsia="Times New Roman" w:hAnsi="Times New Roman"/>
          <w:sz w:val="18"/>
          <w:szCs w:val="18"/>
          <w:color w:val="auto"/>
        </w:rPr>
        <w:t>Other than as described above and under “</w:t>
      </w:r>
      <w:r>
        <w:rPr>
          <w:rFonts w:ascii="Times New Roman" w:cs="Times New Roman" w:eastAsia="Times New Roman" w:hAnsi="Times New Roman"/>
          <w:sz w:val="18"/>
          <w:szCs w:val="18"/>
          <w:i w:val="1"/>
          <w:iCs w:val="1"/>
          <w:color w:val="auto"/>
        </w:rPr>
        <w:t>Fundamental Change”</w:t>
      </w:r>
      <w:r>
        <w:rPr>
          <w:rFonts w:ascii="Times New Roman" w:cs="Times New Roman" w:eastAsia="Times New Roman" w:hAnsi="Times New Roman"/>
          <w:sz w:val="18"/>
          <w:szCs w:val="18"/>
          <w:color w:val="auto"/>
        </w:rPr>
        <w:t xml:space="preserve"> below, the Series A Preferred Shares are not convertible at the option of Westrock.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455930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Change</w:t>
      </w:r>
    </w:p>
    <w:p>
      <w:pPr>
        <w:spacing w:after="0" w:line="229" w:lineRule="exact"/>
        <w:rPr>
          <w:sz w:val="20"/>
          <w:szCs w:val="20"/>
          <w:color w:val="auto"/>
        </w:rPr>
      </w:pPr>
    </w:p>
    <w:p>
      <w:pPr>
        <w:ind w:right="200" w:firstLine="360"/>
        <w:spacing w:after="0" w:line="261" w:lineRule="auto"/>
        <w:rPr>
          <w:sz w:val="20"/>
          <w:szCs w:val="20"/>
          <w:color w:val="auto"/>
        </w:rPr>
      </w:pPr>
      <w:r>
        <w:rPr>
          <w:rFonts w:ascii="Times New Roman" w:cs="Times New Roman" w:eastAsia="Times New Roman" w:hAnsi="Times New Roman"/>
          <w:sz w:val="18"/>
          <w:szCs w:val="18"/>
          <w:color w:val="auto"/>
        </w:rPr>
        <w:t>For so long as the BBH Investor and its controlled affiliates own at least sixty percent (60%) of the Series A Preferred Shares that the BBH Investor owned as of August 26, 2022, the consummation of any Fundamental Change in which the holders of Series A Preferred Shares would receive less than the $18.50 per share (subject to customary adjustments) requires the consent of holders of a majority of the Series A Preferred Shares.</w:t>
      </w:r>
    </w:p>
    <w:p>
      <w:pPr>
        <w:spacing w:after="0" w:line="180"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In a Fundamental Change in which the consent of holders of a majority of the Series A Preferred Shares as a separate class is required, the holders of the Series A Preferred Shares will be entitled to receive the greater of (i) the liquidation preference of the Series A Preferred Shares and (ii) the amount such holder would have received had they converted the Series A Preferred Shares into Common Shares immediately prior to such Fundamental Change. In connection with a Fundamental Change in which the consent of holders of a majority of the Series A Preferred Shares as a separate class is not required, the holders of the Series A Preferred Shares will be entitled to receive the greater of (i) $18.50 per Series A Preferred Share (subject to customary adjustments) and (ii) the amount such holder would have received had they converted their Series A Preferred Shares into Common Shares immediately prior to such Fundamental Change.</w:t>
      </w:r>
    </w:p>
    <w:p>
      <w:pPr>
        <w:spacing w:after="0" w:line="19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Westrock is required to pay the above redemption price in cash, provided that, if all or any portion of the consideration delivered to holders of Common Shares in such Fundamental Change consists of securities, Westrock (or its successor) may pay a portion of equal proportion, but only of equal portion, of the redemption in Qualifying Stock, with the fair market value of such Qualifying Stock (as defined below) being determined by our board of directors in good faith using reasonable methodologies. “Qualifying Stock” means securities of Westrock or the acquiring, surviving or resulting entity in such Fundamental Change or the entity controlling any such entity that has voting powers, preferences, privileges and special rights identical to the rights of the Series A Preferred Shares except for such differences that if made to the Series A Preferred Shares would not require the consent of holders of the Series A Preferred Shares voting as a separate class and that is listed on a nationally recognized stock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w:t>
      </w:r>
    </w:p>
    <w:p>
      <w:pPr>
        <w:ind w:right="80" w:firstLine="45"/>
        <w:spacing w:after="0" w:line="253" w:lineRule="auto"/>
        <w:rPr>
          <w:sz w:val="20"/>
          <w:szCs w:val="20"/>
          <w:color w:val="auto"/>
        </w:rPr>
      </w:pPr>
      <w:r>
        <w:rPr>
          <w:rFonts w:ascii="Times New Roman" w:cs="Times New Roman" w:eastAsia="Times New Roman" w:hAnsi="Times New Roman"/>
          <w:sz w:val="18"/>
          <w:szCs w:val="18"/>
          <w:color w:val="auto"/>
        </w:rPr>
        <w:t>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w:t>
      </w:r>
    </w:p>
    <w:p>
      <w:pPr>
        <w:spacing w:after="0" w:line="18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A holder may exercise its right to redeem the Series A Preferred Shares by delivering a written notice to Westrock, which notice must certify (x) such holder’s address, (y) the number of Series A Preferred Shares held by such holder and the number of Series A Preferred Shares that such holder has elected to have redeemed and (z) the holder’s desired date of redemption, which must be a business day that is no earlier than thirty (30) days and no later than sixty (60) days from the date such notice is sent if such notice is sent prior to February 26, 2028 and no earlier than sixty (60) days and no later than ninety (90) days otherwise, or such later date as may be required to comply with the requirements of applicable law.</w:t>
      </w:r>
    </w:p>
    <w:p>
      <w:pPr>
        <w:spacing w:after="0" w:line="187"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To the extent any redemption is prohibited to be in cash, the liquidation preference on each unredeemed Series A Preferred Share will start accreting daily at a rate of ten percent per annum (the “PIK Rate”). In such case, any holder of Series A Preferred Shares may thereafter put any outstanding Series A Preferred Shares to Westrock only on August 26 of the applicable year, on the above terms, with the PIK Rate increasing by two percent with respect to unredeemed Series A Preferred Shares on each occasion that Westrock cannot satisfy the redemption entirely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20" w:name="page121"/>
    <w:bookmarkEnd w:id="120"/>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After February 26, 2028, Westrock may redeem, ratably, in whole or, from time to time in part, the Preferred Shares of any holder then outstanding at a redemption price in cash, equal to the greater of (i) the liquidation preference and (ii) the product of (x) the number of Common Shares that would have been obtained from converting one Series A Preferred Share on the date Westrock notifies holders of the call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Series A Preferred Shares held by the BBH Investors may not be less than the $18.50 per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188" w:lineRule="exact"/>
        <w:rPr>
          <w:sz w:val="20"/>
          <w:szCs w:val="20"/>
          <w:color w:val="auto"/>
        </w:rPr>
      </w:pPr>
    </w:p>
    <w:p>
      <w:pPr>
        <w:jc w:val="both"/>
        <w:ind w:right="60" w:firstLine="360"/>
        <w:spacing w:after="0" w:line="258" w:lineRule="auto"/>
        <w:rPr>
          <w:sz w:val="20"/>
          <w:szCs w:val="20"/>
          <w:color w:val="auto"/>
        </w:rPr>
      </w:pPr>
      <w:r>
        <w:rPr>
          <w:rFonts w:ascii="Times New Roman" w:cs="Times New Roman" w:eastAsia="Times New Roman" w:hAnsi="Times New Roman"/>
          <w:sz w:val="18"/>
          <w:szCs w:val="18"/>
          <w:color w:val="auto"/>
        </w:rPr>
        <w:t>Westrock may exercise its right to redeem the Series A Preferred Shares by delivering a written notice to all of the holders, which notice must, among other things, state the date on which the redemption shall occur, which date shall be no earlier than thirty (30) days and no later than sixty (60) days from the redemption notice date, the number of Series A Preferred Shares to be redeemed and, if fewer than all the shares of a holder are to be redeemed, the number of such Series A Preferred Shares to be redeemed, and redemption price to be paid on the redemption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A Preferred Shares are not subject to or entitled to the operation of a retirement or sinking 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29"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The BBH Investors have additional rights and obligations with respect to their Series A Preferred Shares under the Investor Rights Agreement. See the section titled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Various Provisions of Delaware Law, Our Certificate of Incorporation and Our Bylaws</w:t>
      </w:r>
    </w:p>
    <w:p>
      <w:pPr>
        <w:spacing w:after="0" w:line="22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Provisions of the DGCL and our certificate of incorporation and bylaws could make it more difficult to acquire Westrock by means of a tender offer, a proxy contest or otherwise, or to remove incumbent officers and directors. These provisions, which are summarized below, may discourage certain types of coercive takeover practices and takeover bids that our board of directors may consider inadequate and to encourage persons seeking to acquire control of Westrock to first negotiate with our board of directors. Westrock believes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a Delaware corporation, Westrock is subject to Section 203 of the DGCL regarding corporate takeovers. In general, Section 203 of the DGCL prohibits a publicly held Delaware corporation from engaging in a “business combination” with an “interested stockholder” for a period of three years following the time the person became an interested stockholder, unless:</w:t>
      </w:r>
    </w:p>
    <w:p>
      <w:pPr>
        <w:spacing w:after="0" w:line="176" w:lineRule="exact"/>
        <w:rPr>
          <w:sz w:val="20"/>
          <w:szCs w:val="20"/>
          <w:color w:val="auto"/>
        </w:rPr>
      </w:pPr>
    </w:p>
    <w:p>
      <w:pPr>
        <w:ind w:left="680" w:right="20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such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80" w:right="34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such transaction commenced, excluding, for purposes of determining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1" w:name="page122"/>
    <w:bookmarkEnd w:id="121"/>
    <w:p>
      <w:pPr>
        <w:ind w:left="700" w:right="60"/>
        <w:spacing w:after="0" w:line="266" w:lineRule="auto"/>
        <w:rPr>
          <w:sz w:val="20"/>
          <w:szCs w:val="20"/>
          <w:color w:val="auto"/>
        </w:rPr>
      </w:pPr>
      <w:r>
        <w:rPr>
          <w:rFonts w:ascii="Times New Roman" w:cs="Times New Roman" w:eastAsia="Times New Roman" w:hAnsi="Times New Roman"/>
          <w:sz w:val="18"/>
          <w:szCs w:val="18"/>
          <w:color w:val="auto"/>
        </w:rPr>
        <w:t>number of shares outstanding, (a) shares owned by persons who are directors and also officers of the corporation and (b) shares owned by employee stock plans in which employee participants do not have the right to determine confidentially whether shares held subject to the plan will be tendered in a tender or exchange offer; or</w:t>
      </w:r>
    </w:p>
    <w:p>
      <w:pPr>
        <w:spacing w:after="0" w:line="176" w:lineRule="exact"/>
        <w:rPr>
          <w:sz w:val="20"/>
          <w:szCs w:val="20"/>
          <w:color w:val="auto"/>
        </w:rPr>
      </w:pPr>
    </w:p>
    <w:p>
      <w:pPr>
        <w:ind w:left="680" w:right="34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89"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In this context, a “business combination” includes a merger, asset or stock sale, or other transaction resulting in a financial benefit to the interested stockholder. An “interested stockholder” is a person who, together with affiliates and associates, owns or, within</w:t>
      </w:r>
    </w:p>
    <w:p>
      <w:pPr>
        <w:ind w:right="20"/>
        <w:spacing w:after="0" w:line="253" w:lineRule="auto"/>
        <w:rPr>
          <w:sz w:val="20"/>
          <w:szCs w:val="20"/>
          <w:color w:val="auto"/>
        </w:rPr>
      </w:pPr>
      <w:r>
        <w:rPr>
          <w:rFonts w:ascii="Times New Roman" w:cs="Times New Roman" w:eastAsia="Times New Roman" w:hAnsi="Times New Roman"/>
          <w:sz w:val="18"/>
          <w:szCs w:val="18"/>
          <w:color w:val="auto"/>
        </w:rPr>
        <w:t>three years prior to the determination of interested stockholder status owned, 15% or more of a corporation’s outstanding voting stock. The existence of this provision would be expected to have an anti-takeover effect with respect to transactions not approved in advance by our board of directors, including discouraging attempts that might result in a premium over the market price for the Common Shares held by our stockholders.</w:t>
      </w:r>
    </w:p>
    <w:p>
      <w:pPr>
        <w:spacing w:after="0" w:line="18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Section 203 with an express provision in its original certificate of incorporation or an express provision in its certificate of incorporation or bylaws resulting from amendments approved by holders of at least a majority of the corporation’s outstanding voting shares. We have not elected to “opt out” of Section 203. However, following this offering and subject to compliance with Delaware law, our organizational documents and any contractual restrictions, we could subsequently elect to “opt out” of Section 203 by such an amendment to our certificate of incorporation or bylaws.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w:t>
      </w:r>
    </w:p>
    <w:p>
      <w:pPr>
        <w:spacing w:after="0" w:line="22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currently provide that our board of directors is divided into three classes, with Class III consisting of four directors and Classes I and II consisting of three directors. The directors designated as Class I directors have terms expiring at the annual meeting of stockholders that we expect to hold in 2026. The directors designated as Class II directors have terms expiring at the annual meeting of stockholders that we expect to hold in 2024. The directors designated as Class III directors have terms expiring at the annual meeting of stockholders that we expect to hold in 2025. At each annual meeting through (and including) the 2025 annual meeting of stockholders, directors for each class will be elected for a term of three years. Under the classified board provisions, it may take two elections of directors for any individual or group to gain control of our board of directors. Accordingly, these provisions could discourage a third party from initiating a proxy contest, making a tender offer or otherwise attempting to gain control of Westrock. Beginning at the first annual meeting of stockholders in 2026, the directors whose terms expire at such annual meeting and any subsequent annual meeting will be elected to hold office for a one-year term expiring at the next annual meeting of stockholders and until such director’s successor shall have been elected and qualified. The board of directors will be fully declassified following the annual meeting in 2028 with all directors standing for election for one-year terms.</w:t>
      </w:r>
    </w:p>
    <w:p>
      <w:pPr>
        <w:spacing w:after="0" w:line="190"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At any meeting of stockholders for the election of directors at which a quorum is present, the election will be determined by a majority of the total voting power of shares of capital stock of Westrock present in person or represented by proxy at the meeting and entitled to vote on the matter, except that if the number of nominees exceeds the number of directors to be elected, the directors shall be elected by the vote of a plurality of the total voting power of shares of capital stock of Westrock present in person or represented by proxy at any such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Directors may be removed only for cause by the affirmative vote of the majority of the votes cast by the holders of shares entitled to vote for the election of directors; provided that once the directors are in a class that is elected for a one-year term, such director may be removed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22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it may be amended or altered in any manner provided by the DGCL, provided that specified amendments will require the affirmative vote or consent of the holders of at least a majority of the shares of Series A Preferred Shares outstanding at such time, voting together as a separate class. See the section titled “— </w:t>
      </w:r>
      <w:r>
        <w:rPr>
          <w:rFonts w:ascii="Times New Roman" w:cs="Times New Roman" w:eastAsia="Times New Roman" w:hAnsi="Times New Roman"/>
          <w:sz w:val="18"/>
          <w:szCs w:val="18"/>
          <w:i w:val="1"/>
          <w:iCs w:val="1"/>
          <w:color w:val="auto"/>
        </w:rPr>
        <w:t>Series A Preferred Shares —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above. Our bylaws may be adopted, amended, altered or repealed by stockholders upon the approval of a majority of the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of all of the then-outstanding shares of stock entitled to vote at an election of directors, provided that specified amendments will require the affirmative vote or consent of the holders of at least a majority of the Series A Preferred Shares outstanding at such time, voting together as a separate class. See the section titled “— </w:t>
      </w:r>
      <w:r>
        <w:rPr>
          <w:rFonts w:ascii="Times New Roman" w:cs="Times New Roman" w:eastAsia="Times New Roman" w:hAnsi="Times New Roman"/>
          <w:sz w:val="18"/>
          <w:szCs w:val="18"/>
          <w:i w:val="1"/>
          <w:iCs w:val="1"/>
          <w:color w:val="auto"/>
        </w:rPr>
        <w:t>Series A Preferred Shares — Consent Rights</w:t>
      </w:r>
      <w:r>
        <w:rPr>
          <w:rFonts w:ascii="Times New Roman" w:cs="Times New Roman" w:eastAsia="Times New Roman" w:hAnsi="Times New Roman"/>
          <w:sz w:val="18"/>
          <w:szCs w:val="18"/>
          <w:color w:val="auto"/>
        </w:rPr>
        <w:t>” above. Additionally, subject to the rights of the Series A Preferred Shares, our certificate of incorporation and bylaws provide that our bylaws may be adopted, amended, altered or repealed by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Size of Board and Vacancies</w:t>
      </w:r>
    </w:p>
    <w:p>
      <w:pPr>
        <w:spacing w:after="0" w:line="22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the number of directors on our board of directors is fixed exclusively by our board of directors. Our board currently consists of ten (10) directors, provided that, if certain affiliates of HF Capital, LLC exercise their director designation rights, we are required to increase the size of our board to eleven (11) directors, and otherwise, any increase or decrease to the size of the board requires the consent of certain investors specified in the Investor Rights Agreement. Subject to the rights of certain investors specified in the Investor Rights Agreement, any vacancies on our board of directors resulting from any increase in the authorized number of directors or the death, resignation, retirement, disqualification, removal from office or other cause will be filled by a majority of the board of directors then in office, whether or not less than a quorum. Subject to the rights of certain investors specified in the Investor Rights Agreement, our certificate of incorporation and our bylaws provide that any director appointed to fill a vacancy on our board of directors will hold office for a term expiring at the annual meeting of stockholders at which the term of office of the class to which he or she has been appointed expires and until such director’s successor shall have been duly elected and qualified. See the section titled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29"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18"/>
          <w:szCs w:val="18"/>
          <w:color w:val="auto"/>
        </w:rPr>
        <w:t>Our bylaws provide that only the chairman of the board of directors, the chief executive officer or an officer at the request of a majority of the members of the board of directors pursuant to a resolution approved by the board of directors may call special meetings of Westrock stockholders, and stockholders may not call special stockholder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29" w:lineRule="exact"/>
        <w:rPr>
          <w:sz w:val="20"/>
          <w:szCs w:val="20"/>
          <w:color w:val="auto"/>
        </w:rPr>
      </w:pPr>
    </w:p>
    <w:p>
      <w:pPr>
        <w:ind w:right="640" w:firstLine="360"/>
        <w:spacing w:after="0" w:line="261" w:lineRule="auto"/>
        <w:rPr>
          <w:sz w:val="20"/>
          <w:szCs w:val="20"/>
          <w:color w:val="auto"/>
        </w:rPr>
      </w:pPr>
      <w:r>
        <w:rPr>
          <w:rFonts w:ascii="Times New Roman" w:cs="Times New Roman" w:eastAsia="Times New Roman" w:hAnsi="Times New Roman"/>
          <w:sz w:val="18"/>
          <w:szCs w:val="18"/>
          <w:color w:val="auto"/>
        </w:rPr>
        <w:t>Stockholder action must take place at the annual or a special meeting of Westrock stockholders, provided that holders of the Series A Preferred Shares may take action or consent to any action with respect</w:t>
      </w:r>
    </w:p>
    <w:p>
      <w:pPr>
        <w:ind w:right="40"/>
        <w:spacing w:after="0" w:line="255" w:lineRule="auto"/>
        <w:rPr>
          <w:sz w:val="20"/>
          <w:szCs w:val="20"/>
          <w:color w:val="auto"/>
        </w:rPr>
      </w:pPr>
      <w:r>
        <w:rPr>
          <w:rFonts w:ascii="Times New Roman" w:cs="Times New Roman" w:eastAsia="Times New Roman" w:hAnsi="Times New Roman"/>
          <w:sz w:val="18"/>
          <w:szCs w:val="18"/>
          <w:color w:val="auto"/>
        </w:rPr>
        <w:t>to the matters described under the section titled “—  </w:t>
      </w:r>
      <w:r>
        <w:rPr>
          <w:rFonts w:ascii="Times New Roman" w:cs="Times New Roman" w:eastAsia="Times New Roman" w:hAnsi="Times New Roman"/>
          <w:sz w:val="18"/>
          <w:szCs w:val="18"/>
          <w:i w:val="1"/>
          <w:iCs w:val="1"/>
          <w:color w:val="auto"/>
        </w:rPr>
        <w:t>Series A Preferred Shares — Consent Rights</w:t>
      </w:r>
      <w:r>
        <w:rPr>
          <w:rFonts w:ascii="Times New Roman" w:cs="Times New Roman" w:eastAsia="Times New Roman" w:hAnsi="Times New Roman"/>
          <w:sz w:val="18"/>
          <w:szCs w:val="18"/>
          <w:color w:val="auto"/>
        </w:rPr>
        <w:t>” above without a meeting by delivering a consent in writing or by electronic transmission of the holders of the Series A Preferred Shares entitled to cast not less than the minimum number of votes that would be necessary to authorize, take or consent to such action at a meeting of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Stockholder Nominations and Proposals</w:t>
      </w:r>
    </w:p>
    <w:p>
      <w:pPr>
        <w:spacing w:after="0" w:line="22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Our bylaws contain advance notice procedures with respect to stockholder proposals and nomination of candidates for election as directors, as well as minimum qualification requirements for stockholders making the proposals or nominations. Additionally, our bylaws require that candidates nominated by stockholders for election as a director disclose their qualifications and make customary representations, including that (a) they are not a party to any undisclosed voting commitment, any voting commitment that could interfere with their ability to fulfill their fiduciary duties as a director of Westrock, should they be elected, or any undisclosed agreement pursuant to which they would receive compensation, reimbursement or indemnification in connection with their service as a director of Westrock, (b) they will be in compliance, should they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3" w:name="page124"/>
    <w:bookmarkEnd w:id="123"/>
    <w:p>
      <w:pPr>
        <w:ind w:right="60"/>
        <w:spacing w:after="0" w:line="282" w:lineRule="auto"/>
        <w:rPr>
          <w:sz w:val="20"/>
          <w:szCs w:val="20"/>
          <w:color w:val="auto"/>
        </w:rPr>
      </w:pPr>
      <w:r>
        <w:rPr>
          <w:rFonts w:ascii="Times New Roman" w:cs="Times New Roman" w:eastAsia="Times New Roman" w:hAnsi="Times New Roman"/>
          <w:sz w:val="18"/>
          <w:szCs w:val="18"/>
          <w:color w:val="auto"/>
        </w:rPr>
        <w:t>with Westrock’s corporate governance guidelines and the Westrock’s conflict of interest, confidentiality and stock ownership and trading policies and (c) they will abide by the procedures for the election of directors in our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Cumulative Voting</w:t>
      </w:r>
    </w:p>
    <w:p>
      <w:pPr>
        <w:spacing w:after="0" w:line="229"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will not have the right to cumulate votes in the election of directors unless the Company’s certificate of incorporation provides otherwise. Our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229" w:lineRule="exact"/>
        <w:rPr>
          <w:sz w:val="20"/>
          <w:szCs w:val="20"/>
          <w:color w:val="auto"/>
        </w:rPr>
      </w:pPr>
    </w:p>
    <w:p>
      <w:pPr>
        <w:ind w:right="340" w:firstLine="360"/>
        <w:spacing w:after="0" w:line="261" w:lineRule="auto"/>
        <w:rPr>
          <w:sz w:val="20"/>
          <w:szCs w:val="20"/>
          <w:color w:val="auto"/>
        </w:rPr>
      </w:pPr>
      <w:r>
        <w:rPr>
          <w:rFonts w:ascii="Times New Roman" w:cs="Times New Roman" w:eastAsia="Times New Roman" w:hAnsi="Times New Roman"/>
          <w:sz w:val="18"/>
          <w:szCs w:val="18"/>
          <w:color w:val="auto"/>
        </w:rPr>
        <w:t>The authority that our board of directors possesses to issue Preferred Shares could potentially be used to discourage attempts by third parties to obtain control of Westrock through a merger, tender offer, proxy contest or otherwise by making such attempts more difficult or more costly. Our board of directors may be able to issue Preferred Shares with voting rights or conversion rights that, if exercised, could adversely affect the voting power of the holders of the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Preferred Shares</w:t>
      </w:r>
    </w:p>
    <w:p>
      <w:pPr>
        <w:spacing w:after="0" w:line="229"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7"/>
          <w:szCs w:val="17"/>
          <w:color w:val="auto"/>
        </w:rPr>
        <w:t xml:space="preserve">There are terms of the Series A Preferred Shares that may discourage attempts by third parties to obtain control of Westrock through a merger, tender offer, proxy contest or otherwise by making such attempts more difficult or more costly. These include: (i) the rights of the holders of Series A Preferred Shares to vote as a separate class with respect to amendments to the certificate of incorporation and bylaws of Westrock that would adversely affect the rights, preferences, privileges, voting power or special rights of the Series A Preferred Shares and, for so long as the BBH Investors and their controlled affiliates own at least sixty percent (60%) of the Series A Preferred Shares that the BBH Investors owned on August 26, 2022, any Fundamental Change in which the holders of the Series A Preferred Shares would receive less than $18.50 per share (subject to adjustment), and (ii) the rights of the Series A Preferred Shares in a Fundamental Change to receive at least a specified amount. See the section titled “— </w:t>
      </w:r>
      <w:r>
        <w:rPr>
          <w:rFonts w:ascii="Times New Roman" w:cs="Times New Roman" w:eastAsia="Times New Roman" w:hAnsi="Times New Roman"/>
          <w:sz w:val="17"/>
          <w:szCs w:val="17"/>
          <w:i w:val="1"/>
          <w:iCs w:val="1"/>
          <w:color w:val="auto"/>
        </w:rPr>
        <w:t>Preferred Stock</w:t>
      </w:r>
      <w:r>
        <w:rPr>
          <w:rFonts w:ascii="Times New Roman" w:cs="Times New Roman" w:eastAsia="Times New Roman" w:hAnsi="Times New Roman"/>
          <w:sz w:val="17"/>
          <w:szCs w:val="17"/>
          <w:color w:val="auto"/>
        </w:rPr>
        <w:t>” above for more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Indemnification of Officers and Directors, and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Liability of Directors and Officers</w:t>
      </w:r>
    </w:p>
    <w:p>
      <w:pPr>
        <w:spacing w:after="0" w:line="22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directors’ fiduciary duties as directors or officers, as applicable, except for liability (1) for any breach of the director’s or officer’s duty of loyalty to the corporation or its stockholders, (2) for acts or omissions not in good faith or which involve intentional misconduct or a knowing violation of law, (3) for a director under Section 174 of the DGCL (regarding, among other things, the payment of unlawful dividends or unlawful stock purchases or redemptions), (4) for any transaction from which the director derived an improper personal benefit, or (5) for an officer, in any action by or in right of the corporation. Our certificate of incorporation provides that, to the fullest extent permitted by the DGCL, no director or officer will be personally liable to us or to our stockholders for monetary damages for breach of fiduciary duty as a director or officer, as applicable. While our certificate of incorporation provides directors and officers with protection from awards for monetary damages for breaches of their duty of care, it does not eliminate this duty. Accordingly, our certificate of incorporation has no effect on the availability of equitable remedies such as an injunction or rescission based on a director’s breach of his or her duty of care.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Officers and Employees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require us to indemnify any person who was or is a party or is threatened to be made a party to or is otherwise involved in any threatened, pending or completed action, suit or proceeding by reason of the fact that he or she is or was a director or officer of Westrock, or is or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4" w:name="page125"/>
    <w:bookmarkEnd w:id="124"/>
    <w:p>
      <w:pPr>
        <w:spacing w:after="0" w:line="256" w:lineRule="auto"/>
        <w:rPr>
          <w:sz w:val="20"/>
          <w:szCs w:val="20"/>
          <w:color w:val="auto"/>
        </w:rPr>
      </w:pPr>
      <w:r>
        <w:rPr>
          <w:rFonts w:ascii="Times New Roman" w:cs="Times New Roman" w:eastAsia="Times New Roman" w:hAnsi="Times New Roman"/>
          <w:sz w:val="18"/>
          <w:szCs w:val="18"/>
          <w:color w:val="auto"/>
        </w:rPr>
        <w:t>serving at the request of Westrock as a director, officer, trustee, employee or agent of another corporation or of a partnership, joint venture, trust or other enterprise, including service with respect to employee benefit plans maintained or sponsored by Westrock, against all expense, liability and loss (including attorneys’ fees, judgments, fines, ERISA excise taxes or penalties and amounts paid or to be paid in settlement) incurred or suffered by such person in connection with such proceeding if the person acted in good faith and in a manner reasonably believed to be in or not opposed to the best interests of Westrock and, with respect to any criminal action or proceeding, had no reasonable cause to believe his or her conduct was unlawful.</w:t>
      </w:r>
    </w:p>
    <w:p>
      <w:pPr>
        <w:spacing w:after="0" w:line="187"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We are authorized under our bylaws to purchase and maintain insurance to protect Westrock and any current or former director, officer, employee or agent of Westrock or another corporation, partnership, joint venture, trust or other enterprise against any expense, liability or loss, whether or not Westrock would have the power to indemnify such person against such expense, liability or loss under the DGCL.</w:t>
      </w:r>
    </w:p>
    <w:p>
      <w:pPr>
        <w:spacing w:after="0" w:line="18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 indemnification agreements provide that we will indemnify each indemnitee to the fullest extent permitted by the DGCL from and against all loss and liability suffered and expenses, judgments, fines and amounts paid in settlement incurred in connection with defending, investigating or settling any threatened, pending, or completed action, suit or proceeding related to the indemnitee’s service with the Company. Additionally, we have agreed to advance to the indemnitee expenses incurred in connection therewith.</w:t>
      </w:r>
    </w:p>
    <w:p>
      <w:pPr>
        <w:spacing w:after="0" w:line="183"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these indemnification agreements and our certificate of incorporation and bylaws may discourage stockholders from bringing a lawsuit against our directors and covered officers for breach of fiduciary duty. These provisions also may reduce the likelihood of derivative litigation against our directors and officers, even though such an action, if successful, might otherwise benefit us and our stockholders. In addition, your investment in our securities may be adversely affected to the extent we pay the costs of settlement and damage awards under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the Westrock board of directors consents in writing to the selection of an alternative forum, the Delaware Court of Chancery or, if the Delaware Court of Chancery declines to accept jurisdiction, any state or federal court within the District of Delaware, will be the sole and exclusive forum for any derivative action or proceeding brought on our behalf, any action asserting a claim for or based on a breach of a fiduciary duty owed by any of our current or former directors or officers or other employee to us or our stockholders, including a claim alleging the aiding and abetting of such a breach of fiduciary duty, any action asserting a claim against us or any of our current or former directors or officers or other employees arising pursuant to any provision of the DGCL or our certificate of incorporation or bylaws, or any action asserting a claim related to or involving us that is governed by the internal affairs doctrine under Delaware law and any action asserting an “internal corporate claim” as that term is defined in Section 115 of the DGCL. Section 27 of the Securities Exchange Act of 1934, as amended (the “Exchange Act”) provides that the district courts of the United States shall have exclusive jurisdiction of violations of the Exchange Act or the rules and regulations thereunder, and of all suits in equity and actions at law brought to enforce any liability or duty created by the Exchange Act or the rules and regulations thereunder. As a result, this forum selection provision will not apply to actions arising under the Exchange Act or the rules and regulations thereunder. This forum selection provision will also not apply to any other claim for which the federal courts have exclusive jurisdiction. In addition, Westrock’s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“Securities Act”), or the rules and regulations promulgated thereunder. There is uncertainty as to whether a court would enforce this provision with respect to claims under the Securities Act, and our stockholders cannot waive compliance with the federal securities laws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Corporate Opportunity Waiver</w:t>
      </w:r>
    </w:p>
    <w:p>
      <w:pPr>
        <w:spacing w:after="0" w:line="22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Westrock waives, to the maximum extent permitted by law, the application of the doctrine of corporate opportunity, or any other analogous doctrine, with respect to Westrock, any non-employee directors or stockholders or any of their respective affiliates. Without limiting the foregoing, Westrock will renounce, to the fullest extent permitted by law, any interest or expectancy of Westrock, its stockholders and any of their respective affiliates in, or in being notified of or offered an opportunity to participate in, any Excluded Opportunity. An “Excluded Opportunity” is any matter, transaction or interest that is presented to, or acquired, created or developed by, or which otherwise comes into the possession of (i) any director of Westrock who is not an employee of Westrock or any of its subsidiaries or (ii) any such director’s affiliates, partners, or other representatives (each of the foregoing, a “Covered Person”), unless such matter, transaction or interest is expressly offered to such director solely in his or her capacity as a director of Westrock. No Covered Person shall have any duty to communicate or offer an Excluded Opportunity to Westrock or any of its affiliates or stockholders, and no Covered Person shall have any liability to Westrock, any of its affiliates or stockholders for breach of any duty, as a director or otherwise, by reason of the fact that such Covered Person pursues or acquires an Excluded Opportunity, directs an Excluded Opportunity to another person or fails to present an Excluded Opportunity, or information regarding an Excluded Opportunity, to Westrock or any of its affiliates or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ind w:right="220"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Common Shares and Preferred Shares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Shares and Preferred Shares could render more difficult or discourage an attempt to obtain control of Westrock by means of a proxy contest, tender offer, merger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300" w:firstLine="360"/>
        <w:spacing w:after="0" w:line="282" w:lineRule="auto"/>
        <w:rPr>
          <w:sz w:val="20"/>
          <w:szCs w:val="20"/>
          <w:color w:val="auto"/>
        </w:rPr>
      </w:pPr>
      <w:r>
        <w:rPr>
          <w:rFonts w:ascii="Times New Roman" w:cs="Times New Roman" w:eastAsia="Times New Roman" w:hAnsi="Times New Roman"/>
          <w:sz w:val="18"/>
          <w:szCs w:val="18"/>
          <w:color w:val="auto"/>
        </w:rPr>
        <w:t>Certain of our stockholders have demand and piggy-back registration rights under the terms of our registration rights agreement, dated April 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the Common Shares and Series A Preferred Shares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Shares and Series A Preferred Shares</w:t>
      </w:r>
    </w:p>
    <w:p>
      <w:pPr>
        <w:spacing w:after="0" w:line="229" w:lineRule="exact"/>
        <w:rPr>
          <w:sz w:val="20"/>
          <w:szCs w:val="20"/>
          <w:color w:val="auto"/>
        </w:rPr>
      </w:pPr>
    </w:p>
    <w:p>
      <w:pPr>
        <w:jc w:val="both"/>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Common Shares are listed on the Nasdaq under the symbol “WEST”. The Series A Preferred Shares are not currently listed on any stock exchange, automated quotation system or other market and we do not currently intend to list the Series A Preferred Shares on any stock exchange, automated quotation system or other market.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EXISTING WARRANTS</w:t>
      </w:r>
    </w:p>
    <w:p>
      <w:pPr>
        <w:spacing w:after="0" w:line="227" w:lineRule="exact"/>
        <w:rPr>
          <w:sz w:val="20"/>
          <w:szCs w:val="20"/>
          <w:color w:val="auto"/>
        </w:rPr>
      </w:pPr>
    </w:p>
    <w:p>
      <w:pPr>
        <w:ind w:right="6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our existing warrants and the Warrant Agreement. This description is not complete and is qualified by reference to the full text of our Warrant Agreement, which is also included as an exhibit to the Annual Report on Form 10-K on which this exhibit is filed.</w:t>
      </w:r>
    </w:p>
    <w:p>
      <w:pPr>
        <w:spacing w:after="0" w:line="175"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Our existing outstanding warrants consist of the public warrants, which are listed on the Nasdaq (the “Public Warrants”), and private placement warrants (the “Private Placement Warrants”), which represent warrants that were initially issued by Riverview Acquisition Corp. in private placement transactions and became warrants of Westrock as a result of our de-SPAC transaction with Riverview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40" w:firstLine="360"/>
        <w:spacing w:after="0" w:line="274"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Common Share at a price of $11.50 per share, subject to adjustment as discussed below, provided that Westrock has an effective registration statement under the Securities Act covering the Common Shares issuable upon exercise of the Public Warrants and a current prospectus relating to them is available (or Westrock permits holders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August 26, 2027 at 5:00 p.m., New York City time, or earlier upon redemption or liquidation.</w:t>
      </w:r>
    </w:p>
    <w:p>
      <w:pPr>
        <w:spacing w:after="0" w:line="173"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7"/>
          <w:szCs w:val="17"/>
          <w:color w:val="auto"/>
        </w:rPr>
        <w:t>Westrock is not obligated to deliver any Common Shares pursuant to the exercise for cash of a Public Warrant and has no obligation to settle such Public Warrant exercise unless a registration statement under the Securities Act with respect to the Common Shares underlying the Public Warrants is then effective and a prospectus relating thereto is current, subject to Westrock satisfying its obligations described below with respect to registration, or a valid exemption from registration is available. No Public Warrant is exercisable and Westrock is not obligated to issue a Common Share upon exercise of a Public Warrant unless the Common Shares issuable upon such warrant exercise have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Westrock be required to net cash settle any Public Warrant.</w:t>
      </w:r>
    </w:p>
    <w:p>
      <w:pPr>
        <w:spacing w:after="0" w:line="173"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Westrock has filed a registration statement on Form S-3 (File No.: 333-274827) under the Securities Act to register the Common Shares issuable upon exercise of the Public Warrants. Westrock is obligated to use its commercially reasonable efforts to maintain the effectiveness of the registration statement for the registration, under the Securities Act, of the Common Shares issuable upon exercise of the Warrants, and of a current prospectus relating thereto, until the expiration of the Warrants in accordance with the provisions of our existing Warrant Agreement. Under the terms of the Warrant Agreement, warrant holders will be permitted during any period when Westrock will have failed to maintain an effective registration statement, to exercise their warrants on a “cashless basis” in accordance with Section 3(a)(9) of the Securities Act or another exemption.</w:t>
      </w:r>
    </w:p>
    <w:p>
      <w:pPr>
        <w:spacing w:after="0" w:line="189" w:lineRule="exact"/>
        <w:rPr>
          <w:sz w:val="20"/>
          <w:szCs w:val="20"/>
          <w:color w:val="auto"/>
        </w:rPr>
      </w:pPr>
    </w:p>
    <w:p>
      <w:pPr>
        <w:ind w:right="40" w:firstLine="360"/>
        <w:spacing w:after="0" w:line="272" w:lineRule="auto"/>
        <w:rPr>
          <w:sz w:val="20"/>
          <w:szCs w:val="20"/>
          <w:color w:val="auto"/>
        </w:rPr>
      </w:pPr>
      <w:r>
        <w:rPr>
          <w:rFonts w:ascii="Times New Roman" w:cs="Times New Roman" w:eastAsia="Times New Roman" w:hAnsi="Times New Roman"/>
          <w:sz w:val="17"/>
          <w:szCs w:val="17"/>
          <w:color w:val="auto"/>
        </w:rPr>
        <w:t>In addition, if Common Shares are, at the time of any exercise of a Public Warrant, not listed on a national securities exchange such that they do not satisfy the definition of a “covered security” under Section 18(b)(1) of the Securities Act, Westrock may, at its option, require holders of the Public Warrants who exercise their Public Warrants to do so on a “cashless basis” in accordance with Section 3(a)</w:t>
      </w:r>
    </w:p>
    <w:p>
      <w:pPr>
        <w:spacing w:after="0" w:line="2" w:lineRule="exact"/>
        <w:rPr>
          <w:sz w:val="20"/>
          <w:szCs w:val="20"/>
          <w:color w:val="auto"/>
        </w:rPr>
      </w:pPr>
    </w:p>
    <w:p>
      <w:pPr>
        <w:ind w:right="60" w:firstLine="8"/>
        <w:spacing w:after="0" w:line="251"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and, in the event Westrock elects to do so, Westrock will not be required to file or maintain in effect a registration statement, but Westrock will use its best efforts to register or qualify the shares under applicable blue sky laws to the extent an exemption is not available. In such event, each holder would pay the exercise price by surrendering each such Public Warrant for that number of Common Shares equal to the quotient obtained by dividing (x) the product of the number of Common Shares underlying the Public Warrants, multiplied by the excess of the fair market value of the Common Shares over the exercise price of the Public Warrants by (y) the fair market value of the Common Shares. Under the Warrant Agreement, the fair market value of the Common Shares means average reported last sale price of the Common Shares for the ten (10) trading days ending on the third trading day prior to the date on which the notice of redemption is sent to the holders of Public Warrants.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Westrock may redeem not less than all of the outstanding Public Warrants:</w:t>
      </w:r>
    </w:p>
    <w:p>
      <w:pPr>
        <w:spacing w:after="0" w:line="227"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127" w:name="page128"/>
    <w:bookmarkEnd w:id="127"/>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80" w:right="80" w:hanging="321"/>
        <w:spacing w:after="0" w:line="312" w:lineRule="auto"/>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Common Shares for any 20 trading days within a 30-trading day period ending three business days before Westrock sends the notice of redemption to the warrant holders equals or exceeds $18.00 per share.</w:t>
      </w:r>
    </w:p>
    <w:p>
      <w:pPr>
        <w:spacing w:after="0" w:line="153"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Westrock, Westrock may exercise its redemption right even if Westrock is unable to register or qualify the underlying securities for sale under all applicable state securities laws.</w:t>
      </w:r>
    </w:p>
    <w:p>
      <w:pPr>
        <w:spacing w:after="0" w:line="162"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Westrock issues a notice of redemption of the Public Warrants, each warrant holder will be entitled to exercise his, her or its Public Warrant prior to the scheduled redemption date. However, the price of the Common Shares may fall below the $18.00 redemption trigger price as well as the $11.50 (for whole shares) Public Warrant exercise price after the redemption notice is issued.</w:t>
      </w:r>
    </w:p>
    <w:p>
      <w:pPr>
        <w:spacing w:after="0" w:line="180"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Westrock’s management will have the option to require any holder that wishes to exercise its Public Warrant to do so on a “cashless basis.” If Westrock’s management takes advantage of this option, all holders of Public Warrants would pay the exercise price by surrendering their Public Warrants for that number of Common Shares equal to the quotient obtained by dividing (x) the product of the number of Common Shares underlying the Public Warrants, multiplied by the excess of the fair market value of the Common Shares (as defined above) over the exercise price of the Public Warrants by (y) the fair market value of the Common Shares.</w:t>
      </w:r>
    </w:p>
    <w:p>
      <w:pPr>
        <w:spacing w:after="0" w:line="187"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Westrock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Common Shares outstanding immediately after giving effect to such exercise.</w:t>
      </w:r>
    </w:p>
    <w:p>
      <w:pPr>
        <w:spacing w:after="0" w:line="17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Common Shares is increased by a stock dividend payable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split-up of shares of Common Shares or other similar event, then, on the effective date of such stock dividend, split-up or similar event, the number of Common Shares issuable on exercise of each Public Warrant will be increased in proportion to such increase in the outstanding Common Shares. A rights offering to holders of Common Shares entitling holders to purchase Common Shares at a price less than the fair market value (as defined above) will be deemed a stock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 paid in such rights offering and (y) the fair market value. For these purposes, (i) if the rights offering is for securities convertible into or exercisable for Common Shares, in determining the price payable for Common Shares, there will be taken into account any consideration received for such rights, as well as any additional amount payable upon exercise or conversion and (ii) “fair market value” means the volume-weighted average price of Common Shares as reported during the ten (10)-trading-day period ending on the trading day prior to the first date on which the Common Shares trade on the applicable exchange or in the applicable market, regular way, without the right to receive such rights.</w:t>
      </w:r>
    </w:p>
    <w:p>
      <w:pPr>
        <w:spacing w:after="0" w:line="18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Common Shares on account of such Common Shares (or other securities into which the Public Warrants are convertible), other than (a) as described above or (b) specified ordinary cash dividends, then the Public Warrant exercise price will be decreased, effective immediately after the effective date of such event, by the amount of cash and/or the fair market value of any securities or other assets paid on each Common Share in respect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8" w:name="page129"/>
    <w:bookmarkEnd w:id="128"/>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If the number of outstanding Common Shares is decreased by a consolidation, combination, reverse stock split or reclassification of Common Shares or other similar event, then, on the effective date of such consolidation, combination, reverse share split, reclassification or similar event, the number of Common Shares issuable on exercise of each Public Warrant will be decreased in proportion to such decrease in outstanding Common Shares.</w:t>
      </w:r>
    </w:p>
    <w:p>
      <w:pPr>
        <w:spacing w:after="0" w:line="180"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Whenever the number of Common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Common Shares purchasable upon the exercise of the Public Warrants immediately prior to such adjustment and (y) the denominator of which will be the number of Common Shares so purchasable immediately thereafter.</w:t>
      </w:r>
    </w:p>
    <w:p>
      <w:pPr>
        <w:spacing w:after="0" w:line="18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Shares (other than those described above or that solely affects the par value of such Common Shares), or in the case of any merger or consolidation of Westrock with or into another corporation (other than a consolidation or merger in which Westrock is the continuing corporation and that does not result in any reclassification or reorganization of the outstanding Common Shares), or in the case of any sale or conveyance to another corporation or entity of the assets or other property of Westrock as an entirety or substantially as an entirety in connection with which Westrock is dissolved, the holders of the Public Warrants will thereafter have the right to purchase and receive, upon the basis and upon the terms and conditions specified in the Public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w:t>
      </w:r>
    </w:p>
    <w:p>
      <w:pPr>
        <w:spacing w:after="0" w:line="195" w:lineRule="exact"/>
        <w:rPr>
          <w:sz w:val="20"/>
          <w:szCs w:val="20"/>
          <w:color w:val="auto"/>
        </w:rPr>
      </w:pPr>
    </w:p>
    <w:p>
      <w:pPr>
        <w:jc w:val="both"/>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w:t>
      </w:r>
    </w:p>
    <w:p>
      <w:pPr>
        <w:spacing w:after="0" w:line="176"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Westrock, for the number of Public Warrants being exercised. The warrant holders do not have the rights or privileges of holders of Common Shares and any voting rights until they exercise their Public Warrants and receive Common Shares.</w:t>
      </w:r>
    </w:p>
    <w:p>
      <w:pPr>
        <w:spacing w:after="0" w:line="183"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Westrock will, upon exercise, round down to the nearest whole number, the number of Common Shares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Private Placement Warrants (including the Common Shares issuable upon exercise of the Private Placement Warrants) may not be redeemable by Westrock so long as they are held by Riverview Sponsor Partners, LLC (“Riverview Sponsor”) or its permitted transferees (except as otherwise set forth herein). Riverview Sponsor, or its permitted transferees, have the option to exercise the Private Placement Warrants on a cashless basis. Except as described below, the Private Placement Warrants have terms and provisions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ind w:right="40"/>
        <w:spacing w:after="0" w:line="266" w:lineRule="auto"/>
        <w:rPr>
          <w:sz w:val="20"/>
          <w:szCs w:val="20"/>
          <w:color w:val="auto"/>
        </w:rPr>
      </w:pPr>
      <w:r>
        <w:rPr>
          <w:rFonts w:ascii="Times New Roman" w:cs="Times New Roman" w:eastAsia="Times New Roman" w:hAnsi="Times New Roman"/>
          <w:sz w:val="18"/>
          <w:szCs w:val="18"/>
          <w:color w:val="auto"/>
        </w:rPr>
        <w:t>identical to those of the Public Warrants. If the Private Placement Warrants are held by holders other than Riverview Sponsor or its permitted transferees, the Private Placement Warrants will be redeemable by Westrock in all redemption scenarios and exercisable by the holders on the same basis as the Public Warrants.</w:t>
      </w:r>
    </w:p>
    <w:p>
      <w:pPr>
        <w:spacing w:after="0" w:line="176" w:lineRule="exact"/>
        <w:rPr>
          <w:sz w:val="20"/>
          <w:szCs w:val="20"/>
          <w:color w:val="auto"/>
        </w:rPr>
      </w:pPr>
    </w:p>
    <w:p>
      <w:pPr>
        <w:ind w:right="300" w:firstLine="360"/>
        <w:spacing w:after="0" w:line="276" w:lineRule="auto"/>
        <w:rPr>
          <w:sz w:val="20"/>
          <w:szCs w:val="20"/>
          <w:color w:val="auto"/>
        </w:rPr>
      </w:pPr>
      <w:r>
        <w:rPr>
          <w:rFonts w:ascii="Times New Roman" w:cs="Times New Roman" w:eastAsia="Times New Roman" w:hAnsi="Times New Roman"/>
          <w:sz w:val="17"/>
          <w:szCs w:val="17"/>
          <w:color w:val="auto"/>
        </w:rPr>
        <w:t>If holders of the Private Placement Warrants elect to exercise them on a cashless basis, they would pay the exercise price by surrendering his, her or its Private Placement Warrants for that number of Common Shares equal to the quotient obtained by dividing</w:t>
      </w:r>
    </w:p>
    <w:p>
      <w:pPr>
        <w:spacing w:after="0" w:line="1" w:lineRule="exact"/>
        <w:rPr>
          <w:sz w:val="20"/>
          <w:szCs w:val="20"/>
          <w:color w:val="auto"/>
        </w:rPr>
      </w:pPr>
    </w:p>
    <w:p>
      <w:pPr>
        <w:ind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Common Shares underlying the Private Placement Warrants, multiplied by the excess of the historical fair market value (defined below) of the Common Shares over the exercise price of the Private Placement Warrants by (y) the fair market value of the Common Shares. For these purposes, the “historical fair market value” shall mean the average last reported sale price of the Common Shares for the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warrant agent for our existing warrants is Computershare Inc. and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Warrants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Public Warrants are listed on the Nasdaq under the symbol “WESTW”.</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7" w:lineRule="exact"/>
        <w:rPr>
          <w:sz w:val="20"/>
          <w:szCs w:val="20"/>
          <w:color w:val="auto"/>
        </w:rPr>
      </w:pPr>
    </w:p>
    <w:p>
      <w:pPr>
        <w:jc w:val="both"/>
        <w:ind w:right="16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our Investor Rights Agreement. This description is not complete and is qualified by reference to the full text of our Investor Rights Agreement, which is also included as an exhibit to the Annual Report on Form 10-K on which this exhibit is filed.</w:t>
      </w:r>
    </w:p>
    <w:p>
      <w:pPr>
        <w:spacing w:after="0" w:line="175"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18"/>
          <w:szCs w:val="18"/>
          <w:color w:val="auto"/>
        </w:rPr>
        <w:t>The parties to the Investor Rights Agreement are (i) Westrock Group, LLC (together with certain other entities, the “WCC Investors”), (ii) BBH Capital Partners V, L.P., BBH Capital Partners V-A, L.P., and BBH CPV WCC Co-Investment LLC (as referred to before, the “BBH Investors”), (iii) Riverview Sponsor, and (iv) HF Direct Investments Pool, LLC (“HF Investor”).</w:t>
      </w:r>
    </w:p>
    <w:p>
      <w:pPr>
        <w:spacing w:after="0" w:line="17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color w:val="auto"/>
        </w:rPr>
        <w:t>Pursuant to the Investor Rights Agreement, the Westrock board of directors will consist of ten directors, provided that if the HF Investor exercises its board designation right, Westrock is required to increase the size of the board to eleven directors. The WCC Investors have the right to designate for inclusion in Westrock’s slate of individuals to be nominated for election to the board of directors of Westrock (a) up to two directors (of which, so long as the Westrock board of directors is classified, one director will be for Class I and one director will be for Class III) for so long as the initial WCC Investors collectively beneficially own at least 10% of our outstanding stock and (b) up to one director (which such director will be for Class III so long as the Westrock board of directors is classified), so long as the WCC Investors collectively beneficially own at least 5% of our outstanding stock but less than 10% of our outstanding stock. The BBH Investors have the right to designate for inclusion in Westrock’s slate of individuals to be nominated for election to the board of directors of Westrock (a) up to two directors (of which, so long as the Westrock board of directors is classified, one director will be for Class II and one director will be for Class III) for so long as the BBH Investors collectively beneficially own at least 10% of our outstanding stock and (b) up to one director (which such director will be for Class III so long as the Westrock board of directors is classified), so long as the BBH Investors collectively beneficially own at least 5% of our outstanding stock but less than 10% of our outstanding stock; provided that, such designated directors must satisfy the independence requirements under the Nasdaq listing standards. Riverview Sponsor has the right to designate for inclusion in Westrock’s slate of individuals to be nominated for election to the board of directors of Westrock (a) two directors (of which, so long as the Westrock board of directors is classified, one director will be for Class I and one director will be for Class II) for so long as Riverview Sponsor, any controlled affiliate of R. Brad Martin and certain investors who invested in the Company by purchasing Riverview Acquisition Corp. shares collectively beneficially own at least 10%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0" w:name="page131"/>
    <w:bookmarkEnd w:id="130"/>
    <w:p>
      <w:pPr>
        <w:ind w:right="40"/>
        <w:spacing w:after="0" w:line="254" w:lineRule="auto"/>
        <w:rPr>
          <w:sz w:val="20"/>
          <w:szCs w:val="20"/>
          <w:color w:val="auto"/>
        </w:rPr>
      </w:pPr>
      <w:r>
        <w:rPr>
          <w:rFonts w:ascii="Times New Roman" w:cs="Times New Roman" w:eastAsia="Times New Roman" w:hAnsi="Times New Roman"/>
          <w:sz w:val="18"/>
          <w:szCs w:val="18"/>
          <w:color w:val="auto"/>
        </w:rPr>
        <w:t>outstanding stock and (b) one director (of which, so long as the Westrock board of directors is classified, will be for Class I), for so long as Riverview Sponsor, any controlled affiliate of R. Brad Martin and such PIPE Investors collectively beneficially own at least 5% of our outstanding stock but less than 10% of our outstanding stock; provided that, such designated directors must satisfy independence requirements under the Nasdaq listing standards. The remaining directors will be designated for inclusion in Westrock’s slate of individuals to be nominated for election to the board of directors of Westrock by the Nominating and Corporate Governance Committee of the Westrock board of directors and must satisfy independence requirements under the Nasdaq listing standards. Additionally, the HF Investor has the right to designate for inclusion in Westrock’s slate of individuals to be nominated for election to the board of directors of Westrock up to one director (which such director will be for Class II so long as the Westrock board of directors is classified), so long as the HF Investor beneficially owns at least 5% of our outstanding stock.</w:t>
      </w:r>
    </w:p>
    <w:p>
      <w:pPr>
        <w:spacing w:after="0" w:line="188"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If the BBH Investors have the right to nominate at least one director and none of the directors designated by BBH are R. Patrick Kruczek or Matthew Salsbury (the “Specified BBH Individuals”), Westrock is required to appoint one Specified BBH Individual not then serving as a director on the Westrock board of directors as a non-voting observer of the Westrock board of directors.</w:t>
      </w:r>
    </w:p>
    <w:p>
      <w:pPr>
        <w:spacing w:after="0" w:line="176"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As noted before, pursuant to the Investor Rights Agreement, the Westrock board of directors will consist of ten directors, provided that, if the HF Investor exercises its board designation right, Westrock is required to increase the size of the board to eleven directors. Any increase or decrease of the size of the Westrock board of directors above or below this specified number will require the consent of each of the WCC Investors, the BBH Investors, Riverview Sponsor and the HF Investor, so long as such investor has the right to designate at least one director. In the event that a vacancy is created at any time by the death, disqualification, resignation, removal or failure to be elected by Westrock’s stockholders (and no other director has been elected by the stockholders of Westrock to fill such vacancy) of a director designated by the WCC Investors, the BBH Investors, Riverview Sponsor or the HF Investor, the applicable designating party will have the right to designate a replacement to fill such vacancy and the Westrock board of directors will use reasonable best efforts to cause such designee to be promptly appointed to the Westrock board of directors to fill such vacancy, subject to applicable law.</w:t>
      </w:r>
    </w:p>
    <w:p>
      <w:pPr>
        <w:spacing w:after="0" w:line="194"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The Investor Rights Agreement also provides preemptive rights to the BBH Investors. Subject to customary exceptions, for so long as the BBH Investors have the right to designate at least one director, if Westrock proposes to issue any Common Shares or equity interests of Westrock (including any warrants, options or other rights to acquire, or any securities that are exercisable for, exchangeable for or convertible into, Common Shares or any class of security of Westrock) (a) in an unregistered offering to third parties or (b) at an offering price or implied offering price (in each case, prior to any underwriters’ discount and any other fees and commissions) for the Common Shares that is less than $10.00 per share (subject to customary adjustments), the BBH Investors have the right to purchase their pro-rata amount of such equity interests on the same terms and conditions and at the same price as being offered in such offering.</w:t>
      </w:r>
    </w:p>
    <w:p>
      <w:pPr>
        <w:spacing w:after="0" w:line="18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The WCC Investors, the BBH Investors, Riverview Sponsor and the HF Investor are subject to customary standstill restrictions, including that such investors or any controlled affiliate of the controlling persons of such investors cannot, without Westrock’s prior written consent, (a) make any public announcement, proposal or offer with respect to, or otherwise solicit, seek or offer to effect (i) any business combination, merger, tender offer, exchange offer, sale of all or substantially all assets or similar transaction, (ii) any restructuring, recapitalization, liquidation or similar transaction involving Westrock or any of its subsidiaries, or (iii) any acquisition of any of Westrock’s loans, debt securities, equity securities or assets, or rights or options to acquire interests in any of Westrock’s loans, debt securities, equity securities or asset; (b) seek to control or change the management or the board of directors of Westrock; (c) call any special meeting of stockholders of Westrock or engage in any written consent of stockholders regarding the foregoing; (d) publicly disclose any intention, plan or arrangement prohibited by the foregoing or take any action that would or would reasonably be expected to require Westrock to make a public announcement regarding the possibility of a transaction or any of the events described in this paragraph, or (e) contest the validity of the standstill restrictions or make, initiate, take or participate in any demand, action (legal or otherwise) or proposal to amend, waive or terminate any provision of the standstill restrictions. Subject to specified early termination triggers, the standstill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473710</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ind w:right="80"/>
        <w:spacing w:after="0" w:line="282" w:lineRule="auto"/>
        <w:rPr>
          <w:sz w:val="20"/>
          <w:szCs w:val="20"/>
          <w:color w:val="auto"/>
        </w:rPr>
      </w:pPr>
      <w:r>
        <w:rPr>
          <w:rFonts w:ascii="Times New Roman" w:cs="Times New Roman" w:eastAsia="Times New Roman" w:hAnsi="Times New Roman"/>
          <w:sz w:val="18"/>
          <w:szCs w:val="18"/>
          <w:color w:val="auto"/>
        </w:rPr>
        <w:t>restrictions with respect to the WCC Investors, BBH Investors, Riverview Sponsor and the HF Investor automatically terminate on the first day after such investor no longer has the right to designate any directors for nomination pursuant to the Investor Rights Agreement.</w:t>
      </w:r>
    </w:p>
    <w:p>
      <w:pPr>
        <w:spacing w:after="0" w:line="162"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The Investor Rights Agreement also provides that if an Escalation Event is ongoing during the period during which the BBH Investors have the right to designate at least one director pursuant to the Investor Rights Agreement, Westrock may not take specified actions, that would require lender consent under our credit facility, without the consent of the BBH Investors and must provide the BBH Investors with the same information it provides to the lenders under our credit facility and at substantially the same time as it is provided to such lenders.</w:t>
      </w:r>
    </w:p>
    <w:p>
      <w:pPr>
        <w:spacing w:after="0" w:line="183"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BBH Investors and the HF Investor are subject to certain short-sale and hedging restrictions with respect to our securities for so long as they have director designation rights under the Investor Rights Agreement.</w:t>
      </w:r>
    </w:p>
    <w:p>
      <w:pPr>
        <w:spacing w:after="0" w:line="162" w:lineRule="exact"/>
        <w:rPr>
          <w:sz w:val="20"/>
          <w:szCs w:val="20"/>
          <w:color w:val="auto"/>
        </w:rPr>
      </w:pPr>
    </w:p>
    <w:p>
      <w:pPr>
        <w:ind w:right="400" w:firstLine="360"/>
        <w:spacing w:after="0" w:line="261" w:lineRule="auto"/>
        <w:rPr>
          <w:sz w:val="20"/>
          <w:szCs w:val="20"/>
          <w:color w:val="auto"/>
        </w:rPr>
      </w:pPr>
      <w:r>
        <w:rPr>
          <w:rFonts w:ascii="Times New Roman" w:cs="Times New Roman" w:eastAsia="Times New Roman" w:hAnsi="Times New Roman"/>
          <w:sz w:val="18"/>
          <w:szCs w:val="18"/>
          <w:color w:val="auto"/>
        </w:rPr>
        <w:t>The Investor Rights Agreement also provides that Westrock cannot redeem any Series A Preferred Shares held by the BBH Investors if the redemption price for such shares is less than $18.50 per share (subject to adjustments), provided that Westrock may redeem such shares in such a case if it pays an incremental price per share on the redemption date to the BBH Investors equal to the difference between $18.50 per share (subject to adjustments) and the redemption price.</w:t>
      </w:r>
    </w:p>
    <w:p>
      <w:pPr>
        <w:spacing w:after="0" w:line="180" w:lineRule="exact"/>
        <w:rPr>
          <w:sz w:val="20"/>
          <w:szCs w:val="20"/>
          <w:color w:val="auto"/>
        </w:rPr>
      </w:pPr>
    </w:p>
    <w:p>
      <w:pPr>
        <w:ind w:right="680" w:firstLine="360"/>
        <w:spacing w:after="0" w:line="282" w:lineRule="auto"/>
        <w:rPr>
          <w:sz w:val="20"/>
          <w:szCs w:val="20"/>
          <w:color w:val="auto"/>
        </w:rPr>
      </w:pPr>
      <w:r>
        <w:rPr>
          <w:rFonts w:ascii="Times New Roman" w:cs="Times New Roman" w:eastAsia="Times New Roman" w:hAnsi="Times New Roman"/>
          <w:sz w:val="18"/>
          <w:szCs w:val="18"/>
          <w:color w:val="auto"/>
        </w:rPr>
        <w:t>The Investor Rights Agreement also imposes customary confidentiality obligations on the WCC Investors, BBH Investors, Riverview Sponsor and the HF Investor.</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Investor Rights Agreement is governed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NON-EMPLOYEE DIRECTORS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i w:val="1"/>
          <w:iCs w:val="1"/>
          <w:color w:val="auto"/>
        </w:rPr>
        <w:t>General.</w:t>
      </w:r>
    </w:p>
    <w:p>
      <w:pPr>
        <w:spacing w:after="0" w:line="225" w:lineRule="exact"/>
        <w:rPr>
          <w:sz w:val="20"/>
          <w:szCs w:val="20"/>
          <w:color w:val="auto"/>
        </w:rPr>
      </w:pPr>
    </w:p>
    <w:p>
      <w:pPr>
        <w:ind w:right="20" w:firstLine="656"/>
        <w:spacing w:after="0" w:line="261"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Westrock Coffee Company Deferred Compensation Plan for Non-Employee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is to attract and retain the services of experienced non-employee directors by providing them with opportunities to defer the receipt of income relating to RSUs (each as defined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below), thereby furthering the best interests of Westrock Coffee Company (together with its successors,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stockholders.</w:t>
      </w:r>
    </w:p>
    <w:p>
      <w:pPr>
        <w:spacing w:after="0" w:line="179" w:lineRule="exact"/>
        <w:rPr>
          <w:rFonts w:ascii="Times New Roman" w:cs="Times New Roman" w:eastAsia="Times New Roman" w:hAnsi="Times New Roman"/>
          <w:sz w:val="18"/>
          <w:szCs w:val="18"/>
          <w:color w:val="auto"/>
        </w:rPr>
      </w:pPr>
    </w:p>
    <w:p>
      <w:pPr>
        <w:ind w:right="60" w:firstLine="656"/>
        <w:spacing w:after="0" w:line="261"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Plan</w:t>
      </w:r>
      <w:r>
        <w:rPr>
          <w:rFonts w:ascii="Times New Roman" w:cs="Times New Roman" w:eastAsia="Times New Roman" w:hAnsi="Times New Roman"/>
          <w:sz w:val="18"/>
          <w:szCs w:val="18"/>
          <w:color w:val="auto"/>
        </w:rPr>
        <w:t>. This Plan does not authorize or contemplate any additional Shares beyond the Shares authorized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Westrock Coffee Company 2022 Equity Incentive Plan or any successor plan (as in effect from time to time, the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and this Plan incorporates by reference herein the terms of the Equity Plan. Unless otherwise defined in this Plan, capitalized terms used in this Plan shall have the meanings assigned to them in the Equity Plan.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Except as otherwise determined by the Committee, each member of the Board who is not an employee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is eligible to participate in this Plan.</w:t>
      </w:r>
    </w:p>
    <w:p>
      <w:pPr>
        <w:spacing w:after="0" w:line="20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color w:val="auto"/>
        </w:rPr>
      </w:pPr>
    </w:p>
    <w:p>
      <w:pPr>
        <w:ind w:left="660" w:firstLine="644"/>
        <w:spacing w:after="0" w:line="268" w:lineRule="auto"/>
        <w:tabs>
          <w:tab w:leader="none" w:pos="19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has the meaning set forth in the Equity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transaction also is a change in ownership or effective control of the Company, or a change in the ownership of a substantial portion of the assets of the Company, within the meaning of Section 409A.</w:t>
      </w:r>
    </w:p>
    <w:p>
      <w:pPr>
        <w:spacing w:after="0" w:line="17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Deferral</w:t>
      </w:r>
      <w:r>
        <w:rPr>
          <w:rFonts w:ascii="Times New Roman" w:cs="Times New Roman" w:eastAsia="Times New Roman" w:hAnsi="Times New Roman"/>
          <w:sz w:val="18"/>
          <w:szCs w:val="18"/>
          <w:color w:val="auto"/>
        </w:rPr>
        <w:t>” means a Deferred RSU.</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68" w:lineRule="auto"/>
        <w:tabs>
          <w:tab w:leader="none" w:pos="19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Deferral Date</w:t>
      </w:r>
      <w:r>
        <w:rPr>
          <w:rFonts w:ascii="Times New Roman" w:cs="Times New Roman" w:eastAsia="Times New Roman" w:hAnsi="Times New Roman"/>
          <w:sz w:val="18"/>
          <w:szCs w:val="18"/>
          <w:color w:val="auto"/>
        </w:rPr>
        <w:t>” means, with respect to a Non-Employee Director’s Deferred RSU, the date on which the Shares covered by the corresponding RSU were scheduled to be issued to such Non-Employee Director, in either case had such Non-Employee Director not deferred such RSU.</w:t>
      </w:r>
    </w:p>
    <w:p>
      <w:pPr>
        <w:spacing w:after="0" w:line="17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RSU</w:t>
      </w:r>
      <w:r>
        <w:rPr>
          <w:rFonts w:ascii="Times New Roman" w:cs="Times New Roman" w:eastAsia="Times New Roman" w:hAnsi="Times New Roman"/>
          <w:sz w:val="18"/>
          <w:szCs w:val="18"/>
          <w:color w:val="auto"/>
        </w:rPr>
        <w:t xml:space="preserve">” means an RSU that is deferred by a Non-Employee Director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Non-Employee Director’s disability within the meaning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774065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33" w:name="page134"/>
    <w:bookmarkEnd w:id="133"/>
    <w:p>
      <w:pPr>
        <w:ind w:left="620" w:right="20" w:firstLine="644"/>
        <w:spacing w:after="0" w:line="286" w:lineRule="auto"/>
        <w:tabs>
          <w:tab w:leader="none" w:pos="19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Date(s)</w:t>
      </w:r>
      <w:r>
        <w:rPr>
          <w:rFonts w:ascii="Times New Roman" w:cs="Times New Roman" w:eastAsia="Times New Roman" w:hAnsi="Times New Roman"/>
          <w:sz w:val="18"/>
          <w:szCs w:val="18"/>
          <w:color w:val="auto"/>
        </w:rPr>
        <w:t>” means the date(s) on which a Non-Employee Director’s Deferred RSUs are scheduled to be paid or settled (whether pursuant to an Election Form or this Plan).</w:t>
      </w:r>
    </w:p>
    <w:p>
      <w:pPr>
        <w:spacing w:after="0" w:line="154" w:lineRule="exact"/>
        <w:rPr>
          <w:rFonts w:ascii="Times New Roman" w:cs="Times New Roman" w:eastAsia="Times New Roman" w:hAnsi="Times New Roman"/>
          <w:sz w:val="18"/>
          <w:szCs w:val="18"/>
          <w:color w:val="auto"/>
        </w:rPr>
      </w:pPr>
    </w:p>
    <w:p>
      <w:pPr>
        <w:ind w:left="620" w:right="20" w:firstLine="644"/>
        <w:spacing w:after="0" w:line="268" w:lineRule="auto"/>
        <w:tabs>
          <w:tab w:leader="none" w:pos="19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business trust, joint stock company, trust, unincorporated association, joint venture, limited liability company or any other entity of whatever nature, and shall include any successor (by merger or otherwise) of such entity.</w:t>
      </w:r>
    </w:p>
    <w:p>
      <w:pPr>
        <w:spacing w:after="0" w:line="170"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restricted stock unit granted to a Non-Employee Director pursuant to the Equity Plan.</w:t>
      </w:r>
    </w:p>
    <w:p>
      <w:pPr>
        <w:spacing w:after="0" w:line="225"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Internal Revenue Code of 1986, as amended, and regulations</w:t>
      </w:r>
    </w:p>
    <w:p>
      <w:pPr>
        <w:spacing w:after="0" w:line="3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thereto.</w:t>
      </w:r>
    </w:p>
    <w:p>
      <w:pPr>
        <w:spacing w:after="0" w:line="202"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a “separation from service” within the meaning of Section 409A.</w:t>
      </w:r>
    </w:p>
    <w:p>
      <w:pPr>
        <w:spacing w:after="0" w:line="225"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Unforeseeable Emergency</w:t>
      </w:r>
      <w:r>
        <w:rPr>
          <w:rFonts w:ascii="Times New Roman" w:cs="Times New Roman" w:eastAsia="Times New Roman" w:hAnsi="Times New Roman"/>
          <w:sz w:val="18"/>
          <w:szCs w:val="18"/>
          <w:color w:val="auto"/>
        </w:rPr>
        <w:t>” means such term as defined in Treas. Reg. 1.409A-3(i)(3)(i).</w:t>
      </w:r>
    </w:p>
    <w:p>
      <w:pPr>
        <w:spacing w:after="0" w:line="227"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40" w:right="120" w:firstLine="656"/>
        <w:spacing w:after="0" w:line="258" w:lineRule="auto"/>
        <w:tabs>
          <w:tab w:leader="none" w:pos="1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shall be administered by the Committee, which shall have the power to interpret this Plan and to adopt such rules and guidelines for implementing the terms of this Plan as it may deem appropriate. Unless otherwise provided in this Plan, all designations, determinations, interpretations and other decisions under or with respect to this Plan shall be within the sole discretion of the Committee, may be made at any time, and shall be final, conclusive, and binding on all Persons, including the Company and any Affiliate, director, beneficiary or stockholder.</w:t>
      </w:r>
    </w:p>
    <w:p>
      <w:pPr>
        <w:spacing w:after="0" w:line="183" w:lineRule="exact"/>
        <w:rPr>
          <w:rFonts w:ascii="Times New Roman" w:cs="Times New Roman" w:eastAsia="Times New Roman" w:hAnsi="Times New Roman"/>
          <w:sz w:val="18"/>
          <w:szCs w:val="18"/>
          <w:color w:val="auto"/>
        </w:rPr>
      </w:pPr>
    </w:p>
    <w:p>
      <w:pPr>
        <w:ind w:left="-40" w:firstLine="656"/>
        <w:spacing w:after="0" w:line="266" w:lineRule="auto"/>
        <w:tabs>
          <w:tab w:leader="none" w:pos="1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delegate to any Person such duties and powers, both administrative and discretionary, as it deems appropriate, except for such duties that may not be delegated by applicable law or regulation. Except as otherwise required by applicable law or regulation, all powers and authorities of the Committee hereunder may be exercised by the Board.</w:t>
      </w:r>
    </w:p>
    <w:p>
      <w:pPr>
        <w:spacing w:after="0" w:line="174"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i w:val="1"/>
          <w:iCs w:val="1"/>
          <w:color w:val="auto"/>
        </w:rPr>
        <w:t>Deferral Elections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60" w:hanging="644"/>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Forms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20" w:right="80" w:firstLine="644"/>
        <w:spacing w:after="0" w:line="266" w:lineRule="auto"/>
        <w:tabs>
          <w:tab w:leader="none" w:pos="19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may elect to defer receipt of RSUs pursuant to a form approved by the Committee and filed with the Secretary of the Company (an “</w:t>
      </w:r>
      <w:r>
        <w:rPr>
          <w:rFonts w:ascii="Times New Roman" w:cs="Times New Roman" w:eastAsia="Times New Roman" w:hAnsi="Times New Roman"/>
          <w:sz w:val="18"/>
          <w:szCs w:val="18"/>
          <w:b w:val="1"/>
          <w:bCs w:val="1"/>
          <w:color w:val="auto"/>
        </w:rPr>
        <w:t>Election Form</w:t>
      </w:r>
      <w:r>
        <w:rPr>
          <w:rFonts w:ascii="Times New Roman" w:cs="Times New Roman" w:eastAsia="Times New Roman" w:hAnsi="Times New Roman"/>
          <w:sz w:val="18"/>
          <w:szCs w:val="18"/>
          <w:color w:val="auto"/>
        </w:rPr>
        <w:t xml:space="preserve">”). Each Election Form will remain in effect until superseded or revoked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right="360" w:firstLine="644"/>
        <w:spacing w:after="0" w:line="282" w:lineRule="auto"/>
        <w:tabs>
          <w:tab w:leader="none" w:pos="19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Form may provide for a Non-Employee Director to elect to receive distribution of such Non-Employee Director’s Deferral at the following times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360045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1020" w:top="873" w:right="1019" w:bottom="1440" w:gutter="0" w:footer="0" w:header="0"/>
        </w:sectPr>
      </w:pPr>
    </w:p>
    <w:bookmarkStart w:id="134" w:name="page135"/>
    <w:bookmarkEnd w:id="134"/>
    <w:p>
      <w:pPr>
        <w:ind w:left="600" w:right="620"/>
        <w:spacing w:after="0" w:line="282" w:lineRule="auto"/>
        <w:rPr>
          <w:sz w:val="20"/>
          <w:szCs w:val="20"/>
          <w:color w:val="auto"/>
        </w:rPr>
      </w:pPr>
      <w:r>
        <w:rPr>
          <w:rFonts w:ascii="Times New Roman" w:cs="Times New Roman" w:eastAsia="Times New Roman" w:hAnsi="Times New Roman"/>
          <w:sz w:val="18"/>
          <w:szCs w:val="18"/>
          <w:color w:val="auto"/>
        </w:rPr>
        <w:t>such other times as are determined by the Committee and consistent with Section 409A (but in no event earlier than the applicable Deferral Date): (x) a specified date or (y) such Non-Employee Director’s Separation from Service.</w:t>
      </w:r>
    </w:p>
    <w:p>
      <w:pPr>
        <w:spacing w:after="0" w:line="160" w:lineRule="exact"/>
        <w:rPr>
          <w:sz w:val="20"/>
          <w:szCs w:val="20"/>
          <w:color w:val="auto"/>
        </w:rPr>
      </w:pPr>
    </w:p>
    <w:p>
      <w:pPr>
        <w:ind w:left="1240" w:hanging="644"/>
        <w:spacing w:after="0"/>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Elections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00" w:right="500" w:firstLine="644"/>
        <w:spacing w:after="0" w:line="282" w:lineRule="auto"/>
        <w:tabs>
          <w:tab w:leader="none" w:pos="18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Form shall apply to any RSU that is granted to a Non-Employee Director for any period of service that commences following the year in which such Election Form is filed.</w:t>
      </w:r>
    </w:p>
    <w:p>
      <w:pPr>
        <w:spacing w:after="0" w:line="161" w:lineRule="exact"/>
        <w:rPr>
          <w:rFonts w:ascii="Times New Roman" w:cs="Times New Roman" w:eastAsia="Times New Roman" w:hAnsi="Times New Roman"/>
          <w:sz w:val="18"/>
          <w:szCs w:val="18"/>
          <w:color w:val="auto"/>
        </w:rPr>
      </w:pPr>
    </w:p>
    <w:p>
      <w:pPr>
        <w:ind w:left="600" w:right="240" w:firstLine="644"/>
        <w:spacing w:after="0" w:line="258" w:lineRule="auto"/>
        <w:tabs>
          <w:tab w:leader="none" w:pos="18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 Non-Employee Director who first becomes eligible to participate in this Plan (including any other plan that is required to be treated as a single plan with this Plan under Section 409A) may file an Election Form during the first thirty (30) days of such eligibility;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Election Form shall apply only to RSUs granted not more than thirty (30) days prior to, and that vest more than twelve (12) months from, the date that such Election Form is filed.</w:t>
      </w:r>
    </w:p>
    <w:p>
      <w:pPr>
        <w:spacing w:after="0" w:line="181" w:lineRule="exact"/>
        <w:rPr>
          <w:rFonts w:ascii="Times New Roman" w:cs="Times New Roman" w:eastAsia="Times New Roman" w:hAnsi="Times New Roman"/>
          <w:sz w:val="18"/>
          <w:szCs w:val="18"/>
          <w:color w:val="auto"/>
        </w:rPr>
      </w:pPr>
    </w:p>
    <w:p>
      <w:pPr>
        <w:ind w:left="-60" w:right="160" w:firstLine="656"/>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Subsequent Elections</w:t>
      </w:r>
      <w:r>
        <w:rPr>
          <w:rFonts w:ascii="Times New Roman" w:cs="Times New Roman" w:eastAsia="Times New Roman" w:hAnsi="Times New Roman"/>
          <w:sz w:val="18"/>
          <w:szCs w:val="18"/>
          <w:color w:val="auto"/>
        </w:rPr>
        <w:t>. A Non-Employee Director who has an Election Form on file with the Company may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Secretary of the Company a subsequent Election Form at any time. Such Election Form shall apply to any RSU that is granted to such Non-Employee Director for any period of service that commences following the year in which such subsequent Election Form is filed.</w:t>
      </w:r>
    </w:p>
    <w:p>
      <w:pPr>
        <w:spacing w:after="0" w:line="179" w:lineRule="exact"/>
        <w:rPr>
          <w:rFonts w:ascii="Times New Roman" w:cs="Times New Roman" w:eastAsia="Times New Roman" w:hAnsi="Times New Roman"/>
          <w:sz w:val="18"/>
          <w:szCs w:val="18"/>
          <w:color w:val="auto"/>
        </w:rPr>
      </w:pPr>
    </w:p>
    <w:p>
      <w:pPr>
        <w:ind w:left="-60" w:right="20" w:firstLine="656"/>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Revoking Elections</w:t>
      </w:r>
      <w:r>
        <w:rPr>
          <w:rFonts w:ascii="Times New Roman" w:cs="Times New Roman" w:eastAsia="Times New Roman" w:hAnsi="Times New Roman"/>
          <w:sz w:val="18"/>
          <w:szCs w:val="18"/>
          <w:color w:val="auto"/>
        </w:rPr>
        <w:t>. A Non-Employee Director may revoke an Election Form at any time by providing written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Secretary of the Company in a form to be provided to the Non-Employee Director. Such revocation shall apply to any RSU that is granted to such Non-Employee Director for any period of service that commences following the year in which the written notice revoking the original election is filed.</w:t>
      </w:r>
    </w:p>
    <w:p>
      <w:pPr>
        <w:spacing w:after="0" w:line="179" w:lineRule="exact"/>
        <w:rPr>
          <w:rFonts w:ascii="Times New Roman" w:cs="Times New Roman" w:eastAsia="Times New Roman" w:hAnsi="Times New Roman"/>
          <w:sz w:val="18"/>
          <w:szCs w:val="18"/>
          <w:color w:val="auto"/>
        </w:rPr>
      </w:pPr>
    </w:p>
    <w:p>
      <w:pPr>
        <w:ind w:left="-60" w:right="20" w:firstLine="656"/>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Redeferrals</w:t>
      </w:r>
      <w:r>
        <w:rPr>
          <w:rFonts w:ascii="Times New Roman" w:cs="Times New Roman" w:eastAsia="Times New Roman" w:hAnsi="Times New Roman"/>
          <w:sz w:val="18"/>
          <w:szCs w:val="18"/>
          <w:color w:val="auto"/>
        </w:rPr>
        <w:t>. Not less than 12 months prior to the date on which a Deferral is scheduled to be distributed to a Non-Employee Director, such Non-Employee Director may elect to redefer such Deferral to a Distribution Date that is not less than five years after the scheduled distribution date. Such redeferral election shall be made in an Election Form approved by the Committee and filed with the Secretary of the Company.</w:t>
      </w:r>
    </w:p>
    <w:p>
      <w:pPr>
        <w:spacing w:after="0" w:line="179" w:lineRule="exact"/>
        <w:rPr>
          <w:rFonts w:ascii="Times New Roman" w:cs="Times New Roman" w:eastAsia="Times New Roman" w:hAnsi="Times New Roman"/>
          <w:sz w:val="18"/>
          <w:szCs w:val="18"/>
          <w:color w:val="auto"/>
        </w:rPr>
      </w:pPr>
    </w:p>
    <w:p>
      <w:pPr>
        <w:ind w:left="600" w:right="640" w:hanging="4"/>
        <w:spacing w:after="0" w:line="500" w:lineRule="auto"/>
        <w:tabs>
          <w:tab w:leader="none" w:pos="12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Each Deferral shall be fully vested and non-forfeitable at all times from the applicable Deferral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60" w:firstLine="656"/>
        <w:spacing w:after="0" w:line="261"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Regular Distribution Date</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distributions with respect to a Non-Employee Director’s Deferral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made to such Non-Employee Director (i) in a lump sum payment at the time specified in the applicable Election Form or (ii) in a number of equal annual installments (not to exceed ten (10)) set forth in the applicable Election Form beginning at the time specified in the applicable Election Form.</w:t>
      </w:r>
    </w:p>
    <w:p>
      <w:pPr>
        <w:spacing w:after="0" w:line="179" w:lineRule="exact"/>
        <w:rPr>
          <w:rFonts w:ascii="Times New Roman" w:cs="Times New Roman" w:eastAsia="Times New Roman" w:hAnsi="Times New Roman"/>
          <w:sz w:val="18"/>
          <w:szCs w:val="18"/>
          <w:color w:val="auto"/>
        </w:rPr>
      </w:pPr>
    </w:p>
    <w:p>
      <w:pPr>
        <w:ind w:left="-60" w:right="140" w:firstLine="656"/>
        <w:spacing w:after="0" w:line="284"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Death and Disability</w:t>
      </w:r>
      <w:r>
        <w:rPr>
          <w:rFonts w:ascii="Times New Roman" w:cs="Times New Roman" w:eastAsia="Times New Roman" w:hAnsi="Times New Roman"/>
          <w:sz w:val="18"/>
          <w:szCs w:val="18"/>
          <w:color w:val="auto"/>
        </w:rPr>
        <w:t>. All of a Non-Employee Director’s Deferrals thereon shall be distributed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Non-Employee Director on a Change in Control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40" w:top="877" w:right="10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such Non-Employee Director’s death or Disability within forty-five (45) days of the applicable event.</w:t>
      </w:r>
    </w:p>
    <w:p>
      <w:pPr>
        <w:spacing w:after="0" w:line="223" w:lineRule="exact"/>
        <w:rPr>
          <w:sz w:val="20"/>
          <w:szCs w:val="20"/>
          <w:color w:val="auto"/>
        </w:rPr>
      </w:pPr>
    </w:p>
    <w:p>
      <w:pPr>
        <w:ind w:right="120" w:firstLine="656"/>
        <w:spacing w:after="0" w:line="257"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Unforeseeable Emergency</w:t>
      </w:r>
      <w:r>
        <w:rPr>
          <w:rFonts w:ascii="Times New Roman" w:cs="Times New Roman" w:eastAsia="Times New Roman" w:hAnsi="Times New Roman"/>
          <w:sz w:val="18"/>
          <w:szCs w:val="18"/>
          <w:color w:val="auto"/>
        </w:rPr>
        <w:t>. The Committee, in its sole discretion, may accelerate the distribution of a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Deferral if such Non-Employee Director experiences an Unforeseeable Emergency;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complies with Section 409A. To request such a distribution, a Non-Employee Director must file an application with the Committee and furnish such supporting documentation as the Committee may require. Such application shall specify the basis for the distribution and the amount to be distributed. If such request is approved by the Committee, then distribution shall be made in a lump sum payment as soon as administratively practicable, but not more than forty-five (45) days following such approval.</w:t>
      </w:r>
    </w:p>
    <w:p>
      <w:pPr>
        <w:spacing w:after="0" w:line="182" w:lineRule="exact"/>
        <w:rPr>
          <w:rFonts w:ascii="Times New Roman" w:cs="Times New Roman" w:eastAsia="Times New Roman" w:hAnsi="Times New Roman"/>
          <w:sz w:val="18"/>
          <w:szCs w:val="18"/>
          <w:color w:val="auto"/>
        </w:rPr>
      </w:pPr>
    </w:p>
    <w:p>
      <w:pPr>
        <w:ind w:firstLine="656"/>
        <w:spacing w:after="0" w:line="254" w:lineRule="auto"/>
        <w:tabs>
          <w:tab w:leader="none" w:pos="12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Specified Employees</w:t>
      </w:r>
      <w:r>
        <w:rPr>
          <w:rFonts w:ascii="Times New Roman" w:cs="Times New Roman" w:eastAsia="Times New Roman" w:hAnsi="Times New Roman"/>
          <w:sz w:val="18"/>
          <w:szCs w:val="18"/>
          <w:color w:val="auto"/>
        </w:rPr>
        <w:t>. Notwithstanding any other provision of this Plan to the contrary, if a Non-Employee Director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employee” within the meaning of Section 409A (as determined in accordance with the methodology established by the Company), amounts that constitute “nonqualified deferred compensation” within the meaning of Section 409A that otherwise would be payable by reason of such Non-Employee Director’s Separation from Service during the six (6)-month period immediately following such Separation from Service shall instead be paid or provided on the first (1st) business day following the date that is six (6) months following such Non-Employee Director’s Separation from Service or any earlier date permitted by Section 409A. If such Non-Employee Director dies following the Separation from Service and prior to the payment of any amounts delayed on account of Section 409A, such amounts shall be paid to the personal representative of such Non-Employee Director’s estate within forty-five (45) days following the date of such Non-Employee Director’s death.</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i w:val="1"/>
          <w:iCs w:val="1"/>
          <w:color w:val="auto"/>
        </w:rPr>
        <w:t>Share Account; Amount of Distribution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0" w:firstLine="656"/>
        <w:spacing w:after="0" w:line="262"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Account</w:t>
      </w:r>
      <w:r>
        <w:rPr>
          <w:rFonts w:ascii="Times New Roman" w:cs="Times New Roman" w:eastAsia="Times New Roman" w:hAnsi="Times New Roman"/>
          <w:sz w:val="18"/>
          <w:szCs w:val="18"/>
          <w:color w:val="auto"/>
        </w:rPr>
        <w:t>. The Company shall establish or cause to be established a bookkeeping account (a “</w:t>
      </w:r>
      <w:r>
        <w:rPr>
          <w:rFonts w:ascii="Times New Roman" w:cs="Times New Roman" w:eastAsia="Times New Roman" w:hAnsi="Times New Roman"/>
          <w:sz w:val="18"/>
          <w:szCs w:val="18"/>
          <w:b w:val="1"/>
          <w:bCs w:val="1"/>
          <w:color w:val="auto"/>
        </w:rPr>
        <w:t>Share Account</w:t>
      </w:r>
      <w:r>
        <w:rPr>
          <w:rFonts w:ascii="Times New Roman" w:cs="Times New Roman" w:eastAsia="Times New Roman" w:hAnsi="Times New Roman"/>
          <w:sz w:val="18"/>
          <w:szCs w:val="18"/>
          <w:color w:val="auto"/>
        </w:rPr>
        <w:t>”) for each Deferral of RSUs to record the number of Shares in which such Deferral is notionally invested. The initial number of such notional Shares shall be the number of Shares covered by the portion of the RSU grant that is deferred pursuant to the applicable Election Form.</w:t>
      </w:r>
    </w:p>
    <w:p>
      <w:pPr>
        <w:spacing w:after="0" w:line="180" w:lineRule="exact"/>
        <w:rPr>
          <w:rFonts w:ascii="Times New Roman" w:cs="Times New Roman" w:eastAsia="Times New Roman" w:hAnsi="Times New Roman"/>
          <w:sz w:val="18"/>
          <w:szCs w:val="18"/>
          <w:color w:val="auto"/>
        </w:rPr>
      </w:pPr>
    </w:p>
    <w:p>
      <w:pPr>
        <w:ind w:right="80" w:firstLine="656"/>
        <w:spacing w:after="0" w:line="253"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Account Distribution</w:t>
      </w:r>
      <w:r>
        <w:rPr>
          <w:rFonts w:ascii="Times New Roman" w:cs="Times New Roman" w:eastAsia="Times New Roman" w:hAnsi="Times New Roman"/>
          <w:sz w:val="18"/>
          <w:szCs w:val="18"/>
          <w:color w:val="auto"/>
        </w:rPr>
        <w:t xml:space="preserve">. The balance in a Non-Employee Director’s Share Account shall be settled in a number of Shares equal to the whole number of Deferred RSUs in the Non-Employee Director’s Share Account with any such settlement to occur as soon as practicable following the applicable Distribution Date elected in accordance with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but in no event more than forty-five (45) days after such Distribution Date. If annual installments are elected, the number of Shares issued on the first Distribution Date shall be a fraction (rounded to the nearest whole Share) of the number of Deferred RSUs in the Non-Employee Director’s Share Account as of such Distribution Date, the numerator of which is one and the denominator of which is the total number of annual installments elected. The number of Shares issued on each subsequent Distribution Date shall be a fraction (rounded to the nearest whole Share) of the Deferred RSUs in the Non-Employee Director’s Share Account as of such Distribution Date, the numerator of which is one and the denominator of which is the total number of installments elected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installments previously settled.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36" w:name="page137"/>
    <w:bookmarkEnd w:id="136"/>
    <w:p>
      <w:pPr>
        <w:ind w:right="840"/>
        <w:spacing w:after="0" w:line="282" w:lineRule="auto"/>
        <w:rPr>
          <w:sz w:val="20"/>
          <w:szCs w:val="20"/>
          <w:color w:val="auto"/>
        </w:rPr>
      </w:pPr>
      <w:r>
        <w:rPr>
          <w:rFonts w:ascii="Times New Roman" w:cs="Times New Roman" w:eastAsia="Times New Roman" w:hAnsi="Times New Roman"/>
          <w:sz w:val="18"/>
          <w:szCs w:val="18"/>
          <w:color w:val="auto"/>
        </w:rPr>
        <w:t>payments in lieu of fractional Shares issuable in respect of fractional Deferred RSUs, if applicable, shall be made with the last installment settlement.</w:t>
      </w:r>
    </w:p>
    <w:p>
      <w:pPr>
        <w:spacing w:after="0" w:line="162" w:lineRule="exact"/>
        <w:rPr>
          <w:sz w:val="20"/>
          <w:szCs w:val="20"/>
          <w:color w:val="auto"/>
        </w:rPr>
      </w:pPr>
    </w:p>
    <w:p>
      <w:pPr>
        <w:ind w:firstLine="656"/>
        <w:spacing w:after="0" w:line="256" w:lineRule="auto"/>
        <w:tabs>
          <w:tab w:leader="none" w:pos="12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With respect to the period beginning on the Deferral Date applicable to a Non-Employee Director’s Deferred RSUs and ending on the Distribution Date applicable to such Deferred RSUs, a Non-Employee Director shall receive a cash payment with respect to any cash dividend that would have been paid on a number of outstanding Shares equal to the number of Deferred RSUs credited to the applicable Share Account as of the applicable dividend record date. Each such payment shall be made on the date on which the applicable dividend is paid to holders of Shares generally or such other date as is determined by the Committee and permitted by Section 409A.</w:t>
      </w:r>
    </w:p>
    <w:p>
      <w:pPr>
        <w:spacing w:after="0" w:line="187" w:lineRule="exact"/>
        <w:rPr>
          <w:rFonts w:ascii="Times New Roman" w:cs="Times New Roman" w:eastAsia="Times New Roman" w:hAnsi="Times New Roman"/>
          <w:sz w:val="18"/>
          <w:szCs w:val="18"/>
          <w:color w:val="auto"/>
        </w:rPr>
      </w:pPr>
    </w:p>
    <w:p>
      <w:pPr>
        <w:ind w:right="20" w:firstLine="656"/>
        <w:spacing w:after="0" w:line="254" w:lineRule="auto"/>
        <w:tabs>
          <w:tab w:leader="none" w:pos="12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Share Account</w:t>
      </w:r>
      <w:r>
        <w:rPr>
          <w:rFonts w:ascii="Times New Roman" w:cs="Times New Roman" w:eastAsia="Times New Roman" w:hAnsi="Times New Roman"/>
          <w:sz w:val="18"/>
          <w:szCs w:val="18"/>
          <w:color w:val="auto"/>
        </w:rPr>
        <w:t>. In the event that the Committee shall determine that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constitutes an equity restructuring transaction, as that term is defined in Accounting Standards Codification Topic 718 (or any successor thereto), or otherwise affects the Shares, then the Committee shall adjust the number and type of securities or other property (including cash) payable with respect to outstanding Deferred RSUs in a manner that is determined by the Committee to be appropriate to prevent dilution or enlargement of the benefits or potential benefits intended to be made available under this Plan.</w:t>
      </w:r>
    </w:p>
    <w:p>
      <w:pPr>
        <w:spacing w:after="0" w:line="19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i w:val="1"/>
          <w:iCs w:val="1"/>
          <w:color w:val="auto"/>
        </w:rPr>
        <w:t>General Provisions Applicable to Deferrals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00" w:firstLine="656"/>
        <w:spacing w:after="0" w:line="261"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by the Committee, no Deferral and no right under any Deferral shall be assignable, alienable, saleable or transferable by a Non-Employee Director otherwise than by will or by the laws of descent and</w:t>
      </w: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so determined by the Committee, a Non-Employee Director may, in the manner established by the Committee, designate a beneficiary or beneficiaries to exercise the rights of the Non-Employee Director with respect to a Deferral on the death of the Non-Employee Director. Each Deferral, and each right under any Deferral, shall be exercisable, during the Non-Employee Director’s lifetime, only by the Non-Employee Director or, if permissible under applicable law, by the Non-Employee Director’s guardian or legal representative. No Deferral, and no right under any Deferral, may be pledged, alienated, attached or otherwise encumbered, and any purported pledge, alienation, attachment or encumbrance thereof shall be void and unenforceable against the Company or any Affiliate.</w:t>
      </w:r>
    </w:p>
    <w:p>
      <w:pPr>
        <w:spacing w:after="0" w:line="188" w:lineRule="exact"/>
        <w:rPr>
          <w:rFonts w:ascii="Times New Roman" w:cs="Times New Roman" w:eastAsia="Times New Roman" w:hAnsi="Times New Roman"/>
          <w:sz w:val="18"/>
          <w:szCs w:val="18"/>
          <w:color w:val="auto"/>
        </w:rPr>
      </w:pPr>
    </w:p>
    <w:p>
      <w:pPr>
        <w:ind w:right="160" w:firstLine="656"/>
        <w:spacing w:after="0" w:line="258"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or other securities delivered under this Plan shall be subject to such stop transfer orders and other restrictions as the Committee may deem advisable under this Plan or the rules, regulations and other requirements of the Securities and Exchange Commission, any stock exchange on which such Shares or other securities are then listed, and any applicable federal, state or local securities laws, and the Committee may cause a legend or legends to be put on any such certificates to make appropriate reference to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37" w:name="page138"/>
    <w:bookmarkEnd w:id="137"/>
    <w:p>
      <w:pPr>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i w:val="1"/>
          <w:iCs w:val="1"/>
          <w:color w:val="auto"/>
        </w:rPr>
        <w:t>Amendments and Termination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80" w:right="100" w:firstLine="656"/>
        <w:spacing w:after="0" w:line="256"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in its sole discretion, may amend, suspend or discontinue this Plan or any Deferral at any time to the extent permitted by Section 409A;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suspension or discontinuance shall reduce the accrued benefit of any Non-Employee Director except to the extent necessary to comply with any provision of federal, state or other applicable law. The Committee further has the right, without a Non-Employee Director’s consent, to amend or modify the terms of this Plan and Non-Employee Director’s Deferrals to the extent that the Committee deems it necessary to avoid adverse or unintended tax consequences to such Non-Employee Director under Section 409A.</w:t>
      </w:r>
    </w:p>
    <w:p>
      <w:pPr>
        <w:spacing w:after="0" w:line="187" w:lineRule="exact"/>
        <w:rPr>
          <w:rFonts w:ascii="Times New Roman" w:cs="Times New Roman" w:eastAsia="Times New Roman" w:hAnsi="Times New Roman"/>
          <w:sz w:val="18"/>
          <w:szCs w:val="18"/>
          <w:color w:val="auto"/>
        </w:rPr>
      </w:pPr>
    </w:p>
    <w:p>
      <w:pPr>
        <w:ind w:left="-80" w:right="140" w:firstLine="656"/>
        <w:spacing w:after="0" w:line="258"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terminate this Plan at any time, as long as such termination complies with then-applicable tax and other requirements. Distributions of Share Accounts outstanding under this Plan as of the date on which this Plan is terminated will be made in a lump sum payment twelve (12) months after such termination, unless the right to receive a distribution in accordance with the terms of this Plan would occur before the end of such twelve (12)-month period, in which case distributions will be made in accordance with the terms of this Plan and the applicable Election Form.</w:t>
      </w:r>
    </w:p>
    <w:p>
      <w:pPr>
        <w:spacing w:after="0" w:line="183" w:lineRule="exact"/>
        <w:rPr>
          <w:rFonts w:ascii="Times New Roman" w:cs="Times New Roman" w:eastAsia="Times New Roman" w:hAnsi="Times New Roman"/>
          <w:sz w:val="18"/>
          <w:szCs w:val="18"/>
          <w:color w:val="auto"/>
        </w:rPr>
      </w:pPr>
    </w:p>
    <w:p>
      <w:pPr>
        <w:ind w:left="-80" w:right="620" w:firstLine="656"/>
        <w:spacing w:after="0" w:line="282" w:lineRule="auto"/>
        <w:tabs>
          <w:tab w:leader="none" w:pos="1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changes to Deferrals shall be permitted and honored under this Plan to the extent authorized by the Committee and consistent with Section 409A.</w:t>
      </w:r>
    </w:p>
    <w:p>
      <w:pPr>
        <w:spacing w:after="0" w:line="160" w:lineRule="exact"/>
        <w:rPr>
          <w:sz w:val="20"/>
          <w:szCs w:val="20"/>
          <w:color w:val="auto"/>
        </w:rPr>
      </w:pPr>
    </w:p>
    <w:p>
      <w:pPr>
        <w:ind w:left="58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i w:val="1"/>
          <w:iCs w:val="1"/>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0" w:right="100" w:firstLine="656"/>
        <w:spacing w:after="0" w:line="267" w:lineRule="auto"/>
        <w:tabs>
          <w:tab w:leader="none" w:pos="1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Rights to Participation</w:t>
      </w:r>
      <w:r>
        <w:rPr>
          <w:rFonts w:ascii="Times New Roman" w:cs="Times New Roman" w:eastAsia="Times New Roman" w:hAnsi="Times New Roman"/>
          <w:sz w:val="18"/>
          <w:szCs w:val="18"/>
          <w:color w:val="auto"/>
        </w:rPr>
        <w:t>. No Non-Employee Director or other Person shall have any claim to be entitled to make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deferral under this Plan, and there is no obligation for uniformity of treatment of Non-Employee Directors or beneficiaries under this Plan. The terms and conditions of deferrals under this Plan need not be the same with respect to each Non-Employee Director.</w:t>
      </w:r>
    </w:p>
    <w:p>
      <w:pPr>
        <w:spacing w:after="0" w:line="173" w:lineRule="exact"/>
        <w:rPr>
          <w:rFonts w:ascii="Times New Roman" w:cs="Times New Roman" w:eastAsia="Times New Roman" w:hAnsi="Times New Roman"/>
          <w:sz w:val="18"/>
          <w:szCs w:val="18"/>
          <w:color w:val="auto"/>
        </w:rPr>
      </w:pPr>
    </w:p>
    <w:p>
      <w:pPr>
        <w:ind w:left="-80" w:right="160" w:firstLine="656"/>
        <w:spacing w:after="0" w:line="261" w:lineRule="auto"/>
        <w:tabs>
          <w:tab w:leader="none" w:pos="1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To the extent required by applicable law, the Company or any Affiliate shall be authorized to withhold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Deferral or distribution the amount (in cash, notional shares, Shares or other securities) of taxes required or permitted to be withheld (up to the maximum statutory tax rate in the relevant jurisdiction) in respect of such Deferral and to take such other action as may be necessary or appropriate in the opinion of the Company or Affiliate to satisfy withholding taxes.</w:t>
      </w:r>
    </w:p>
    <w:p>
      <w:pPr>
        <w:spacing w:after="0" w:line="179" w:lineRule="exact"/>
        <w:rPr>
          <w:rFonts w:ascii="Times New Roman" w:cs="Times New Roman" w:eastAsia="Times New Roman" w:hAnsi="Times New Roman"/>
          <w:sz w:val="18"/>
          <w:szCs w:val="18"/>
          <w:color w:val="auto"/>
        </w:rPr>
      </w:pPr>
    </w:p>
    <w:p>
      <w:pPr>
        <w:jc w:val="both"/>
        <w:ind w:left="-80" w:right="260" w:firstLine="656"/>
        <w:spacing w:after="0" w:line="267" w:lineRule="auto"/>
        <w:tabs>
          <w:tab w:leader="none" w:pos="1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Limit on Other Compensation Arrangements</w:t>
      </w:r>
      <w:r>
        <w:rPr>
          <w:rFonts w:ascii="Times New Roman" w:cs="Times New Roman" w:eastAsia="Times New Roman" w:hAnsi="Times New Roman"/>
          <w:sz w:val="18"/>
          <w:szCs w:val="18"/>
          <w:color w:val="auto"/>
        </w:rPr>
        <w:t>. Nothing contained in this Plan shall prevent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from adopting or continuing in effect other or additional compensation arrangements, and such arrangements may be either generally applicable or applicable only in specific cases.</w:t>
      </w:r>
    </w:p>
    <w:p>
      <w:pPr>
        <w:spacing w:after="0" w:line="173" w:lineRule="exact"/>
        <w:rPr>
          <w:rFonts w:ascii="Times New Roman" w:cs="Times New Roman" w:eastAsia="Times New Roman" w:hAnsi="Times New Roman"/>
          <w:sz w:val="18"/>
          <w:szCs w:val="18"/>
          <w:color w:val="auto"/>
        </w:rPr>
      </w:pPr>
    </w:p>
    <w:p>
      <w:pPr>
        <w:ind w:left="-80" w:firstLine="656"/>
        <w:spacing w:after="0" w:line="261" w:lineRule="auto"/>
        <w:tabs>
          <w:tab w:leader="none" w:pos="1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Continued Service</w:t>
      </w:r>
      <w:r>
        <w:rPr>
          <w:rFonts w:ascii="Times New Roman" w:cs="Times New Roman" w:eastAsia="Times New Roman" w:hAnsi="Times New Roman"/>
          <w:sz w:val="18"/>
          <w:szCs w:val="18"/>
          <w:color w:val="auto"/>
        </w:rPr>
        <w:t>. The opportunity to make a Deferral under this Plan shall not be construed as giving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 the right to be retained in the service of the Board or the Company. A Non-Employee Director’s Deferral under this Plan is not intended to confer any rights on such Non-Employee Director except as set forth in this Plan. The Company expressly reserves the right at any time to replace or not to renominate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060" w:top="875" w:right="1079" w:bottom="1440" w:gutter="0" w:footer="0" w:header="0"/>
        </w:sectPr>
      </w:pPr>
    </w:p>
    <w:bookmarkStart w:id="138" w:name="page139"/>
    <w:bookmarkEnd w:id="138"/>
    <w:p>
      <w:pPr>
        <w:spacing w:after="0" w:line="282" w:lineRule="auto"/>
        <w:rPr>
          <w:sz w:val="20"/>
          <w:szCs w:val="20"/>
          <w:color w:val="auto"/>
        </w:rPr>
      </w:pPr>
      <w:r>
        <w:rPr>
          <w:rFonts w:ascii="Times New Roman" w:cs="Times New Roman" w:eastAsia="Times New Roman" w:hAnsi="Times New Roman"/>
          <w:sz w:val="18"/>
          <w:szCs w:val="18"/>
          <w:color w:val="auto"/>
        </w:rPr>
        <w:t>Employee Director without any liability for any claim against the Company for any payment or distribution except to the extent provided for in this Plan.</w:t>
      </w:r>
    </w:p>
    <w:p>
      <w:pPr>
        <w:spacing w:after="0" w:line="160" w:lineRule="exact"/>
        <w:rPr>
          <w:sz w:val="20"/>
          <w:szCs w:val="20"/>
          <w:color w:val="auto"/>
        </w:rPr>
      </w:pPr>
    </w:p>
    <w:p>
      <w:pPr>
        <w:ind w:right="100" w:firstLine="656"/>
        <w:spacing w:after="0" w:line="261"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Upon Issuance of Shares</w:t>
      </w:r>
      <w:r>
        <w:rPr>
          <w:rFonts w:ascii="Times New Roman" w:cs="Times New Roman" w:eastAsia="Times New Roman" w:hAnsi="Times New Roman"/>
          <w:sz w:val="18"/>
          <w:szCs w:val="18"/>
          <w:color w:val="auto"/>
        </w:rPr>
        <w:t>. Shares shall not be issued pursuant to this Plan unless the issuance and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shares pursuant hereto shall comply with all applicable laws, rules or regulations, including the Securities Act of 1933, as amended, the Securities Exchange Act of 1934, as amended, the rules and regulations promulgated thereunder, and the requirements of any stock exchange upon which the Shares may then be listed.</w:t>
      </w:r>
    </w:p>
    <w:p>
      <w:pPr>
        <w:spacing w:after="0" w:line="179" w:lineRule="exact"/>
        <w:rPr>
          <w:rFonts w:ascii="Times New Roman" w:cs="Times New Roman" w:eastAsia="Times New Roman" w:hAnsi="Times New Roman"/>
          <w:sz w:val="18"/>
          <w:szCs w:val="18"/>
          <w:color w:val="auto"/>
        </w:rPr>
      </w:pPr>
    </w:p>
    <w:p>
      <w:pPr>
        <w:ind w:right="260" w:firstLine="656"/>
        <w:spacing w:after="0" w:line="284"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A Non-Employee Director will have no rights as a stockholder unless and until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hereunder and such Non-Employee Director becomes the holder of record of such Shares.</w:t>
      </w:r>
    </w:p>
    <w:p>
      <w:pPr>
        <w:spacing w:after="0" w:line="158" w:lineRule="exact"/>
        <w:rPr>
          <w:rFonts w:ascii="Times New Roman" w:cs="Times New Roman" w:eastAsia="Times New Roman" w:hAnsi="Times New Roman"/>
          <w:sz w:val="18"/>
          <w:szCs w:val="18"/>
          <w:color w:val="auto"/>
        </w:rPr>
      </w:pPr>
    </w:p>
    <w:p>
      <w:pPr>
        <w:jc w:val="both"/>
        <w:ind w:right="200" w:firstLine="656"/>
        <w:spacing w:after="0" w:line="315" w:lineRule="auto"/>
        <w:tabs>
          <w:tab w:leader="none" w:pos="129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validity, construction and effect of this Plan and any rules and regulations relating to this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determined in accordance with the laws of the State of Delaware and applicable federal laws without regard to conflict of law.</w:t>
      </w:r>
    </w:p>
    <w:p>
      <w:pPr>
        <w:spacing w:after="0" w:line="134" w:lineRule="exact"/>
        <w:rPr>
          <w:rFonts w:ascii="Times New Roman" w:cs="Times New Roman" w:eastAsia="Times New Roman" w:hAnsi="Times New Roman"/>
          <w:sz w:val="17"/>
          <w:szCs w:val="17"/>
          <w:color w:val="auto"/>
        </w:rPr>
      </w:pPr>
    </w:p>
    <w:p>
      <w:pPr>
        <w:ind w:firstLine="656"/>
        <w:spacing w:after="0" w:line="257"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Plan or any Election Form is or becomes or is deemed to be invalid, illegal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unenforceable in any jurisdiction, or as to any Person, or would disqualify this Plan or any Deferral under any law deemed applicable by the Committee, such provision shall be construed or deemed amended to conform to applicable laws, or if it cannot be so construed or deemed amended without, in the determination of the Committee, materially altering the intent of this Plan or such Deferral, such provision shall be stricken as to such jurisdiction, Person or Deferral, and the remainder of this Plan and such Election Form shall remain in full force and effect.</w:t>
      </w:r>
    </w:p>
    <w:p>
      <w:pPr>
        <w:spacing w:after="0" w:line="182" w:lineRule="exact"/>
        <w:rPr>
          <w:rFonts w:ascii="Times New Roman" w:cs="Times New Roman" w:eastAsia="Times New Roman" w:hAnsi="Times New Roman"/>
          <w:sz w:val="18"/>
          <w:szCs w:val="18"/>
          <w:color w:val="auto"/>
        </w:rPr>
      </w:pPr>
    </w:p>
    <w:p>
      <w:pPr>
        <w:ind w:right="100" w:firstLine="656"/>
        <w:spacing w:after="0" w:line="254"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Unfunded Status of this Plan</w:t>
      </w:r>
      <w:r>
        <w:rPr>
          <w:rFonts w:ascii="Times New Roman" w:cs="Times New Roman" w:eastAsia="Times New Roman" w:hAnsi="Times New Roman"/>
          <w:sz w:val="18"/>
          <w:szCs w:val="18"/>
          <w:color w:val="auto"/>
        </w:rPr>
        <w:t>. This Plan is unfunded. This Plan, together with the applicable Election Form,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at all times an unfunded and unsecured contractual obligation of the Company. Each Non-Employee Director and beneficiary will be an unsecured creditor of the Company with respect to all obligations owed to them under this Plan. No Non-Employee Director or beneficiary will have any interest in any fund or in any specific asset of the Company of any kind, nor shall any Non-Employee Director or beneficiary or any other Person have any right to receive any payment or distribution under this Plan except as, and to the extent, expressly provided in this Plan and the applicable Election Form. Any reserve or other asset that the Company may establish or acquire to assure itself of the funds to provide payments required under this Plan shall not serve in any way as security to any Non-Employee Director or beneficiary for the Company’s performance under this Plan and shall at all times be subject to the claims of creditors.</w:t>
      </w:r>
    </w:p>
    <w:p>
      <w:pPr>
        <w:spacing w:after="0" w:line="188"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 Interpretation</w:t>
      </w:r>
      <w:r>
        <w:rPr>
          <w:rFonts w:ascii="Times New Roman" w:cs="Times New Roman" w:eastAsia="Times New Roman" w:hAnsi="Times New Roman"/>
          <w:sz w:val="18"/>
          <w:szCs w:val="18"/>
          <w:color w:val="auto"/>
        </w:rPr>
        <w:t>. Headings are given to the Sections and subsections of this Plan solely as a convenience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facilitate reference. Such headings shall not be deemed in any way material or relevant to the construction or interpretation of this Plan or any provision thereof. Whenever the words “include,” “includes” or “including” are used in this Plan, they shall be deemed to be followed by the words “without limitation” (except to the extent the context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7" w:right="1039" w:bottom="1440" w:gutter="0" w:footer="0" w:header="0"/>
        </w:sectPr>
      </w:pPr>
    </w:p>
    <w:bookmarkStart w:id="139" w:name="page140"/>
    <w:bookmarkEnd w:id="139"/>
    <w:p>
      <w:pPr>
        <w:ind w:left="-20" w:right="20" w:firstLine="656"/>
        <w:spacing w:after="0" w:line="253" w:lineRule="auto"/>
        <w:tabs>
          <w:tab w:leader="none" w:pos="12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Subject to requirements of Delaware State law and except as expressly provided by statute,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individual who is or shall have been a member of the Committee, or a Person to whom authority was delegated in accordance with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shall be indemnified and held harmless by the Company against and from any loss, cost, liability or expense that may be imposed on or reasonably incurred by him or her in connection with or resulting from any claim, action, suit or proceeding to which he or she may be a party or in which he or she may be involved by reason of any action taken or failure to act under this Plan (but not as a participant in this Plan), and against and from any amounts paid by him or her in settlement thereof, with the Company’s approval, or paid by him or her in satisfaction of any judgment in any such claim, action, suit or proceeding against him or her, unless such loss, cost, liability or expense is a result of his or her own willful misconduct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he or she shall give the Company an opportunity, at its own expense, to handle and defend such claim, action, suit or proceeding before he or she undertakes to handle and defend it on his or her own behalf.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189" w:lineRule="exact"/>
        <w:rPr>
          <w:rFonts w:ascii="Times New Roman" w:cs="Times New Roman" w:eastAsia="Times New Roman" w:hAnsi="Times New Roman"/>
          <w:sz w:val="18"/>
          <w:szCs w:val="18"/>
          <w:color w:val="auto"/>
        </w:rPr>
      </w:pPr>
    </w:p>
    <w:p>
      <w:pPr>
        <w:ind w:left="-20" w:firstLine="656"/>
        <w:spacing w:after="0" w:line="255" w:lineRule="auto"/>
        <w:tabs>
          <w:tab w:leader="none" w:pos="12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 of the Code</w:t>
      </w:r>
      <w:r>
        <w:rPr>
          <w:rFonts w:ascii="Times New Roman" w:cs="Times New Roman" w:eastAsia="Times New Roman" w:hAnsi="Times New Roman"/>
          <w:sz w:val="18"/>
          <w:szCs w:val="18"/>
          <w:color w:val="auto"/>
        </w:rPr>
        <w:t>. The terms and conditions of this Plan are intended to comply (and shall be interpreted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Section 409A. For purposes of this Plan, “Separation from Service” shall mean a “separation from service,” as defined in Section 409A. No action shall be taken under this Plan that will cause any Share Account to fail to comply in any respect with Section 409A without the written consent of the Non-Employee Director. Any adjustments to Shares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above shall be made (i) in compliance with the requirements of Section 409A and (ii) in such a manner as to ensure that after such adjustment to the Shares, this Plan and the Deferrals still comply with the requirements of Section 409A. In no event may any Non-Employee Director, directly or indirectly, designate the calendar year of any payment to be made pursuant to this Plan. Each payment to be made pursuant to this Plan is designated as a separate payment for purposes of Section 409A.</w:t>
      </w:r>
    </w:p>
    <w:p>
      <w:pPr>
        <w:spacing w:after="0" w:line="184"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of this Plan. </w:t>
      </w:r>
      <w:r>
        <w:rPr>
          <w:rFonts w:ascii="Times New Roman" w:cs="Times New Roman" w:eastAsia="Times New Roman" w:hAnsi="Times New Roman"/>
          <w:sz w:val="18"/>
          <w:szCs w:val="18"/>
          <w:color w:val="auto"/>
        </w:rPr>
        <w:t>This Plan shall be effective as of the date on which this Plan is adopted by the Committee.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60"/>
        <w:spacing w:after="0"/>
        <w:tabs>
          <w:tab w:leader="none" w:pos="4880" w:val="left"/>
          <w:tab w:leader="none" w:pos="5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875" w:right="10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color w:val="auto"/>
                <w:w w:val="99"/>
              </w:rPr>
              <w:t>List of Subsidiaries</w:t>
            </w:r>
          </w:p>
        </w:tc>
      </w:tr>
      <w:tr>
        <w:trPr>
          <w:trHeight w:val="234"/>
        </w:trPr>
        <w:tc>
          <w:tcPr>
            <w:tcW w:w="20" w:type="dxa"/>
            <w:vAlign w:val="bottom"/>
          </w:tcPr>
          <w:p>
            <w:pPr>
              <w:spacing w:after="0"/>
              <w:rPr>
                <w:sz w:val="20"/>
                <w:szCs w:val="20"/>
                <w:color w:val="auto"/>
              </w:rPr>
            </w:pPr>
          </w:p>
        </w:tc>
        <w:tc>
          <w:tcPr>
            <w:tcW w:w="99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(All subsidiaries are 100% owned unless otherwise noted)</w:t>
            </w:r>
          </w:p>
        </w:tc>
      </w:tr>
      <w:tr>
        <w:trPr>
          <w:trHeight w:val="445"/>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of Formation</w:t>
            </w:r>
          </w:p>
        </w:tc>
      </w:tr>
      <w:tr>
        <w:trPr>
          <w:trHeight w:val="191"/>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Westrock Beverage Solutions, LLC</w:t>
            </w: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6"/>
                <w:szCs w:val="16"/>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International Limited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Roasting,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Beverage Company,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&amp; D. Coffee, Inc. (d/b/a Westrock Coffee)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Singapore Pte.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Malaysia Sdn. Bhd.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International,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Tembo Coffee Company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 Trading Company SA</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Limited (85% ownership)</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Asia Sdn. Bhd. (85%)</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Europe GmbH (85%)</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Peru SRL (85%)</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 Merger Sub II,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Kohana Coffee,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Project Services,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Hanks Coffee Company LLC (30%)</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763"/>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333-267153) and Form S-3 (No. 333-274827) of Westrock Coffee Company of our report dated March 15, 2024 relating to the financial statements and financial statement schedule,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2023,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693"/>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2023,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78" w:lineRule="exact"/>
        <w:rPr>
          <w:sz w:val="20"/>
          <w:szCs w:val="20"/>
          <w:color w:val="auto"/>
        </w:rPr>
      </w:pPr>
    </w:p>
    <w:p>
      <w:pPr>
        <w:ind w:left="660" w:right="600" w:hanging="652"/>
        <w:spacing w:after="0" w:line="246" w:lineRule="auto"/>
        <w:tabs>
          <w:tab w:leader="none" w:pos="6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This Policy sets forth the terms on which the Company may recover erroneously awarded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to its executive officers. This Policy is intended to comply with Section 10D of the Exchange Act, Rule 10D-1 promulgated thereunder and Nasdaq Listing Rule 5608.</w:t>
      </w:r>
    </w:p>
    <w:p>
      <w:pPr>
        <w:spacing w:after="0" w:line="167" w:lineRule="exact"/>
        <w:rPr>
          <w:rFonts w:ascii="Times New Roman" w:cs="Times New Roman" w:eastAsia="Times New Roman" w:hAnsi="Times New Roman"/>
          <w:sz w:val="22"/>
          <w:szCs w:val="22"/>
          <w:b w:val="1"/>
          <w:bCs w:val="1"/>
          <w:color w:val="auto"/>
        </w:rPr>
      </w:pPr>
    </w:p>
    <w:p>
      <w:pPr>
        <w:ind w:left="660" w:right="160" w:hanging="652"/>
        <w:spacing w:after="0" w:line="262" w:lineRule="auto"/>
        <w:tabs>
          <w:tab w:leader="none" w:pos="6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Unless the context otherwise requires, the following terms used in this Policy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meanings:</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the Compensation Committee of the Board.</w:t>
      </w:r>
    </w:p>
    <w:p>
      <w:pPr>
        <w:spacing w:after="0" w:line="206" w:lineRule="exact"/>
        <w:rPr>
          <w:rFonts w:ascii="Times New Roman" w:cs="Times New Roman" w:eastAsia="Times New Roman" w:hAnsi="Times New Roman"/>
          <w:sz w:val="22"/>
          <w:szCs w:val="22"/>
          <w:color w:val="auto"/>
        </w:rPr>
      </w:pPr>
    </w:p>
    <w:p>
      <w:pPr>
        <w:ind w:left="1300" w:right="720" w:hanging="644"/>
        <w:spacing w:after="0" w:line="262"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Westrock Coffee Company, together with each of its direct and indirect subsidiaries.</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w:t>
      </w:r>
      <w:r>
        <w:rPr>
          <w:rFonts w:ascii="Times New Roman" w:cs="Times New Roman" w:eastAsia="Times New Roman" w:hAnsi="Times New Roman"/>
          <w:sz w:val="22"/>
          <w:szCs w:val="22"/>
          <w:color w:val="auto"/>
        </w:rPr>
        <w:t>” means the Nasdaq Stock Market.</w:t>
      </w:r>
    </w:p>
    <w:p>
      <w:pPr>
        <w:spacing w:after="0" w:line="206" w:lineRule="exact"/>
        <w:rPr>
          <w:rFonts w:ascii="Times New Roman" w:cs="Times New Roman" w:eastAsia="Times New Roman" w:hAnsi="Times New Roman"/>
          <w:sz w:val="22"/>
          <w:szCs w:val="22"/>
          <w:color w:val="auto"/>
        </w:rPr>
      </w:pPr>
    </w:p>
    <w:p>
      <w:pPr>
        <w:ind w:left="1300" w:right="220" w:hanging="644"/>
        <w:spacing w:after="0" w:line="262"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from time to time, and any successor thereto.</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erroneously awarded compensation</w:t>
      </w:r>
      <w:r>
        <w:rPr>
          <w:rFonts w:ascii="Times New Roman" w:cs="Times New Roman" w:eastAsia="Times New Roman" w:hAnsi="Times New Roman"/>
          <w:sz w:val="22"/>
          <w:szCs w:val="22"/>
          <w:color w:val="auto"/>
        </w:rPr>
        <w:t>” has the meaning set forth in Section 3(c).</w:t>
      </w:r>
    </w:p>
    <w:p>
      <w:pPr>
        <w:spacing w:after="0" w:line="206" w:lineRule="exact"/>
        <w:rPr>
          <w:rFonts w:ascii="Times New Roman" w:cs="Times New Roman" w:eastAsia="Times New Roman" w:hAnsi="Times New Roman"/>
          <w:sz w:val="22"/>
          <w:szCs w:val="22"/>
          <w:color w:val="auto"/>
        </w:rPr>
      </w:pPr>
    </w:p>
    <w:p>
      <w:pPr>
        <w:ind w:left="1300" w:right="280" w:hanging="644"/>
        <w:spacing w:after="0" w:line="241"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means each individual who is or was designated as an “officer” of the Company in accordance with Exchange Act Rule 16a-1(f). Identification of an executive officer for purposes of this Policy would include at a minimum executive officers identified by the Company pursuant to Item 401(b) of Regulation S-K.</w:t>
      </w:r>
    </w:p>
    <w:p>
      <w:pPr>
        <w:spacing w:after="0" w:line="171" w:lineRule="exact"/>
        <w:rPr>
          <w:rFonts w:ascii="Times New Roman" w:cs="Times New Roman" w:eastAsia="Times New Roman" w:hAnsi="Times New Roman"/>
          <w:sz w:val="22"/>
          <w:szCs w:val="22"/>
          <w:color w:val="auto"/>
        </w:rPr>
      </w:pPr>
    </w:p>
    <w:p>
      <w:pPr>
        <w:ind w:left="1300" w:right="100" w:hanging="644"/>
        <w:spacing w:after="0" w:line="238"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reporting measures</w:t>
      </w:r>
      <w:r>
        <w:rPr>
          <w:rFonts w:ascii="Times New Roman" w:cs="Times New Roman" w:eastAsia="Times New Roman" w:hAnsi="Times New Roman"/>
          <w:sz w:val="22"/>
          <w:szCs w:val="22"/>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176" w:lineRule="exact"/>
        <w:rPr>
          <w:rFonts w:ascii="Times New Roman" w:cs="Times New Roman" w:eastAsia="Times New Roman" w:hAnsi="Times New Roman"/>
          <w:sz w:val="22"/>
          <w:szCs w:val="22"/>
          <w:color w:val="auto"/>
        </w:rPr>
      </w:pPr>
    </w:p>
    <w:p>
      <w:pPr>
        <w:ind w:left="1300" w:right="100" w:hanging="644"/>
        <w:spacing w:after="0" w:line="262"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49" w:lineRule="exact"/>
        <w:rPr>
          <w:rFonts w:ascii="Times New Roman" w:cs="Times New Roman" w:eastAsia="Times New Roman" w:hAnsi="Times New Roman"/>
          <w:sz w:val="22"/>
          <w:szCs w:val="22"/>
          <w:color w:val="auto"/>
        </w:rPr>
      </w:pPr>
    </w:p>
    <w:p>
      <w:pPr>
        <w:ind w:left="1300" w:right="200" w:hanging="644"/>
        <w:spacing w:after="0" w:line="262"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means this Westrock Coffee Company Compensation Recovery Policy, as in effect from time to time.</w:t>
      </w:r>
    </w:p>
    <w:p>
      <w:pPr>
        <w:spacing w:after="0" w:line="149" w:lineRule="exact"/>
        <w:rPr>
          <w:rFonts w:ascii="Times New Roman" w:cs="Times New Roman" w:eastAsia="Times New Roman" w:hAnsi="Times New Roman"/>
          <w:sz w:val="22"/>
          <w:szCs w:val="22"/>
          <w:color w:val="auto"/>
        </w:rPr>
      </w:pPr>
    </w:p>
    <w:p>
      <w:pPr>
        <w:ind w:left="1300" w:right="260" w:hanging="644"/>
        <w:spacing w:after="0" w:line="241"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has the following meaning: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780415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47" w:name="page148"/>
    <w:bookmarkEnd w:id="147"/>
    <w:p>
      <w:pPr>
        <w:ind w:left="1292" w:hanging="644"/>
        <w:spacing w:after="0"/>
        <w:tabs>
          <w:tab w:leader="none" w:pos="1292"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06" w:lineRule="exact"/>
        <w:rPr>
          <w:rFonts w:ascii="Times New Roman" w:cs="Times New Roman" w:eastAsia="Times New Roman" w:hAnsi="Times New Roman"/>
          <w:sz w:val="22"/>
          <w:szCs w:val="22"/>
          <w:color w:val="auto"/>
        </w:rPr>
      </w:pPr>
    </w:p>
    <w:p>
      <w:pPr>
        <w:ind w:left="652" w:right="100" w:hanging="652"/>
        <w:spacing w:after="0" w:line="236" w:lineRule="auto"/>
        <w:tabs>
          <w:tab w:leader="none" w:pos="652"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Erroneously Awarded Compensation</w:t>
      </w:r>
      <w:r>
        <w:rPr>
          <w:rFonts w:ascii="Times New Roman" w:cs="Times New Roman" w:eastAsia="Times New Roman" w:hAnsi="Times New Roman"/>
          <w:sz w:val="22"/>
          <w:szCs w:val="22"/>
          <w:color w:val="auto"/>
        </w:rPr>
        <w:t>. The Company shall recover reasonably promptly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amount of erroneously awarded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5" w:lineRule="exact"/>
        <w:rPr>
          <w:rFonts w:ascii="Times New Roman" w:cs="Times New Roman" w:eastAsia="Times New Roman" w:hAnsi="Times New Roman"/>
          <w:sz w:val="22"/>
          <w:szCs w:val="22"/>
          <w:b w:val="1"/>
          <w:bCs w:val="1"/>
          <w:color w:val="auto"/>
        </w:rPr>
      </w:pPr>
    </w:p>
    <w:p>
      <w:pPr>
        <w:ind w:left="1292" w:hanging="644"/>
        <w:spacing w:after="0"/>
        <w:tabs>
          <w:tab w:leader="none" w:pos="129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Scope of Policy</w:t>
      </w:r>
      <w:r>
        <w:rPr>
          <w:rFonts w:ascii="Times New Roman" w:cs="Times New Roman" w:eastAsia="Times New Roman" w:hAnsi="Times New Roman"/>
          <w:sz w:val="21"/>
          <w:szCs w:val="21"/>
          <w:color w:val="auto"/>
        </w:rPr>
        <w:t>. This Policy shall apply to all incentive-based compensation received by a person:</w:t>
      </w:r>
    </w:p>
    <w:p>
      <w:pPr>
        <w:spacing w:after="0" w:line="221" w:lineRule="exact"/>
        <w:rPr>
          <w:rFonts w:ascii="Times New Roman" w:cs="Times New Roman" w:eastAsia="Times New Roman" w:hAnsi="Times New Roman"/>
          <w:sz w:val="21"/>
          <w:szCs w:val="21"/>
          <w:color w:val="auto"/>
        </w:rPr>
      </w:pPr>
    </w:p>
    <w:p>
      <w:pPr>
        <w:ind w:left="1952" w:hanging="656"/>
        <w:spacing w:after="0"/>
        <w:tabs>
          <w:tab w:leader="none" w:pos="195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beginning service as an executive officer;</w:t>
      </w:r>
    </w:p>
    <w:p>
      <w:pPr>
        <w:spacing w:after="0" w:line="206" w:lineRule="exact"/>
        <w:rPr>
          <w:rFonts w:ascii="Times New Roman" w:cs="Times New Roman" w:eastAsia="Times New Roman" w:hAnsi="Times New Roman"/>
          <w:sz w:val="22"/>
          <w:szCs w:val="22"/>
          <w:color w:val="auto"/>
        </w:rPr>
      </w:pPr>
    </w:p>
    <w:p>
      <w:pPr>
        <w:ind w:left="1952" w:right="540" w:hanging="656"/>
        <w:spacing w:after="0" w:line="258" w:lineRule="auto"/>
        <w:tabs>
          <w:tab w:leader="none" w:pos="195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an executive officer at any time during the performance period for that incentive-based compensation;</w:t>
      </w:r>
    </w:p>
    <w:p>
      <w:pPr>
        <w:spacing w:after="0" w:line="158" w:lineRule="exact"/>
        <w:rPr>
          <w:rFonts w:ascii="Times New Roman" w:cs="Times New Roman" w:eastAsia="Times New Roman" w:hAnsi="Times New Roman"/>
          <w:sz w:val="22"/>
          <w:szCs w:val="22"/>
          <w:color w:val="auto"/>
        </w:rPr>
      </w:pPr>
    </w:p>
    <w:p>
      <w:pPr>
        <w:ind w:left="1952" w:right="340" w:hanging="656"/>
        <w:spacing w:after="0" w:line="258" w:lineRule="auto"/>
        <w:tabs>
          <w:tab w:leader="none" w:pos="195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Company has a class of securities listed on a national securities exchange or a national securities association; and</w:t>
      </w:r>
    </w:p>
    <w:p>
      <w:pPr>
        <w:spacing w:after="0" w:line="158" w:lineRule="exact"/>
        <w:rPr>
          <w:rFonts w:ascii="Times New Roman" w:cs="Times New Roman" w:eastAsia="Times New Roman" w:hAnsi="Times New Roman"/>
          <w:sz w:val="22"/>
          <w:szCs w:val="22"/>
          <w:color w:val="auto"/>
        </w:rPr>
      </w:pPr>
    </w:p>
    <w:p>
      <w:pPr>
        <w:ind w:left="1952" w:hanging="656"/>
        <w:spacing w:after="0" w:line="246" w:lineRule="auto"/>
        <w:tabs>
          <w:tab w:leader="none" w:pos="1952"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three completed fiscal years immediately preceding the date on which the Company is required to prepare an accounting restatement as described in the first paragraph of this Section 3. In addition to these last three completed fiscal years, this Policy shall apply to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 The Company’s obligation to recover erroneously awarded compensation is not dependent on if or when the restated financial statements are filed.</w:t>
      </w:r>
    </w:p>
    <w:p>
      <w:pPr>
        <w:spacing w:after="0" w:line="171" w:lineRule="exact"/>
        <w:rPr>
          <w:rFonts w:ascii="Times New Roman" w:cs="Times New Roman" w:eastAsia="Times New Roman" w:hAnsi="Times New Roman"/>
          <w:sz w:val="21"/>
          <w:szCs w:val="21"/>
          <w:color w:val="auto"/>
        </w:rPr>
      </w:pPr>
    </w:p>
    <w:p>
      <w:pPr>
        <w:ind w:left="1292" w:hanging="644"/>
        <w:spacing w:after="0" w:line="286" w:lineRule="auto"/>
        <w:tabs>
          <w:tab w:leader="none" w:pos="129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Date of Accounting Restatement</w:t>
      </w:r>
      <w:r>
        <w:rPr>
          <w:rFonts w:ascii="Times New Roman" w:cs="Times New Roman" w:eastAsia="Times New Roman" w:hAnsi="Times New Roman"/>
          <w:sz w:val="21"/>
          <w:szCs w:val="21"/>
          <w:color w:val="auto"/>
        </w:rPr>
        <w:t>. The date on which the Company is required to prepare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accounting restatement as described in the first paragraph of this Section 3 is the earlier to occur of:</w:t>
      </w:r>
    </w:p>
    <w:p>
      <w:pPr>
        <w:spacing w:after="0" w:line="130" w:lineRule="exact"/>
        <w:rPr>
          <w:rFonts w:ascii="Times New Roman" w:cs="Times New Roman" w:eastAsia="Times New Roman" w:hAnsi="Times New Roman"/>
          <w:sz w:val="21"/>
          <w:szCs w:val="21"/>
          <w:color w:val="auto"/>
        </w:rPr>
      </w:pPr>
    </w:p>
    <w:p>
      <w:pPr>
        <w:ind w:left="1952" w:right="80" w:hanging="656"/>
        <w:spacing w:after="0" w:line="239" w:lineRule="auto"/>
        <w:tabs>
          <w:tab w:leader="none" w:pos="195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Board, a committee thereof or the Company’s officer(s) authorized to take such action if Board action is not required, concludes, or reasonably should have concluded, that the Company is required to prepare an accounting restatement as described in the first paragraph of this Section 3; or</w:t>
      </w:r>
    </w:p>
    <w:p>
      <w:pPr>
        <w:spacing w:after="0" w:line="180" w:lineRule="exact"/>
        <w:rPr>
          <w:rFonts w:ascii="Times New Roman" w:cs="Times New Roman" w:eastAsia="Times New Roman" w:hAnsi="Times New Roman"/>
          <w:sz w:val="22"/>
          <w:szCs w:val="22"/>
          <w:color w:val="auto"/>
        </w:rPr>
      </w:pPr>
    </w:p>
    <w:p>
      <w:pPr>
        <w:ind w:left="1952" w:right="160" w:hanging="656"/>
        <w:spacing w:after="0" w:line="258" w:lineRule="auto"/>
        <w:tabs>
          <w:tab w:leader="none" w:pos="1952"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an accounting restatement as described in the first paragraph of this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08" w:right="999" w:bottom="1440" w:gutter="0" w:footer="0" w:header="0"/>
        </w:sectPr>
      </w:pPr>
    </w:p>
    <w:bookmarkStart w:id="148" w:name="page149"/>
    <w:bookmarkEnd w:id="148"/>
    <w:p>
      <w:pPr>
        <w:ind w:left="840" w:hanging="644"/>
        <w:spacing w:after="0" w:line="234" w:lineRule="auto"/>
        <w:tabs>
          <w:tab w:leader="none" w:pos="8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Amount Subject to Recovery</w:t>
      </w:r>
      <w:r>
        <w:rPr>
          <w:rFonts w:ascii="Times New Roman" w:cs="Times New Roman" w:eastAsia="Times New Roman" w:hAnsi="Times New Roman"/>
          <w:sz w:val="22"/>
          <w:szCs w:val="22"/>
          <w:color w:val="auto"/>
        </w:rPr>
        <w:t>. The amount of incentive-based compensation subject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w:t>
      </w:r>
      <w:r>
        <w:rPr>
          <w:rFonts w:ascii="Times New Roman" w:cs="Times New Roman" w:eastAsia="Times New Roman" w:hAnsi="Times New Roman"/>
          <w:sz w:val="22"/>
          <w:szCs w:val="22"/>
          <w:b w:val="1"/>
          <w:bCs w:val="1"/>
          <w:color w:val="auto"/>
        </w:rPr>
        <w:t>erroneously awarded compensation</w:t>
      </w:r>
      <w:r>
        <w:rPr>
          <w:rFonts w:ascii="Times New Roman" w:cs="Times New Roman" w:eastAsia="Times New Roman" w:hAnsi="Times New Roman"/>
          <w:sz w:val="22"/>
          <w:szCs w:val="22"/>
          <w:color w:val="auto"/>
        </w:rPr>
        <w:t>”) is the amount of incentive-based compensation received that exceeds the amount of incentive-based 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the Exchange.</w:t>
      </w:r>
    </w:p>
    <w:p>
      <w:pPr>
        <w:spacing w:after="0" w:line="176" w:lineRule="exact"/>
        <w:rPr>
          <w:rFonts w:ascii="Times New Roman" w:cs="Times New Roman" w:eastAsia="Times New Roman" w:hAnsi="Times New Roman"/>
          <w:sz w:val="22"/>
          <w:szCs w:val="22"/>
          <w:color w:val="auto"/>
        </w:rPr>
      </w:pPr>
    </w:p>
    <w:p>
      <w:pPr>
        <w:ind w:left="840" w:right="20" w:hanging="644"/>
        <w:spacing w:after="0" w:line="241" w:lineRule="auto"/>
        <w:tabs>
          <w:tab w:leader="none" w:pos="8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Impracticability of Recovery</w:t>
      </w:r>
      <w:r>
        <w:rPr>
          <w:rFonts w:ascii="Times New Roman" w:cs="Times New Roman" w:eastAsia="Times New Roman" w:hAnsi="Times New Roman"/>
          <w:sz w:val="22"/>
          <w:szCs w:val="22"/>
          <w:color w:val="auto"/>
        </w:rPr>
        <w:t>. The Company shall recover erroneously awarded compensation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with this Policy except to the extent that the conditions of clauses (i), (ii) or (iii) below are met, and the Committee (or in the absence thereof, a majority of the independent directors serving on the Board) has made a determination that recovery would be impracticable.</w:t>
      </w:r>
    </w:p>
    <w:p>
      <w:pPr>
        <w:spacing w:after="0" w:line="175" w:lineRule="exact"/>
        <w:rPr>
          <w:rFonts w:ascii="Times New Roman" w:cs="Times New Roman" w:eastAsia="Times New Roman" w:hAnsi="Times New Roman"/>
          <w:sz w:val="22"/>
          <w:szCs w:val="22"/>
          <w:color w:val="auto"/>
        </w:rPr>
      </w:pPr>
    </w:p>
    <w:p>
      <w:pPr>
        <w:ind w:left="1500" w:right="140" w:hanging="656"/>
        <w:spacing w:after="0" w:line="236" w:lineRule="auto"/>
        <w:tabs>
          <w:tab w:leader="none" w:pos="15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w:t>
      </w:r>
    </w:p>
    <w:p>
      <w:pPr>
        <w:spacing w:after="0" w:line="181" w:lineRule="exact"/>
        <w:rPr>
          <w:rFonts w:ascii="Times New Roman" w:cs="Times New Roman" w:eastAsia="Times New Roman" w:hAnsi="Times New Roman"/>
          <w:sz w:val="22"/>
          <w:szCs w:val="22"/>
          <w:color w:val="auto"/>
        </w:rPr>
      </w:pPr>
    </w:p>
    <w:p>
      <w:pPr>
        <w:ind w:left="1500" w:right="40" w:hanging="656"/>
        <w:spacing w:after="0" w:line="251" w:lineRule="auto"/>
        <w:tabs>
          <w:tab w:leader="none" w:pos="15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168" w:lineRule="exact"/>
        <w:rPr>
          <w:rFonts w:ascii="Times New Roman" w:cs="Times New Roman" w:eastAsia="Times New Roman" w:hAnsi="Times New Roman"/>
          <w:sz w:val="21"/>
          <w:szCs w:val="21"/>
          <w:color w:val="auto"/>
        </w:rPr>
      </w:pPr>
    </w:p>
    <w:p>
      <w:pPr>
        <w:ind w:left="1500" w:right="520" w:hanging="656"/>
        <w:spacing w:after="0" w:line="261" w:lineRule="auto"/>
        <w:tabs>
          <w:tab w:leader="none" w:pos="150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53" w:lineRule="exact"/>
        <w:rPr>
          <w:rFonts w:ascii="Times New Roman" w:cs="Times New Roman" w:eastAsia="Times New Roman" w:hAnsi="Times New Roman"/>
          <w:sz w:val="21"/>
          <w:szCs w:val="21"/>
          <w:color w:val="auto"/>
        </w:rPr>
      </w:pPr>
    </w:p>
    <w:p>
      <w:pPr>
        <w:ind w:left="840" w:right="660" w:hanging="644"/>
        <w:spacing w:after="0" w:line="262" w:lineRule="auto"/>
        <w:tabs>
          <w:tab w:leader="none" w:pos="8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Prohibition on Indemnification</w:t>
      </w:r>
      <w:r>
        <w:rPr>
          <w:rFonts w:ascii="Times New Roman" w:cs="Times New Roman" w:eastAsia="Times New Roman" w:hAnsi="Times New Roman"/>
          <w:sz w:val="22"/>
          <w:szCs w:val="22"/>
          <w:color w:val="auto"/>
        </w:rPr>
        <w:t>. The Company shall not indemnify any current or former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 against the loss of erroneously awarded compensation.</w:t>
      </w:r>
    </w:p>
    <w:p>
      <w:pPr>
        <w:spacing w:after="0" w:line="149" w:lineRule="exact"/>
        <w:rPr>
          <w:rFonts w:ascii="Times New Roman" w:cs="Times New Roman" w:eastAsia="Times New Roman" w:hAnsi="Times New Roman"/>
          <w:sz w:val="22"/>
          <w:szCs w:val="22"/>
          <w:color w:val="auto"/>
        </w:rPr>
      </w:pPr>
    </w:p>
    <w:p>
      <w:pPr>
        <w:ind w:left="840" w:right="200" w:hanging="644"/>
        <w:spacing w:after="0" w:line="241" w:lineRule="auto"/>
        <w:tabs>
          <w:tab w:leader="none" w:pos="8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Recovery</w:t>
      </w:r>
      <w:r>
        <w:rPr>
          <w:rFonts w:ascii="Times New Roman" w:cs="Times New Roman" w:eastAsia="Times New Roman" w:hAnsi="Times New Roman"/>
          <w:sz w:val="22"/>
          <w:szCs w:val="22"/>
          <w:color w:val="auto"/>
        </w:rPr>
        <w:t>. The Committee shall determine, in its sole and exclusive discretion,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method or methods for recovering any erroneously awarded compensation, which methods need not be the same, or applied in the same manner, to each executive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method shall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00"/>
          </w:cols>
          <w:pgMar w:left="1440" w:top="108" w:right="1059" w:bottom="1440" w:gutter="0" w:footer="0" w:header="0"/>
        </w:sectPr>
      </w:pPr>
    </w:p>
    <w:bookmarkStart w:id="149" w:name="page150"/>
    <w:bookmarkEnd w:id="149"/>
    <w:p>
      <w:pPr>
        <w:ind w:left="1292"/>
        <w:spacing w:after="0"/>
        <w:rPr>
          <w:sz w:val="20"/>
          <w:szCs w:val="20"/>
          <w:color w:val="auto"/>
        </w:rPr>
      </w:pPr>
      <w:r>
        <w:rPr>
          <w:rFonts w:ascii="Times New Roman" w:cs="Times New Roman" w:eastAsia="Times New Roman" w:hAnsi="Times New Roman"/>
          <w:sz w:val="22"/>
          <w:szCs w:val="22"/>
          <w:color w:val="auto"/>
        </w:rPr>
        <w:t>for reasonably prompt recovery and otherwise comply with any requirements of the Exchange.</w:t>
      </w:r>
    </w:p>
    <w:p>
      <w:pPr>
        <w:spacing w:after="0" w:line="203" w:lineRule="exact"/>
        <w:rPr>
          <w:sz w:val="20"/>
          <w:szCs w:val="20"/>
          <w:color w:val="auto"/>
        </w:rPr>
      </w:pPr>
    </w:p>
    <w:p>
      <w:pPr>
        <w:ind w:left="652" w:right="40" w:hanging="652"/>
        <w:spacing w:after="0" w:line="246" w:lineRule="auto"/>
        <w:tabs>
          <w:tab w:leader="none" w:pos="652"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Disclosure</w:t>
      </w:r>
      <w:r>
        <w:rPr>
          <w:rFonts w:ascii="Times New Roman" w:cs="Times New Roman" w:eastAsia="Times New Roman" w:hAnsi="Times New Roman"/>
          <w:sz w:val="22"/>
          <w:szCs w:val="22"/>
          <w:color w:val="auto"/>
        </w:rPr>
        <w:t>. The Company shall file all disclosures with respect to this Policy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the Federal securities laws, including the disclosure required by the applicable rules of the SEC.</w:t>
      </w:r>
    </w:p>
    <w:p>
      <w:pPr>
        <w:spacing w:after="0" w:line="167"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1292" w:hanging="644"/>
        <w:spacing w:after="0"/>
        <w:tabs>
          <w:tab w:leader="none" w:pos="12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This Policy shall take effect on October 2, 2023.</w:t>
      </w:r>
    </w:p>
    <w:p>
      <w:pPr>
        <w:spacing w:after="0" w:line="206" w:lineRule="exact"/>
        <w:rPr>
          <w:rFonts w:ascii="Times New Roman" w:cs="Times New Roman" w:eastAsia="Times New Roman" w:hAnsi="Times New Roman"/>
          <w:sz w:val="22"/>
          <w:szCs w:val="22"/>
          <w:color w:val="auto"/>
        </w:rPr>
      </w:pPr>
    </w:p>
    <w:p>
      <w:pPr>
        <w:ind w:left="1292" w:hanging="644"/>
        <w:spacing w:after="0" w:line="235" w:lineRule="auto"/>
        <w:tabs>
          <w:tab w:leader="none" w:pos="12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 of Committee</w:t>
      </w:r>
      <w:r>
        <w:rPr>
          <w:rFonts w:ascii="Times New Roman" w:cs="Times New Roman" w:eastAsia="Times New Roman" w:hAnsi="Times New Roman"/>
          <w:sz w:val="22"/>
          <w:szCs w:val="22"/>
          <w:color w:val="auto"/>
        </w:rPr>
        <w:t>. This Policy shall be administered and interpreted by the Committee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Nasdaq Listing Rule 5608, Section 10D of the Exchange Act and other applicable Federal securities laws. Except as limited by law, and subject to the provisions of this Policy, the Committee shall have full power, authority and sole and exclusive discretion to construe, interpret and administer this Policy. In addition, the Committee shall have full and exclusive power to adopt such rules, regulations and guidelines for carrying out this Policy and to amend this Policy, in each case, as it may deem necessary or proper. Subject to Section 3(d), this Policy also may be administered by the Board, and references in this Policy to the “Committee” shall be understood to refer to the full Board.</w:t>
      </w:r>
    </w:p>
    <w:p>
      <w:pPr>
        <w:spacing w:after="0" w:line="173" w:lineRule="exact"/>
        <w:rPr>
          <w:rFonts w:ascii="Times New Roman" w:cs="Times New Roman" w:eastAsia="Times New Roman" w:hAnsi="Times New Roman"/>
          <w:sz w:val="22"/>
          <w:szCs w:val="22"/>
          <w:color w:val="auto"/>
        </w:rPr>
      </w:pPr>
    </w:p>
    <w:p>
      <w:pPr>
        <w:ind w:left="1292" w:right="220" w:hanging="644"/>
        <w:spacing w:after="0" w:line="236" w:lineRule="auto"/>
        <w:tabs>
          <w:tab w:leader="none" w:pos="12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Decisions Binding</w:t>
      </w:r>
      <w:r>
        <w:rPr>
          <w:rFonts w:ascii="Times New Roman" w:cs="Times New Roman" w:eastAsia="Times New Roman" w:hAnsi="Times New Roman"/>
          <w:sz w:val="22"/>
          <w:szCs w:val="22"/>
          <w:color w:val="auto"/>
        </w:rPr>
        <w:t>. In making any determination or in taking or not taking any action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the Committee may obtain and rely on the advice of experts, including employees of and professional advisors to the Company. Any action taken by, or inaction of, the Committee or its delegates relating to or pursuant to this Policy shall be within the absolute discretion of the Committee or its delegates. Such action or inaction of the Committee or its delegates shall be conclusive and binding on the Company and any current or former executive officer affected by such action or inaction.</w:t>
      </w:r>
    </w:p>
    <w:p>
      <w:pPr>
        <w:spacing w:after="0" w:line="175" w:lineRule="exact"/>
        <w:rPr>
          <w:rFonts w:ascii="Times New Roman" w:cs="Times New Roman" w:eastAsia="Times New Roman" w:hAnsi="Times New Roman"/>
          <w:sz w:val="22"/>
          <w:szCs w:val="22"/>
          <w:color w:val="auto"/>
        </w:rPr>
      </w:pPr>
    </w:p>
    <w:p>
      <w:pPr>
        <w:ind w:left="1292" w:right="120" w:hanging="644"/>
        <w:spacing w:after="0" w:line="238" w:lineRule="auto"/>
        <w:tabs>
          <w:tab w:leader="none" w:pos="12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Policy Not Exclusive</w:t>
      </w:r>
      <w:r>
        <w:rPr>
          <w:rFonts w:ascii="Times New Roman" w:cs="Times New Roman" w:eastAsia="Times New Roman" w:hAnsi="Times New Roman"/>
          <w:sz w:val="22"/>
          <w:szCs w:val="22"/>
          <w:color w:val="auto"/>
        </w:rPr>
        <w:t>. Any right of recovery under this Policy is in addition to, and not in lieu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other remedies or rights of recovery, recoupment, forfeiture or offset that may be available to the Company pursuant to the terms of any other applicable Company policy, compensation or benefit plan, agreement or arrangement or other agreement or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there shall be no duplication of recovery of the same compensation.</w:t>
      </w:r>
    </w:p>
    <w:p>
      <w:pPr>
        <w:spacing w:after="0" w:line="176" w:lineRule="exact"/>
        <w:rPr>
          <w:rFonts w:ascii="Times New Roman" w:cs="Times New Roman" w:eastAsia="Times New Roman" w:hAnsi="Times New Roman"/>
          <w:sz w:val="22"/>
          <w:szCs w:val="22"/>
          <w:color w:val="auto"/>
        </w:rPr>
      </w:pPr>
    </w:p>
    <w:p>
      <w:pPr>
        <w:ind w:left="1292" w:right="40" w:hanging="644"/>
        <w:spacing w:after="0" w:line="241" w:lineRule="auto"/>
        <w:tabs>
          <w:tab w:leader="none" w:pos="12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As a condition to receiving grants or award of incentive-based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executive officer shall be required to sign and return to the Company the Acknowledgement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pursuant to which such executive officer will agree to be bound by the terms and comply with this Policy.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12"/>
        <w:spacing w:after="0"/>
        <w:tabs>
          <w:tab w:leader="none" w:pos="4231" w:val="left"/>
          <w:tab w:leader="none" w:pos="4891" w:val="left"/>
          <w:tab w:leader="none" w:pos="5531" w:val="left"/>
          <w:tab w:leader="none" w:pos="6171"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11" w:right="10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1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Westrock Coffee Company Compensation Recovery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but not otherwise defined in this Acknowledgement Form (this “</w:t>
      </w:r>
      <w:r>
        <w:rPr>
          <w:rFonts w:ascii="Times New Roman" w:cs="Times New Roman" w:eastAsia="Times New Roman" w:hAnsi="Times New Roman"/>
          <w:sz w:val="22"/>
          <w:szCs w:val="22"/>
          <w:b w:val="1"/>
          <w:bCs w:val="1"/>
          <w:i w:val="1"/>
          <w:i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18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permitted by, the Policy.</w:t>
      </w:r>
    </w:p>
    <w:p>
      <w:pPr>
        <w:spacing w:after="0" w:line="200" w:lineRule="exact"/>
        <w:rPr>
          <w:sz w:val="20"/>
          <w:szCs w:val="20"/>
          <w:color w:val="auto"/>
        </w:rPr>
      </w:pPr>
    </w:p>
    <w:p>
      <w:pPr>
        <w:spacing w:after="0" w:line="2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-151130</wp:posOffset>
            </wp:positionV>
            <wp:extent cx="31457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-151130</wp:posOffset>
            </wp:positionV>
            <wp:extent cx="31457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-151130</wp:posOffset>
            </wp:positionV>
            <wp:extent cx="31457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Roman"/>
      <w:start w:val="2"/>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Roman"/>
      <w:start w:val="2"/>
    </w:lvl>
  </w:abstractNum>
  <w:abstractNum w:abstractNumId="8">
    <w:nsid w:val="7C3DBD3D"/>
    <w:multiLevelType w:val="hybridMultilevel"/>
    <w:lvl w:ilvl="0">
      <w:lvlJc w:val="left"/>
      <w:lvlText w:val="%1."/>
      <w:numFmt w:val="decimal"/>
      <w:start w:val="815"/>
    </w:lvl>
  </w:abstractNum>
  <w:abstractNum w:abstractNumId="9">
    <w:nsid w:val="737B8DDC"/>
    <w:multiLevelType w:val="hybridMultilevel"/>
    <w:lvl w:ilvl="0">
      <w:lvlJc w:val="left"/>
      <w:lvlText w:val="(%1)"/>
      <w:numFmt w:val="lowerLetter"/>
      <w:start w:val="2"/>
    </w:lvl>
  </w:abstractNum>
  <w:abstractNum w:abstractNumId="10">
    <w:nsid w:val="6CEAF087"/>
    <w:multiLevelType w:val="hybridMultilevel"/>
    <w:lvl w:ilvl="0">
      <w:lvlJc w:val="left"/>
      <w:lvlText w:val="%1"/>
      <w:numFmt w:val="decimal"/>
      <w:start w:val="979"/>
    </w:lvl>
  </w:abstractNum>
  <w:abstractNum w:abstractNumId="11">
    <w:nsid w:val="22221A70"/>
    <w:multiLevelType w:val="hybridMultilevel"/>
    <w:lvl w:ilvl="0">
      <w:lvlJc w:val="left"/>
      <w:lvlText w:val="(%1)"/>
      <w:numFmt w:val="lowerRoman"/>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Roman"/>
      <w:start w:val="10"/>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lvl w:ilvl="1">
      <w:lvlJc w:val="left"/>
      <w:lvlText w:val="%2"/>
      <w:numFmt w:val="decimal"/>
      <w:start w:val="104"/>
    </w:lvl>
  </w:abstractNum>
  <w:abstractNum w:abstractNumId="22">
    <w:nsid w:val="5C482A97"/>
    <w:multiLevelType w:val="hybridMultilevel"/>
    <w:lvl w:ilvl="0">
      <w:lvlJc w:val="left"/>
      <w:lvlText w:val="**"/>
      <w:numFmt w:val="bullet"/>
      <w:start w:val="1"/>
    </w:lvl>
    <w:lvl w:ilvl="1">
      <w:lvlJc w:val="left"/>
      <w:lvlText w:val="%2"/>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9"/>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lowerRoman"/>
      <w:start w:val="10"/>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4"/>
    </w:lvl>
    <w:lvl w:ilvl="1">
      <w:lvlJc w:val="left"/>
      <w:lvlText w:val="(%2)"/>
      <w:numFmt w:val="lowerRoman"/>
      <w:start w:val="1"/>
    </w:lvl>
  </w:abstractNum>
  <w:abstractNum w:abstractNumId="31">
    <w:nsid w:val="6A2342EC"/>
    <w:multiLevelType w:val="hybridMultilevel"/>
    <w:lvl w:ilvl="0">
      <w:lvlJc w:val="left"/>
      <w:lvlText w:val="(%1)"/>
      <w:numFmt w:val="lowerRoman"/>
      <w:start w:val="8"/>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1"/>
    </w:lvl>
    <w:lvl w:ilvl="1">
      <w:lvlJc w:val="left"/>
      <w:lvlText w:val="(%2)"/>
      <w:numFmt w:val="lowerRoman"/>
      <w:start w:val="1"/>
    </w:lvl>
  </w:abstractNum>
  <w:abstractNum w:abstractNumId="34">
    <w:nsid w:val="725A06FB"/>
    <w:multiLevelType w:val="hybridMultilevel"/>
    <w:lvl w:ilvl="0">
      <w:lvlJc w:val="left"/>
      <w:lvlText w:val="(%1)"/>
      <w:numFmt w:val="lowerLetter"/>
      <w:start w:val="2"/>
    </w:lvl>
    <w:lvl w:ilvl="1">
      <w:lvlJc w:val="left"/>
      <w:lvlText w:val="(%2)"/>
      <w:numFmt w:val="lowerRoman"/>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3"/>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3"/>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5"/>
    </w:lvl>
  </w:abstractNum>
  <w:abstractNum w:abstractNumId="43">
    <w:nsid w:val="32FFF902"/>
    <w:multiLevelType w:val="hybridMultilevel"/>
    <w:lvl w:ilvl="0">
      <w:lvlJc w:val="left"/>
      <w:lvlText w:val="(%1)"/>
      <w:numFmt w:val="lowerLetter"/>
      <w:start w:val="11"/>
    </w:lvl>
  </w:abstractNum>
  <w:abstractNum w:abstractNumId="44">
    <w:nsid w:val="684A481A"/>
    <w:multiLevelType w:val="hybridMultilevel"/>
    <w:lvl w:ilvl="0">
      <w:lvlJc w:val="left"/>
      <w:lvlText w:val="%1."/>
      <w:numFmt w:val="decimal"/>
      <w:start w:val="1"/>
    </w:lvl>
    <w:lvl w:ilvl="1">
      <w:lvlJc w:val="left"/>
      <w:lvlText w:val="(%2)"/>
      <w:numFmt w:val="lowerLetter"/>
      <w:start w:val="1"/>
    </w:lvl>
  </w:abstractNum>
  <w:abstractNum w:abstractNumId="45">
    <w:nsid w:val="579478FE"/>
    <w:multiLevelType w:val="hybridMultilevel"/>
    <w:lvl w:ilvl="0">
      <w:lvlJc w:val="left"/>
      <w:lvlText w:val="%1."/>
      <w:numFmt w:val="decimal"/>
      <w:start w:val="1"/>
    </w:lvl>
    <w:lvl w:ilvl="1">
      <w:lvlJc w:val="left"/>
      <w:lvlText w:val="(%2)"/>
      <w:numFmt w:val="lowerLetter"/>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50">
    <w:nsid w:val="75C6C33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1">
    <w:nsid w:val="12E685FB"/>
    <w:multiLevelType w:val="hybridMultilevel"/>
    <w:lvl w:ilvl="0">
      <w:lvlJc w:val="left"/>
      <w:lvlText w:val="(%1)"/>
      <w:numFmt w:val="lowerLetter"/>
      <w:start w:val="3"/>
    </w:lvl>
    <w:lvl w:ilvl="1">
      <w:lvlJc w:val="left"/>
      <w:lvlText w:val="(%2)"/>
      <w:numFmt w:val="lowerRoman"/>
      <w:start w:val="1"/>
    </w:lvl>
  </w:abstractNum>
  <w:abstractNum w:abstractNumId="52">
    <w:nsid w:val="70C6A529"/>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0" Type="http://schemas.openxmlformats.org/officeDocument/2006/relationships/image" Target="media/image113.png"/><Relationship Id="rId141"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20" Type="http://schemas.openxmlformats.org/officeDocument/2006/relationships/hyperlink" Target="https://www.sec.gov/Archives/edgar/data/1806347/000110465922085470/tm2212886-14_s4a.htm#tANNEA" TargetMode="External"/><Relationship Id="rId121" Type="http://schemas.openxmlformats.org/officeDocument/2006/relationships/hyperlink" Target="https://www.sec.gov/Archives/edgar/data/1806347/000155837022014048/west-20220630xex3d1.htm" TargetMode="External"/><Relationship Id="rId122" Type="http://schemas.openxmlformats.org/officeDocument/2006/relationships/hyperlink" Target="https://www.sec.gov/Archives/edgar/data/1806347/000155837022014048/west-20220630xex3d2.htm" TargetMode="External"/><Relationship Id="rId123" Type="http://schemas.openxmlformats.org/officeDocument/2006/relationships/hyperlink" Target="https://www.sec.gov/Archives/edgar/data/1806347/000155837022014048/west-20220630xex4d1.htm" TargetMode="External"/><Relationship Id="rId124" Type="http://schemas.openxmlformats.org/officeDocument/2006/relationships/hyperlink" Target="https://www.sec.gov/Archives/edgar/data/1806347/000110465922069935/tm2212886d6_ex4-5.htm" TargetMode="External"/><Relationship Id="rId125" Type="http://schemas.openxmlformats.org/officeDocument/2006/relationships/hyperlink" Target="https://www.sec.gov/Archives/edgar/data/1806347/000110465922080226/tm2212886d9_ex4-6.htm" TargetMode="External"/><Relationship Id="rId126" Type="http://schemas.openxmlformats.org/officeDocument/2006/relationships/hyperlink" Target="https://www.sec.gov/Archives/edgar/data/1806347/000110465923077081/tm2320195d1_ex4-2.htm" TargetMode="External"/><Relationship Id="rId127" Type="http://schemas.openxmlformats.org/officeDocument/2006/relationships/hyperlink" Target="https://www.sec.gov/Archives/edgar/data/1806347/000110465924024575/tm246306d1_ex4-1.htm" TargetMode="External"/><Relationship Id="rId128" Type="http://schemas.openxmlformats.org/officeDocument/2006/relationships/hyperlink" Target="https://www.sec.gov/Archives/edgar/data/1806347/000110465922085470/tm2212886-14_s4a.htm#tANNE2C" TargetMode="External"/><Relationship Id="rId129" Type="http://schemas.openxmlformats.org/officeDocument/2006/relationships/hyperlink" Target="https://www.sec.gov/Archives/edgar/data/1806347/000110465922085470/tm2212886-14_s4a.htm#tANNED" TargetMode="External"/><Relationship Id="rId131" Type="http://schemas.openxmlformats.org/officeDocument/2006/relationships/hyperlink" Target="https://www.sec.gov/Archives/edgar/data/1806347/000110465922080226/tm2212886d9_ex10-6.htm" TargetMode="External"/><Relationship Id="rId132" Type="http://schemas.openxmlformats.org/officeDocument/2006/relationships/hyperlink" Target="https://www.sec.gov/Archives/edgar/data/1806347/000155837022014048/west-20220630xex10d3.htm" TargetMode="External"/><Relationship Id="rId133" Type="http://schemas.openxmlformats.org/officeDocument/2006/relationships/hyperlink" Target="https://www.sec.gov/Archives/edgar/data/1806347/000110465923021756/tm236580d1_ex10-1.htm" TargetMode="External"/><Relationship Id="rId134" Type="http://schemas.openxmlformats.org/officeDocument/2006/relationships/hyperlink" Target="https://www.sec.gov/Archives/edgar/data/1806347/000110465923077081/tm2320195d1_ex10-2.htm" TargetMode="External"/><Relationship Id="rId135" Type="http://schemas.openxmlformats.org/officeDocument/2006/relationships/hyperlink" Target="https://www.sec.gov/Archives/edgar/data/1806347/000110465924024575/tm246306d1_ex10-1.htm" TargetMode="External"/><Relationship Id="rId136" Type="http://schemas.openxmlformats.org/officeDocument/2006/relationships/hyperlink" Target="https://www.sec.gov/Archives/edgar/data/1806347/000155837022014048/west-20220630xex10d4.htm" TargetMode="External"/><Relationship Id="rId137" Type="http://schemas.openxmlformats.org/officeDocument/2006/relationships/hyperlink" Target="https://www.sec.gov/Archives/edgar/data/1806347/000155837022014048/west-20220630xex10d5.htm" TargetMode="External"/><Relationship Id="rId138" Type="http://schemas.openxmlformats.org/officeDocument/2006/relationships/hyperlink" Target="https://www.sec.gov/Archives/edgar/data/1806347/000155837022014048/west-20220630xex10d6.htm" TargetMode="External"/><Relationship Id="rId139" Type="http://schemas.openxmlformats.org/officeDocument/2006/relationships/hyperlink" Target="https://www.sec.gov/Archives/edgar/data/1806347/000155837023004279/west-20221231xex10d9.htm" TargetMode="External"/><Relationship Id="rId140" Type="http://schemas.openxmlformats.org/officeDocument/2006/relationships/hyperlink" Target="https://www.sec.gov/Archives/edgar/data/1806347/000155837023004279/west-20221231xex10d10.htm" TargetMode="External"/><Relationship Id="rId142" Type="http://schemas.openxmlformats.org/officeDocument/2006/relationships/hyperlink" Target="https://www.sec.gov/Archives/edgar/data/1806347/000155837022014048/west-20220630xex10d7.htm" TargetMode="External"/><Relationship Id="rId143" Type="http://schemas.openxmlformats.org/officeDocument/2006/relationships/hyperlink" Target="https://www.sec.gov/Archives/edgar/data/1806347/000155837022017832/west-20220930xex10d8.htm" TargetMode="External"/><Relationship Id="rId144" Type="http://schemas.openxmlformats.org/officeDocument/2006/relationships/hyperlink" Target="https://www.sec.gov/Archives/edgar/data/1806347/000155837022014048/west-20220630xex10d8.htm" TargetMode="External"/><Relationship Id="rId145" Type="http://schemas.openxmlformats.org/officeDocument/2006/relationships/hyperlink" Target="https://www.sec.gov/Archives/edgar/data/1806347/000155837022014048/west-20220630xex10d9.htm" TargetMode="External"/><Relationship Id="rId146" Type="http://schemas.openxmlformats.org/officeDocument/2006/relationships/hyperlink" Target="https://www.sec.gov/Archives/edgar/data/1806347/000110465922069935/tm2212886d6_ex10-19.htm" TargetMode="External"/><Relationship Id="rId147" Type="http://schemas.openxmlformats.org/officeDocument/2006/relationships/hyperlink" Target="https://www.sec.gov/Archives/edgar/data/1806347/000110465922069935/tm2212886d6_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2024-03-15T16:19:02Z</dcterms:created>
  <dcterms:modified xsi:type="dcterms:W3CDTF">2024-03-15T16:19:02Z</dcterms:modified>
</cp:coreProperties>
</file>