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HF Direct Investments Pool,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510 UNION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KNOXVILLE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Westrock Coffee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WEST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40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1071"/>
        <w:gridCol w:w="1071"/>
        <w:gridCol w:w="906"/>
        <w:gridCol w:w="801"/>
        <w:gridCol w:w="891"/>
        <w:gridCol w:w="1221"/>
        <w:gridCol w:w="1071"/>
        <w:gridCol w:w="1071"/>
        <w:gridCol w:w="831"/>
        <w:gridCol w:w="846"/>
      </w:tblGrid>
      <w:tr>
        <w:trPr>
          <w:tblHeader w:val="true"/>
        </w:trPr>
        <w:tc>
          <w:tcPr>
            <w:tcW w:w="140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5% Convertible Notes due 2029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12.84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25,000,000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25,000,000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6% Convertible Notes due 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25,000,000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25,000,000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25,000,000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21, 2026, Westrock Coffee Company (the "Issuer") and the Reporting Person amended and restated the terms of the 5.00% convertible senior notes due 2029 held by the Reporting Person, to, among other things, reduce the conversion price from $12.84 per share to $9.50 per share, extend the maturity date from February 15, 2029 to January 31, 2032, increase the interest rate from 5% to 6% and provide for a cash redemption right of $14.25 per share on an as-converted basis if the closing price of the Issuer's common stock for more than 120 consecutive trading days is equal to or greater than $14.25.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Todd B. Skelton, by Power of Attorney for HF Direct Investments Pool, LLC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3304" TargetMode="External"/><Relationship Id="rId5" Type="http://schemas.openxmlformats.org/officeDocument/2006/relationships/hyperlink" Target="http://www.sec.gov/cgi-bin/browse-edgar?action=getcompany&amp;CIK=0001806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3773</Characters>
  <CharactersWithSpaces>4393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