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215900</wp:posOffset>
            </wp:positionV>
            <wp:extent cx="714248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247650</wp:posOffset>
            </wp:positionV>
            <wp:extent cx="714248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tabs>
          <w:tab w:leader="none" w:pos="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of the Securities Exchange Act of 1934 (Amendment No.</w:t>
        <w:tab/>
        <w:t>)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0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08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2701290</wp:posOffset>
            </wp:positionH>
            <wp:positionV relativeFrom="paragraph">
              <wp:posOffset>140335</wp:posOffset>
            </wp:positionV>
            <wp:extent cx="1708150" cy="1151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115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4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Westrock Coffee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54610</wp:posOffset>
            </wp:positionV>
            <wp:extent cx="71424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172085</wp:posOffset>
            </wp:positionV>
            <wp:extent cx="71424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0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172085</wp:posOffset>
            </wp:positionV>
            <wp:extent cx="7142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196215</wp:posOffset>
            </wp:positionV>
            <wp:extent cx="7142480" cy="15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481965</wp:posOffset>
            </wp:positionV>
            <wp:extent cx="71424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5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88900</wp:posOffset>
            </wp:positionV>
            <wp:extent cx="6887845" cy="90811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8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88900</wp:posOffset>
            </wp:positionV>
            <wp:extent cx="6887845" cy="90811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8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2025-04-24T07:40:48Z</dcterms:created>
  <dcterms:modified xsi:type="dcterms:W3CDTF">2025-04-24T07:40:48Z</dcterms:modified>
</cp:coreProperties>
</file>