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Parent Kenneth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0"/>
        <w:gridCol w:w="903"/>
        <w:gridCol w:w="773"/>
        <w:gridCol w:w="600"/>
        <w:gridCol w:w="346"/>
        <w:gridCol w:w="969"/>
        <w:gridCol w:w="449"/>
        <w:gridCol w:w="611"/>
        <w:gridCol w:w="115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49,716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49,716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are granted pursuant to the Westrock Coffee Company 2022 Equity Incentive Plan. Each RSU represents a contingent right to receive one share of the issuer's common stock, par value $0.01 per share. The RSUs will vest on June 6, 2025, subject to the reporting person's continued service on the board of directors of the issuer through the applicable vesting date and certain early vesting conditions.</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ROBERT P. MCKINNEY AS ATTORNEY-IN-FACT FOR KENNETH M. PARENT</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3913"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3437</Characters>
  <CharactersWithSpaces>4018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