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205740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274320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jc w:val="center"/>
        <w:ind w:right="20"/>
        <w:spacing w:after="0" w:line="231" w:lineRule="auto"/>
        <w:rPr>
          <w:sz w:val="20"/>
          <w:szCs w:val="20"/>
          <w:color w:val="auto"/>
        </w:rPr>
      </w:pPr>
      <w:r>
        <w:rPr>
          <w:rFonts w:ascii="Times New Roman" w:cs="Times New Roman" w:eastAsia="Times New Roman" w:hAnsi="Times New Roman"/>
          <w:sz w:val="22"/>
          <w:szCs w:val="22"/>
          <w:b w:val="1"/>
          <w:bCs w:val="1"/>
          <w:color w:val="auto"/>
        </w:rPr>
        <w:t>FORM 10-K</w:t>
      </w:r>
    </w:p>
    <w:p>
      <w:pPr>
        <w:spacing w:after="0" w:line="1"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1" w:lineRule="exact"/>
        <w:rPr>
          <w:sz w:val="24"/>
          <w:szCs w:val="24"/>
          <w:color w:val="auto"/>
        </w:rPr>
      </w:pPr>
    </w:p>
    <w:p>
      <w:pPr>
        <w:ind w:left="1200" w:hanging="671"/>
        <w:spacing w:after="0"/>
        <w:tabs>
          <w:tab w:leader="none" w:pos="1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98" w:lineRule="exact"/>
        <w:rPr>
          <w:rFonts w:ascii="MS PGothic" w:cs="MS PGothic" w:eastAsia="MS PGothic" w:hAnsi="MS PGothic"/>
          <w:sz w:val="16"/>
          <w:szCs w:val="16"/>
          <w:color w:val="auto"/>
        </w:rPr>
      </w:pPr>
    </w:p>
    <w:p>
      <w:pPr>
        <w:ind w:left="3560"/>
        <w:spacing w:after="0"/>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For the Fiscal Year Ended December 31, 2025</w:t>
      </w:r>
    </w:p>
    <w:p>
      <w:pPr>
        <w:spacing w:after="0" w:line="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1" w:lineRule="exact"/>
        <w:rPr>
          <w:sz w:val="24"/>
          <w:szCs w:val="24"/>
          <w:color w:val="auto"/>
        </w:rPr>
      </w:pPr>
    </w:p>
    <w:p>
      <w:pPr>
        <w:ind w:left="1200" w:hanging="671"/>
        <w:spacing w:after="0"/>
        <w:tabs>
          <w:tab w:leader="none" w:pos="12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4" w:lineRule="exact"/>
        <w:rPr>
          <w:sz w:val="24"/>
          <w:szCs w:val="24"/>
          <w:color w:val="auto"/>
        </w:rPr>
      </w:pPr>
    </w:p>
    <w:p>
      <w:pPr>
        <w:ind w:left="3500"/>
        <w:spacing w:after="0"/>
        <w:tabs>
          <w:tab w:leader="none" w:pos="5520" w:val="left"/>
          <w:tab w:leader="none" w:pos="5780" w:val="left"/>
        </w:tabs>
        <w:rPr>
          <w:sz w:val="20"/>
          <w:szCs w:val="20"/>
          <w:color w:val="auto"/>
        </w:rPr>
      </w:pPr>
      <w:r>
        <w:rPr>
          <w:rFonts w:ascii="Times New Roman" w:cs="Times New Roman" w:eastAsia="Times New Roman" w:hAnsi="Times New Roman"/>
          <w:sz w:val="14"/>
          <w:szCs w:val="14"/>
          <w:b w:val="1"/>
          <w:bCs w:val="1"/>
          <w:color w:val="auto"/>
        </w:rPr>
        <w:t>For the transition period from</w:t>
        <w:tab/>
        <w:t>to</w:t>
        <w:tab/>
        <w:t>.</w:t>
      </w:r>
    </w:p>
    <w:p>
      <w:pPr>
        <w:spacing w:after="0" w:line="55"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4"/>
          <w:szCs w:val="14"/>
          <w:b w:val="1"/>
          <w:bCs w:val="1"/>
          <w:color w:val="auto"/>
        </w:rPr>
        <w:t>Commission File Number 001-41485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2697480</wp:posOffset>
            </wp:positionH>
            <wp:positionV relativeFrom="paragraph">
              <wp:posOffset>33655</wp:posOffset>
            </wp:positionV>
            <wp:extent cx="908685"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08685"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WESTROCK COFFEE COMPANY</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67"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3440" w:type="dxa"/>
            <w:vAlign w:val="bottom"/>
          </w:tcPr>
          <w:p>
            <w:pPr>
              <w:jc w:val="center"/>
              <w:ind w:left="144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3640" w:type="dxa"/>
            <w:vAlign w:val="bottom"/>
            <w:gridSpan w:val="2"/>
          </w:tcPr>
          <w:p>
            <w:pPr>
              <w:jc w:val="right"/>
              <w:ind w:right="2088"/>
              <w:spacing w:after="0"/>
              <w:rPr>
                <w:sz w:val="20"/>
                <w:szCs w:val="20"/>
                <w:color w:val="auto"/>
              </w:rPr>
            </w:pPr>
            <w:r>
              <w:rPr>
                <w:rFonts w:ascii="Times New Roman" w:cs="Times New Roman" w:eastAsia="Times New Roman" w:hAnsi="Times New Roman"/>
                <w:sz w:val="14"/>
                <w:szCs w:val="14"/>
                <w:b w:val="1"/>
                <w:bCs w:val="1"/>
                <w:color w:val="auto"/>
              </w:rPr>
              <w:t>80-0977200</w:t>
            </w:r>
          </w:p>
        </w:tc>
      </w:tr>
      <w:tr>
        <w:trPr>
          <w:trHeight w:val="149"/>
        </w:trPr>
        <w:tc>
          <w:tcPr>
            <w:tcW w:w="3440" w:type="dxa"/>
            <w:vAlign w:val="bottom"/>
          </w:tcPr>
          <w:p>
            <w:pPr>
              <w:jc w:val="center"/>
              <w:ind w:left="162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640" w:type="dxa"/>
            <w:vAlign w:val="bottom"/>
            <w:gridSpan w:val="2"/>
          </w:tcPr>
          <w:p>
            <w:pPr>
              <w:jc w:val="center"/>
              <w:ind w:right="1308"/>
              <w:spacing w:after="0" w:line="149" w:lineRule="exact"/>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3440" w:type="dxa"/>
            <w:vAlign w:val="bottom"/>
          </w:tcPr>
          <w:p>
            <w:pPr>
              <w:jc w:val="center"/>
              <w:ind w:left="162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203"/>
        </w:trPr>
        <w:tc>
          <w:tcPr>
            <w:tcW w:w="6300" w:type="dxa"/>
            <w:vAlign w:val="bottom"/>
            <w:gridSpan w:val="3"/>
          </w:tcPr>
          <w:p>
            <w:pPr>
              <w:jc w:val="center"/>
              <w:ind w:right="1268"/>
              <w:spacing w:after="0" w:line="204" w:lineRule="exact"/>
              <w:rPr>
                <w:sz w:val="20"/>
                <w:szCs w:val="20"/>
                <w:color w:val="auto"/>
              </w:rPr>
            </w:pPr>
            <w:r>
              <w:rPr>
                <w:rFonts w:ascii="Times New Roman" w:cs="Times New Roman" w:eastAsia="Times New Roman" w:hAnsi="Times New Roman"/>
                <w:sz w:val="14"/>
                <w:szCs w:val="14"/>
                <w:b w:val="1"/>
                <w:bCs w:val="1"/>
                <w:color w:val="auto"/>
              </w:rPr>
              <w:t>4009 N. Rodney Parham Road, 4</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4"/>
                <w:szCs w:val="14"/>
                <w:b w:val="1"/>
                <w:bCs w:val="1"/>
                <w:color w:val="auto"/>
              </w:rPr>
              <w:t xml:space="preserve"> Floor, Little Rock, Arkansas</w:t>
            </w:r>
          </w:p>
        </w:tc>
        <w:tc>
          <w:tcPr>
            <w:tcW w:w="3640" w:type="dxa"/>
            <w:vAlign w:val="bottom"/>
            <w:gridSpan w:val="2"/>
          </w:tcPr>
          <w:p>
            <w:pPr>
              <w:jc w:val="right"/>
              <w:ind w:right="2248"/>
              <w:spacing w:after="0"/>
              <w:rPr>
                <w:sz w:val="20"/>
                <w:szCs w:val="20"/>
                <w:color w:val="auto"/>
              </w:rPr>
            </w:pPr>
            <w:r>
              <w:rPr>
                <w:rFonts w:ascii="Times New Roman" w:cs="Times New Roman" w:eastAsia="Times New Roman" w:hAnsi="Times New Roman"/>
                <w:sz w:val="14"/>
                <w:szCs w:val="14"/>
                <w:b w:val="1"/>
                <w:bCs w:val="1"/>
                <w:color w:val="auto"/>
              </w:rPr>
              <w:t>72212</w:t>
            </w:r>
          </w:p>
        </w:tc>
      </w:tr>
      <w:tr>
        <w:trPr>
          <w:trHeight w:val="188"/>
        </w:trPr>
        <w:tc>
          <w:tcPr>
            <w:tcW w:w="6300" w:type="dxa"/>
            <w:vAlign w:val="bottom"/>
            <w:gridSpan w:val="3"/>
          </w:tcPr>
          <w:p>
            <w:pPr>
              <w:jc w:val="center"/>
              <w:ind w:right="108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640" w:type="dxa"/>
            <w:vAlign w:val="bottom"/>
            <w:gridSpan w:val="2"/>
          </w:tcPr>
          <w:p>
            <w:pPr>
              <w:jc w:val="center"/>
              <w:ind w:right="1288"/>
              <w:spacing w:after="0"/>
              <w:rPr>
                <w:sz w:val="20"/>
                <w:szCs w:val="20"/>
                <w:color w:val="auto"/>
              </w:rPr>
            </w:pPr>
            <w:r>
              <w:rPr>
                <w:rFonts w:ascii="Times New Roman" w:cs="Times New Roman" w:eastAsia="Times New Roman" w:hAnsi="Times New Roman"/>
                <w:sz w:val="14"/>
                <w:szCs w:val="14"/>
                <w:color w:val="auto"/>
              </w:rPr>
              <w:t>(Zip Code)</w:t>
            </w:r>
          </w:p>
        </w:tc>
      </w:tr>
      <w:tr>
        <w:trPr>
          <w:trHeight w:val="283"/>
        </w:trPr>
        <w:tc>
          <w:tcPr>
            <w:tcW w:w="7360" w:type="dxa"/>
            <w:vAlign w:val="bottom"/>
            <w:gridSpan w:val="4"/>
          </w:tcPr>
          <w:p>
            <w:pPr>
              <w:jc w:val="center"/>
              <w:ind w:left="3148"/>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(501) 918-9358</w:t>
            </w:r>
          </w:p>
        </w:tc>
        <w:tc>
          <w:tcPr>
            <w:tcW w:w="2580" w:type="dxa"/>
            <w:vAlign w:val="bottom"/>
          </w:tcPr>
          <w:p>
            <w:pPr>
              <w:spacing w:after="0"/>
              <w:rPr>
                <w:sz w:val="24"/>
                <w:szCs w:val="24"/>
                <w:color w:val="auto"/>
              </w:rPr>
            </w:pPr>
          </w:p>
        </w:tc>
      </w:tr>
      <w:tr>
        <w:trPr>
          <w:trHeight w:val="189"/>
        </w:trPr>
        <w:tc>
          <w:tcPr>
            <w:tcW w:w="3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20" w:type="dxa"/>
            <w:vAlign w:val="bottom"/>
            <w:gridSpan w:val="2"/>
          </w:tcPr>
          <w:p>
            <w:pPr>
              <w:jc w:val="center"/>
              <w:ind w:right="34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580" w:type="dxa"/>
            <w:vAlign w:val="bottom"/>
          </w:tcPr>
          <w:p>
            <w:pPr>
              <w:spacing w:after="0"/>
              <w:rPr>
                <w:sz w:val="16"/>
                <w:szCs w:val="16"/>
                <w:color w:val="auto"/>
              </w:rPr>
            </w:pPr>
          </w:p>
        </w:tc>
      </w:tr>
      <w:tr>
        <w:trPr>
          <w:trHeight w:val="50"/>
        </w:trPr>
        <w:tc>
          <w:tcPr>
            <w:tcW w:w="34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3640" w:type="dxa"/>
            <w:vAlign w:val="bottom"/>
            <w:tcBorders>
              <w:bottom w:val="single" w:sz="8" w:color="auto"/>
            </w:tcBorders>
            <w:gridSpan w:val="2"/>
          </w:tcPr>
          <w:p>
            <w:pPr>
              <w:spacing w:after="0"/>
              <w:rPr>
                <w:sz w:val="4"/>
                <w:szCs w:val="4"/>
                <w:color w:val="auto"/>
              </w:rPr>
            </w:pPr>
          </w:p>
        </w:tc>
      </w:tr>
      <w:tr>
        <w:trPr>
          <w:trHeight w:val="182"/>
        </w:trPr>
        <w:tc>
          <w:tcPr>
            <w:tcW w:w="3440" w:type="dxa"/>
            <w:vAlign w:val="bottom"/>
            <w:tcBorders>
              <w:left w:val="single" w:sz="8" w:color="auto"/>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color w:val="auto"/>
              </w:rPr>
              <w:t>Title of each class</w:t>
            </w:r>
          </w:p>
        </w:tc>
        <w:tc>
          <w:tcPr>
            <w:tcW w:w="200" w:type="dxa"/>
            <w:vAlign w:val="bottom"/>
            <w:tcBorders>
              <w:bottom w:val="single" w:sz="8" w:color="auto"/>
              <w:right w:val="single" w:sz="8" w:color="auto"/>
            </w:tcBorders>
          </w:tcPr>
          <w:p>
            <w:pPr>
              <w:spacing w:after="0"/>
              <w:rPr>
                <w:sz w:val="15"/>
                <w:szCs w:val="15"/>
                <w:color w:val="auto"/>
              </w:rPr>
            </w:pP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6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3"/>
        </w:trPr>
        <w:tc>
          <w:tcPr>
            <w:tcW w:w="3440" w:type="dxa"/>
            <w:vAlign w:val="bottom"/>
            <w:tcBorders>
              <w:left w:val="single" w:sz="8" w:color="auto"/>
              <w:bottom w:val="single" w:sz="8" w:color="auto"/>
            </w:tcBorders>
          </w:tcPr>
          <w:p>
            <w:pPr>
              <w:jc w:val="center"/>
              <w:ind w:left="148"/>
              <w:spacing w:after="0"/>
              <w:rPr>
                <w:sz w:val="20"/>
                <w:szCs w:val="20"/>
                <w:color w:val="auto"/>
              </w:rPr>
            </w:pPr>
            <w:r>
              <w:rPr>
                <w:rFonts w:ascii="Times New Roman" w:cs="Times New Roman" w:eastAsia="Times New Roman" w:hAnsi="Times New Roman"/>
                <w:sz w:val="14"/>
                <w:szCs w:val="14"/>
                <w:color w:val="auto"/>
              </w:rPr>
              <w:t>Shares of common stock, par value $0.01 per share</w:t>
            </w:r>
          </w:p>
        </w:tc>
        <w:tc>
          <w:tcPr>
            <w:tcW w:w="200" w:type="dxa"/>
            <w:vAlign w:val="bottom"/>
            <w:tcBorders>
              <w:bottom w:val="single" w:sz="8" w:color="auto"/>
              <w:right w:val="single" w:sz="8" w:color="auto"/>
            </w:tcBorders>
          </w:tcPr>
          <w:p>
            <w:pPr>
              <w:spacing w:after="0"/>
              <w:rPr>
                <w:sz w:val="15"/>
                <w:szCs w:val="15"/>
                <w:color w:val="auto"/>
              </w:rPr>
            </w:pP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WEST</w:t>
            </w:r>
          </w:p>
        </w:tc>
        <w:tc>
          <w:tcPr>
            <w:tcW w:w="36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55"/>
        </w:trPr>
        <w:tc>
          <w:tcPr>
            <w:tcW w:w="3440" w:type="dxa"/>
            <w:vAlign w:val="bottom"/>
          </w:tcPr>
          <w:p>
            <w:pPr>
              <w:spacing w:after="0"/>
              <w:rPr>
                <w:sz w:val="13"/>
                <w:szCs w:val="13"/>
                <w:color w:val="auto"/>
              </w:rPr>
            </w:pPr>
          </w:p>
        </w:tc>
        <w:tc>
          <w:tcPr>
            <w:tcW w:w="3920" w:type="dxa"/>
            <w:vAlign w:val="bottom"/>
            <w:gridSpan w:val="3"/>
          </w:tcPr>
          <w:p>
            <w:pPr>
              <w:jc w:val="center"/>
              <w:ind w:right="148"/>
              <w:spacing w:after="0" w:line="155" w:lineRule="exact"/>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2580" w:type="dxa"/>
            <w:vAlign w:val="bottom"/>
          </w:tcPr>
          <w:p>
            <w:pPr>
              <w:spacing w:after="0"/>
              <w:rPr>
                <w:sz w:val="13"/>
                <w:szCs w:val="13"/>
                <w:color w:val="auto"/>
              </w:rPr>
            </w:pPr>
          </w:p>
        </w:tc>
      </w:tr>
      <w:tr>
        <w:trPr>
          <w:trHeight w:val="216"/>
        </w:trPr>
        <w:tc>
          <w:tcPr>
            <w:tcW w:w="7360" w:type="dxa"/>
            <w:vAlign w:val="bottom"/>
            <w:gridSpan w:val="4"/>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p>
        </w:tc>
        <w:tc>
          <w:tcPr>
            <w:tcW w:w="2580" w:type="dxa"/>
            <w:vAlign w:val="bottom"/>
          </w:tcPr>
          <w:p>
            <w:pPr>
              <w:ind w:left="4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r>
      <w:tr>
        <w:trPr>
          <w:trHeight w:val="242"/>
        </w:trPr>
        <w:tc>
          <w:tcPr>
            <w:tcW w:w="7360" w:type="dxa"/>
            <w:vAlign w:val="bottom"/>
            <w:gridSpan w:val="4"/>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p>
        </w:tc>
        <w:tc>
          <w:tcPr>
            <w:tcW w:w="2580" w:type="dxa"/>
            <w:vAlign w:val="bottom"/>
          </w:tcPr>
          <w:p>
            <w:pPr>
              <w:ind w:left="1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r>
    </w:tbl>
    <w:p>
      <w:pPr>
        <w:ind w:right="480"/>
        <w:spacing w:after="0" w:line="233"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tabs>
          <w:tab w:leader="none" w:pos="1100" w:val="left"/>
        </w:tabs>
        <w:rPr>
          <w:sz w:val="20"/>
          <w:szCs w:val="20"/>
          <w:color w:val="auto"/>
        </w:rPr>
      </w:pPr>
      <w:r>
        <w:rPr>
          <w:rFonts w:ascii="Times New Roman" w:cs="Times New Roman" w:eastAsia="Times New Roman" w:hAnsi="Times New Roman"/>
          <w:sz w:val="14"/>
          <w:szCs w:val="14"/>
          <w:color w:val="auto"/>
        </w:rPr>
        <w:t xml:space="preserve">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MS PGothic" w:cs="MS PGothic" w:eastAsia="MS PGothic" w:hAnsi="MS PGothic"/>
          <w:sz w:val="13"/>
          <w:szCs w:val="13"/>
          <w:color w:val="auto"/>
        </w:rPr>
        <w:t xml:space="preserve">☐ </w:t>
      </w:r>
      <w:r>
        <w:rPr>
          <w:rFonts w:ascii="Times New Roman" w:cs="Times New Roman" w:eastAsia="Times New Roman" w:hAnsi="Times New Roman"/>
          <w:sz w:val="13"/>
          <w:szCs w:val="13"/>
          <w:color w:val="auto"/>
        </w:rPr>
        <w:t>No</w:t>
      </w:r>
    </w:p>
    <w:p>
      <w:pPr>
        <w:spacing w:after="0" w:line="39" w:lineRule="exact"/>
        <w:rPr>
          <w:sz w:val="24"/>
          <w:szCs w:val="24"/>
          <w:color w:val="auto"/>
        </w:rPr>
      </w:pPr>
    </w:p>
    <w:p>
      <w:pPr>
        <w:ind w:right="3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0" w:lineRule="exact"/>
        <w:rPr>
          <w:sz w:val="24"/>
          <w:szCs w:val="24"/>
          <w:color w:val="auto"/>
        </w:rPr>
      </w:pPr>
    </w:p>
    <w:p>
      <w:pPr>
        <w:ind w:right="60"/>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40"/>
          </w:cols>
          <w:pgMar w:left="980" w:top="661" w:right="979" w:bottom="1440" w:gutter="0" w:footer="0" w:header="0"/>
        </w:sectPr>
      </w:pPr>
    </w:p>
    <w:p>
      <w:pPr>
        <w:ind w:left="18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1280"/>
        <w:spacing w:after="0" w:line="14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37" w:lineRule="exact"/>
        <w:rPr>
          <w:sz w:val="24"/>
          <w:szCs w:val="24"/>
          <w:color w:val="auto"/>
        </w:rPr>
      </w:pPr>
    </w:p>
    <w:p>
      <w:pPr>
        <w:sectPr>
          <w:pgSz w:w="11900" w:h="16838" w:orient="portrait"/>
          <w:cols w:equalWidth="0" w:num="3">
            <w:col w:w="3060" w:space="720"/>
            <w:col w:w="2400" w:space="720"/>
            <w:col w:w="3040"/>
          </w:cols>
          <w:pgMar w:left="980" w:top="661" w:right="979" w:bottom="1440" w:gutter="0" w:footer="0" w:header="0"/>
          <w:type w:val="continuous"/>
        </w:sectPr>
      </w:pPr>
    </w:p>
    <w:p>
      <w:pPr>
        <w:ind w:left="180"/>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5" w:lineRule="exact"/>
        <w:rPr>
          <w:sz w:val="24"/>
          <w:szCs w:val="24"/>
          <w:color w:val="auto"/>
        </w:rPr>
      </w:pPr>
    </w:p>
    <w:p>
      <w:pPr>
        <w:sectPr>
          <w:pgSz w:w="11900" w:h="16838" w:orient="portrait"/>
          <w:cols w:equalWidth="0" w:num="2">
            <w:col w:w="3060" w:space="720"/>
            <w:col w:w="6160"/>
          </w:cols>
          <w:pgMar w:left="980" w:top="661" w:right="979" w:bottom="1440" w:gutter="0" w:footer="0" w:header="0"/>
          <w:type w:val="continuous"/>
        </w:sectPr>
      </w:pPr>
    </w:p>
    <w:p>
      <w:pPr>
        <w:ind w:right="480"/>
        <w:spacing w:after="0" w:line="15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140"/>
        <w:spacing w:after="0" w:line="16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240"/>
        <w:spacing w:after="0" w:line="17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55" w:lineRule="exact"/>
        <w:rPr>
          <w:sz w:val="24"/>
          <w:szCs w:val="24"/>
          <w:color w:val="auto"/>
        </w:rPr>
      </w:pPr>
    </w:p>
    <w:p>
      <w:pPr>
        <w:ind w:right="380"/>
        <w:spacing w:after="0" w:line="237" w:lineRule="auto"/>
        <w:rPr>
          <w:sz w:val="20"/>
          <w:szCs w:val="20"/>
          <w:color w:val="auto"/>
        </w:rPr>
      </w:pPr>
      <w:r>
        <w:rPr>
          <w:rFonts w:ascii="Times New Roman" w:cs="Times New Roman" w:eastAsia="Times New Roman" w:hAnsi="Times New Roman"/>
          <w:sz w:val="14"/>
          <w:szCs w:val="14"/>
          <w:color w:val="auto"/>
        </w:rPr>
        <w:t>The aggregate market value of the common equity held by non-affiliates of the registrant as of June 30, 2025, the last business day of the registrant’s most recently completed second quarter, based upon the closing sale price of the registrant’s common stock on June 30, 2025, as reported on the Nasdaq Global Market, was $281.5 million.</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March 3, 2026, the registrant had 96,879,112 shares of common stock, par value $0.01 per share, outstanding.</w:t>
      </w:r>
    </w:p>
    <w:p>
      <w:pPr>
        <w:spacing w:after="0" w:line="40"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6" w:lineRule="exact"/>
        <w:rPr>
          <w:sz w:val="24"/>
          <w:szCs w:val="24"/>
          <w:color w:val="auto"/>
        </w:rPr>
      </w:pPr>
    </w:p>
    <w:p>
      <w:pPr>
        <w:ind w:right="100"/>
        <w:spacing w:after="0" w:line="239" w:lineRule="auto"/>
        <w:rPr>
          <w:sz w:val="20"/>
          <w:szCs w:val="20"/>
          <w:color w:val="auto"/>
        </w:rPr>
      </w:pPr>
      <w:r>
        <w:rPr>
          <w:rFonts w:ascii="Times New Roman" w:cs="Times New Roman" w:eastAsia="Times New Roman" w:hAnsi="Times New Roman"/>
          <w:sz w:val="14"/>
          <w:szCs w:val="14"/>
          <w:color w:val="auto"/>
        </w:rPr>
        <w:t>Part III of this Form 10-K incorporates information by reference from the registrant’s definitive proxy statement related to the 2026 annual meeting of stockholders, which will be filed no later than 120 days after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74930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661" w:right="97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60" w:right="59" w:firstLine="259"/>
        <w:spacing w:after="0" w:line="252" w:lineRule="auto"/>
        <w:rPr>
          <w:sz w:val="20"/>
          <w:szCs w:val="20"/>
          <w:color w:val="auto"/>
        </w:rPr>
      </w:pPr>
      <w:r>
        <w:rPr>
          <w:rFonts w:ascii="Times New Roman" w:cs="Times New Roman" w:eastAsia="Times New Roman" w:hAnsi="Times New Roman"/>
          <w:sz w:val="18"/>
          <w:szCs w:val="18"/>
          <w:color w:val="auto"/>
        </w:rPr>
        <w:t>This Annual Report on Form 10-K includes forward-looking statements as defined under U.S. federal securities laws. Forward-looking statements include all statements that are not historical statements of fact and statements including, but not limited to, the following statements regarding our expectations, hopes, beliefs, intentions or strategies regarding the future, our expectations regarding the scale-up and commercialization of customers within the anticipated time frame of our Conway, Arkansas facility and our ability to sell or commit capacity; our expectations regarding capital expenditures; and our future liquidity needs and access to capital. In addition, any statements that refer to projections, forecasts, or other characterizations of future events or circumstances, including any underlying assumptions, are forward-looking statements. The words “anticipate,” “believe,” “could,” “estimate,” “expect,” “intend,” “may,” “might,” “plan,” “possible,” “potential,” “predict,” “project,” “would,” and similar expressions may identify forward-looking statements, but the absence of these words does not mean that a statement is not forward-looking. Forward-looking statements are predictions, projections and other statements about future events that are based on current expectations and assumptions and, as a result, are subject to significant risks and uncertainties.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w:t>
      </w:r>
    </w:p>
    <w:p>
      <w:pPr>
        <w:spacing w:after="0" w:line="196" w:lineRule="exact"/>
        <w:rPr>
          <w:sz w:val="20"/>
          <w:szCs w:val="20"/>
          <w:color w:val="auto"/>
        </w:rPr>
      </w:pPr>
    </w:p>
    <w:p>
      <w:pPr>
        <w:ind w:left="60" w:right="419" w:firstLine="259"/>
        <w:spacing w:after="0" w:line="282" w:lineRule="auto"/>
        <w:rPr>
          <w:sz w:val="20"/>
          <w:szCs w:val="20"/>
          <w:color w:val="auto"/>
        </w:rPr>
      </w:pPr>
      <w:r>
        <w:rPr>
          <w:rFonts w:ascii="Times New Roman" w:cs="Times New Roman" w:eastAsia="Times New Roman" w:hAnsi="Times New Roman"/>
          <w:sz w:val="18"/>
          <w:szCs w:val="18"/>
          <w:color w:val="auto"/>
        </w:rPr>
        <w:t>There are or will be important factors that could cause our actual results to differ materially from those indicated in these forward-looking statements, including, but not limited to, risks related to the following:</w:t>
      </w:r>
    </w:p>
    <w:p>
      <w:pPr>
        <w:spacing w:after="0" w:line="162" w:lineRule="exact"/>
        <w:rPr>
          <w:sz w:val="20"/>
          <w:szCs w:val="20"/>
          <w:color w:val="auto"/>
        </w:rPr>
      </w:pPr>
    </w:p>
    <w:p>
      <w:pPr>
        <w:ind w:left="700" w:right="219" w:hanging="326"/>
        <w:spacing w:after="0" w:line="261"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have incurred net losses in the past, may incur net losses in the future, and may not achieve profitability;</w:t>
      </w: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operating a coffee trading business and a coffee exporting business;</w:t>
      </w:r>
    </w:p>
    <w:p>
      <w:pPr>
        <w:spacing w:after="0" w:line="9" w:lineRule="exact"/>
        <w:rPr>
          <w:rFonts w:ascii="Times New Roman" w:cs="Times New Roman" w:eastAsia="Times New Roman" w:hAnsi="Times New Roman"/>
          <w:sz w:val="18"/>
          <w:szCs w:val="18"/>
          <w:color w:val="auto"/>
        </w:rPr>
      </w:pPr>
    </w:p>
    <w:p>
      <w:pPr>
        <w:ind w:left="700" w:right="259" w:hanging="326"/>
        <w:spacing w:after="0" w:line="25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and increases in the cost of green coffee, tea and other ingredients and packaging, and our inability to pass these costs on to customers;</w:t>
      </w:r>
    </w:p>
    <w:p>
      <w:pPr>
        <w:ind w:left="700" w:right="219" w:hanging="326"/>
        <w:spacing w:after="0" w:line="25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an adequate supply of key raw materials, including green coffee and tea, or a disruption in our supply chain;</w:t>
      </w:r>
    </w:p>
    <w:p>
      <w:pPr>
        <w:ind w:left="700" w:right="399" w:hanging="326"/>
        <w:spacing w:after="0" w:line="25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general macroeconomic conditions and/or decreases in consumer spending on discretionary items;</w:t>
      </w:r>
    </w:p>
    <w:p>
      <w:pPr>
        <w:ind w:left="700" w:right="539" w:hanging="326"/>
        <w:spacing w:after="0" w:line="25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operations at any of our, our suppliers’ or our co-manufacturers’ production, distribution or manufacturing facilities or other loss of manufacturing capacity;</w:t>
      </w: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anticipate customer preferences and successfully develop new products;</w:t>
      </w:r>
    </w:p>
    <w:p>
      <w:pPr>
        <w:spacing w:after="0" w:line="9" w:lineRule="exact"/>
        <w:rPr>
          <w:rFonts w:ascii="Times New Roman" w:cs="Times New Roman" w:eastAsia="Times New Roman" w:hAnsi="Times New Roman"/>
          <w:sz w:val="18"/>
          <w:szCs w:val="18"/>
          <w:color w:val="auto"/>
        </w:rPr>
      </w:pPr>
    </w:p>
    <w:p>
      <w:pPr>
        <w:ind w:left="700" w:right="899" w:hanging="326"/>
        <w:spacing w:after="0" w:line="25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which may increase commodity costs, damage our facilities and disrupt our production capabilities and supply chain;</w:t>
      </w: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personnel or recruit qualified personnel;</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hedge commodity risks;</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among our distributors and customers or the loss of any key customer;</w:t>
      </w:r>
    </w:p>
    <w:p>
      <w:pPr>
        <w:spacing w:after="0" w:line="9" w:lineRule="exact"/>
        <w:rPr>
          <w:rFonts w:ascii="Times New Roman" w:cs="Times New Roman" w:eastAsia="Times New Roman" w:hAnsi="Times New Roman"/>
          <w:sz w:val="18"/>
          <w:szCs w:val="18"/>
          <w:color w:val="auto"/>
        </w:rPr>
      </w:pPr>
    </w:p>
    <w:p>
      <w:pPr>
        <w:ind w:left="700" w:right="179" w:hanging="326"/>
        <w:spacing w:after="0" w:line="25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and evolving U.S. and international laws and regulations, and noncompliance therewith subjecting us to criminal or civil liability;</w:t>
      </w:r>
    </w:p>
    <w:p>
      <w:pPr>
        <w:ind w:left="700" w:right="479" w:hanging="326"/>
        <w:spacing w:after="0" w:line="25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of businesses, which may divert our management’s attention, prove difficult to effectively integrate and fail to achieve their projected benefits;</w:t>
      </w: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manage the growth and increased complexity of our business;</w:t>
      </w:r>
    </w:p>
    <w:p>
      <w:pPr>
        <w:spacing w:after="0" w:line="9" w:lineRule="exact"/>
        <w:rPr>
          <w:rFonts w:ascii="Times New Roman" w:cs="Times New Roman" w:eastAsia="Times New Roman" w:hAnsi="Times New Roman"/>
          <w:sz w:val="18"/>
          <w:szCs w:val="18"/>
          <w:color w:val="auto"/>
        </w:rPr>
      </w:pPr>
    </w:p>
    <w:p>
      <w:pPr>
        <w:ind w:left="700" w:right="299" w:hanging="326"/>
        <w:spacing w:after="0" w:line="25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or grow market share through continued differentiation of our product and competitive pricing;</w:t>
      </w: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the additional capital needed to operate and grow our business;</w:t>
      </w:r>
    </w:p>
    <w:p>
      <w:pPr>
        <w:spacing w:after="0" w:line="9" w:lineRule="exact"/>
        <w:rPr>
          <w:rFonts w:ascii="Times New Roman" w:cs="Times New Roman" w:eastAsia="Times New Roman" w:hAnsi="Times New Roman"/>
          <w:sz w:val="18"/>
          <w:szCs w:val="18"/>
          <w:color w:val="auto"/>
        </w:rPr>
      </w:pPr>
    </w:p>
    <w:p>
      <w:pPr>
        <w:ind w:left="700" w:right="719" w:hanging="326"/>
        <w:spacing w:after="0" w:line="25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litigation or legal disputes, which could lead us to incur significant liabilities and costs or harm our reputation;</w:t>
      </w: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failure, inadequacy or interruption of our information technology systems;</w:t>
      </w:r>
    </w:p>
    <w:p>
      <w:pPr>
        <w:spacing w:after="0" w:line="9" w:lineRule="exact"/>
        <w:rPr>
          <w:rFonts w:ascii="Times New Roman" w:cs="Times New Roman" w:eastAsia="Times New Roman" w:hAnsi="Times New Roman"/>
          <w:sz w:val="18"/>
          <w:szCs w:val="18"/>
          <w:color w:val="auto"/>
        </w:rPr>
      </w:pPr>
    </w:p>
    <w:p>
      <w:pPr>
        <w:ind w:left="700" w:right="259" w:hanging="326"/>
        <w:spacing w:after="0" w:line="25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unauthorized access, theft, use or destruction of personal, financial or other confidential information relating to our customers, suppliers, employees or business;</w:t>
      </w:r>
    </w:p>
    <w:p>
      <w:pPr>
        <w:ind w:left="700" w:right="379" w:hanging="326"/>
        <w:spacing w:after="0" w:line="25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level of indebtedness, which may reduce funds available for other business purposes and reduce our operational flexibility;</w:t>
      </w: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comply with the financial covenants in our credit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700" w:right="219" w:hanging="326"/>
        <w:spacing w:after="0" w:line="257"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scale-up operations, commercialize customers, and generate positive operating cash flows within the anticipated time frame following the recent opening of our new facility in Conway, Arkansas or incurring additional expenses in the process;</w:t>
      </w:r>
    </w:p>
    <w:p>
      <w:pPr>
        <w:spacing w:after="0" w:line="1" w:lineRule="exact"/>
        <w:rPr>
          <w:rFonts w:ascii="Times New Roman" w:cs="Times New Roman" w:eastAsia="Times New Roman" w:hAnsi="Times New Roman"/>
          <w:sz w:val="18"/>
          <w:szCs w:val="18"/>
          <w:color w:val="auto"/>
        </w:rPr>
      </w:pPr>
    </w:p>
    <w:p>
      <w:pPr>
        <w:ind w:left="700" w:right="13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structure and organization, which may prevent or delay attempts to acquire a controlling interest in the Company;</w:t>
      </w:r>
    </w:p>
    <w:p>
      <w:pPr>
        <w:ind w:left="700" w:right="9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our largest shareholders (and certain members of our management team) own a significant percentage of our stock and will be able to exert significant control over matters subject to shareholder approval;</w:t>
      </w:r>
    </w:p>
    <w:p>
      <w:pPr>
        <w:ind w:left="700" w:right="219" w:hanging="326"/>
        <w:spacing w:after="0" w:line="265" w:lineRule="auto"/>
        <w:tabs>
          <w:tab w:leader="none" w:pos="7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current global economic conditions, including those caused by tariffs and trading restrictions, economic slowdowns or recessions, changes in political, economic or industry conditions, global conflicts (including the ongoing conflicts in Europe, the Middle East and Latin America), inflation, the interest rate environment, U.S. government shutdowns, downgrades to the U.S. government’s sovereign credit rating or other conditions affecting the global financial and capital markets, and epidemic, pandemic or other health issues; and</w:t>
      </w:r>
    </w:p>
    <w:p>
      <w:pPr>
        <w:jc w:val="both"/>
        <w:ind w:left="700" w:right="119" w:hanging="326"/>
        <w:spacing w:after="0" w:line="253"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set forth in Part I, Item 1 “Business,” Part I, Item 1A “Risk Factors” and Part II, Item 7 “Management’s Discussion and Analysis of Financial Condition and Results of Operations” sections of this Annual Report on Form 10-K, as well as those described from time to time in our future reports filed with the U.S. Securities and Exchange Commission (the “SEC”).</w:t>
      </w:r>
    </w:p>
    <w:p>
      <w:pPr>
        <w:spacing w:after="0" w:line="121" w:lineRule="exact"/>
        <w:rPr>
          <w:sz w:val="20"/>
          <w:szCs w:val="20"/>
          <w:color w:val="auto"/>
        </w:rPr>
      </w:pPr>
    </w:p>
    <w:p>
      <w:pPr>
        <w:ind w:left="60" w:right="59" w:firstLine="259"/>
        <w:spacing w:after="0" w:line="253"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Annual Report on Form 10-K.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0" w:type="dxa"/>
            <w:vAlign w:val="bottom"/>
            <w:gridSpan w:val="8"/>
            <w:vMerge w:val="continue"/>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1.</w:t>
            </w:r>
          </w:p>
        </w:tc>
        <w:tc>
          <w:tcPr>
            <w:tcW w:w="80" w:type="dxa"/>
            <w:vAlign w:val="bottom"/>
            <w:tcBorders>
              <w:top w:val="single" w:sz="8" w:color="0000EE"/>
            </w:tcBorders>
          </w:tcPr>
          <w:p>
            <w:pPr>
              <w:spacing w:after="0"/>
              <w:rPr>
                <w:sz w:val="18"/>
                <w:szCs w:val="18"/>
                <w:color w:val="auto"/>
              </w:rPr>
            </w:pPr>
          </w:p>
        </w:tc>
        <w:tc>
          <w:tcPr>
            <w:tcW w:w="620" w:type="dxa"/>
            <w:vAlign w:val="bottom"/>
            <w:gridSpan w:val="6"/>
          </w:tcPr>
          <w:p>
            <w:pPr>
              <w:spacing w:after="0"/>
              <w:rPr>
                <w:sz w:val="18"/>
                <w:szCs w:val="18"/>
                <w:color w:val="auto"/>
              </w:rPr>
            </w:pPr>
          </w:p>
        </w:tc>
        <w:tc>
          <w:tcPr>
            <w:tcW w:w="6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Business</w:t>
            </w:r>
          </w:p>
        </w:tc>
        <w:tc>
          <w:tcPr>
            <w:tcW w:w="6380" w:type="dxa"/>
            <w:vAlign w:val="bottom"/>
            <w:gridSpan w:val="23"/>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7"/>
              </w:rPr>
              <w:t>Item 1A.</w:t>
            </w:r>
          </w:p>
        </w:tc>
        <w:tc>
          <w:tcPr>
            <w:tcW w:w="600" w:type="dxa"/>
            <w:vAlign w:val="bottom"/>
            <w:gridSpan w:val="5"/>
          </w:tcPr>
          <w:p>
            <w:pPr>
              <w:spacing w:after="0"/>
              <w:rPr>
                <w:sz w:val="17"/>
                <w:szCs w:val="17"/>
                <w:color w:val="auto"/>
              </w:rPr>
            </w:pPr>
          </w:p>
        </w:tc>
        <w:tc>
          <w:tcPr>
            <w:tcW w:w="7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1B.</w:t>
            </w:r>
          </w:p>
        </w:tc>
        <w:tc>
          <w:tcPr>
            <w:tcW w:w="600" w:type="dxa"/>
            <w:vAlign w:val="bottom"/>
            <w:gridSpan w:val="5"/>
          </w:tcPr>
          <w:p>
            <w:pPr>
              <w:spacing w:after="0"/>
              <w:rPr>
                <w:sz w:val="17"/>
                <w:szCs w:val="17"/>
                <w:color w:val="auto"/>
              </w:rPr>
            </w:pPr>
          </w:p>
        </w:tc>
        <w:tc>
          <w:tcPr>
            <w:tcW w:w="7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1C.</w:t>
            </w:r>
          </w:p>
        </w:tc>
        <w:tc>
          <w:tcPr>
            <w:tcW w:w="7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2.</w:t>
            </w:r>
          </w:p>
        </w:tc>
        <w:tc>
          <w:tcPr>
            <w:tcW w:w="100" w:type="dxa"/>
            <w:vAlign w:val="bottom"/>
            <w:tcBorders>
              <w:top w:val="single" w:sz="8" w:color="0000EE"/>
            </w:tcBorders>
            <w:gridSpan w:val="2"/>
          </w:tcPr>
          <w:p>
            <w:pPr>
              <w:spacing w:after="0"/>
              <w:rPr>
                <w:sz w:val="17"/>
                <w:szCs w:val="17"/>
                <w:color w:val="auto"/>
              </w:rPr>
            </w:pPr>
          </w:p>
        </w:tc>
        <w:tc>
          <w:tcPr>
            <w:tcW w:w="600" w:type="dxa"/>
            <w:vAlign w:val="bottom"/>
            <w:gridSpan w:val="5"/>
          </w:tcPr>
          <w:p>
            <w:pPr>
              <w:spacing w:after="0"/>
              <w:rPr>
                <w:sz w:val="17"/>
                <w:szCs w:val="17"/>
                <w:color w:val="auto"/>
              </w:rPr>
            </w:pPr>
          </w:p>
        </w:tc>
        <w:tc>
          <w:tcPr>
            <w:tcW w:w="10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6020" w:type="dxa"/>
            <w:vAlign w:val="bottom"/>
            <w:gridSpan w:val="19"/>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3.</w:t>
            </w:r>
          </w:p>
        </w:tc>
        <w:tc>
          <w:tcPr>
            <w:tcW w:w="700" w:type="dxa"/>
            <w:vAlign w:val="bottom"/>
            <w:gridSpan w:val="7"/>
          </w:tcPr>
          <w:p>
            <w:pPr>
              <w:spacing w:after="0"/>
              <w:rPr>
                <w:sz w:val="17"/>
                <w:szCs w:val="17"/>
                <w:color w:val="auto"/>
              </w:rPr>
            </w:pPr>
          </w:p>
        </w:tc>
        <w:tc>
          <w:tcPr>
            <w:tcW w:w="13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5680" w:type="dxa"/>
            <w:vAlign w:val="bottom"/>
            <w:gridSpan w:val="1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4"/>
              </w:rPr>
              <w:t>PART II</w:t>
            </w:r>
          </w:p>
        </w:tc>
        <w:tc>
          <w:tcPr>
            <w:tcW w:w="540" w:type="dxa"/>
            <w:vAlign w:val="bottom"/>
            <w:gridSpan w:val="4"/>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Item 5.</w:t>
            </w:r>
          </w:p>
        </w:tc>
        <w:tc>
          <w:tcPr>
            <w:tcW w:w="70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Equity Securities</w:t>
            </w:r>
          </w:p>
        </w:tc>
        <w:tc>
          <w:tcPr>
            <w:tcW w:w="5560" w:type="dxa"/>
            <w:vAlign w:val="bottom"/>
            <w:tcBorders>
              <w:top w:val="single" w:sz="8" w:color="0000EE"/>
            </w:tcBorders>
            <w:gridSpan w:val="17"/>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6.</w:t>
            </w:r>
          </w:p>
        </w:tc>
        <w:tc>
          <w:tcPr>
            <w:tcW w:w="700" w:type="dxa"/>
            <w:vAlign w:val="bottom"/>
            <w:gridSpan w:val="7"/>
          </w:tcPr>
          <w:p>
            <w:pPr>
              <w:spacing w:after="0"/>
              <w:rPr>
                <w:sz w:val="17"/>
                <w:szCs w:val="17"/>
                <w:color w:val="auto"/>
              </w:rPr>
            </w:pPr>
          </w:p>
        </w:tc>
        <w:tc>
          <w:tcPr>
            <w:tcW w:w="7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7.</w:t>
            </w:r>
          </w:p>
        </w:tc>
        <w:tc>
          <w:tcPr>
            <w:tcW w:w="700" w:type="dxa"/>
            <w:vAlign w:val="bottom"/>
            <w:gridSpan w:val="7"/>
          </w:tcPr>
          <w:p>
            <w:pPr>
              <w:spacing w:after="0"/>
              <w:rPr>
                <w:sz w:val="17"/>
                <w:szCs w:val="17"/>
                <w:color w:val="auto"/>
              </w:rPr>
            </w:pPr>
          </w:p>
        </w:tc>
        <w:tc>
          <w:tcPr>
            <w:tcW w:w="646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56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7"/>
              </w:rPr>
              <w:t>Item 7A.</w:t>
            </w:r>
          </w:p>
        </w:tc>
        <w:tc>
          <w:tcPr>
            <w:tcW w:w="600" w:type="dxa"/>
            <w:vAlign w:val="bottom"/>
            <w:gridSpan w:val="5"/>
          </w:tcPr>
          <w:p>
            <w:pPr>
              <w:spacing w:after="0"/>
              <w:rPr>
                <w:sz w:val="17"/>
                <w:szCs w:val="17"/>
                <w:color w:val="auto"/>
              </w:rPr>
            </w:pPr>
          </w:p>
        </w:tc>
        <w:tc>
          <w:tcPr>
            <w:tcW w:w="43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660" w:type="dxa"/>
            <w:vAlign w:val="bottom"/>
            <w:gridSpan w:val="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0000EE"/>
                <w:w w:val="90"/>
              </w:rPr>
              <w:t>Item 8.</w:t>
            </w:r>
          </w:p>
        </w:tc>
        <w:tc>
          <w:tcPr>
            <w:tcW w:w="700" w:type="dxa"/>
            <w:vAlign w:val="bottom"/>
            <w:gridSpan w:val="7"/>
          </w:tcPr>
          <w:p>
            <w:pPr>
              <w:spacing w:after="0"/>
              <w:rPr>
                <w:sz w:val="17"/>
                <w:szCs w:val="17"/>
                <w:color w:val="auto"/>
              </w:rPr>
            </w:pPr>
          </w:p>
        </w:tc>
        <w:tc>
          <w:tcPr>
            <w:tcW w:w="7020" w:type="dxa"/>
            <w:vAlign w:val="bottom"/>
            <w:gridSpan w:val="25"/>
          </w:tcPr>
          <w:p>
            <w:pPr>
              <w:spacing w:after="0" w:line="182"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6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80" w:type="dxa"/>
            <w:vAlign w:val="bottom"/>
            <w:gridSpan w:val="7"/>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9.</w:t>
            </w:r>
          </w:p>
        </w:tc>
        <w:tc>
          <w:tcPr>
            <w:tcW w:w="700" w:type="dxa"/>
            <w:vAlign w:val="bottom"/>
            <w:gridSpan w:val="7"/>
          </w:tcPr>
          <w:p>
            <w:pPr>
              <w:spacing w:after="0"/>
              <w:rPr>
                <w:sz w:val="18"/>
                <w:szCs w:val="18"/>
                <w:color w:val="auto"/>
              </w:rPr>
            </w:pPr>
          </w:p>
        </w:tc>
        <w:tc>
          <w:tcPr>
            <w:tcW w:w="648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540" w:type="dxa"/>
            <w:vAlign w:val="bottom"/>
            <w:gridSpan w:val="3"/>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7"/>
              </w:rPr>
              <w:t>Item 9A.</w:t>
            </w:r>
          </w:p>
        </w:tc>
        <w:tc>
          <w:tcPr>
            <w:tcW w:w="600" w:type="dxa"/>
            <w:vAlign w:val="bottom"/>
            <w:gridSpan w:val="5"/>
          </w:tcPr>
          <w:p>
            <w:pPr>
              <w:spacing w:after="0"/>
              <w:rPr>
                <w:sz w:val="17"/>
                <w:szCs w:val="17"/>
                <w:color w:val="auto"/>
              </w:rPr>
            </w:pPr>
          </w:p>
        </w:tc>
        <w:tc>
          <w:tcPr>
            <w:tcW w:w="7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8"/>
              </w:rPr>
              <w:t>Item 9B.</w:t>
            </w:r>
          </w:p>
        </w:tc>
        <w:tc>
          <w:tcPr>
            <w:tcW w:w="600" w:type="dxa"/>
            <w:vAlign w:val="bottom"/>
            <w:gridSpan w:val="5"/>
          </w:tcPr>
          <w:p>
            <w:pPr>
              <w:spacing w:after="0"/>
              <w:rPr>
                <w:sz w:val="17"/>
                <w:szCs w:val="17"/>
                <w:color w:val="auto"/>
              </w:rPr>
            </w:pPr>
          </w:p>
        </w:tc>
        <w:tc>
          <w:tcPr>
            <w:tcW w:w="17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5260" w:type="dxa"/>
            <w:vAlign w:val="bottom"/>
            <w:gridSpan w:val="1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80" w:type="dxa"/>
            <w:vAlign w:val="bottom"/>
            <w:gridSpan w:val="7"/>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9C.</w:t>
            </w:r>
          </w:p>
        </w:tc>
        <w:tc>
          <w:tcPr>
            <w:tcW w:w="7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2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EE"/>
              </w:rPr>
              <w:t>PART III</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10.</w:t>
            </w:r>
          </w:p>
        </w:tc>
        <w:tc>
          <w:tcPr>
            <w:tcW w:w="120" w:type="dxa"/>
            <w:vAlign w:val="bottom"/>
            <w:tcBorders>
              <w:top w:val="single" w:sz="8" w:color="0000EE"/>
            </w:tcBorders>
            <w:gridSpan w:val="3"/>
          </w:tcPr>
          <w:p>
            <w:pPr>
              <w:spacing w:after="0"/>
              <w:rPr>
                <w:sz w:val="17"/>
                <w:szCs w:val="17"/>
                <w:color w:val="auto"/>
              </w:rPr>
            </w:pPr>
          </w:p>
        </w:tc>
        <w:tc>
          <w:tcPr>
            <w:tcW w:w="480" w:type="dxa"/>
            <w:vAlign w:val="bottom"/>
            <w:gridSpan w:val="2"/>
          </w:tcPr>
          <w:p>
            <w:pPr>
              <w:spacing w:after="0"/>
              <w:rPr>
                <w:sz w:val="17"/>
                <w:szCs w:val="17"/>
                <w:color w:val="auto"/>
              </w:rPr>
            </w:pPr>
          </w:p>
        </w:tc>
        <w:tc>
          <w:tcPr>
            <w:tcW w:w="41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2920" w:type="dxa"/>
            <w:vAlign w:val="bottom"/>
            <w:gridSpan w:val="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7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gridSpan w:val="9"/>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12.</w:t>
            </w:r>
          </w:p>
        </w:tc>
        <w:tc>
          <w:tcPr>
            <w:tcW w:w="600" w:type="dxa"/>
            <w:vAlign w:val="bottom"/>
            <w:gridSpan w:val="5"/>
          </w:tcPr>
          <w:p>
            <w:pPr>
              <w:spacing w:after="0"/>
              <w:rPr>
                <w:sz w:val="17"/>
                <w:szCs w:val="17"/>
                <w:color w:val="auto"/>
              </w:rPr>
            </w:pPr>
          </w:p>
        </w:tc>
        <w:tc>
          <w:tcPr>
            <w:tcW w:w="670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w:t>
            </w:r>
          </w:p>
        </w:tc>
        <w:tc>
          <w:tcPr>
            <w:tcW w:w="32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Matters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13.</w:t>
            </w:r>
          </w:p>
        </w:tc>
        <w:tc>
          <w:tcPr>
            <w:tcW w:w="600" w:type="dxa"/>
            <w:vAlign w:val="bottom"/>
            <w:gridSpan w:val="5"/>
          </w:tcPr>
          <w:p>
            <w:pPr>
              <w:spacing w:after="0"/>
              <w:rPr>
                <w:sz w:val="17"/>
                <w:szCs w:val="17"/>
                <w:color w:val="auto"/>
              </w:rPr>
            </w:pPr>
          </w:p>
        </w:tc>
        <w:tc>
          <w:tcPr>
            <w:tcW w:w="7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14.</w:t>
            </w:r>
          </w:p>
        </w:tc>
        <w:tc>
          <w:tcPr>
            <w:tcW w:w="600" w:type="dxa"/>
            <w:vAlign w:val="bottom"/>
            <w:gridSpan w:val="5"/>
          </w:tcPr>
          <w:p>
            <w:pPr>
              <w:spacing w:after="0"/>
              <w:rPr>
                <w:sz w:val="17"/>
                <w:szCs w:val="17"/>
                <w:color w:val="auto"/>
              </w:rPr>
            </w:pPr>
          </w:p>
        </w:tc>
        <w:tc>
          <w:tcPr>
            <w:tcW w:w="286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Principal Accountant Fees and Services</w:t>
            </w:r>
          </w:p>
        </w:tc>
        <w:tc>
          <w:tcPr>
            <w:tcW w:w="2580" w:type="dxa"/>
            <w:vAlign w:val="bottom"/>
            <w:tcBorders>
              <w:top w:val="single" w:sz="8" w:color="0000EE"/>
            </w:tcBorders>
            <w:gridSpan w:val="6"/>
          </w:tcPr>
          <w:p>
            <w:pPr>
              <w:spacing w:after="0"/>
              <w:rPr>
                <w:sz w:val="17"/>
                <w:szCs w:val="17"/>
                <w:color w:val="auto"/>
              </w:rPr>
            </w:pPr>
          </w:p>
        </w:tc>
        <w:tc>
          <w:tcPr>
            <w:tcW w:w="158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2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3"/>
              </w:rPr>
              <w:t>Item 15.</w:t>
            </w:r>
          </w:p>
        </w:tc>
        <w:tc>
          <w:tcPr>
            <w:tcW w:w="100" w:type="dxa"/>
            <w:vAlign w:val="bottom"/>
            <w:tcBorders>
              <w:top w:val="single" w:sz="8" w:color="0000EE"/>
            </w:tcBorders>
            <w:gridSpan w:val="2"/>
          </w:tcPr>
          <w:p>
            <w:pPr>
              <w:spacing w:after="0"/>
              <w:rPr>
                <w:sz w:val="18"/>
                <w:szCs w:val="18"/>
                <w:color w:val="auto"/>
              </w:rPr>
            </w:pPr>
          </w:p>
        </w:tc>
        <w:tc>
          <w:tcPr>
            <w:tcW w:w="500" w:type="dxa"/>
            <w:vAlign w:val="bottom"/>
            <w:gridSpan w:val="3"/>
          </w:tcPr>
          <w:p>
            <w:pPr>
              <w:spacing w:after="0"/>
              <w:rPr>
                <w:sz w:val="18"/>
                <w:szCs w:val="18"/>
                <w:color w:val="auto"/>
              </w:rPr>
            </w:pPr>
          </w:p>
        </w:tc>
        <w:tc>
          <w:tcPr>
            <w:tcW w:w="31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3860" w:type="dxa"/>
            <w:vAlign w:val="bottom"/>
            <w:gridSpan w:val="10"/>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16.</w:t>
            </w:r>
          </w:p>
        </w:tc>
        <w:tc>
          <w:tcPr>
            <w:tcW w:w="600" w:type="dxa"/>
            <w:vAlign w:val="bottom"/>
            <w:gridSpan w:val="5"/>
          </w:tcPr>
          <w:p>
            <w:pPr>
              <w:spacing w:after="0"/>
              <w:rPr>
                <w:sz w:val="17"/>
                <w:szCs w:val="17"/>
                <w:color w:val="auto"/>
              </w:rPr>
            </w:pPr>
          </w:p>
        </w:tc>
        <w:tc>
          <w:tcPr>
            <w:tcW w:w="7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2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Westrock Coffee Company, a Delaware corporation (the “Company,” “Westrock,” “we,” “us,” or “our”), is a leading integrated coffee, tea, flavors, extracts, and ingredients solutions provider in the United States, providing coffee sourcing, supply chain management, product development, roasting, packaging, and distribution services to the retail, food service and restaurant, convenience store and travel center, non-commercial account, consumer packaged goods (“CPG”), and hospitality industries around the world.</w:t>
      </w:r>
    </w:p>
    <w:p>
      <w:pPr>
        <w:spacing w:after="0" w:line="183" w:lineRule="exact"/>
        <w:rPr>
          <w:sz w:val="20"/>
          <w:szCs w:val="20"/>
          <w:color w:val="auto"/>
        </w:rPr>
      </w:pPr>
    </w:p>
    <w:p>
      <w:pPr>
        <w:jc w:val="both"/>
        <w:ind w:left="60" w:right="559"/>
        <w:spacing w:after="0" w:line="266" w:lineRule="auto"/>
        <w:rPr>
          <w:sz w:val="20"/>
          <w:szCs w:val="20"/>
          <w:color w:val="auto"/>
        </w:rPr>
      </w:pPr>
      <w:r>
        <w:rPr>
          <w:rFonts w:ascii="Times New Roman" w:cs="Times New Roman" w:eastAsia="Times New Roman" w:hAnsi="Times New Roman"/>
          <w:sz w:val="18"/>
          <w:szCs w:val="18"/>
          <w:color w:val="auto"/>
        </w:rPr>
        <w:t>Our mission is to build and efficiently operate the preeminent integrated coffee, tea, flavors, extracts, and ingredients solutions provider to the world’s most iconic brands. We do this to provide smallholder farmers and their families in developing countries the ability to advance their quality of life and economic well-being.</w:t>
      </w:r>
    </w:p>
    <w:p>
      <w:pPr>
        <w:spacing w:after="0" w:line="1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Our platform is built upon four fundamental pillars that position us as a leading provider of value-added beverage solutions and enable us to positively impact the coffee, tea, flavors, extracts, and ingredients ecosystems from crop to cup: (i) operate a transparent supply chain, (ii) develop innovative beverage solutions tailored to our customers’ specific needs, (iii) deliver a high quality and comprehensive set of products to our customers, and (iv) leverage our scaled international presence to serve our blue-chip customer base.</w:t>
      </w:r>
    </w:p>
    <w:p>
      <w:pPr>
        <w:spacing w:after="0" w:line="183" w:lineRule="exact"/>
        <w:rPr>
          <w:sz w:val="20"/>
          <w:szCs w:val="20"/>
          <w:color w:val="auto"/>
        </w:rPr>
      </w:pPr>
    </w:p>
    <w:p>
      <w:pPr>
        <w:jc w:val="both"/>
        <w:ind w:left="60" w:right="159"/>
        <w:spacing w:after="0" w:line="289" w:lineRule="auto"/>
        <w:rPr>
          <w:sz w:val="20"/>
          <w:szCs w:val="20"/>
          <w:color w:val="auto"/>
        </w:rPr>
      </w:pPr>
      <w:r>
        <w:rPr>
          <w:rFonts w:ascii="Times New Roman" w:cs="Times New Roman" w:eastAsia="Times New Roman" w:hAnsi="Times New Roman"/>
          <w:sz w:val="17"/>
          <w:szCs w:val="17"/>
          <w:color w:val="auto"/>
        </w:rPr>
        <w:t>The Company operates manufacturing and distribution facilities in Concord, North Carolina, North Little Rock, Arkansas, Conway, Arkansas, and Johor Bahru, Malaysia. In addition, the Company operates Trading and Representative offices in Lewes, UK, Austin, Texas, Lima &amp; Jaen, Peru, Addis Ababa, Ethiopia, Johor Bahru, Malaysia, and Seoul, Korea.</w:t>
      </w:r>
    </w:p>
    <w:p>
      <w:pPr>
        <w:spacing w:after="0" w:line="158" w:lineRule="exact"/>
        <w:rPr>
          <w:sz w:val="20"/>
          <w:szCs w:val="20"/>
          <w:color w:val="auto"/>
        </w:rPr>
      </w:pPr>
    </w:p>
    <w:p>
      <w:pPr>
        <w:ind w:left="60" w:right="919"/>
        <w:spacing w:after="0" w:line="282" w:lineRule="auto"/>
        <w:rPr>
          <w:sz w:val="20"/>
          <w:szCs w:val="20"/>
          <w:color w:val="auto"/>
        </w:rPr>
      </w:pPr>
      <w:r>
        <w:rPr>
          <w:rFonts w:ascii="Times New Roman" w:cs="Times New Roman" w:eastAsia="Times New Roman" w:hAnsi="Times New Roman"/>
          <w:sz w:val="18"/>
          <w:szCs w:val="18"/>
          <w:color w:val="auto"/>
        </w:rPr>
        <w:t>As of December 31, 2025, our operating structure consists of two reportable segments: Beverage Solutions and Sustainable Sourcing &amp; Traceability (“SS&amp;T”).</w:t>
      </w:r>
    </w:p>
    <w:p>
      <w:pPr>
        <w:spacing w:after="0" w:line="162"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u w:val="single" w:color="auto"/>
          <w:color w:val="auto"/>
        </w:rPr>
        <w:t>Beverage Solutions:</w:t>
      </w:r>
      <w:r>
        <w:rPr>
          <w:rFonts w:ascii="Times New Roman" w:cs="Times New Roman" w:eastAsia="Times New Roman" w:hAnsi="Times New Roman"/>
          <w:sz w:val="18"/>
          <w:szCs w:val="18"/>
          <w:color w:val="auto"/>
        </w:rPr>
        <w:t xml:space="preserve"> Through this segment, we combine our product innovation and customer insights to provide value-added beverage solutions, including coffee, tea, flavors, extracts and ingredients. We provide products in a variety of packaging, including branded and private label coffee in bags, fractional packs, single serve cups, multi-serve bottles and ready-to-drink (“RTD”) bottles and cans, as well as extract solutions to be used in products such as cold brew and RTD offerings. Currently, we serve customers in the United States, Europe and Asia, through the retail, food service and restaurant, convenience store and travel center, non-commercial account, CPG, and hospitality industries.</w:t>
      </w:r>
    </w:p>
    <w:p>
      <w:pPr>
        <w:spacing w:after="0" w:line="187"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u w:val="single" w:color="auto"/>
          <w:color w:val="auto"/>
        </w:rPr>
        <w:t>Sustainable Sourcing &amp; Traceability:</w:t>
      </w:r>
      <w:r>
        <w:rPr>
          <w:rFonts w:ascii="Times New Roman" w:cs="Times New Roman" w:eastAsia="Times New Roman" w:hAnsi="Times New Roman"/>
          <w:sz w:val="18"/>
          <w:szCs w:val="18"/>
          <w:color w:val="auto"/>
        </w:rPr>
        <w:t xml:space="preserve"> Through this segment, we utilize our proprietary technology and digitally traceable supply chain to directly impact and improve the lives of our farming partners, provide tangible economic empowerment and emphasize environmental accountability and farmer literacy. Revenues primarily consist of sales from commodity contracts related to forward sales of green coffee.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left="60" w:right="619"/>
        <w:spacing w:after="0" w:line="266" w:lineRule="auto"/>
        <w:rPr>
          <w:sz w:val="20"/>
          <w:szCs w:val="20"/>
          <w:color w:val="auto"/>
        </w:rPr>
      </w:pPr>
      <w:r>
        <w:rPr>
          <w:rFonts w:ascii="Times New Roman" w:cs="Times New Roman" w:eastAsia="Times New Roman" w:hAnsi="Times New Roman"/>
          <w:sz w:val="18"/>
          <w:szCs w:val="18"/>
          <w:color w:val="auto"/>
        </w:rPr>
        <w:t>Refer to Part II, Item 7 “Management’s Discussion and Analysis of Financial Condition and Results of Operations – Overview – Significant Developments”, of this Annual Report on Form 10-K for information regarding significant developments in our business.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9"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In order to achieve our mission, we will utilize our competitive strengths and we will drive continued, sustainable growth and strong financial performance by executing on our growth strategies.</w:t>
      </w:r>
    </w:p>
    <w:p>
      <w:pPr>
        <w:spacing w:after="0" w:line="200" w:lineRule="exact"/>
        <w:rPr>
          <w:sz w:val="20"/>
          <w:szCs w:val="20"/>
          <w:color w:val="auto"/>
        </w:rPr>
      </w:pPr>
    </w:p>
    <w:p>
      <w:pPr>
        <w:spacing w:after="0" w:line="39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Innovative, value-added, and scalable beverage solutions provider. </w:t>
      </w:r>
      <w:r>
        <w:rPr>
          <w:rFonts w:ascii="Times New Roman" w:cs="Times New Roman" w:eastAsia="Times New Roman" w:hAnsi="Times New Roman"/>
          <w:sz w:val="18"/>
          <w:szCs w:val="18"/>
          <w:color w:val="auto"/>
        </w:rPr>
        <w:t>Our comprehensive solutions offering and 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approach make us a unique “brand-behind-the-brand,” which allows us to deliver value-added beverage solutions across multiple product categories and platforms to our customers. Our collaborative product development process starts with custom consumer insights targeted to our customers’ channel and consumer profiles and makes us a critical partner to foodservice and private label retail operators seeking new and innovative products. The ability to serve global foodservice operators through our international presence, responsible sourcing capabilities, and vertically integrated supply chain positions us as a global full-menu beverage solutions provider.</w:t>
      </w:r>
    </w:p>
    <w:p>
      <w:pPr>
        <w:spacing w:after="0" w:line="185"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Our comprehensive line of products allows us to create product platforms in a multitude of packaging sizes and formats. Our skilled team has extensive experience working in blend matching and taste profiling, which allows us to match any coffee or tea blend or ready-to-drink beverage desired and maintain consistency of our products. This, along with our partnership approach with our customers, enhances our ability to drive beverage program profitability.</w:t>
      </w:r>
    </w:p>
    <w:p>
      <w:pPr>
        <w:spacing w:after="0" w:line="178"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High growth and compelling liquid extract business. </w:t>
      </w:r>
      <w:r>
        <w:rPr>
          <w:rFonts w:ascii="Times New Roman" w:cs="Times New Roman" w:eastAsia="Times New Roman" w:hAnsi="Times New Roman"/>
          <w:sz w:val="18"/>
          <w:szCs w:val="18"/>
          <w:color w:val="auto"/>
        </w:rPr>
        <w:t>As Millennials and Gen Z enter their prime spending age, they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drive major change within the coffee industry, with increased demand for cold coffee, liquid extracts, and premium away-from-home beverages compared to hot coffee beverages and carbonated soft drinks. As traditional fast-food restaurants and convenience stores compete to win back market share from current industry leaders, these restaurants and convenience stores need a partner to innovate and fulfill growing demand for cold coffee and other forms of liquid extracts globally.</w:t>
      </w:r>
    </w:p>
    <w:p>
      <w:pPr>
        <w:spacing w:after="0" w:line="184" w:lineRule="exact"/>
        <w:rPr>
          <w:sz w:val="20"/>
          <w:szCs w:val="20"/>
          <w:color w:val="auto"/>
        </w:rPr>
      </w:pPr>
    </w:p>
    <w:p>
      <w:pPr>
        <w:ind w:left="60" w:right="359"/>
        <w:spacing w:after="0" w:line="256" w:lineRule="auto"/>
        <w:rPr>
          <w:sz w:val="20"/>
          <w:szCs w:val="20"/>
          <w:color w:val="auto"/>
        </w:rPr>
      </w:pPr>
      <w:r>
        <w:rPr>
          <w:rFonts w:ascii="Times New Roman" w:cs="Times New Roman" w:eastAsia="Times New Roman" w:hAnsi="Times New Roman"/>
          <w:sz w:val="18"/>
          <w:szCs w:val="18"/>
          <w:color w:val="auto"/>
        </w:rPr>
        <w:t>As a leading partner to these restaurants and convenience stores, we believe we are capable of fulfilling innovation requirements and scaling quickly enough to meet demand. We are well positioned to support innovation demand from extract development through RTD fulfillment. Liquid Extracts is our highest growth product category that includes iced coffees, cold brew coffee, and RTD mixes, with cold coffee products experiencing the most significant growth. The segment comes with a significant channel diversification opportunity within the varied ingredients and cross-selling options driven by cold brew and RTD beverages.</w:t>
      </w:r>
    </w:p>
    <w:p>
      <w:pPr>
        <w:spacing w:after="0" w:line="185"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Exceptional and highly experienced management team and culture of commitment. </w:t>
      </w:r>
      <w:r>
        <w:rPr>
          <w:rFonts w:ascii="Times New Roman" w:cs="Times New Roman" w:eastAsia="Times New Roman" w:hAnsi="Times New Roman"/>
          <w:sz w:val="18"/>
          <w:szCs w:val="18"/>
          <w:color w:val="auto"/>
        </w:rPr>
        <w:t>We have a highly experienced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leadership team anchored by a growth-oriented culture and a deep bench of talent with strong business and operational experience. Our employees at all levels of our organization are passionate about addressing the needs of our stakeholders — from our farmer partners, to our customers, to our stockholders. Our company is full of people looking to make a difference in countless lives around the world. We consider everyone who touches Westrock coffee — from crop to cup —  to be an equal contributor in our mission to produce great coffee and improve the industry as a whole. Our experienced and passionate executive team has helmed the acceleration of our growth and set our strategic direction, all underpinned by a purpose to become the world’s most competitive and innovative provider of beverage solutions in order to provide smallholder farmers and their families in developing countries the ability to advance their quality of life and economic well-being.</w:t>
      </w:r>
    </w:p>
    <w:p>
      <w:pPr>
        <w:spacing w:after="0" w:line="185"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Purpose-driven mission that delivers measurable impact. </w:t>
      </w:r>
      <w:r>
        <w:rPr>
          <w:rFonts w:ascii="Times New Roman" w:cs="Times New Roman" w:eastAsia="Times New Roman" w:hAnsi="Times New Roman"/>
          <w:sz w:val="18"/>
          <w:szCs w:val="18"/>
          <w:color w:val="auto"/>
        </w:rPr>
        <w:t>We started Westrock with the belief that growth is an inevitable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byproduct of investments in infrastructure, farmer development, supply chain and product innovation, and technological advancement, when coupled with exceptional personal service. We transform anonymous, disjointed supply chains into transparent, connected systems. Through economic empowerment and environmental accountability, we directly improve the lives of the people who bring our products to life. Paying fair prices, training farmers, and connecting them to customers with transparency leads to reinvestment in more sustainable, profitable farms. The value we create to improve lives accelerates symbiotically with our revenue and profits.</w:t>
      </w:r>
    </w:p>
    <w:p>
      <w:pPr>
        <w:spacing w:after="0" w:line="183" w:lineRule="exact"/>
        <w:rPr>
          <w:sz w:val="20"/>
          <w:szCs w:val="20"/>
          <w:color w:val="auto"/>
        </w:rPr>
      </w:pPr>
    </w:p>
    <w:p>
      <w:pPr>
        <w:jc w:val="both"/>
        <w:ind w:left="60" w:right="13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Proprietary, digitally traceable technology. </w:t>
      </w:r>
      <w:r>
        <w:rPr>
          <w:rFonts w:ascii="Times New Roman" w:cs="Times New Roman" w:eastAsia="Times New Roman" w:hAnsi="Times New Roman"/>
          <w:sz w:val="18"/>
          <w:szCs w:val="18"/>
          <w:color w:val="auto"/>
        </w:rPr>
        <w:t>We are capable of tracing individual lots from the farm, through the roaster,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finished good. Our proprietary technology links various points and systems to create traceability and connectivity on a global scale.</w:t>
      </w:r>
    </w:p>
    <w:p>
      <w:pPr>
        <w:spacing w:after="0" w:line="175"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Beginning with the farmer transactions, data is captured at every stage of the supply chain. We then collect data as it relates to exporting and importing coffee beans, including coffee milling, ocean freight, import clearing and delivery to the final warehouse. We then obtain the roasting data, as well as information about our purchase orders and packaging. Upon delivery to our customers, the traceability data is uploaded to their portals for finished goods. Our technology and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539"/>
        <w:spacing w:after="0" w:line="266" w:lineRule="auto"/>
        <w:rPr>
          <w:sz w:val="20"/>
          <w:szCs w:val="20"/>
          <w:color w:val="auto"/>
        </w:rPr>
      </w:pPr>
      <w:r>
        <w:rPr>
          <w:rFonts w:ascii="Times New Roman" w:cs="Times New Roman" w:eastAsia="Times New Roman" w:hAnsi="Times New Roman"/>
          <w:sz w:val="18"/>
          <w:szCs w:val="18"/>
          <w:color w:val="auto"/>
        </w:rPr>
        <w:t>commitment to responsible sourcing enables us to transform anonymous, disjointed supply chains into transparent, connected systems. Traceability is a fundamental pillar of the value proposition we offer our customers, and is key to driving the industry shift that will positively impact small hold coffee farmers throughout the world.</w:t>
      </w:r>
    </w:p>
    <w:p>
      <w:pPr>
        <w:spacing w:after="0" w:line="174"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Significant customer value proposition. </w:t>
      </w:r>
      <w:r>
        <w:rPr>
          <w:rFonts w:ascii="Times New Roman" w:cs="Times New Roman" w:eastAsia="Times New Roman" w:hAnsi="Times New Roman"/>
          <w:sz w:val="18"/>
          <w:szCs w:val="18"/>
          <w:color w:val="auto"/>
        </w:rPr>
        <w:t>Our value proposition enables us to develop successful beverage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roadmaps, to provide product innovation, and to grow with our customers. Consumer and market insights comprise the foundation of our product innovation process and customer program recommendations. As a research-driven organization, we utilize our industry and consumer insights across our product development and sales processes. Our end-to-end solutions are based on a cross-functional sales team approach that starts with insights and innovation, leads to product and taste profile development, on to sourcing and risk management, production, final packaging and logistics delivery, and is supported with marketing and continued process and program refinement.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227"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Extend and enhance product offerings through innovation. </w:t>
      </w:r>
      <w:r>
        <w:rPr>
          <w:rFonts w:ascii="Times New Roman" w:cs="Times New Roman" w:eastAsia="Times New Roman" w:hAnsi="Times New Roman"/>
          <w:sz w:val="18"/>
          <w:szCs w:val="18"/>
          <w:color w:val="auto"/>
        </w:rPr>
        <w:t>Product innovation is paramount to our success. As the brand-behind-the-brand, we expect to continue to create new categories while innovating current products and formats at scale. We believe the liquid extracts category is one of the best near-term product expansion opportunities as customer tastes continue to shift to cold brew and RTD offerings.</w:t>
      </w:r>
    </w:p>
    <w:p>
      <w:pPr>
        <w:spacing w:after="0" w:line="180" w:lineRule="exact"/>
        <w:rPr>
          <w:sz w:val="20"/>
          <w:szCs w:val="20"/>
          <w:color w:val="auto"/>
        </w:rPr>
      </w:pPr>
    </w:p>
    <w:p>
      <w:pPr>
        <w:ind w:left="60" w:right="1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Expand our customer base. </w:t>
      </w:r>
      <w:r>
        <w:rPr>
          <w:rFonts w:ascii="Times New Roman" w:cs="Times New Roman" w:eastAsia="Times New Roman" w:hAnsi="Times New Roman"/>
          <w:sz w:val="18"/>
          <w:szCs w:val="18"/>
          <w:color w:val="auto"/>
        </w:rPr>
        <w:t>We seek to expand our blue-chip customer base to further penetrate our existing channels.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customer pipeline is organized and quantified through a detailed process that facilitates our cross-functional team’s efforts to grow our customer base.</w:t>
      </w:r>
    </w:p>
    <w:p>
      <w:pPr>
        <w:spacing w:after="0" w:line="173"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Follow our customers with geographic expansion. </w:t>
      </w:r>
      <w:r>
        <w:rPr>
          <w:rFonts w:ascii="Times New Roman" w:cs="Times New Roman" w:eastAsia="Times New Roman" w:hAnsi="Times New Roman"/>
          <w:sz w:val="18"/>
          <w:szCs w:val="18"/>
          <w:color w:val="auto"/>
        </w:rPr>
        <w:t>Many of our blue-chip customers operate restaurants, hotels,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convenience stores, and retail stores globally. Based on our estimates, we serve a substantial majority of our customers’ locations in the United States, but a very small fraction of their locations in international markets. This creates a significant opportunity to increase our sales within our existing customer base by “going with” our customers where they currently operate.</w:t>
      </w:r>
    </w:p>
    <w:p>
      <w:pPr>
        <w:spacing w:after="0" w:line="183"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Proven M&amp;A platform with a highly accretive actionable pipeline of acquisition targets. </w:t>
      </w:r>
      <w:r>
        <w:rPr>
          <w:rFonts w:ascii="Times New Roman" w:cs="Times New Roman" w:eastAsia="Times New Roman" w:hAnsi="Times New Roman"/>
          <w:sz w:val="18"/>
          <w:szCs w:val="18"/>
          <w:color w:val="auto"/>
        </w:rPr>
        <w:t>Our management team has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proven track record of identifying, executing, and integrating acquisitions. We intend to leverage our proven value creation playbook to accelerate growth and realize synergies. Acquisitions will allow us to increase our customers, products, and geographies.</w:t>
      </w:r>
    </w:p>
    <w:p>
      <w:pPr>
        <w:spacing w:after="0" w:line="180"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Continue to drive margin expansion. </w:t>
      </w:r>
      <w:r>
        <w:rPr>
          <w:rFonts w:ascii="Times New Roman" w:cs="Times New Roman" w:eastAsia="Times New Roman" w:hAnsi="Times New Roman"/>
          <w:sz w:val="18"/>
          <w:szCs w:val="18"/>
          <w:color w:val="auto"/>
        </w:rPr>
        <w:t>We have developed a vertically integrated infrastructure that allows for scalability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adaptability. We will continue to increase our scale in order to promote cost of goods sold efficiencies and improve our ability to leverage our fixed cost infrastructure. We will also continue to seek to improve gross profit, through driving sales growth in the high-margin liquid extracts segment.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We are focused on building a brand-behind-the-brand platform supported by an organization with the capabilities to provide comprehensive value-added beverage solutions. Capitalizing on growing beverage categories and innovation, we offer a wide array of products that allow our customers to satisfy their customers’ changing tastes and preferences.</w:t>
      </w:r>
    </w:p>
    <w:p>
      <w:pPr>
        <w:spacing w:after="0" w:line="1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Our diversified product offering includes whole bean and roast and ground coffee, including single serve cups, food service iced tea, retail and food service hot tea, extract-based products, and our RTD bottle and can beverage platform. These products reside in our Beverage Solutions segment.</w:t>
      </w:r>
    </w:p>
    <w:p>
      <w:pPr>
        <w:spacing w:after="0" w:line="17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We collaborate with customers from the consumer insights and product design phase of development through extract manufacture and end-of-the-line packaging. This approach makes us a valuable partner for our global customers to feed a constant pipeline of innovation into their business planning process, gives us a multi-year outlook far ahead of product launches and enables us to plan and deploy human resources and capital expenditures. Using this same platform, we are also able to toll produce for our customers.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As consumer preferences change and we integrate further as a key partner to our global customer base, we will continue to create new categories, innovate current products and formats at scale, and deliver the craft appeal across our offerings, with a baseline of the sustainable and better-for-you products that our customers are demanding.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Customer Channels</w:t>
      </w:r>
    </w:p>
    <w:p>
      <w:pPr>
        <w:spacing w:after="0" w:line="229"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We seek to supply the world’s most iconic brands with the world’s most innovative coffee, tea, flavors, extracts, and ingredients products. As the brand-behind-the-brand, our long-tenured customers include blue-chip market leaders across the retail, restaurant and food service, convenience store and travel center, non-commercial account, CPG, and hospitality industries.</w:t>
      </w:r>
    </w:p>
    <w:p>
      <w:pPr>
        <w:spacing w:after="0" w:line="180" w:lineRule="exact"/>
        <w:rPr>
          <w:sz w:val="20"/>
          <w:szCs w:val="20"/>
          <w:color w:val="auto"/>
        </w:rPr>
      </w:pPr>
    </w:p>
    <w:p>
      <w:pPr>
        <w:jc w:val="both"/>
        <w:ind w:left="60" w:right="299"/>
        <w:spacing w:after="0" w:line="266" w:lineRule="auto"/>
        <w:rPr>
          <w:sz w:val="20"/>
          <w:szCs w:val="20"/>
          <w:color w:val="auto"/>
        </w:rPr>
      </w:pPr>
      <w:r>
        <w:rPr>
          <w:rFonts w:ascii="Times New Roman" w:cs="Times New Roman" w:eastAsia="Times New Roman" w:hAnsi="Times New Roman"/>
          <w:sz w:val="18"/>
          <w:szCs w:val="18"/>
          <w:color w:val="auto"/>
        </w:rPr>
        <w:t>The mix of industries we serve provides a balance of in-home and out-of-home consumption. This diversification brings opportunities to leverage various products across industries and help us, regardless of shifting consumer patterns driving consumption at home or away, remain stable and balanced as a provider of the brand-behind-the-brand.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Supply Chain Traceability and Community Impact</w:t>
      </w:r>
    </w:p>
    <w:p>
      <w:pPr>
        <w:spacing w:after="0" w:line="22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We differentiate ourselves by situating our businesses at each point of aggregation in the supply chain, including coffee exporting, coffee importing and trading through our wholly owned subsidiary Falcon Coffees Limited (“Falcon”) and other strategically positioned sourcing and trading relationships. These strategic holdings provide exceptional insight into each segment of the supply chain that allows us to better understand and manage risk.</w:t>
      </w:r>
    </w:p>
    <w:p>
      <w:pPr>
        <w:spacing w:after="0" w:line="180"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We are focused on delivering a traceable and transparent supply chain for our customers. We have multiple programs and strategies designed to meet customers’ varying needs, including the following:</w:t>
      </w:r>
    </w:p>
    <w:p>
      <w:pPr>
        <w:spacing w:after="0" w:line="160" w:lineRule="exact"/>
        <w:rPr>
          <w:sz w:val="20"/>
          <w:szCs w:val="20"/>
          <w:color w:val="auto"/>
        </w:rPr>
      </w:pPr>
    </w:p>
    <w:p>
      <w:pPr>
        <w:ind w:left="60" w:right="2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Responsible Sourcing Strategy. </w:t>
      </w:r>
      <w:r>
        <w:rPr>
          <w:rFonts w:ascii="Times New Roman" w:cs="Times New Roman" w:eastAsia="Times New Roman" w:hAnsi="Times New Roman"/>
          <w:sz w:val="18"/>
          <w:szCs w:val="18"/>
          <w:color w:val="auto"/>
        </w:rPr>
        <w:t>We define responsible sourcing as the purchase and processing of coffee and tea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that is fair to the people who grow and handle it, their employees, peers, and environments. We are committed to continuing to increase our responsibly sourced coffee and tea purchases. We have built a global supplier assurance framework in partnership with assurance experts, and we audit our coffee supplier network for compliance with our Responsible Sourcing Policy. Additionally, all tea purchases are third-party certified and we are increasing purchases of second-party verified and third-party certified coffee.</w:t>
      </w:r>
    </w:p>
    <w:p>
      <w:pPr>
        <w:spacing w:after="0" w:line="182" w:lineRule="exact"/>
        <w:rPr>
          <w:sz w:val="20"/>
          <w:szCs w:val="20"/>
          <w:color w:val="auto"/>
        </w:rPr>
      </w:pPr>
    </w:p>
    <w:p>
      <w:pPr>
        <w:ind w:left="60" w:right="139"/>
        <w:spacing w:after="0" w:line="257" w:lineRule="auto"/>
        <w:rPr>
          <w:sz w:val="20"/>
          <w:szCs w:val="20"/>
          <w:color w:val="auto"/>
        </w:rPr>
      </w:pPr>
      <w:r>
        <w:rPr>
          <w:rFonts w:ascii="Times New Roman" w:cs="Times New Roman" w:eastAsia="Times New Roman" w:hAnsi="Times New Roman"/>
          <w:sz w:val="18"/>
          <w:szCs w:val="18"/>
          <w:i w:val="1"/>
          <w:iCs w:val="1"/>
          <w:color w:val="auto"/>
        </w:rPr>
        <w:t>Farmer Direct Verified®.</w:t>
      </w:r>
      <w:r>
        <w:rPr>
          <w:rFonts w:ascii="Times New Roman" w:cs="Times New Roman" w:eastAsia="Times New Roman" w:hAnsi="Times New Roman"/>
          <w:sz w:val="18"/>
          <w:szCs w:val="18"/>
          <w:color w:val="auto"/>
        </w:rPr>
        <w:t>  We seek to be the largest private label service provider in the world to enable digital traceability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scale from farm gate to the finished products across all beverage offerings. Our transparent sourcing program, Farmer Direct Verified® (“FDV”), provides transactional data throughout the supply chain. This, combined with multi-year trade relationships, enables deeper collaboration, encourages ethical practices in the supply chain, and lays a foundation to solve the sustainability issues of tomorrow. Communicating supply chain realities allows our customers to make informed decisions for their brands and leads to reinvestment in sustainable farms.</w:t>
      </w:r>
    </w:p>
    <w:p>
      <w:pPr>
        <w:spacing w:after="0" w:line="182" w:lineRule="exact"/>
        <w:rPr>
          <w:sz w:val="20"/>
          <w:szCs w:val="20"/>
          <w:color w:val="auto"/>
        </w:rPr>
      </w:pPr>
    </w:p>
    <w:p>
      <w:pPr>
        <w:ind w:left="60" w:right="339"/>
        <w:spacing w:after="0" w:line="257" w:lineRule="auto"/>
        <w:rPr>
          <w:sz w:val="20"/>
          <w:szCs w:val="20"/>
          <w:color w:val="auto"/>
        </w:rPr>
      </w:pPr>
      <w:r>
        <w:rPr>
          <w:rFonts w:ascii="Times New Roman" w:cs="Times New Roman" w:eastAsia="Times New Roman" w:hAnsi="Times New Roman"/>
          <w:sz w:val="18"/>
          <w:szCs w:val="18"/>
          <w:i w:val="1"/>
          <w:iCs w:val="1"/>
          <w:color w:val="auto"/>
        </w:rPr>
        <w:t>Raíz Sustainability</w:t>
      </w:r>
      <w:r>
        <w:rPr>
          <w:rFonts w:ascii="Times New Roman" w:cs="Times New Roman" w:eastAsia="Times New Roman" w:hAnsi="Times New Roman"/>
          <w:sz w:val="18"/>
          <w:szCs w:val="18"/>
          <w:color w:val="auto"/>
        </w:rPr>
        <w:t>. Raíz Sustainability (“Raíz”) is a proprietary third-party verified sustainable farming program. Raíz</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farmers receive training, services, and a $0.05 premium that makes their farms more environmentally sustainable and profitable. Raíz farmers also comply with internationally recognized standards for labor conditions, human rights, and environmental protection. Supply chain programs like Raíz allow us to spread sourcing risk across multiple partners, origins, quality types and farmer groups without giving up influence over matters material to our sourcing goals such as farmer livelihoods, yield improvements, and transparent data.</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229" w:lineRule="exact"/>
        <w:rPr>
          <w:sz w:val="20"/>
          <w:szCs w:val="20"/>
          <w:color w:val="auto"/>
        </w:rPr>
      </w:pPr>
    </w:p>
    <w:p>
      <w:pPr>
        <w:ind w:left="60" w:right="479"/>
        <w:spacing w:after="0" w:line="266" w:lineRule="auto"/>
        <w:rPr>
          <w:sz w:val="20"/>
          <w:szCs w:val="20"/>
          <w:color w:val="auto"/>
        </w:rPr>
      </w:pPr>
      <w:r>
        <w:rPr>
          <w:rFonts w:ascii="Times New Roman" w:cs="Times New Roman" w:eastAsia="Times New Roman" w:hAnsi="Times New Roman"/>
          <w:sz w:val="18"/>
          <w:szCs w:val="18"/>
          <w:color w:val="auto"/>
        </w:rPr>
        <w:t>Our primary raw materials are green coffee and tea. Green coffee is an exchange-traded commodity subject to price fluctuations. We purchase green coffee on a differential basis against the exchange price and on a negotiated flat-price basis.</w:t>
      </w:r>
    </w:p>
    <w:p>
      <w:pPr>
        <w:spacing w:after="0" w:line="176"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We purchase raw materials through importers and exporters who source green coffee and tea from multiple different countries of origin around the world.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supply and price of green coffee and tea are subject to volatility and are influenced by numerous factors which are beyond our control and can be affected by factors such as weather, politics, currency fluctuations and economics within the countries that export coffee. For most, but not all of our customers, increases in the cost of raw materials can be passed on to our customers in the form of higher prices.</w:t>
      </w:r>
    </w:p>
    <w:p>
      <w:pPr>
        <w:spacing w:after="0" w:line="18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Our hedging strategy is a vital element of our business model as it allows us to fix raw materials costs for inventory needed to serve our customers and grow our business, while minimizing the margin volatility associated with fluctuations in commodities prices. While our derivatives strategy is designed to mitigate the impacts of changing prices, no strategy can eliminate pricing risks, and we would generally remain exposed to supply risk in the event of non-performance by the counterparties in any one of our physical contracts. Failure to properly execute an effective hedging strategy may materially adversely affect our business and operating results.</w:t>
      </w:r>
    </w:p>
    <w:p>
      <w:pPr>
        <w:spacing w:after="0" w:line="18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We have a rigorous quality assurance protocol to ensure that our raw materials meet both Company and customer specifications and therefore do not inhibit our ability to meet the finished goods specifications of our clients. Prior to taking ownership, we validate physical and sensory compliance of green coffee. We also check finished goods for packaging, labeling, physical, and sensory compliance with our internal and external specifications prior to shipment.</w:t>
      </w:r>
    </w:p>
    <w:p>
      <w:pPr>
        <w:spacing w:after="0" w:line="180"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We maintain long-term partnerships with our vendors that include rigorous and integrated quality and transparency programs. We procure only the highest quality ingredients. Our supplier approval and monitoring programs ensure that we can consistently deliver and exceed our customers’ expectations.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coffee, tea, flavors, extracts, and ingredients industry is highly competitive. We generally view our competition based on product lines and geography.</w:t>
      </w:r>
    </w:p>
    <w:p>
      <w:pPr>
        <w:spacing w:after="0" w:line="162" w:lineRule="exact"/>
        <w:rPr>
          <w:sz w:val="20"/>
          <w:szCs w:val="20"/>
          <w:color w:val="auto"/>
        </w:rPr>
      </w:pPr>
    </w:p>
    <w:p>
      <w:pPr>
        <w:ind w:left="720" w:right="479" w:hanging="386"/>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U.S. coffee and tea industry, our products compete with Keurig Dr. Pepper Inc., Mother Parkers Tea &amp; Coffee Inc., Trilliant Food and Nutrition, LLC, TreeHouse Foods, Inc., Finlays, Massimo Zanetti Beverage Group, Royal Cup Coffee and Tea and Sunny Sky Products, LLC, among others.</w:t>
      </w:r>
    </w:p>
    <w:p>
      <w:pPr>
        <w:jc w:val="both"/>
        <w:ind w:left="720" w:right="279" w:hanging="386"/>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flavors, extracts, and ingredients industry, our products compete with Kerry Foodservice brands, Finlays, Vibrant Ingredients, Givaudan SA, Symrise AG, International Flavors &amp; Fragrances Inc., Sunny Sky Products, LLC and Treatt PLC, among others.</w:t>
      </w:r>
    </w:p>
    <w:p>
      <w:pPr>
        <w:ind w:left="720" w:right="199" w:hanging="386"/>
        <w:spacing w:after="0" w:line="25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multi-serve and RTD industry, our products compete against historically dominant legacy manufacturers, such as Dairy Farmers of America, Inc. and O-AT-KA Milk Products Cooperative, Inc., and against newer entrants into this industry, which include Berner Food &amp; Beverage, Inc., Trilliant Food and Nutrition, LLC, Bev-Hub LLC, Niagara Bottling, LLC, HP Hood LLC, fairlife LLC, Steuben Foods Inc. and Mountaintop Beverage, LLC, among many others.</w:t>
      </w:r>
    </w:p>
    <w:p>
      <w:pPr>
        <w:spacing w:after="0" w:line="3" w:lineRule="exact"/>
        <w:rPr>
          <w:rFonts w:ascii="Times New Roman" w:cs="Times New Roman" w:eastAsia="Times New Roman" w:hAnsi="Times New Roman"/>
          <w:sz w:val="18"/>
          <w:szCs w:val="18"/>
          <w:color w:val="auto"/>
        </w:rPr>
      </w:pPr>
    </w:p>
    <w:p>
      <w:pPr>
        <w:ind w:left="720" w:right="459" w:hanging="386"/>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international coffee and tea industry, our products compete with Massimo Zanetti Beverage Group and UCC Ueshima Coffee Co., Ltd., among others.</w:t>
      </w: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seek to differentiate ourselves from other providers by (i) sourcing coffee via traceable and transparent supply chains,</w:t>
      </w:r>
    </w:p>
    <w:p>
      <w:pPr>
        <w:spacing w:after="0" w:line="27" w:lineRule="exact"/>
        <w:rPr>
          <w:sz w:val="20"/>
          <w:szCs w:val="20"/>
          <w:color w:val="auto"/>
        </w:rPr>
      </w:pPr>
    </w:p>
    <w:p>
      <w:pPr>
        <w:ind w:left="320" w:hanging="270"/>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customers best-in-class product development and consumer insights across broad product offerings, and</w:t>
      </w:r>
    </w:p>
    <w:p>
      <w:pPr>
        <w:spacing w:after="0" w:line="9" w:lineRule="exact"/>
        <w:rPr>
          <w:rFonts w:ascii="Times New Roman" w:cs="Times New Roman" w:eastAsia="Times New Roman" w:hAnsi="Times New Roman"/>
          <w:sz w:val="18"/>
          <w:szCs w:val="18"/>
          <w:color w:val="auto"/>
        </w:rPr>
      </w:pPr>
    </w:p>
    <w:p>
      <w:pPr>
        <w:ind w:left="60" w:right="299" w:hanging="10"/>
        <w:spacing w:after="0" w:line="260" w:lineRule="auto"/>
        <w:tabs>
          <w:tab w:leader="none" w:pos="3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large manufacturing footprint in varied geographic locations both in the U.S. and abroad which drives cost efficiencies due to scale and customer proximity to our products.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We own several U.S. trademarks and service marks that have been registered (or for which applications have been filed) with the United States Patent and Trademark Office. The duration of trademark registrations varies; however, trademarks are generally valid and may be renewed indefinitely as long as they are in use and/or their registrations are properly maintained. We believe our trademarks and service marks are integral to customer identification of our products. It is not possible to assess the impact of the loss of such identification. In addition, we own numerous registered domain</w:t>
      </w:r>
    </w:p>
    <w:p>
      <w:pPr>
        <w:spacing w:after="0" w:line="39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names, and copyrights, trade secrets, proprietary technology, know-how, and other proprietary rights that are not registered.</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coffee and tea market is subject to some seasonal variations. Sales of hot coffee products are typically higher during the winter months compared to the summer months. Most of our customers define “coffee season” as September through February. However, sales of cold brew, iced tea and extract products from March through August helps mitigate the impact of this seasonality. In addition, the growing trend to “more than hot black coffee” is regulating seasonal variances.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As of December 31, 2025, we had 1,393 employees located around the globe, of which 1,261 employees were located in the United States. Of our employees located in the United States, 759 were hourly production employees. Our non-U.S. workforce of 132 employees was employed in Rwanda, Italy, Czechia, UK, Germany, Malaysia, South Korea, Peru, Columbia, Spain, Greece, France, Brazil, New Zealand, Dominican Republic and Ethiopia.</w:t>
      </w:r>
    </w:p>
    <w:p>
      <w:pPr>
        <w:spacing w:after="0" w:line="178"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Total Compensation and Rewards. </w:t>
      </w:r>
      <w:r>
        <w:rPr>
          <w:rFonts w:ascii="Times New Roman" w:cs="Times New Roman" w:eastAsia="Times New Roman" w:hAnsi="Times New Roman"/>
          <w:sz w:val="18"/>
          <w:szCs w:val="18"/>
          <w:color w:val="auto"/>
        </w:rPr>
        <w:t>We provide competitive compensation and benefits which include market-based 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competitive for our geographies and our industry. We offer a full complement of health and welfare benefits such as health, dental, vision, life insurance, AD&amp;D and other provisions comparable to most manufacturing companies in our space. A 401(k)-retirement plan is offered.</w:t>
      </w:r>
    </w:p>
    <w:p>
      <w:pPr>
        <w:spacing w:after="0" w:line="112" w:lineRule="exact"/>
        <w:rPr>
          <w:sz w:val="20"/>
          <w:szCs w:val="20"/>
          <w:color w:val="auto"/>
        </w:rPr>
      </w:pPr>
    </w:p>
    <w:p>
      <w:pPr>
        <w:jc w:val="both"/>
        <w:ind w:left="60" w:right="1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Workforce Culture. </w:t>
      </w:r>
      <w:r>
        <w:rPr>
          <w:rFonts w:ascii="Times New Roman" w:cs="Times New Roman" w:eastAsia="Times New Roman" w:hAnsi="Times New Roman"/>
          <w:sz w:val="18"/>
          <w:szCs w:val="18"/>
          <w:color w:val="auto"/>
        </w:rPr>
        <w:t>We focus on building a workforce that is responsive to customer needs, attentive to being efficient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conscious for our financial stakeholders, and innovative in seeking to create new products and services in the industry. We actively recruit for diverse talent and seek to build a culture reflective of the desires and the needs of the customers we partner with and serve.</w:t>
      </w:r>
    </w:p>
    <w:p>
      <w:pPr>
        <w:spacing w:after="0" w:line="112" w:lineRule="exact"/>
        <w:rPr>
          <w:sz w:val="20"/>
          <w:szCs w:val="20"/>
          <w:color w:val="auto"/>
        </w:rPr>
      </w:pPr>
    </w:p>
    <w:p>
      <w:pPr>
        <w:ind w:left="60" w:right="13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Employee Health and Safety. </w:t>
      </w:r>
      <w:r>
        <w:rPr>
          <w:rFonts w:ascii="Times New Roman" w:cs="Times New Roman" w:eastAsia="Times New Roman" w:hAnsi="Times New Roman"/>
          <w:sz w:val="18"/>
          <w:szCs w:val="18"/>
          <w:color w:val="auto"/>
        </w:rPr>
        <w:t>We maintain a qualified staff of professionals to oversee, manage and apply all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food safety, environment safety, and workplace safety standards promulgated by agencies that audit our facilities throughout the United States.</w:t>
      </w:r>
    </w:p>
    <w:p>
      <w:pPr>
        <w:spacing w:after="0" w:line="94" w:lineRule="exact"/>
        <w:rPr>
          <w:sz w:val="20"/>
          <w:szCs w:val="20"/>
          <w:color w:val="auto"/>
        </w:rPr>
      </w:pPr>
    </w:p>
    <w:p>
      <w:pPr>
        <w:ind w:left="60" w:right="799"/>
        <w:spacing w:after="0" w:line="422" w:lineRule="auto"/>
        <w:rPr>
          <w:sz w:val="20"/>
          <w:szCs w:val="20"/>
          <w:color w:val="auto"/>
        </w:rPr>
      </w:pPr>
      <w:r>
        <w:rPr>
          <w:rFonts w:ascii="Times New Roman" w:cs="Times New Roman" w:eastAsia="Times New Roman" w:hAnsi="Times New Roman"/>
          <w:sz w:val="18"/>
          <w:szCs w:val="18"/>
          <w:color w:val="auto"/>
        </w:rPr>
        <w:t xml:space="preserve">We believe our workforce is prepared to meet the needs of our customers and further the growth of our Company. </w:t>
      </w:r>
      <w:r>
        <w:rPr>
          <w:rFonts w:ascii="Times New Roman" w:cs="Times New Roman" w:eastAsia="Times New Roman" w:hAnsi="Times New Roman"/>
          <w:sz w:val="18"/>
          <w:szCs w:val="18"/>
          <w:b w:val="1"/>
          <w:bCs w:val="1"/>
          <w:color w:val="auto"/>
        </w:rPr>
        <w:t>Regulatory Environment</w:t>
      </w:r>
    </w:p>
    <w:p>
      <w:pPr>
        <w:spacing w:after="0" w:line="1"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As a manufacturer of coffee, tea, flavors, extracts, and ingredients, we are subject to extensive regulation. We comply with the Good Manufacturing Practices promulgated by the Food and Drug Administration (FDA) and we meet all requirements under the Food Safety Modernization Act (FSMA) and applicable state regulations. Our operations are also subject to the general industry requirements, including the workplace safety standards of the Occupational Safety and Health Administration (OSHA) and the environmental standards of the Environmental Protection Agency (EPA).</w:t>
      </w:r>
    </w:p>
    <w:p>
      <w:pPr>
        <w:spacing w:after="0" w:line="102" w:lineRule="exact"/>
        <w:rPr>
          <w:sz w:val="20"/>
          <w:szCs w:val="20"/>
          <w:color w:val="auto"/>
        </w:rPr>
      </w:pPr>
    </w:p>
    <w:p>
      <w:pPr>
        <w:ind w:left="60" w:right="99"/>
        <w:spacing w:after="0" w:line="281" w:lineRule="auto"/>
        <w:rPr>
          <w:sz w:val="20"/>
          <w:szCs w:val="20"/>
          <w:color w:val="auto"/>
        </w:rPr>
      </w:pPr>
      <w:r>
        <w:rPr>
          <w:rFonts w:ascii="Times New Roman" w:cs="Times New Roman" w:eastAsia="Times New Roman" w:hAnsi="Times New Roman"/>
          <w:sz w:val="17"/>
          <w:szCs w:val="17"/>
          <w:color w:val="auto"/>
        </w:rPr>
        <w:t>In addition to these regulatory requirements, our facilities maintain certifications under recognized Global Food Safety Initiative (GFSI) schemes and operate under a Quality Management System designed to ensure compliance with regulatory and customer standards. These systems are periodically reviewed through internal audits, as well as by independent third-party auditing agencies and customer auditing bodies, to reinforce employee awareness of food safety and product quality.</w:t>
      </w:r>
    </w:p>
    <w:p>
      <w:pPr>
        <w:spacing w:after="0" w:line="97"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We also maintain a corporate compliance program intended to promote ethical business practices. This program includes regular employee training on topics such as the Foreign Corrupt Practices Act (FCPA) to support compliance with applicable laws and to provide a mechanism for raising concerns.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02" w:lineRule="exact"/>
        <w:rPr>
          <w:sz w:val="20"/>
          <w:szCs w:val="20"/>
          <w:color w:val="auto"/>
        </w:rPr>
      </w:pPr>
    </w:p>
    <w:p>
      <w:pPr>
        <w:ind w:left="60" w:right="279"/>
        <w:spacing w:after="0" w:line="289" w:lineRule="auto"/>
        <w:rPr>
          <w:sz w:val="20"/>
          <w:szCs w:val="20"/>
          <w:color w:val="auto"/>
        </w:rPr>
      </w:pPr>
      <w:r>
        <w:rPr>
          <w:rFonts w:ascii="Times New Roman" w:cs="Times New Roman" w:eastAsia="Times New Roman" w:hAnsi="Times New Roman"/>
          <w:sz w:val="17"/>
          <w:szCs w:val="17"/>
          <w:color w:val="auto"/>
        </w:rPr>
        <w:t>The Company’s website address is www.westrockcoffee.com. Our Annual Reports on Form 10-K, Quarterly Reports on Form 10-Q, Current Reports on Form 8-K, and any amendments to those reports filed or furnished pursuant to Section 13(a) or 15(d) of the Securities Exchange Act of 1934 (the “Exchange Act”) are available on our website, free of charge,</w:t>
      </w:r>
    </w:p>
    <w:p>
      <w:pPr>
        <w:spacing w:after="0" w:line="37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as soon as reasonably practicable after we electronically file such materials with, or furnish to, the SEC. Our Exchange Act filings can also be found at www.sec.gov.</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i w:val="1"/>
          <w:iCs w:val="1"/>
          <w:color w:val="auto"/>
        </w:rPr>
        <w:t>An investment in our Common Shares involves a variety of risks, some of which are specific to us and some of which are inherent to the industry in which we operate. The following risks and other information in this report or incorporated in this report by reference, including our consolidated financial statements and related notes and “Management’s Discussion and Analysis of Financial Condition and Results of Operations,” should be read carefully before investing in our securities. These risks may adversely affect our financial condition, results of operations or liquidity. Many of these risks are out of our direct control, though efforts are made to manage those risks while optimizing financial results. These risks are not the only risks we face. Additional risks and uncertainties that we are not aware of or focused on or that we currently deem immaterial may also adversely affect our business and operations. This Annual Report on Form 10-K is qualified in its entirety by all these risk factors.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w:t>
      </w:r>
    </w:p>
    <w:p>
      <w:pPr>
        <w:spacing w:after="0" w:line="225"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scale up operations or commercialize customers within the anticipated time frame following the recent opening of our new facility in Conway, Arkansas and may incur additional expenses in the process, which could hamper our ability to satisfy customer demand, meet revenue targets and generate positive operating cash flows.</w:t>
      </w:r>
    </w:p>
    <w:p>
      <w:pPr>
        <w:spacing w:after="0" w:line="180"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In 2021, we purchased a 524,000 square foot manufacturing facility in Conway, Arkansas with the intent to build out the capacity and capabilities needed to meet our customer demand. Construction on the facility began in late 2022 and the facility became fully operational in 2025. If we do not scale up our operations and commercialize customers at the facility within our anticipated timeframe, or if we incur additional expenses in the process of scaling up operations, it might hamper our ability to satisfy customer demand, meet revenue targets and generate positive operating cash flows.</w:t>
      </w:r>
    </w:p>
    <w:p>
      <w:pPr>
        <w:spacing w:after="0" w:line="179"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 in operations at any of our production and distribution facilities could affect our ability to manufacture or distribute products and could adversely affect our business and sales.</w:t>
      </w:r>
    </w:p>
    <w:p>
      <w:pPr>
        <w:spacing w:after="0" w:line="15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Our sales and distribution network requires a large investment to maintain and operate, and we rely on a limited number of production and distribution facilities. Our production capacity is currently concentrated in our Conway, Arkansas, Concord, North Carolina, North Little Rock, Arkansas and Johor Bahru, Malaysia facilities and a significant portion of our extract and ready-to-drink production capabilities reside at, and a significant portion of our expected future revenues and operating cash flows will be generated by, our facility in Conway, Arkansas. If we were to experience a prolonged disruption in the operation of these facilities due to damage from fire, natural disaster, power loss, utilities interruptions, labor shortages, regulatory or food safety issues, water scarcity or a failure of production equipment or information technology systems supporting our production processes, we may not have sufficient capacity at our other facilities to meet our customers’ demands. While the Company has property and business interruption insurance for its manufacturing facility, such insurance may not be sufficient to cover all of the Company’s potential losses, and may not continue to be available on acceptable terms, or at all. If demand increases more than we forecast, we will need to either expand our capabilities internally or acquire additional capacity. Alternative facilities with sufficient capacity or capabilities may not be available, may cost substantially more than existing facilities or may take significant time to start production, which would have an adverse impact on our financial condition, results of operations and cash flows.</w:t>
      </w:r>
    </w:p>
    <w:p>
      <w:pPr>
        <w:spacing w:after="0" w:line="197"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In addition, we use a significant amount of water, electricity, gasoline, diesel and oil, natural gas and other energy sources to operate our production and distribution facilities. An increase in the price, disruption of supply or shortage of water, fuel and other energy sources that may be caused by increased demand or by events such as climate change, natural disasters, power outages, cyberattacks or the like, could lead to higher electricity, utilities, transportation and other commodity costs, which could negatively impact our profitability, financial condition or results of operations.</w:t>
      </w:r>
    </w:p>
    <w:p>
      <w:pPr>
        <w:spacing w:after="0" w:line="39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net losses in the past, may incur net losses in the future, may not achieve or maintain profitability in the future, and fluctuations in our operating results make it difficult to project future results.</w:t>
      </w:r>
    </w:p>
    <w:p>
      <w:pPr>
        <w:spacing w:after="0" w:line="15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Our rapid growth makes it difficult for us to forecast our future operating results, which have fluctuated in the past and are expected to fluctuate in the future due to a variety of factors, many of which are beyond our control. In the years ended December 31, 2025, 2024 and 2023, we incurred net losses of $90.4 million, $80.3 million and $34.6 million, respectively. These losses could continue for the next several years as we expand our product offering and continue to scale our commercial operations by hiring additional personnel to improve the operations of our business and support public company compliance requirements, increasing our sales and marketing functions and expanding our manufacturing and distribution capabilities. If our products do not achieve sufficient market acceptance, our revenue growth rate may be slower than we expect, we may not be able to increase revenue enough to offset the increase in operating expenses resulting from investments, and we will not become profitable. Even if we are able to increase sales of our products, there can be no assurance that we will ever achieve or sustain profitability.</w:t>
      </w:r>
    </w:p>
    <w:p>
      <w:pPr>
        <w:spacing w:after="0" w:line="190"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retain key personnel or recruit qualified personnel could adversely impact our financial condition, results of operations and cash flow.</w:t>
      </w:r>
    </w:p>
    <w:p>
      <w:pPr>
        <w:spacing w:after="0" w:line="15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Our success depends on the contributions of key personnel and a consistent workforce, including production workers, support staff and executive team members. The competition for talent in the markets in which we compete is extremely high and candidates’ preferences and expectations are evolving. We must continue to recruit, retain, motivate and develop management and other employees sufficiently to maintain our current business and support our projected growth and strategic initiatives. This may require that we adapt to evolving labor conditions and make significant investments in our employees, including through coaching, training or other professional development activities. Activities related to identifying, recruiting, hiring and integrating qualified individuals require significant time and attention. We may also need to invest significant amounts of cash and equity to attract talented new employees, the returns on which we may never fully realize. In this competitive environment, our business could be adversely affected by increased labor costs, including wages and benefits, cost increases triggered by compensation-related regulatory actions concerning wages, worktime scheduling and benefits; increased healthcare and workers’ compensation insurance costs; increased wages and costs of other benefits necessary to attract and retain high quality employees with the appropriate skill sets and increased wages, benefits and costs related to any public health issues. In addition, our wages and benefits programs may be insufficient to attract and retain talented employees.</w:t>
      </w:r>
    </w:p>
    <w:p>
      <w:pPr>
        <w:spacing w:after="0" w:line="19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Our ability to achieve our key strategic objectives may be adversely affected if we are unable to successfully retain our talented employees, which may impact our financial condition and operating results. For example, our founder, Mr. Scott T. Ford, is an important leader for the business and any loss of service resulting from his absence would disrupt our business and likely adversely impact our operating performance. Further, any unplanned turnover or failure to develop or implement an adequate succession plan for our senior management and other key employees, could deplete our institutional knowledge, erode our competitive advantage, and negatively affect our business, financial condition and operating results. We do not maintain key person life insurance policies on any of our executive officers.</w:t>
      </w:r>
    </w:p>
    <w:p>
      <w:pPr>
        <w:spacing w:after="0" w:line="185" w:lineRule="exact"/>
        <w:rPr>
          <w:sz w:val="20"/>
          <w:szCs w:val="20"/>
          <w:color w:val="auto"/>
        </w:rPr>
      </w:pPr>
    </w:p>
    <w:p>
      <w:pPr>
        <w:ind w:left="60" w:right="8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Further consolidation among our customers or the loss of any key customer could negatively affect our sales, profitability and future growth.</w:t>
      </w:r>
    </w:p>
    <w:p>
      <w:pPr>
        <w:spacing w:after="0" w:line="159" w:lineRule="exact"/>
        <w:rPr>
          <w:sz w:val="20"/>
          <w:szCs w:val="20"/>
          <w:color w:val="auto"/>
        </w:rPr>
      </w:pPr>
    </w:p>
    <w:p>
      <w:pPr>
        <w:ind w:left="60" w:right="239"/>
        <w:spacing w:after="0" w:line="254" w:lineRule="auto"/>
        <w:rPr>
          <w:sz w:val="20"/>
          <w:szCs w:val="20"/>
          <w:color w:val="auto"/>
        </w:rPr>
      </w:pPr>
      <w:r>
        <w:rPr>
          <w:rFonts w:ascii="Times New Roman" w:cs="Times New Roman" w:eastAsia="Times New Roman" w:hAnsi="Times New Roman"/>
          <w:sz w:val="18"/>
          <w:szCs w:val="18"/>
          <w:color w:val="auto"/>
        </w:rPr>
        <w:t>We have a number of large national account customers and the loss of or reduction in sales to one or more of them would likely have a material adverse effect on our operating results. For the fiscal year ended December 31, 2025, our top five customers accounted for approximately 35% of our net sales. To the extent that we do not have written contracts with customers, they can stop purchasing our products at any time without penalty and are free to purchase products from our competitors. There can be no assurance that our customers will continue to purchase our products in the same mix or quantities or on the same terms as they have in the past. Our customers may also take actions that we cannot control or anticipate, such as changing their business strategy, merging with our competitors or introducing products that may compete with ours.</w:t>
      </w:r>
    </w:p>
    <w:p>
      <w:pPr>
        <w:spacing w:after="0" w:line="192"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Additionally, industry consolidation has generally led to our customers becoming larger and more sophisticated buyers of our products, leveraging their buying power and negotiating strength to improve their profitability through more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139"/>
        <w:spacing w:after="0" w:line="261" w:lineRule="auto"/>
        <w:rPr>
          <w:sz w:val="20"/>
          <w:szCs w:val="20"/>
          <w:color w:val="auto"/>
        </w:rPr>
      </w:pPr>
      <w:r>
        <w:rPr>
          <w:rFonts w:ascii="Times New Roman" w:cs="Times New Roman" w:eastAsia="Times New Roman" w:hAnsi="Times New Roman"/>
          <w:sz w:val="18"/>
          <w:szCs w:val="18"/>
          <w:color w:val="auto"/>
        </w:rPr>
        <w:t>favorable contractual terms. To the extent we provide contractual concessions such as lower prices or more favorable trade terms, our margins would be reduced. Over time, our inability to extend such concessions may negatively impact our sales revenue. Our customers may also face financial difficulties, bankruptcy or other business disruptions that may affect their ability to pay for our products, which could adversely affect our sales and profitability.</w:t>
      </w:r>
    </w:p>
    <w:p>
      <w:pPr>
        <w:spacing w:after="0" w:line="176"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anticipate customer preferences and successfully develop new products, or if we fail to effectively manage the introduction of new products, our business will suffer.</w:t>
      </w:r>
    </w:p>
    <w:p>
      <w:pPr>
        <w:spacing w:after="0" w:line="159" w:lineRule="exact"/>
        <w:rPr>
          <w:sz w:val="20"/>
          <w:szCs w:val="20"/>
          <w:color w:val="auto"/>
        </w:rPr>
      </w:pPr>
    </w:p>
    <w:p>
      <w:pPr>
        <w:jc w:val="both"/>
        <w:ind w:left="60" w:right="259"/>
        <w:spacing w:after="0" w:line="261" w:lineRule="auto"/>
        <w:rPr>
          <w:sz w:val="20"/>
          <w:szCs w:val="20"/>
          <w:color w:val="auto"/>
        </w:rPr>
      </w:pPr>
      <w:r>
        <w:rPr>
          <w:rFonts w:ascii="Times New Roman" w:cs="Times New Roman" w:eastAsia="Times New Roman" w:hAnsi="Times New Roman"/>
          <w:sz w:val="18"/>
          <w:szCs w:val="18"/>
          <w:color w:val="auto"/>
        </w:rPr>
        <w:t>Our business depends on our ability to satisfy our customers with our beverage products and their continued purchase of our products. Our customers generally have no obligation to continue or otherwise extend their purchasing, and there can be no assurance that our customers will continue or otherwise extend their purchasing for similar periods or for the same amount of our products.</w:t>
      </w:r>
    </w:p>
    <w:p>
      <w:pPr>
        <w:spacing w:after="0" w:line="18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rate at which we retain our customers may decline or fluctuate as a result of a number of factors, including our end-use customers’ changing preferences, the shift among millennial coffee drinkers from hot brew towards cold brew and extracts (or any reversion thereof), satisfaction with our products and their prices, the prices of competing products, mergers and acquisitions affecting our direct customers, the effects of global economic conditions, and reductions in customers’ spending levels. If our customers do not continue purchasing our products, our revenues would decline, and we may not realize improved operating results from our customer base.</w:t>
      </w:r>
    </w:p>
    <w:p>
      <w:pPr>
        <w:spacing w:after="0" w:line="183"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estimated addressable market and our continued penetration and expansion into additional markets is subject to inherent challenges and uncertainties that could have a material adverse effect on our results of operations and future growth opportunities.</w:t>
      </w:r>
    </w:p>
    <w:p>
      <w:pPr>
        <w:spacing w:after="0" w:line="175"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Our total addressable market in the United States is calculated based on an estimated percentage of households that purchase coffee products at least once per year, which we generally estimate based on internal and third-party market research, historical surveys and interviews with market participants, which is inherently imprecise. As a result, our addressable market, as well as our estimates relating to the size and expected growth of the markets in which we operate, our penetration of those markets and our expectations regarding future opportunities, are based on assumptions and estimates that may prove inaccurate and are subject to significant uncertainty. If our assumptions, estimates or expectations prove to be inaccurate, there could be a material adverse effect on our business, financial condition and results of operations.</w:t>
      </w:r>
    </w:p>
    <w:p>
      <w:pPr>
        <w:spacing w:after="0" w:line="192" w:lineRule="exact"/>
        <w:rPr>
          <w:sz w:val="20"/>
          <w:szCs w:val="20"/>
          <w:color w:val="auto"/>
        </w:rPr>
      </w:pPr>
    </w:p>
    <w:p>
      <w:pPr>
        <w:ind w:left="60" w:right="59"/>
        <w:spacing w:after="0" w:line="274" w:lineRule="auto"/>
        <w:rPr>
          <w:sz w:val="20"/>
          <w:szCs w:val="20"/>
          <w:color w:val="auto"/>
        </w:rPr>
      </w:pPr>
      <w:r>
        <w:rPr>
          <w:rFonts w:ascii="Times New Roman" w:cs="Times New Roman" w:eastAsia="Times New Roman" w:hAnsi="Times New Roman"/>
          <w:sz w:val="17"/>
          <w:szCs w:val="17"/>
          <w:color w:val="auto"/>
        </w:rPr>
        <w:t>We believe that our future growth depends not only on serving existing customers, but also on continuing to get new customers and expanding our distribution base in the United States and internationally. In new geographic markets, we may face challenges that are different from those we currently encounter, including competitive, merchandising, distribution, hiring, legal and regulatory, and other difficulties. Although we continue to evaluate sales and marketing efforts and other strategies to expand our supplier, customer and distribution bases, there is no assurance that we will be successful. If we are not successful, this could have a material adverse effect on our business, financial condition and results of operations.</w:t>
      </w:r>
    </w:p>
    <w:p>
      <w:pPr>
        <w:spacing w:after="0" w:line="169"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acquire companies, which can divert our management’s attention and we may also be unable to integrate such businesses or identify and achieve their projected benefits.</w:t>
      </w:r>
    </w:p>
    <w:p>
      <w:pPr>
        <w:spacing w:after="0" w:line="159"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A core part of our strategy is to grow through acquisitions. We currently are, and expect in the future to be, engaged in evaluating potential transactions. However, we may be unable to identify and consummate additional acquisitions, and we may incur significant transaction costs in seeking acquisitions that we do not complete. Furthermore, the identification of suitable acquisition candidates can be difficult, time-consuming and costly, and we may not complete acquisitions on favorable terms, if at all. Such acquisitions may disrupt our ongoing business operations, divert management from their primary responsibilities, increase our expenses and subject us to increased regulatory requirements. In addition, we may not successfully integrate and manage businesses that we acquire or fully achieve anticipated cost savings and synergies from acquisitions in the timeframe we anticipate or at all and projections of the anticipated benefits of any acquisition can be negatively affected by intervening events beyond our control. There can be</w:t>
      </w:r>
    </w:p>
    <w:p>
      <w:pPr>
        <w:spacing w:after="0" w:line="200" w:lineRule="exact"/>
        <w:rPr>
          <w:sz w:val="20"/>
          <w:szCs w:val="20"/>
          <w:color w:val="auto"/>
        </w:rPr>
      </w:pPr>
    </w:p>
    <w:p>
      <w:pPr>
        <w:spacing w:after="0" w:line="20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no assurance that we will successfully or efficiently integrate any businesses that we may acquire in the future, and the failure to do so could have a material adverse effect on our business, financial condition and operating results.</w:t>
      </w:r>
    </w:p>
    <w:p>
      <w:pPr>
        <w:spacing w:after="0" w:line="158"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continue to grow rapidly, we may not be able to effectively manage the growth and increased complexity of our business and, as a result, our business, financial condition and operating results could suffer.</w:t>
      </w:r>
    </w:p>
    <w:p>
      <w:pPr>
        <w:spacing w:after="0" w:line="159"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Our rapid growth has placed, and may continue to place, significant demands on our organizational, administrative and operational infrastructure, including manufacturing operations, supply chain, distribution capabilities, quality control, product development, regulatory support, customer service, sales force management and general and financial administration. We could also experience challenges in obtaining sufficient raw materials and manufacturing capacity to produce the products we sell, along with delays in production and shipments. As we continue to grow and potentially acquire other businesses, we will need to continue building our operational, financial and management controls as well as our reporting systems and procedures. Any enhancements, expansions and additions to our property, plant and equipment or workforce necessary to manage our growth could strain our resources, expose us to new legal risks in new jurisdictions, and cause operating difficulties. If we are unable to manage our growth and increased complexity effectively, we may be unable to execute our business plan, which could lead to a material adverse effect on our business, financial condition and operating results.</w:t>
      </w:r>
    </w:p>
    <w:p>
      <w:pPr>
        <w:spacing w:after="0" w:line="188" w:lineRule="exact"/>
        <w:rPr>
          <w:sz w:val="20"/>
          <w:szCs w:val="20"/>
          <w:color w:val="auto"/>
        </w:rPr>
      </w:pPr>
    </w:p>
    <w:p>
      <w:pPr>
        <w:ind w:left="60" w:right="2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international laws and regulations that could adversely affect our business, including anti-corruption laws and trade controls laws, and noncompliance with such laws could subject us to criminal or civil liability. Any failure to comply with these laws or regulations correctly could result in a temporary halt in distribution of our products and other costs, affecting our business and profitability.</w:t>
      </w:r>
    </w:p>
    <w:p>
      <w:pPr>
        <w:spacing w:after="0" w:line="180"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We are subject to various federal, state, local and foreign laws that affect how we conduct our business, including the manufacturing, safety, sourcing, labeling, storing, transportation, marketing, advertising, distribution and sale of our products, our relations with distributors and retailers, and our employment, environmental, privacy, health and trade practices. These laws and regulations and interpretations thereof are subject to change as a result of political, economic or social events. Any new laws and regulations or changes in existing laws or their interpretations, changes in international tax treaties or international trade policy, or the imposition of increased or new tariffs, quotas or trade barriers on key commodities, could result in increased compliance costs, capital expenditures, incremental investments and other financial obligations for us and our business partners, which could affect our profitability.</w:t>
      </w:r>
    </w:p>
    <w:p>
      <w:pPr>
        <w:spacing w:after="0" w:line="19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Our expanding international business will expose us to additional regulatory regimes, such as the U.S. Foreign Corrupt Practices Act (FCPA), the UK Bribery Act 2010, the Malaysian Anti-Corruption Commission Act 2009, and other anti-corruption laws as well as trade control laws such as economic sanctions, customs and import laws, and export control laws and regulations. We have activities in jurisdictions that are perceived to present heightened risks of public corruption, and our operations in foreign countries may place us in contact with persons who may be considered “foreign officials” under the FCPA, resulting in greater risk of potential violations of the FCPA (or other applicable public corruption regimes). As we increase our international sales and business, our risks of non-compliance with the FCPA, other applicable anti-corruption or anti-bribery laws, and applicable trade control laws may increase. Although we have implemented policies and procedures designed to ensure that we, our employees and our intermediaries comply with these laws, there is no assurance that such policies or procedures will prevent illegal acts by our employees or intermediaries, or protect us against liability under the FCPA, other anti-corruption regimes, or trade sanctions laws.</w:t>
      </w:r>
    </w:p>
    <w:p>
      <w:pPr>
        <w:spacing w:after="0" w:line="192" w:lineRule="exact"/>
        <w:rPr>
          <w:sz w:val="20"/>
          <w:szCs w:val="20"/>
          <w:color w:val="auto"/>
        </w:rPr>
      </w:pPr>
    </w:p>
    <w:p>
      <w:pPr>
        <w:ind w:left="60" w:right="359"/>
        <w:spacing w:after="0" w:line="261" w:lineRule="auto"/>
        <w:rPr>
          <w:sz w:val="20"/>
          <w:szCs w:val="20"/>
          <w:color w:val="auto"/>
        </w:rPr>
      </w:pPr>
      <w:r>
        <w:rPr>
          <w:rFonts w:ascii="Times New Roman" w:cs="Times New Roman" w:eastAsia="Times New Roman" w:hAnsi="Times New Roman"/>
          <w:sz w:val="18"/>
          <w:szCs w:val="18"/>
          <w:color w:val="auto"/>
        </w:rPr>
        <w:t>Furthermore, there are an increasing number of state and local regulations in the United States related to, among other things, beverage packaging, labeling requirements, container deposits, recycling or beverage taxes. We anticipate more states to adopt similar legislation or regulations, requiring us to continuously monitor various state laws to ensure compliance.</w:t>
      </w:r>
    </w:p>
    <w:p>
      <w:pPr>
        <w:spacing w:after="0" w:line="180"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Violations of these laws or regulations could have a material adverse effect on us, by imposing substantial financial penalties, significant operational limitations and reputational harm, diverting management’s attention and resources and incurring significant defense costs and other professional fees. Investigations of potential violations of these laws by local, state, federal or foreign authorities could also harm our reputation and have an adverse impact on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litigation or disputes could lead us to incur significant liabilities or harm our reputation.</w:t>
      </w:r>
    </w:p>
    <w:p>
      <w:pPr>
        <w:spacing w:after="0" w:line="229"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We have in the past and/or may in the future become subject to legal proceedings (including class actions), disputes, claims, investigations, regulatory proceedings, or similar actions that arise in the ordinary course of business, such as claims brought by our customers in connection with commercial matters, intellectual property claims, employment claims brought by our employees, product liability, product labeling, public statements and disclosures under securities laws, antitrust, advertising, consumer protection and wage and hour laws. Further, state or federal regulators could make inquiries and/or conduct investigations with respect to one or more of our products. We are subject to risk and uncertainties related to liabilities, including damages, fines, penalties, and substantial legal and related costs, that may result from these claims and litigation. Some or all of our expenditures to defend, settle, or litigate these matters may not be covered by insurance or could impact our cost of, and ability to obtain, insurance in the future. Further, because of the potential risks, expenses, and uncertainties of litigation, we may, from time to time, settle disputes, even where we believe that we have meritorious claims or defenses. Any material legal proceedings (including class actions), disputes, claims, investigations, regulatory proceedings, or similar actions could have a material adverse effect on our business, results of operations, and financial condition. Our business reputation and our relationship with our customers, suppliers, and employees may also be adversely impacted by our involvement in legal proceedings.</w:t>
      </w:r>
    </w:p>
    <w:p>
      <w:pPr>
        <w:spacing w:after="0" w:line="197"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Even if any such litigation or claims lack merit, the process of defending against these claims may result in substantial costs to the business and divert management’s attention and resources, which can harm our business, operating results and financial condition. Any adverse publicity resulting from allegations made in litigation claims or legal proceedings may also adversely affect our reputation, which in turn could adversely affect our operating results.</w:t>
      </w:r>
    </w:p>
    <w:p>
      <w:pPr>
        <w:spacing w:after="0" w:line="176"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are increasingly dependent on information technology and our ability to process data in order to operate and sell our products, and if we are unable to protect against software and hardware vulnerabilities, service interruptions, data corruption, cyber-based attacks, ransomware or security breaches, or if we fail to comply with our commitments and assurances regarding the privacy and security of such data, our operations could be disrupted, our ability to provide our products could be interrupted, our reputation may be harmed and we may be exposed to liability and loss of customers and business.</w:t>
      </w:r>
    </w:p>
    <w:p>
      <w:pPr>
        <w:spacing w:after="0" w:line="186" w:lineRule="exact"/>
        <w:rPr>
          <w:sz w:val="20"/>
          <w:szCs w:val="20"/>
          <w:color w:val="auto"/>
        </w:rPr>
      </w:pPr>
    </w:p>
    <w:p>
      <w:pPr>
        <w:ind w:left="60" w:right="59"/>
        <w:spacing w:after="0" w:line="268" w:lineRule="auto"/>
        <w:rPr>
          <w:sz w:val="20"/>
          <w:szCs w:val="20"/>
          <w:color w:val="auto"/>
        </w:rPr>
      </w:pPr>
      <w:r>
        <w:rPr>
          <w:rFonts w:ascii="Times New Roman" w:cs="Times New Roman" w:eastAsia="Times New Roman" w:hAnsi="Times New Roman"/>
          <w:sz w:val="17"/>
          <w:szCs w:val="17"/>
          <w:color w:val="auto"/>
        </w:rPr>
        <w:t>We rely on information technology networks and systems and data processing (some of which are managed by third-party service providers) to market, sell and deliver our products, to collect, receive, store, process, generate, use, transfer, disclose, make accessible, protect, secure, dispose of and share personal information, confidential or proprietary information, financial information and other information, to manage a variety of business processes and activities, for financial reporting purposes, to operate our business, to process and fulfill orders, for legal and marketing purposes and to comply with regulatory, legal and tax requirements. These information technology networks and systems may be vulnerable to data security and privacy threats, cyber and otherwise. Moreover, the risk of unauthorized circumvention of our security measures or those of third parties on whom we rely has been heightened by advances in computer and software capabilities and the increasing sophistication of hackers. Further, breaches experienced by other companies may also be leveraged against us. We have technology security initiatives and disaster recovery plans in place to mitigate our risk to these vulnerabilities, but these measures may not be adequately designed or implemented to ensure that our operations are not disrupted or that data security breaches do not occur. If our information technology networks and systems or data processing suffer damage, security breaches, vulnerabilities, disruption or shutdown, and we do not effectively resolve the issues in a timely manner, they could cause a material adverse impact to our business, reputation and financial condition.</w:t>
      </w:r>
    </w:p>
    <w:p>
      <w:pPr>
        <w:spacing w:after="0" w:line="184"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Despite our efforts to protect our information technology networks, systems and information, we may not be able to anticipate or to implement effective preventive and remedial measures against all data security and privacy threats. Our security measures may not be adequate to prevent or detect service interruption, system failure data loss or theft, or other material adverse consequences. No security solution, strategy or measures can address all possible security threats. Our applications, systems, networks, software and physical facilities could have material vulnerabilities, be breached or personal or confidential information could be otherwise compromised due to employee error or malfeasance. We cannot be certain that we will be able to address any such vulnerabilities, in whole or part, and there may be delays in developing and deploying patches and other remedial measures to adequately address vulnerabilities and taking such remedial steps could adversely impact or disrupt our operations. We expect similar issues to arise in the future as our</w:t>
      </w:r>
    </w:p>
    <w:p>
      <w:pPr>
        <w:spacing w:after="0" w:line="200" w:lineRule="exact"/>
        <w:rPr>
          <w:sz w:val="20"/>
          <w:szCs w:val="20"/>
          <w:color w:val="auto"/>
        </w:rPr>
      </w:pPr>
    </w:p>
    <w:p>
      <w:pPr>
        <w:spacing w:after="0" w:line="20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products are more widely adopted, we continue to expand the features of existing products and introduce new products and we process, store, and transmit increasingly large amounts of personal and/or sensitive data.</w:t>
      </w:r>
    </w:p>
    <w:p>
      <w:pPr>
        <w:spacing w:after="0" w:line="162"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An actual or perceived breach of our security systems or those of our third-party service providers may require notification under applicable data privacy regulations or for customer relations or publicity purposes, which could result in reputational harm, costly litigation (including class action litigation), material contract breaches, liability, settlement costs, loss of sales, regulatory scrutiny, actions or investigations, loss of confidence in our business, diversion of management’s time and attention, and significant fines, penalties, assessments, fees and expenses.</w:t>
      </w:r>
    </w:p>
    <w:p>
      <w:pPr>
        <w:spacing w:after="0" w:line="183"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We may not have adequate insurance coverage for handling security incidents or breaches, including fines, judgments, settlements, penalties, costs, attorney’s fees and other impacts that arise out of incidents or breaches. The successful assertion of one or more large security incident or breach-related claims against us that exceeds our available insurance coverage, or results in changes to our insurance policies (including premium increases or the imposition of large deductible or co-insurance requirements), could harm our business. In addition, we cannot be sure that our existing insurance coverage will continue to be available on acceptable terms or that our insurers will not deny coverage as to all or part of any future claim or loss.</w:t>
      </w:r>
    </w:p>
    <w:p>
      <w:pPr>
        <w:spacing w:after="0" w:line="185" w:lineRule="exact"/>
        <w:rPr>
          <w:sz w:val="20"/>
          <w:szCs w:val="20"/>
          <w:color w:val="auto"/>
        </w:rPr>
      </w:pPr>
    </w:p>
    <w:p>
      <w:pPr>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unauthorized access, theft, use or destruction of personal, financial or other confidential information relating to our customers, suppliers, employees or business could expose us to reputational damage and operational risk, negatively affect our business and expose us to potential liability.</w:t>
      </w:r>
    </w:p>
    <w:p>
      <w:pPr>
        <w:spacing w:after="0" w:line="175"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The protection of our customer, supplier, employee, and business data and confidential information is critical. We are subject to new and changing privacy and information security laws and standards that may require significant investments in technology and new operational processes. The use of electronic payment methods and collection of other personal information exposes us to increased risk of privacy and/or security breaches. We rely on commercially available systems, software, tools, and monitoring to provide security for processing, transmitting, and storing personal information from individuals, including our customers, suppliers and employees, and our security measures may not effectively prohibit others from obtaining improper access to such information. We also rely on third-party, cloud-based technologies, which results in third-party access and storage of business data and confidential information. Employees or third parties with whom we do business or to whom we outsource certain information technology or administrative services may attempt to circumvent security measures in order to misappropriate such information and may purposefully or inadvertently cause a breach involving such information. If we experience a data security breach of any kind or fail to respond appropriately to such incidents, we may experience a loss of or damage to critical data, suffer financial or reputational damage or penalties, or face exposure to negative publicity, government investigations and proceedings, private consumer or securities litigation, liability or costly response measures. In addition, our reputation within the business community and with our customers and suppliers may be affected, which could result in our customers and suppliers ceasing to do business with us, which could adversely affect our business and results of operations.</w:t>
      </w:r>
    </w:p>
    <w:p>
      <w:pPr>
        <w:spacing w:after="0" w:line="191"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or be forced to defend our intellectual property rights, which can be costly and may subject us to significant liability and increase our costs of doing business.</w:t>
      </w:r>
    </w:p>
    <w:p>
      <w:pPr>
        <w:spacing w:after="0" w:line="15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Third parties may be able to successfully challenge, oppose, invalidate, render unenforceable, dilute, misappropriate or circumvent our trade secrets, trademarks, copyrights and other intellectual property rights. Our success depends, in part, on our ability to develop and commercialize our products and services without infringing, misappropriating or otherwise violating the intellectual property rights of third parties. Actions we may take to enforce or defend our intellectual property rights may be expensive and divert management’s attention away from the ordinary operation of our business, and our inability to secure and protect our intellectual property rights could materially and adversely affect our brand and business, operating results, financial condition and prospects. Furthermore, such actions, even if successful, may not result in an adequate remedy or protection. We cannot predict the outcome of lawsuits and cannot ensure that the results of any such actions will not have an adverse effect on our business, financial condition or results of operations. If we are found to infringe on the intellectual property rights of others, we could incur significant liability for damages, be enjoined from continuing to manufacture, market or use the affected product, or be required to enter into royalty or licensing agreements in order to obtain the right to use a third party’s intellectual property. Any royalty or licensing</w:t>
      </w:r>
    </w:p>
    <w:p>
      <w:pPr>
        <w:spacing w:after="0" w:line="200" w:lineRule="exact"/>
        <w:rPr>
          <w:sz w:val="20"/>
          <w:szCs w:val="20"/>
          <w:color w:val="auto"/>
        </w:rPr>
      </w:pPr>
    </w:p>
    <w:p>
      <w:pPr>
        <w:spacing w:after="0" w:line="20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agreements, if required, may not be available to us on acceptable terms or at all. Similarly, changing products or processes to avoid infringing the rights of others may be costly or impracticable.</w:t>
      </w:r>
    </w:p>
    <w:p>
      <w:pPr>
        <w:spacing w:after="0" w:line="158" w:lineRule="exact"/>
        <w:rPr>
          <w:sz w:val="20"/>
          <w:szCs w:val="20"/>
          <w:color w:val="auto"/>
        </w:rPr>
      </w:pPr>
    </w:p>
    <w:p>
      <w:pPr>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covenants in our Credit Facilities and our future levels of indebtedness could materially and adversely affect our financial position, including reducing funds available for other business purposes and reducing our operational flexibility.</w:t>
      </w:r>
    </w:p>
    <w:p>
      <w:pPr>
        <w:spacing w:after="0" w:line="175"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As of December 31, 2025, we had outstanding total indebtedness of $526.8 million, of which $424.8 million bears interest at a variable rate. Any subsequent additions to our indebtedness or increases in market rate of interest increases could impact our financial flexibility due to increased cash flows required to make required interest and principal payments. Greater demands on our funds may limit our ability to invest in our growth, including inhibiting our ability to meet working capital requirements, make capital expenditures or fund acquisitions. Increased indebtedness may also limit our ability to adjust to rapidly changing market conditions, making us more vulnerable to general adverse industry and economic conditions, which could create a competitive disadvantage relative to our competitors.</w:t>
      </w:r>
    </w:p>
    <w:p>
      <w:pPr>
        <w:spacing w:after="0" w:line="18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Credit Agreement contains various affirmative and negative covenants that may, subject to specified significant exceptions, restrict our ability, including specified material subsidiaries, to incur debt and our ability, including specified material subsidiaries, to, among other things, have liens on our property, merge or consolidate with any other person or sell or convey assets above a specified minimum threshold to any one person, and engage in sale-and-leaseback transactions depending on the characterization of the proceeds. Our ability, including specified material subsidiaries, to comply with these provisions may be affected by events beyond our control. Failure to comply with these covenants or make payments could result in an event of default, which, if not cured or waived, could accelerate our repayment obligations and could result in a default and acceleration under other agreements containing cross-default provisions. Under these circumstances, we might not have sufficient funds or other resources to satisfy all of our obligations.</w:t>
      </w:r>
    </w:p>
    <w:p>
      <w:pPr>
        <w:spacing w:after="0" w:line="184"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and growing our business may require additional capital, and if capital is not available to us, our business, operating results, financial condition and prospects may suffer.</w:t>
      </w:r>
    </w:p>
    <w:p>
      <w:pPr>
        <w:spacing w:after="0" w:line="159" w:lineRule="exact"/>
        <w:rPr>
          <w:sz w:val="20"/>
          <w:szCs w:val="20"/>
          <w:color w:val="auto"/>
        </w:rPr>
      </w:pPr>
    </w:p>
    <w:p>
      <w:pPr>
        <w:ind w:left="60" w:right="219"/>
        <w:spacing w:after="0" w:line="253" w:lineRule="auto"/>
        <w:rPr>
          <w:sz w:val="20"/>
          <w:szCs w:val="20"/>
          <w:color w:val="auto"/>
        </w:rPr>
      </w:pPr>
      <w:r>
        <w:rPr>
          <w:rFonts w:ascii="Times New Roman" w:cs="Times New Roman" w:eastAsia="Times New Roman" w:hAnsi="Times New Roman"/>
          <w:sz w:val="18"/>
          <w:szCs w:val="18"/>
          <w:color w:val="auto"/>
        </w:rPr>
        <w:t>Operating and growing our business is expected to require further investments in our capabilities and operations. We may be presented with opportunities that we want to pursue, and unforeseen challenges may present themselves, any of which could cause us to require additional capital. If our cash needs exceed our expectations or we experience rapid growth, we could experience strain in our cash flow, which could adversely affect our operations in the event we are unable to obtain other sources of liquidity. If we seek to raise funds through equity or debt financing, those funds may prove to be unavailable, may only be available on terms that are not acceptable to us or may result in significant dilution to our then-existing stockholders or higher levels of leverage. If we are unable to obtain adequate financing or financing on terms satisfactory to us, when we require it, our ability to continue to pursue our business objectives, to grow both organically and through acquisitions, and to respond to business opportunities, challenges or unforeseen circumstances, could be significantly limited, and our business, operating results, financial condition and prospects could be materially and adversely affected.</w:t>
      </w:r>
    </w:p>
    <w:p>
      <w:pPr>
        <w:spacing w:after="0" w:line="188"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Exercise of redemption rights by the holders of our Series A Preferred Shares may adversely affect the cash that we have available for other purposes and our ability to execute our business strategy.</w:t>
      </w:r>
    </w:p>
    <w:p>
      <w:pPr>
        <w:spacing w:after="0" w:line="15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After February 26, 2028, any holder of Series A Preferred Shares may require Westrock to redeem all or any whole number of such holder’s Series A Preferred Shares in cash, subject to applicable law and the terms of any credit 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Series A Preferred Share on the redemption notice date and (ii) the simple average of the daily volume-weighted average price per Common Share for the ten (10) trading days ending on and including the trading day immediately preceding the redemption notice date. Assuming that the liquidation preference of the Series A Preferred Shares remains $11.50 per share and all 23,510,527 Series A Preferred Shares remain outstanding after February 26, 2028, we estimate an aggregate redemption payment of at least approximately $270.4 million. If Westrock was required by the holders to redeem a significant number of Series A Preferred Shares, Westrock may not have enough cash available (including through draws on its credit facility) for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other purposes such as servicing its debt, paying dividends on the Common Shares, repurchases of Common Shares, financing acquisitions or other expansions, paying employee incentives and executing its business strategy. An outflow of a significant amount of cash from Westrock as a result of redemptions of the Series A Preferred Shares may cause a deterioration in the financial condition of Westrock and our ability to pay our other obligations and/or execute our business strategy. The impact of such redemptions on Westrock will depend, among other things, on the financial condition of Westrock at the time of such redemptions, including the amount of available cash on hand and ability to draw on Westrock’s credit facilities or obtain other sources of financing, the business strategies and objectives of Westrock at that time and the magnitude of such redemptions. Additionally, we may reserve cash, refrain from pursuing other business objectives and/or direct cash away from other business objectives to ensure that we have sufficient available cash to satisfy holder redemptions and this may adversely affect our business, financial condition and ability to execute our business strategy.</w:t>
      </w:r>
    </w:p>
    <w:p>
      <w:pPr>
        <w:spacing w:after="0" w:line="188"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change in the assumptions used to value our goodwill or other intangible assets, or the impairment of our goodwill or intangible assets, could negatively impact our financial condition and operating results.</w:t>
      </w:r>
    </w:p>
    <w:p>
      <w:pPr>
        <w:spacing w:after="0" w:line="15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cost over fair value of net assets acquired in a business combination. Impairment may result from significant changes in the manner of use of the acquired assets, negative industry, or economic trends, and/or any changes in key assumptions regarding our fair value. At December 31, 2025, we had $116.1 million of goodwill on our Consolidated Balance Sheets. Any negative industry or economic trends, such as rising costs due to persistent inflationary impacts, continued increases in interest rates, or other market, industry, or operational trends, and/or any changes in key assumptions could result in further impairment of our goodwill, which would negatively impact our reported results of operations.</w:t>
      </w:r>
    </w:p>
    <w:p>
      <w:pPr>
        <w:spacing w:after="0" w:line="185"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may adversely affect us, and the IRS, other tax authorities, or a court may disagree with our tax positions, which may result in adverse effects on our financial condition or the value of our Common Shares.</w:t>
      </w:r>
    </w:p>
    <w:p>
      <w:pPr>
        <w:spacing w:after="0" w:line="159"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Our tax position could be impacted by changes in U.S. federal, state and local and non-U.S. tax laws and changes in taxing jurisdictions’ administrative interpretations, decisions, policies, and positions. Any of the foregoing changes may have a material adverse impact on our results of operations, cash flows, and financial condition.</w:t>
      </w:r>
    </w:p>
    <w:p>
      <w:pPr>
        <w:spacing w:after="0" w:line="176" w:lineRule="exact"/>
        <w:rPr>
          <w:sz w:val="20"/>
          <w:szCs w:val="20"/>
          <w:color w:val="auto"/>
        </w:rPr>
      </w:pPr>
    </w:p>
    <w:p>
      <w:pPr>
        <w:jc w:val="both"/>
        <w:ind w:left="60" w:right="279"/>
        <w:spacing w:after="0" w:line="272" w:lineRule="auto"/>
        <w:rPr>
          <w:sz w:val="20"/>
          <w:szCs w:val="20"/>
          <w:color w:val="auto"/>
        </w:rPr>
      </w:pPr>
      <w:r>
        <w:rPr>
          <w:rFonts w:ascii="Times New Roman" w:cs="Times New Roman" w:eastAsia="Times New Roman" w:hAnsi="Times New Roman"/>
          <w:sz w:val="17"/>
          <w:szCs w:val="17"/>
          <w:color w:val="auto"/>
        </w:rPr>
        <w:t>There can be no assurance that future tax law changes will not increase the rate of the corporate income tax significantly, impose new limitations on deductions, credits or other tax benefits, or make other changes that may adversely affect our business, cash flows or financial performance. The likelihood of such changes being enacted or implemented is unclear.</w:t>
      </w:r>
    </w:p>
    <w:p>
      <w:pPr>
        <w:spacing w:after="0" w:line="2"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Any of these developments or changes in federal, state and local and non-U.S. tax laws could adversely affect our effective tax rate and our operating results. In addition, the administrative interpretations, decisions, policies and positions of the IRS and various other taxing authorities with respect to current and future tax laws may be subject to significant change and such guidance could ultimately increase or lessen the impact of such tax laws on our business and financial condition. In the absence of such guidance, we will take positions with respect to a number of unsettled issues. There is no assurance that the IRS, any other tax authorities, or a court will agree with the positions taken by us, in which case tax penalties and interest may be imposed that could adversely affect our business, cash flows or financial performance.</w:t>
      </w:r>
    </w:p>
    <w:p>
      <w:pPr>
        <w:spacing w:after="0" w:line="184"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accuracy of Westrock’s financial statements and related disclosures could be adversely affected if the judgments, assumptions or estimates used in Westrock’s critical accounting policies are inaccurate.</w:t>
      </w:r>
    </w:p>
    <w:p>
      <w:pPr>
        <w:spacing w:after="0" w:line="15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 in conformity with GAAP requires us to make judgments, assumptions and estimates that affect the amounts reported in Westrock’s consolidated financial statements and related notes. If future events differ significantly from the judgments, assumptions and estimates in Westrock’s critical accounting policies, those events or assumptions could have a material impact on Westrock’s consolidated financial statements and related disclosures.</w:t>
      </w:r>
    </w:p>
    <w:p>
      <w:pPr>
        <w:spacing w:after="0" w:line="183" w:lineRule="exact"/>
        <w:rPr>
          <w:sz w:val="20"/>
          <w:szCs w:val="20"/>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auto"/>
        </w:rPr>
        <w:t>In addition, changes in accounting interpretations or assumptions could impact Westrock’s financial statements and Westrock’s ability to timely prepare Westrock’s financial statements. Westrock’s inability to timely prepare Westrock’s financial statements in the future could materially and adversely affect Westrock’s share price.</w:t>
      </w:r>
    </w:p>
    <w:p>
      <w:pPr>
        <w:spacing w:after="0" w:line="39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Westrock’s board of directors and management have significant control over Westrock’s business.</w:t>
      </w:r>
    </w:p>
    <w:p>
      <w:pPr>
        <w:spacing w:after="0" w:line="229" w:lineRule="exact"/>
        <w:rPr>
          <w:sz w:val="20"/>
          <w:szCs w:val="20"/>
          <w:color w:val="auto"/>
        </w:rPr>
      </w:pPr>
    </w:p>
    <w:p>
      <w:pPr>
        <w:ind w:left="60" w:right="299"/>
        <w:spacing w:after="0" w:line="255" w:lineRule="auto"/>
        <w:rPr>
          <w:sz w:val="20"/>
          <w:szCs w:val="20"/>
          <w:color w:val="auto"/>
        </w:rPr>
      </w:pPr>
      <w:r>
        <w:rPr>
          <w:rFonts w:ascii="Times New Roman" w:cs="Times New Roman" w:eastAsia="Times New Roman" w:hAnsi="Times New Roman"/>
          <w:sz w:val="18"/>
          <w:szCs w:val="18"/>
          <w:color w:val="auto"/>
        </w:rPr>
        <w:t>As of December 31, 2025, Westrock’s directors and executive officers beneficially own, directly or indirectly, in the aggregate, 34,047,972 shares of Common Shares, representing an aggregate of approximately 28.3% of the combined voting power of Westrock’s outstanding capital stock (excluding any warrants, options or other securities exercisable for Common Shares). As a result, in addition to their day-to-day management roles, Westrock’s executive officers and directors are able to exercise significant influence on Westrock’s business as stockholders, including influence over election of members of the board of directors and the authorization of other corporate actions requiring stockholder approval.</w:t>
      </w:r>
    </w:p>
    <w:p>
      <w:pPr>
        <w:spacing w:after="0" w:line="185" w:lineRule="exact"/>
        <w:rPr>
          <w:sz w:val="20"/>
          <w:szCs w:val="20"/>
          <w:color w:val="auto"/>
        </w:rPr>
      </w:pPr>
    </w:p>
    <w:p>
      <w:pPr>
        <w:ind w:left="60" w:right="4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Westrock’s certificate of incorporation and bylaws, the Investor Rights Agreement and of Delaware law may prevent or delay attempts to acquire a controlling interest in Westrock, which could decrease the trading price of Common Shares.</w:t>
      </w:r>
    </w:p>
    <w:p>
      <w:pPr>
        <w:spacing w:after="0" w:line="175"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Westrock’s certificate of incorporation and bylaws contain, and Delaware law contains, provisions that are intended to deter coercive takeover practices and inadequate takeover bids by making such practices or bids unacceptably expensive to the bidder and to encourage prospective acquirers to negotiate with our board of directors rather than to attempt a hostile takeover. These provisions include, among others, our classified board structure, the inability of our stockholders to call a special meeting, rules regarding how stockholders may present proposals or nominate directors for election at stockholder meetings, the right of our board of directors to issue preferred stock without stockholder approval, the inability of stockholders to remove directors without cause until the class to which such directors belong is declassified, the ability of our directors, not our stockholders, to fill vacancies on the board of directors and certain rights of the Series A Preferred shareholders.</w:t>
      </w:r>
    </w:p>
    <w:p>
      <w:pPr>
        <w:spacing w:after="0" w:line="188"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On June 29, 2023, Westrock entered into the Amended and Restated Investor Rights Agreement (the “Amended and Restated Investor Rights Agreement”) with (i) Westrock Group, LLC, The Stephens Group, LLC, Sowell Westrock, L.P. and any affiliate of Joe T. Ford, Scott T. Ford, Witt Stephens, Jim Sowell or their respective families that becomes an owner of any shares of Westrock’s common stock from another WCC Investor and becomes a party to the Amended and Restated Investor Rights Agreement, so long as such person remains an affiliate of Joe T. Ford, Scott T. Ford, Witt Stephens, Jim Sowell or their families (the “WCC Investors”), (ii) BBH Capital Partners V, L.P., BBH Capital Partners V-A, L.P., BBH CPV WCC Co-Investment LLC, and any controlled affiliate of Brown Brothers Harriman &amp; Co. (the “BBH Investors”) that becomes an owner of any shares of Westrock’s common stock or the Series A Convertible Preferred Stock from another BBH Investor and becomes a party to the Amended and Restated Investor Rights Agreement, so long as such person remains a controlled affiliate of Brown Brothers Harriman &amp; Co., (iii) Riverview Sponsor Partners, LLC and any controlled affiliate of Brad Martin that becomes an owner of any shares of Westrock’s common stock from another RVAC Investor and becomes a party to the Amended and Restated Investor Rights Agreement, so long as such person remains an affiliate of Brad Martin (the “RVAC Investors”) and (iv) HF Direct Investments Pool, LLC and any controlled affiliate of HF Capital, LLC that becomes an owner of any shares of Westrock’s common stock from another HF Investor and becomes a party to the Amended and Restated Investor Rights Agreement, so long as such person remains an affiliate of HF Capital, LLC (the “HF Investors” together with the WCC Investors, BBH Investors and RVAC Investors, the “Investor Parties”). The Amended and Restated Investor Rights Agreement contains certain provisions that may prevent or delay attempts to acquire a controlling interest in Westrock, including board designation and other approval rights of the Investor Parties.</w:t>
      </w:r>
    </w:p>
    <w:p>
      <w:pPr>
        <w:spacing w:after="0" w:line="272"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In addition, because Westrock does not elect to be exempt from Section 203 of the DGCL, this provision could also delay or prevent a change of control that you may favor. Section 203 of the DGCL provides that, subject to limited exceptions, a person that acquires, or is affiliated with a person that acquires, more than 15% of the outstanding voting stock of a Delaware corporation (an “interested stockholder”) must not engage in any business combination with that corporation, including by merger, consolidation or acquisitions of additional shares, for a three-year period following the date on which the person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outstanding (but not the outstanding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99"/>
        <w:spacing w:after="0" w:line="276" w:lineRule="auto"/>
        <w:rPr>
          <w:sz w:val="20"/>
          <w:szCs w:val="20"/>
          <w:color w:val="auto"/>
        </w:rPr>
      </w:pPr>
      <w:r>
        <w:rPr>
          <w:rFonts w:ascii="Times New Roman" w:cs="Times New Roman" w:eastAsia="Times New Roman" w:hAnsi="Times New Roman"/>
          <w:sz w:val="17"/>
          <w:szCs w:val="17"/>
          <w:color w:val="auto"/>
        </w:rPr>
        <w:t>voting stock owned by the interested stockholder) the voting stock owned by directors who are also officers or held in employee benefit plans in which the employees do not have a confidential right to tender or vote stock held by the plan); or</w:t>
      </w:r>
    </w:p>
    <w:p>
      <w:pPr>
        <w:spacing w:after="0" w:line="1" w:lineRule="exact"/>
        <w:rPr>
          <w:sz w:val="20"/>
          <w:szCs w:val="20"/>
          <w:color w:val="auto"/>
        </w:rPr>
      </w:pPr>
    </w:p>
    <w:p>
      <w:pPr>
        <w:ind w:left="60" w:right="79" w:hanging="10"/>
        <w:spacing w:after="0" w:line="255" w:lineRule="auto"/>
        <w:tabs>
          <w:tab w:leader="none" w:pos="3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such time the business combination is approved by the board of directors of such corporation and authorized at a meeting of stockholders by the affirmative vote of at least two-thirds of the outstanding voting stock of such corporation not owned by the interested stockholder.</w:t>
      </w:r>
    </w:p>
    <w:p>
      <w:pPr>
        <w:spacing w:after="0" w:line="263"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Westrock is an “emerging growth company,” and the reduced disclosure requirements applicable to emerging growth companies may make the Common Shares less attractive to investors.</w:t>
      </w:r>
    </w:p>
    <w:p>
      <w:pPr>
        <w:spacing w:after="0" w:line="159" w:lineRule="exact"/>
        <w:rPr>
          <w:sz w:val="20"/>
          <w:szCs w:val="20"/>
          <w:color w:val="auto"/>
        </w:rPr>
      </w:pPr>
    </w:p>
    <w:p>
      <w:pPr>
        <w:ind w:left="60" w:right="139"/>
        <w:spacing w:after="0" w:line="277" w:lineRule="auto"/>
        <w:rPr>
          <w:sz w:val="20"/>
          <w:szCs w:val="20"/>
          <w:color w:val="auto"/>
        </w:rPr>
      </w:pPr>
      <w:r>
        <w:rPr>
          <w:rFonts w:ascii="Times New Roman" w:cs="Times New Roman" w:eastAsia="Times New Roman" w:hAnsi="Times New Roman"/>
          <w:sz w:val="17"/>
          <w:szCs w:val="17"/>
          <w:color w:val="auto"/>
        </w:rPr>
        <w:t>Westrock is an “emerging growth company,” as defined in the JOBS Act. For as long as Westrock continues to be an emerging growth company, Westrock may take advantage of exemptions from various reporting requirements that apply to other public companies that are not emerging growth companies. It is unclear whether investors will find Common Shares less attractive because Westrock may rely on these exemptions. If some investors find Common Shares less attractive as a result, there may be a less active trading market for Common Shares, and Westrock’s stock price may be more volatile.</w:t>
      </w:r>
    </w:p>
    <w:p>
      <w:pPr>
        <w:spacing w:after="0" w:line="168"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Westrock has elected to avail itself of this exemption from new or revised accounting standards. As a result, Westrock’s financial statements may not be comparable to companies that comply with new or revised accounting pronouncements as of public company effective dates, and Westrock will incur additional costs in connection with complying with the accounting standards applicable to public companies at such time or times as they become applicable to Westrock. The Company anticipates that it will no longer be an emerging growth company as of December 31, 2026 and, as a result, we will no longer be able to take advantage of the reduced disclosure and other obligations that are available to emerging growth companies after that date.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Industry</w:t>
      </w:r>
    </w:p>
    <w:p>
      <w:pPr>
        <w:spacing w:after="0" w:line="225"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the cost of green coffee may not be able to be passed through to customers, which could adversely impact our liquidity, gross margins and profitability.</w:t>
      </w:r>
    </w:p>
    <w:p>
      <w:pPr>
        <w:spacing w:after="0" w:line="15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Our primary raw material green coffee is an exchange-traded agricultural commodity that is subject to price fluctuations, depending on a variety of factors, including outside speculative influences such as indexed and algorithmic commodity funds, climate patterns in coffee-producing countries, economic and political conditions affecting coffee-producing countries such as unrest and armed conflict, foreign currency fluctuations, real or perceived supply shortages, crop disease (such as coffee rust) and pests, general increase in farm inputs and costs of production, an increase in green coffee purchased and sold on a negotiated basis rather than directly on commodity markets in response to higher production costs relative to “C” market prices, acts of terrorism, pandemics or other disease outbreaks, government actions and trade barriers or tariffs, and the actions of producer organizations that have historically attempted to influence green coffee prices through agreements establishing export quotas or by otherwise limiting coffee supplies. During 2024 and 2025, market prices for green coffee were elevated relative to historical prices, at times exceeding $4.00 per pound of green coffee for sustained periods of time. Elevated market prices impact the entire supply chain, as exporters, traders, suppliers and roasters require increased working capital to fund rising green coffee costs, and without having access to sufficient working capital, supply chain disruptions may emerge. Additionally, specialty green coffees tend to trade on a negotiated basis at a premium above the “C” market price. Such premium, depending on the supply and demand at the time of purchase, may be significant.</w:t>
      </w:r>
    </w:p>
    <w:p>
      <w:pPr>
        <w:spacing w:after="0" w:line="196"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Depending on contractual limitations, we may be unable to pass these costs on to our customers by increasing the price of products. If we are unable to increase prices sufficiently to offset increased input costs, or if our sales volume decreases as a result of price increases, our operating results and financial condition may be adversely affected. Additionally, if we are unable to purchase sufficient quantities of green coffee due to any of the factors described herein or a worldwide or regional shortage, we may not be able to fulfill the demand for our products, which could have an adverse impact on our business and financial results.</w:t>
      </w:r>
    </w:p>
    <w:p>
      <w:pPr>
        <w:spacing w:after="0" w:line="200" w:lineRule="exact"/>
        <w:rPr>
          <w:sz w:val="20"/>
          <w:szCs w:val="20"/>
          <w:color w:val="auto"/>
        </w:rPr>
      </w:pPr>
    </w:p>
    <w:p>
      <w:pPr>
        <w:spacing w:after="0" w:line="20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We have historically utilized, and expect to continue to utilize, various types of derivative instruments, including forward contracts, commodity swaps, futures contracts, and option contracts to hedge our exposure to the commodities price variability of green coffee. Our hedging strategy is an important part of our business model as it allows us to fix raw materials costs for inventory needed to grow our business, while minimizing the margin volatility associated with fluctuations in the prices of green coffee. As part of that strategy, we track the spread between sales price and material costs as a means of determining the efficiency of our pricing strategy. While our derivatives strategy may mitigate the impacts of volatile green coffee prices, no strategy can eliminate all pricing risks, and we generally remain exposed to supply risk in the event of nonperformance by the counterparties in any one of our physical contracts. Failure to properly execute an effective hedging strategy with respect to the price of green coffee may materially adversely affect our business and operating results.</w:t>
      </w:r>
    </w:p>
    <w:p>
      <w:pPr>
        <w:spacing w:after="0" w:line="190"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other commodity prices and in the availability of certain of our ingredients and packaging materials could negatively affect our liquidity, gross margins and profitability.</w:t>
      </w:r>
    </w:p>
    <w:p>
      <w:pPr>
        <w:spacing w:after="0" w:line="15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In addition to green coffee, our other commodity inputs are also exposed to the risk of cost fluctuations. These inputs include tea, spices, sugar, dairy and the materials used in our packaging, such as carton board and plastic. Although these commodities may be available from a number of sources, we have very little control over the factors that can influence the prices we pay, including economic and political conditions, foreign currency fluctuations, transportation and storage costs, export restrictions, weather conditions and global climate patterns, and natural disasters (including floods, droughts, frosts, earthquakes and hurricanes). In addition, some of our ingredients and packaging materials may only be available from a single or few suppliers, which could exacerbate those factors. Changes in the prices we pay may take place on a monthly, quarterly or annual basis depending on the product and supplier. We currently do not purchase any derivative instruments to hedge cost fluctuations in these other commodities like we do with respect to green coffee, but we may do so in the future. As a result, to the extent we are unable to pass along such costs through price increases, our margins and profitability will decrease. High and volatile commodity prices can also place more pressures on short-term working capital funding. Additionally, if as a result of these factors, we are unable to obtain these commodities, we may not be able to fulfill the demand for our products, which could have an adverse impact on our business and financial results.</w:t>
      </w:r>
    </w:p>
    <w:p>
      <w:pPr>
        <w:spacing w:after="0" w:line="183"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operating a coffee trading, including those associated with the availability and prices of green coffee.</w:t>
      </w:r>
    </w:p>
    <w:p>
      <w:pPr>
        <w:spacing w:after="0" w:line="159"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Falcon, our coffee trading business headquartered in the United Kingdom, operates as a separate subsidiary. As a purchaser and reseller of coffee, Falcon engages in commodity hedging and is reliant on third-party logistics suppliers to fulfill its commitments. Disruptions in Falcon’s supply chain could result in the failure to deliver on commitments, which could adversely impact Falcon’s business, cash flows and financial performance. Falcon relies on third party financing sources to purchase coffee for resale, and the failure to maintain an adequate source of working capital would have a material adverse impact on its business, cash flows and financial performance. The availability and prices of green coffee are subject to wide fluctuations, including impacts from factors outside of our control such as changes in weather conditions, climate change, rising sea levels, crop disease, plantings, government programs and policies, competition, and changes in global demand. These price fluctuations can adversely affect Falcon’s business.</w:t>
      </w:r>
    </w:p>
    <w:p>
      <w:pPr>
        <w:spacing w:after="0" w:line="184"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the interruption of supply and increased costs as a result of our reliance on suppliers and third-party transportation carriers for shipment of our products.</w:t>
      </w:r>
    </w:p>
    <w:p>
      <w:pPr>
        <w:spacing w:after="0" w:line="159"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Our business depends on our relations with key suppliers to maintain a steady supply of green coffee, tea, and other ingredients and packaging materials. If any of these supply relationships deteriorate or we are unable to renegotiate contracts with suppliers (with similar or more favorable terms) or find alternative sources for supply, we may be unable to procure a sufficient quantity of high-quality coffee beans, tea and other ingredients and raw materials at prices acceptable to us or at all which could negatively affect our results of operations. Nonperformance by suppliers and the lack of alternative suppliers could expose us to supply risk under purchase commitments for coffee, tea, and other ingredients for delivery in the future. Further, there may be a limited numbers of suppliers for certain ingredients, and, as a result of this concentration, our business and operations may in the future be negatively affected if our key suppliers experience significant disruptions affecting the price, quality, availability or timely delivery of their products, we suffer a</w:t>
      </w:r>
    </w:p>
    <w:p>
      <w:pPr>
        <w:spacing w:after="0" w:line="200" w:lineRule="exact"/>
        <w:rPr>
          <w:sz w:val="20"/>
          <w:szCs w:val="20"/>
          <w:color w:val="auto"/>
        </w:rPr>
      </w:pPr>
    </w:p>
    <w:p>
      <w:pPr>
        <w:spacing w:after="0" w:line="20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partial or complete loss of, or a significant adverse change in the relationship with, any one of our key suppliers or any key suppliers refuse or are unable to provide us with necessary ingredients and raw materials. Additionally, supply is affected by many factors in the coffee-growing countries including weather, pest damage, economic conditions, acts of terrorism, as well as efforts by coffee growers to expand or form cartels or associations. Our operations are also exposed to the political and social environment of the emerging and less developed markets from which we source coffee beans, including Africa, Indonesia, and Central and South America. These regions currently have and have the potential for future civil and political unrest, and such instability could affect our ability to purchase coffee from those regions. If green coffee beans from a region become unavailable or prohibitively expensive, we could be forced to use alternative coffee beans or discontinue certain blends, which could adversely impact our sales. Any material interruption in our supply chain, such as material interruption of roasted coffee supply due to the casualty loss at any of our roasting plants or suppliers, interruptions in service by our third-party logistic service providers or common carriers that ship goods within our distribution channels, trade restrictions, such as increased tariffs or quotas, embargoes or customs restrictions, pandemics, social or labor unrest, natural disasters or political disputes and military conflicts that cause a material disruption in our supply chain could have a negative impact on our business and our profitability. Product shortages could result in disruptions in our ability to deliver products to our customers, a deterioration of our relationship with our customers, decreased revenues or an inability to expand our business.</w:t>
      </w:r>
    </w:p>
    <w:p>
      <w:pPr>
        <w:spacing w:after="0" w:line="191" w:lineRule="exact"/>
        <w:rPr>
          <w:sz w:val="20"/>
          <w:szCs w:val="20"/>
          <w:color w:val="auto"/>
        </w:rPr>
      </w:pPr>
    </w:p>
    <w:p>
      <w:pPr>
        <w:ind w:left="60" w:right="2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The industry for coffee and liquid extract consumables is highly competitive, resulting in a high degree of competitive pressure on our products. Our inability to maintain or grow market share through continued differentiation of our products and competitive pricing could adversely affect our financial condition, operating results and cash flow.</w:t>
      </w:r>
    </w:p>
    <w:p>
      <w:pPr>
        <w:spacing w:after="0" w:line="157" w:lineRule="exact"/>
        <w:rPr>
          <w:sz w:val="20"/>
          <w:szCs w:val="20"/>
          <w:color w:val="auto"/>
        </w:rPr>
      </w:pPr>
    </w:p>
    <w:p>
      <w:pPr>
        <w:ind w:left="60" w:right="299"/>
        <w:spacing w:after="0" w:line="254" w:lineRule="auto"/>
        <w:rPr>
          <w:sz w:val="20"/>
          <w:szCs w:val="20"/>
          <w:color w:val="auto"/>
        </w:rPr>
      </w:pPr>
      <w:r>
        <w:rPr>
          <w:rFonts w:ascii="Times New Roman" w:cs="Times New Roman" w:eastAsia="Times New Roman" w:hAnsi="Times New Roman"/>
          <w:sz w:val="18"/>
          <w:szCs w:val="18"/>
          <w:color w:val="auto"/>
        </w:rPr>
        <w:t>Our industry is highly competitive, including with respect to price, product quality and sourcing techniques, and competition could become increasingly intense due to the relatively low barriers to entry and industry consolidation. We face competition from many sources that vary in size and sophistication, including institutional foodservice divisions of multinational manufacturers of retail products, wholesale foodservice distributors, regional and national coffee roasters, specialty coffee suppliers, and retail brand beverage manufacturers, many of which have greater financial and other resources than we do and may have lower fixed costs and/or are substantially less leveraged than our company. Competitive pressures can, among other things, restrict our ability to increase prices and maintain price increases in response to commodity and other cost increases. Our inability to effectively assess, timely adapt and properly set pricing may negatively affect our ability to achieve the objectives of such price increases.</w:t>
      </w:r>
    </w:p>
    <w:p>
      <w:pPr>
        <w:spacing w:after="0" w:line="188"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We consider our roasting and blending methods essential to the flavor and richness of our coffees. Because our roasting methods cannot be patented, we would be unable to prevent competitors from copying these methods if such methods became known. In addition, competitors may be able to develop roasting or blending methods that are more advanced than our production methods, which may also harm our competitive position.</w:t>
      </w:r>
    </w:p>
    <w:p>
      <w:pPr>
        <w:spacing w:after="0" w:line="176"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Quality control problems or food safety issues could adversely affect our sales and brand reputation, lead to product recalls or result in product liability claims.</w:t>
      </w:r>
    </w:p>
    <w:p>
      <w:pPr>
        <w:spacing w:after="0" w:line="15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Selling products for human consumption involves inherent legal risks. Our success depends on our ability to provide customers with high-quality products and service. Although we take measures to ensure that we sell only fresh products, we have no control over our products once they are purchased by our customers. Additionally, clean water is critical to the preparation of coffee, tea and other beverages, and we have no ability to ensure that our customers use a clean water supply to prepare these beverages. Instances or reports of food safety issues involving our products, whether or not accurate, such as unclean water supply, food or beverage-borne illnesses, tampering, contamination, mislabeling, or other food or beverage safety issues, including due to the failure of our third-party co-packers to maintain the quality of our products and to comply with our product specifications, could damage the value of our brands, negatively impact sales of our products, and potentially lead to product recalls, production interruptions, product liability claims, litigation or damages. We maintain product liability insurance coverage in amounts we believe to be adequate. However, we cannot assure stockholders that we will not incur claims or liabilities that exceed the amount of our insurance coverage. A significant product liability claim (whether or not successful), a product liability judgment against us or a widespread product recall or the damage to our reputation resulting therefrom could have a material adverse effect on our business, consolidated financial condition, results of operations or liquidity.</w:t>
      </w:r>
    </w:p>
    <w:p>
      <w:pPr>
        <w:spacing w:after="0" w:line="200" w:lineRule="exact"/>
        <w:rPr>
          <w:sz w:val="20"/>
          <w:szCs w:val="20"/>
          <w:color w:val="auto"/>
        </w:rPr>
      </w:pPr>
    </w:p>
    <w:p>
      <w:pPr>
        <w:spacing w:after="0" w:line="21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severe weather patterns, and water scarcity could have a material adverse effect on our business and results of operations.</w:t>
      </w:r>
    </w:p>
    <w:p>
      <w:pPr>
        <w:spacing w:after="0" w:line="159"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Increasing concentrations of carbon dioxide and other greenhouse gases in the atmosphere will continue to have an adverse effect on global temperatures, weather patterns, and the frequency and severity of extreme weather events and natural disasters. Coffee growing countries have been dramatically affected by these climate changes. The rainy and dry seasons are becoming unpredictable in their start and length, which is affecting the development of coffee cherries. These weather pattern changes, by reducing agricultural productivity in certain regions, may reduce the supply and quality of important agricultural ingredients for our products and drive up their costs, and this could have a material adverse effect on our business, financial condition, or results of operations. Water is used throughout the production of coffee and our other products from growing at the farm, cooling the beans after roasting, and brewing and bottling products for consumption. Scarcity of water sources in our supply chain could also constrain our supply and increase costs. Further, if any of our municipal water sources to our facilities, including our Conway, Arkansas facility, were curtailed or eliminated as a result of, for example, a natural disaster, work stoppage or other significant event that disrupted water flow from such municipal source, we may have to purchase water from other sources, which could increase water and transportation costs and could result in supply shortages. In addition to these impacts, more frequently occurring or longer-duration extreme weather events or increased severity of such conditions could disrupt our supply chain, damage our production capabilities and reduce demand for our products. As a result, the changing global climate could adversely affect our long-term performance.</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fluctuate as a result of seasonality.</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coffee and tea market is subject to some seasonal variations. Sales of hot coffee products are typically higher during the winter months compared to the summer months. Most of our customers define “coffee season” as mid-September through February. However, sales of cold brew, iced tea and extract products from March through August helps mitigate the impact of seasonality. Our quarterly operating results may fluctuate as a result of these seasonal trends. If we are unable to adjust our production to these seasonal variations, we may not be able to fulfill demand for our products or we may overproduce our products, either of which could adversely affect our performance.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General Economic and Other Conditions</w:t>
      </w:r>
    </w:p>
    <w:p>
      <w:pPr>
        <w:spacing w:after="0" w:line="225" w:lineRule="exact"/>
        <w:rPr>
          <w:sz w:val="20"/>
          <w:szCs w:val="20"/>
          <w:color w:val="auto"/>
        </w:rPr>
      </w:pPr>
    </w:p>
    <w:p>
      <w:pPr>
        <w:jc w:val="both"/>
        <w:ind w:left="60" w:right="7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business, revenue and profits and the businesses of our suppliers and our customers depend on the level of customer spending for discretionary items, which is sensitive to general economic conditions and other factors.</w:t>
      </w:r>
    </w:p>
    <w:p>
      <w:pPr>
        <w:spacing w:after="0" w:line="136" w:lineRule="exact"/>
        <w:rPr>
          <w:sz w:val="20"/>
          <w:szCs w:val="20"/>
          <w:color w:val="auto"/>
        </w:rPr>
      </w:pPr>
    </w:p>
    <w:p>
      <w:pPr>
        <w:ind w:left="60" w:right="119"/>
        <w:spacing w:after="0" w:line="269" w:lineRule="auto"/>
        <w:rPr>
          <w:sz w:val="20"/>
          <w:szCs w:val="20"/>
          <w:color w:val="auto"/>
        </w:rPr>
      </w:pPr>
      <w:r>
        <w:rPr>
          <w:rFonts w:ascii="Times New Roman" w:cs="Times New Roman" w:eastAsia="Times New Roman" w:hAnsi="Times New Roman"/>
          <w:sz w:val="17"/>
          <w:szCs w:val="17"/>
          <w:color w:val="auto"/>
        </w:rPr>
        <w:t>Our products are discretionary items for end-use customers, and customer demand is highly sensitive to changes in overall economic, political and other conditions that impact consumer confidence and spending. Global economic forces and conditions beyond our control affect our business both directly and indirectly through the business of our suppliers and our customers. Therefore, the success of our business depends significantly on economic factors and trends in consumer spending. There are a number of factors that influence consumer spending, including actual and perceived economic conditions, consumer confidence, disposable consumer income, consumer credit availability, unemployment, inflation, interest rates, energy costs (including the price of gasoline), tax rates in the markets where our products are sold to end-use customers, global conflicts, natural disasters, climate change, acts of terrorism and public health issues (such as the COVID-19 pandemic). Consumers also have discretion as to where to spend their disposable income and may choose to forgo our products or purchase other items. As global economic and other conditions continue to be volatile, and economic uncertainty remains, trends in consumer discretionary spending and levels of disposable income remain unpredictable and subject to declines. Any of these factors could harm discretionary consumer spending, resulting in a reduction in demand for our products, decreased prices, increased costs to make sales, and harm to our business and results of operations.</w:t>
      </w:r>
    </w:p>
    <w:p>
      <w:pPr>
        <w:spacing w:after="0" w:line="1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These financial and operational difficulties faced by both us and our suppliers could also increase the cost of the products we purchase, the timing of settlement for our obligations to the suppliers, or our ability to source products from them. We might not be able to pass on our increased costs to our customers and, to the extent these difficulties impact the timing of settlement for our obligation to the supplier, we may have a decrease in our cash flow from operations and may have to use our various financing arrangements for short-term liquidity needs.</w:t>
      </w:r>
    </w:p>
    <w:p>
      <w:pPr>
        <w:spacing w:after="0" w:line="39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Supply chain disruptions and cost increases related to inflation are having, and could continue to have, an adverse effect on our business, operating results and financial condition.</w:t>
      </w:r>
    </w:p>
    <w:p>
      <w:pPr>
        <w:spacing w:after="0" w:line="159" w:lineRule="exact"/>
        <w:rPr>
          <w:sz w:val="20"/>
          <w:szCs w:val="20"/>
          <w:color w:val="auto"/>
        </w:rPr>
      </w:pPr>
    </w:p>
    <w:p>
      <w:pPr>
        <w:ind w:left="60" w:right="279"/>
        <w:spacing w:after="0" w:line="256" w:lineRule="auto"/>
        <w:rPr>
          <w:sz w:val="20"/>
          <w:szCs w:val="20"/>
          <w:color w:val="auto"/>
        </w:rPr>
      </w:pPr>
      <w:r>
        <w:rPr>
          <w:rFonts w:ascii="Times New Roman" w:cs="Times New Roman" w:eastAsia="Times New Roman" w:hAnsi="Times New Roman"/>
          <w:sz w:val="18"/>
          <w:szCs w:val="18"/>
          <w:color w:val="auto"/>
        </w:rPr>
        <w:t>Westrock attempts to mitigate the impacts of inflation and supply chain disruptions, wherever possible. Our mitigation strategies, including working with our warehouse and over the road haulage vendors, have provided us the necessary flexibility to respond to the risks, and have ensured that we have adequate access to raw materials to reliably provide our customers with the high-quality products they expect. In addition, where possible, we seek to recover inflation impacted costs by passing these costs onto our customers through periodic pricing increases. However, our pricing increases often lag our cost increases, including increases in commodity costs.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Material risks of cybersecurity threats are integrated into the Company’s overall risk management program and managed across the Company, utilizing internal and third-party expertise. To protect our information systems from a cybersecurity threat, certain tools have been implemented within our IT network to help prevent, identify, detect, escalate, investigate, resolve and recover from identified vulnerabilities and security incidents in a timely manner. The Company also leverages the services and tools of a third-party cybersecurity firm to identify, prioritize, assess, mitigate and remediate reasonably foreseeable cybersecurity risks and threats.</w:t>
      </w:r>
    </w:p>
    <w:p>
      <w:pPr>
        <w:spacing w:after="0" w:line="187"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To identify, detect and respond to a cybersecurity incident, we conduct proactive cybersecurity reviews of systems and applications, audit applicable data policies, perform penetration testing, perform incident response capability reviews and exercises, conduct annual employee training, monitor emerging laws and regulations related to data protection and information security (including intellectual property) and implement appropriate changes. The Company has implemented a cybersecurity incident response plan that outlines the Company’s process for preparing for a cybersecurity incident, detecting, analyzing, containing, eradicating and recovering from such incident, and provides guidance for post-incident analysis. Additionally, we have established a Cyber Incident Committee that is comprised of leadership across the Company’s finance, legal, accounting, internal audit and IT organizations to provide guidance and monitor overall company cybersecurity.</w:t>
      </w:r>
    </w:p>
    <w:p>
      <w:pPr>
        <w:spacing w:after="0" w:line="188"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When a cybersecurity incident occurs, the Company prioritizes responding to and containing the threat and minimizing any business impact as appropriate. Each incident is evaluated, to determine the operational and financial significance, ranked by severity and prioritized for response and remediation. Incidents are evaluated to determine materiality as well as operational and business impact. An incident that reaches a specific level of severity is reported to the Cyber Incident Committee within pre-determined time frames. In such instance, the Cyber Incident Committee monitors the incident through resolution and post-incident analysis.</w:t>
      </w:r>
    </w:p>
    <w:p>
      <w:pPr>
        <w:spacing w:after="0" w:line="187" w:lineRule="exact"/>
        <w:rPr>
          <w:sz w:val="20"/>
          <w:szCs w:val="20"/>
          <w:color w:val="auto"/>
        </w:rPr>
      </w:pPr>
    </w:p>
    <w:p>
      <w:pPr>
        <w:ind w:left="60" w:right="239"/>
        <w:spacing w:after="0" w:line="281" w:lineRule="auto"/>
        <w:rPr>
          <w:sz w:val="20"/>
          <w:szCs w:val="20"/>
          <w:color w:val="auto"/>
        </w:rPr>
      </w:pPr>
      <w:r>
        <w:rPr>
          <w:rFonts w:ascii="Times New Roman" w:cs="Times New Roman" w:eastAsia="Times New Roman" w:hAnsi="Times New Roman"/>
          <w:sz w:val="17"/>
          <w:szCs w:val="17"/>
          <w:color w:val="auto"/>
        </w:rPr>
        <w:t>To date, we have not identified any risks from cybersecurity threats, including as a result of any previous cybersecurity incidents, which have materially affected or are reasonably likely to materially affect us, including our business strategy, results of operations, or financial condition. For additional discussion of cybersecurity risks or the impact of previous cybersecurity incidents, see Item 1A. Risk Factors “</w:t>
      </w:r>
      <w:r>
        <w:rPr>
          <w:rFonts w:ascii="Times New Roman" w:cs="Times New Roman" w:eastAsia="Times New Roman" w:hAnsi="Times New Roman"/>
          <w:sz w:val="17"/>
          <w:szCs w:val="17"/>
          <w:i w:val="1"/>
          <w:iCs w:val="1"/>
          <w:color w:val="auto"/>
        </w:rPr>
        <w:t>Risks Related to Our Business”</w:t>
      </w:r>
      <w:r>
        <w:rPr>
          <w:rFonts w:ascii="Times New Roman" w:cs="Times New Roman" w:eastAsia="Times New Roman" w:hAnsi="Times New Roman"/>
          <w:sz w:val="17"/>
          <w:szCs w:val="17"/>
          <w:color w:val="auto"/>
        </w:rPr>
        <w:t xml:space="preserve"> in this Annual Report on Form 10-K.</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Company’s board of directors is responsible for overseeing the Company’s risk management program and has designated its Audit &amp; Finance Committee with specific responsibility for overseeing cybersecurity risks, among other risks. The Company’s cybersecurity organization is currently led by our Vice President of Systems Infrastructure, who is responsible for assessing and managing material risks that result from cybersecurity threats, and reports to the Chief Trade &amp; Risk Officer. Executive management and the Audit &amp; Finance Committee monitor the prevention, detection,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mitigation and remediation of cybersecurity incidents through their management of, and participation in, the cybersecurity risk management and strategy processes.</w:t>
      </w:r>
    </w:p>
    <w:p>
      <w:pPr>
        <w:spacing w:after="0" w:line="16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Audit &amp; Finance Committee regularly reviews our cybersecurity program with executive management and reports to the Board of Directors. Cybersecurity reviews by the Audit &amp; Finance Committee generally occur annually, or more frequently as determined to be necessary or advisable. Additionally, on a quarterly basis, members of the Audit &amp; Finance Committee receive updates from executive management regarding matters of cybersecurity, including, but not limited to, information on new and/or existing cybersecurity risks and management’s response to such risks, cybersecurity and data privacy incidents, if any, and status on key information security initiatives.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principal properties used by Westrock in connection with its roasting, manufacturing, and distribution operations, by segment as of December 31, 2025.</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96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Approximate Size</w:t>
            </w: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134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Owned / Leased</w:t>
            </w:r>
          </w:p>
        </w:tc>
        <w:tc>
          <w:tcPr>
            <w:tcW w:w="138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173"/>
        </w:trPr>
        <w:tc>
          <w:tcPr>
            <w:tcW w:w="1960" w:type="dxa"/>
            <w:vAlign w:val="bottom"/>
            <w:tcBorders>
              <w:bottom w:val="single" w:sz="8" w:color="auto"/>
            </w:tcBorders>
            <w:vMerge w:val="continue"/>
          </w:tcPr>
          <w:p>
            <w:pPr>
              <w:spacing w:after="0"/>
              <w:rPr>
                <w:sz w:val="15"/>
                <w:szCs w:val="15"/>
                <w:color w:val="auto"/>
              </w:rPr>
            </w:pPr>
          </w:p>
        </w:tc>
        <w:tc>
          <w:tcPr>
            <w:tcW w:w="14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in Square Feet</w:t>
            </w:r>
          </w:p>
        </w:tc>
        <w:tc>
          <w:tcPr>
            <w:tcW w:w="2780" w:type="dxa"/>
            <w:vAlign w:val="bottom"/>
            <w:tcBorders>
              <w:bottom w:val="single" w:sz="8" w:color="auto"/>
            </w:tcBorders>
            <w:vMerge w:val="continue"/>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Concord, NC (Main)</w:t>
            </w:r>
          </w:p>
        </w:tc>
        <w:tc>
          <w:tcPr>
            <w:tcW w:w="1440" w:type="dxa"/>
            <w:vAlign w:val="bottom"/>
            <w:shd w:val="clear" w:color="auto" w:fill="CCEEFF"/>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256,000</w:t>
            </w:r>
          </w:p>
        </w:tc>
        <w:tc>
          <w:tcPr>
            <w:tcW w:w="27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Roasting, Manufacturing, Distribution</w:t>
            </w:r>
          </w:p>
        </w:tc>
        <w:tc>
          <w:tcPr>
            <w:tcW w:w="1340" w:type="dxa"/>
            <w:vAlign w:val="bottom"/>
            <w:shd w:val="clear" w:color="auto" w:fill="CCEEFF"/>
          </w:tcPr>
          <w:p>
            <w:pPr>
              <w:jc w:val="center"/>
              <w:ind w:left="128"/>
              <w:spacing w:after="0" w:line="142" w:lineRule="exact"/>
              <w:rPr>
                <w:sz w:val="20"/>
                <w:szCs w:val="20"/>
                <w:color w:val="auto"/>
              </w:rPr>
            </w:pPr>
            <w:r>
              <w:rPr>
                <w:rFonts w:ascii="Times New Roman" w:cs="Times New Roman" w:eastAsia="Times New Roman" w:hAnsi="Times New Roman"/>
                <w:sz w:val="14"/>
                <w:szCs w:val="14"/>
                <w:color w:val="auto"/>
              </w:rPr>
              <w:t>Owned</w:t>
            </w:r>
          </w:p>
        </w:tc>
        <w:tc>
          <w:tcPr>
            <w:tcW w:w="1380" w:type="dxa"/>
            <w:vAlign w:val="bottom"/>
            <w:shd w:val="clear" w:color="auto" w:fill="CCEEFF"/>
          </w:tcPr>
          <w:p>
            <w:pPr>
              <w:jc w:val="center"/>
              <w:ind w:right="8"/>
              <w:spacing w:after="0" w:line="142" w:lineRule="exact"/>
              <w:rPr>
                <w:sz w:val="20"/>
                <w:szCs w:val="20"/>
                <w:color w:val="auto"/>
              </w:rPr>
            </w:pPr>
            <w:r>
              <w:rPr>
                <w:rFonts w:ascii="Times New Roman" w:cs="Times New Roman" w:eastAsia="Times New Roman" w:hAnsi="Times New Roman"/>
                <w:sz w:val="14"/>
                <w:szCs w:val="14"/>
                <w:color w:val="auto"/>
              </w:rPr>
              <w:t>Beverage Solutions</w:t>
            </w:r>
          </w:p>
        </w:tc>
        <w:tc>
          <w:tcPr>
            <w:tcW w:w="0" w:type="dxa"/>
            <w:vAlign w:val="bottom"/>
          </w:tcPr>
          <w:p>
            <w:pPr>
              <w:spacing w:after="0"/>
              <w:rPr>
                <w:sz w:val="1"/>
                <w:szCs w:val="1"/>
                <w:color w:val="auto"/>
              </w:rPr>
            </w:pPr>
          </w:p>
        </w:tc>
      </w:tr>
      <w:tr>
        <w:trPr>
          <w:trHeight w:val="149"/>
        </w:trPr>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Concord, NC (Commercial Park)</w:t>
            </w:r>
          </w:p>
        </w:tc>
        <w:tc>
          <w:tcPr>
            <w:tcW w:w="144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110,000</w:t>
            </w:r>
          </w:p>
        </w:tc>
        <w:tc>
          <w:tcPr>
            <w:tcW w:w="2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Manufacturing</w:t>
            </w:r>
          </w:p>
        </w:tc>
        <w:tc>
          <w:tcPr>
            <w:tcW w:w="134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13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Beverage Solutions</w:t>
            </w: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North Little Rock, AR (Collins)</w:t>
            </w:r>
          </w:p>
        </w:tc>
        <w:tc>
          <w:tcPr>
            <w:tcW w:w="144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85,000</w:t>
            </w:r>
          </w:p>
        </w:tc>
        <w:tc>
          <w:tcPr>
            <w:tcW w:w="2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Roasting, Manufacturing</w:t>
            </w:r>
          </w:p>
        </w:tc>
        <w:tc>
          <w:tcPr>
            <w:tcW w:w="1340" w:type="dxa"/>
            <w:vAlign w:val="bottom"/>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1380" w:type="dxa"/>
            <w:vAlign w:val="bottom"/>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Beverage Solutions</w:t>
            </w:r>
          </w:p>
        </w:tc>
        <w:tc>
          <w:tcPr>
            <w:tcW w:w="0" w:type="dxa"/>
            <w:vAlign w:val="bottom"/>
          </w:tcPr>
          <w:p>
            <w:pPr>
              <w:spacing w:after="0"/>
              <w:rPr>
                <w:sz w:val="1"/>
                <w:szCs w:val="1"/>
                <w:color w:val="auto"/>
              </w:rPr>
            </w:pPr>
          </w:p>
        </w:tc>
      </w:tr>
      <w:tr>
        <w:trPr>
          <w:trHeight w:val="148"/>
        </w:trPr>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Conway, AR (Exchange)</w:t>
            </w:r>
          </w:p>
        </w:tc>
        <w:tc>
          <w:tcPr>
            <w:tcW w:w="144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524,000</w:t>
            </w:r>
          </w:p>
        </w:tc>
        <w:tc>
          <w:tcPr>
            <w:tcW w:w="2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Roasting, Manufacturing, Distribution</w:t>
            </w:r>
          </w:p>
        </w:tc>
        <w:tc>
          <w:tcPr>
            <w:tcW w:w="134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13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Beverage Solutions</w:t>
            </w: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Conway, AR (Clark)</w:t>
            </w:r>
          </w:p>
        </w:tc>
        <w:tc>
          <w:tcPr>
            <w:tcW w:w="144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530,000</w:t>
            </w:r>
          </w:p>
        </w:tc>
        <w:tc>
          <w:tcPr>
            <w:tcW w:w="2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Manufacturing, Distribution</w:t>
            </w:r>
          </w:p>
        </w:tc>
        <w:tc>
          <w:tcPr>
            <w:tcW w:w="1340" w:type="dxa"/>
            <w:vAlign w:val="bottom"/>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1380" w:type="dxa"/>
            <w:vAlign w:val="bottom"/>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Beverage Solutions</w:t>
            </w:r>
          </w:p>
        </w:tc>
        <w:tc>
          <w:tcPr>
            <w:tcW w:w="0" w:type="dxa"/>
            <w:vAlign w:val="bottom"/>
          </w:tcPr>
          <w:p>
            <w:pPr>
              <w:spacing w:after="0"/>
              <w:rPr>
                <w:sz w:val="1"/>
                <w:szCs w:val="1"/>
                <w:color w:val="auto"/>
              </w:rPr>
            </w:pPr>
          </w:p>
        </w:tc>
      </w:tr>
      <w:tr>
        <w:trPr>
          <w:trHeight w:val="188"/>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Johor Bahru, Malaysia</w:t>
            </w:r>
          </w:p>
        </w:tc>
        <w:tc>
          <w:tcPr>
            <w:tcW w:w="14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92,000</w:t>
            </w: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Roasting, Manufacturing</w:t>
            </w:r>
          </w:p>
        </w:tc>
        <w:tc>
          <w:tcPr>
            <w:tcW w:w="134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Leased</w:t>
            </w:r>
          </w:p>
        </w:tc>
        <w:tc>
          <w:tcPr>
            <w:tcW w:w="1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Beverage Solutions</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Management believes that the Company’s sites are adequate to support the business and that the properties have been well maintained.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60" w:right="139"/>
        <w:spacing w:after="0" w:line="312" w:lineRule="auto"/>
        <w:rPr>
          <w:sz w:val="20"/>
          <w:szCs w:val="20"/>
          <w:color w:val="auto"/>
        </w:rPr>
      </w:pPr>
      <w:r>
        <w:rPr>
          <w:rFonts w:ascii="Times New Roman" w:cs="Times New Roman" w:eastAsia="Times New Roman" w:hAnsi="Times New Roman"/>
          <w:sz w:val="17"/>
          <w:szCs w:val="17"/>
          <w:color w:val="auto"/>
        </w:rPr>
        <w:t>A description of the legal proceedings can be found in Note 21, Commitments and Contingencies, to the consolidated financial statements included in Item 8 of Part II of this Annual Report on Form 10-K, and is incorporated into this Item 3.</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8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left="60" w:right="419"/>
        <w:spacing w:after="0" w:line="266" w:lineRule="auto"/>
        <w:rPr>
          <w:sz w:val="20"/>
          <w:szCs w:val="20"/>
          <w:color w:val="auto"/>
        </w:rPr>
      </w:pPr>
      <w:r>
        <w:rPr>
          <w:rFonts w:ascii="Times New Roman" w:cs="Times New Roman" w:eastAsia="Times New Roman" w:hAnsi="Times New Roman"/>
          <w:sz w:val="18"/>
          <w:szCs w:val="18"/>
          <w:color w:val="auto"/>
        </w:rPr>
        <w:t>The Company’s common stock is listed on the Nasdaq Global Market under the symbol “WEST”. As of February 27, 2026, there were 18 holders of record of our Common Shares, which does not include holders whose shares are held in nominee or “street name” accounts through banks, brokers or other financial institutions.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We have not declared or paid any dividends on our Common Shares as of December 31, 2025. We anticipate that we will retain all of our future earnings, if any, for use in the operation and expansion of our business and do not anticipate paying cash dividends in the foreseeable future.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following graph shows the cumulative total shareholder returns for our Common Shares from August 29, 2022 through December 31, 2025, relative to the performance of the Nasdaq Composite Total Return (broad market comparison), the S&amp;P 500 (broad market comparison) and the S&amp;P Food and Beverage Select Industry Index (line of business comparison). The graph assumes $100 was invested in the Company’s Common Shares and each of the indices listed above on August 29, 2022 (and all dividends, if any,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128270</wp:posOffset>
            </wp:positionV>
            <wp:extent cx="5194935" cy="2768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94935"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Cumulative Total Stockholder Returns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Based on Investment of $100.00 Beginning on August 29, 2022</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2220" w:type="dxa"/>
            <w:vAlign w:val="bottom"/>
          </w:tcPr>
          <w:p>
            <w:pPr>
              <w:ind w:left="20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40" w:type="dxa"/>
            <w:vAlign w:val="bottom"/>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w w:val="98"/>
              </w:rPr>
              <w:t>8/29/2022</w:t>
            </w: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w w:val="98"/>
              </w:rPr>
              <w:t>9/30/2022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w w:val="98"/>
              </w:rPr>
              <w:t>12/31/2022</w:t>
            </w: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w w:val="98"/>
              </w:rPr>
              <w:t>3/31/2023</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w w:val="98"/>
              </w:rPr>
              <w:t>6/30/2023</w:t>
            </w: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w w:val="98"/>
              </w:rPr>
              <w:t>9/30/2023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w w:val="98"/>
              </w:rPr>
              <w:t>12/31/2023</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w w:val="98"/>
              </w:rPr>
              <w:t>3/31/2024</w:t>
            </w:r>
          </w:p>
        </w:tc>
      </w:tr>
      <w:tr>
        <w:trPr>
          <w:trHeight w:val="129"/>
        </w:trPr>
        <w:tc>
          <w:tcPr>
            <w:tcW w:w="222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Westrock Coffee Company</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100.00</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89.75</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116.07</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106.33</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94.43</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76.97</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88.69</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89.73</w:t>
            </w:r>
          </w:p>
        </w:tc>
      </w:tr>
      <w:tr>
        <w:trPr>
          <w:trHeight w:val="135"/>
        </w:trPr>
        <w:tc>
          <w:tcPr>
            <w:tcW w:w="22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NASDAQ Composite</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88.06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87.37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102.26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115.61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111.06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126.37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138.14</w:t>
            </w:r>
          </w:p>
        </w:tc>
      </w:tr>
      <w:tr>
        <w:trPr>
          <w:trHeight w:val="135"/>
        </w:trPr>
        <w:tc>
          <w:tcPr>
            <w:tcW w:w="2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S&amp;P 500</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89.11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95.85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103.04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112.04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108.38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121.05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133.82</w:t>
            </w:r>
          </w:p>
        </w:tc>
      </w:tr>
      <w:tr>
        <w:trPr>
          <w:trHeight w:val="117"/>
        </w:trPr>
        <w:tc>
          <w:tcPr>
            <w:tcW w:w="222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S&amp;P Food &amp; Beverage Select Industry</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53"/>
        </w:trPr>
        <w:tc>
          <w:tcPr>
            <w:tcW w:w="2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Index</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99.38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98.53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98.96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104.82</w:t>
            </w:r>
          </w:p>
        </w:tc>
      </w:tr>
      <w:tr>
        <w:trPr>
          <w:trHeight w:val="216"/>
        </w:trPr>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135"/>
        </w:trPr>
        <w:tc>
          <w:tcPr>
            <w:tcW w:w="2220" w:type="dxa"/>
            <w:vAlign w:val="bottom"/>
          </w:tcPr>
          <w:p>
            <w:pPr>
              <w:ind w:left="20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64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2"/>
                <w:szCs w:val="12"/>
                <w:b w:val="1"/>
                <w:bCs w:val="1"/>
                <w:color w:val="auto"/>
                <w:w w:val="98"/>
              </w:rPr>
              <w:t>6/30/2024</w:t>
            </w:r>
          </w:p>
        </w:tc>
        <w:tc>
          <w:tcPr>
            <w:tcW w:w="220" w:type="dxa"/>
            <w:vAlign w:val="bottom"/>
            <w:gridSpan w:val="2"/>
          </w:tcPr>
          <w:p>
            <w:pPr>
              <w:jc w:val="right"/>
              <w:ind w:right="28"/>
              <w:spacing w:after="0" w:line="135"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2"/>
                <w:szCs w:val="12"/>
                <w:b w:val="1"/>
                <w:bCs w:val="1"/>
                <w:color w:val="auto"/>
                <w:w w:val="98"/>
              </w:rPr>
              <w:t>9/30/2024</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ind w:right="38"/>
              <w:spacing w:after="0" w:line="135" w:lineRule="exact"/>
              <w:rPr>
                <w:sz w:val="20"/>
                <w:szCs w:val="20"/>
                <w:color w:val="auto"/>
              </w:rPr>
            </w:pPr>
            <w:r>
              <w:rPr>
                <w:rFonts w:ascii="Times New Roman" w:cs="Times New Roman" w:eastAsia="Times New Roman" w:hAnsi="Times New Roman"/>
                <w:sz w:val="12"/>
                <w:szCs w:val="12"/>
                <w:b w:val="1"/>
                <w:bCs w:val="1"/>
                <w:color w:val="auto"/>
                <w:w w:val="98"/>
              </w:rPr>
              <w:t>12/31/2024</w:t>
            </w:r>
          </w:p>
        </w:tc>
        <w:tc>
          <w:tcPr>
            <w:tcW w:w="220" w:type="dxa"/>
            <w:vAlign w:val="bottom"/>
            <w:gridSpan w:val="2"/>
          </w:tcPr>
          <w:p>
            <w:pPr>
              <w:jc w:val="right"/>
              <w:ind w:right="28"/>
              <w:spacing w:after="0" w:line="135"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2"/>
                <w:szCs w:val="12"/>
                <w:b w:val="1"/>
                <w:bCs w:val="1"/>
                <w:color w:val="auto"/>
                <w:w w:val="98"/>
              </w:rPr>
              <w:t>3/31/2025</w:t>
            </w:r>
          </w:p>
        </w:tc>
        <w:tc>
          <w:tcPr>
            <w:tcW w:w="220" w:type="dxa"/>
            <w:vAlign w:val="bottom"/>
            <w:gridSpan w:val="2"/>
          </w:tcPr>
          <w:p>
            <w:pPr>
              <w:jc w:val="right"/>
              <w:ind w:right="8"/>
              <w:spacing w:after="0" w:line="135"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2"/>
                <w:szCs w:val="12"/>
                <w:b w:val="1"/>
                <w:bCs w:val="1"/>
                <w:color w:val="auto"/>
                <w:w w:val="98"/>
              </w:rPr>
              <w:t>6/30/2025</w:t>
            </w:r>
          </w:p>
        </w:tc>
        <w:tc>
          <w:tcPr>
            <w:tcW w:w="220" w:type="dxa"/>
            <w:vAlign w:val="bottom"/>
            <w:gridSpan w:val="2"/>
          </w:tcPr>
          <w:p>
            <w:pPr>
              <w:jc w:val="right"/>
              <w:ind w:right="28"/>
              <w:spacing w:after="0" w:line="135"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2"/>
                <w:szCs w:val="12"/>
                <w:b w:val="1"/>
                <w:bCs w:val="1"/>
                <w:color w:val="auto"/>
                <w:w w:val="98"/>
              </w:rPr>
              <w:t>9/30/2025</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ind w:right="38"/>
              <w:spacing w:after="0" w:line="135" w:lineRule="exact"/>
              <w:rPr>
                <w:sz w:val="20"/>
                <w:szCs w:val="20"/>
                <w:color w:val="auto"/>
              </w:rPr>
            </w:pPr>
            <w:r>
              <w:rPr>
                <w:rFonts w:ascii="Times New Roman" w:cs="Times New Roman" w:eastAsia="Times New Roman" w:hAnsi="Times New Roman"/>
                <w:sz w:val="12"/>
                <w:szCs w:val="12"/>
                <w:b w:val="1"/>
                <w:bCs w:val="1"/>
                <w:color w:val="auto"/>
                <w:w w:val="98"/>
              </w:rPr>
              <w:t>12/31/2025</w:t>
            </w:r>
          </w:p>
        </w:tc>
        <w:tc>
          <w:tcPr>
            <w:tcW w:w="22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spacing w:after="0"/>
              <w:rPr>
                <w:sz w:val="11"/>
                <w:szCs w:val="11"/>
                <w:color w:val="auto"/>
              </w:rPr>
            </w:pPr>
          </w:p>
        </w:tc>
      </w:tr>
      <w:tr>
        <w:trPr>
          <w:trHeight w:val="128"/>
        </w:trPr>
        <w:tc>
          <w:tcPr>
            <w:tcW w:w="222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Westrock Coffee Company</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88.86</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56.46</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55.76</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62.71</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49.76</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42.21</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35.35</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r>
      <w:tr>
        <w:trPr>
          <w:trHeight w:val="135"/>
        </w:trPr>
        <w:tc>
          <w:tcPr>
            <w:tcW w:w="22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NASDAQ Composite</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149.84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153.97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163.74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146.94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173.33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193.11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198.36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S&amp;P 500</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139.56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147.77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151.33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144.87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160.72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173.78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178.39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17"/>
        </w:trPr>
        <w:tc>
          <w:tcPr>
            <w:tcW w:w="222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S&amp;P Food &amp; Beverage Select Industry</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64"/>
        </w:trPr>
        <w:tc>
          <w:tcPr>
            <w:tcW w:w="2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Index</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106.94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102.80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101.42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101.83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During the quarter ended December 31, 2025, there was no share repurchase activity made by or on behalf of the Company.</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is a discussion of our financial condition at December 31, 2025 and 2024 and our results of operations for each of the years in the three-year period ended December 31, 2025. The purpose of this Item 7 is to focus on material information relevant to an assessment of our financial condition and results of operations that is not otherwise apparent from the consolidated financial statements and footnotes. This discussion should be read in conjunction with the disclosure regarding “Forward-Looking Statements” as well as the risks discussed under Part I, Item 1A “Risk Factors”, and our consolidated financial statements and notes thereto included under Item 8 “Financial Statements and Supplementary Data” of this Annual Report on Form 10-K.</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Westrock Coffee Company, a Delaware corporation (the “Company,” “Westrock,” “we,” “us,” or “our”), is a leading integrated coffee, tea, flavors, extracts, and ingredients solutions provider in the United States, providing coffee sourcing, supply chain management, product development, roasting, packaging, and distribution services to the retail, food service and restaurant, convenience store and travel center, non-commercial account, consumer packaged goods (“CPG”), and hospitality industries around the world.</w:t>
      </w:r>
    </w:p>
    <w:p>
      <w:pPr>
        <w:spacing w:after="0" w:line="183"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Our platform is built upon four fundamental pillars that enable us to positively impact the coffee, tea, flavors, extracts, and ingredients ecosystems from crop to cup: (i) we operate a transparent supply chain, (ii) we develop innovative beverage solutions tailored to our customers’ specific needs, (iii) we deliver a high quality and comprehensive set of products to our customers, and (iv) we leverage our scaled international presence to serve our blue-chip customer base. These four tenets comprise the backbone of our platform and position us as a leading provider of value-added beverage solutions. By partnering with Westrock, our customers also benefit from the benchmark-setting responsible sourcing policies and strong Environmental, Social, and Governance focus surrounding our products, top tier consumer insights, and a differentiated product ideation process. Leading brands choose us because we are singularly positioned to meet their needs, while simultaneously driving a new standard for sustainably and responsibly sourced products.</w:t>
      </w:r>
    </w:p>
    <w:p>
      <w:pPr>
        <w:spacing w:after="0" w:line="161" w:lineRule="exact"/>
        <w:rPr>
          <w:sz w:val="20"/>
          <w:szCs w:val="20"/>
          <w:color w:val="auto"/>
        </w:rPr>
      </w:pPr>
    </w:p>
    <w:p>
      <w:pPr>
        <w:ind w:left="60" w:right="779"/>
        <w:spacing w:after="0" w:line="282" w:lineRule="auto"/>
        <w:rPr>
          <w:sz w:val="20"/>
          <w:szCs w:val="20"/>
          <w:color w:val="auto"/>
        </w:rPr>
      </w:pPr>
      <w:r>
        <w:rPr>
          <w:rFonts w:ascii="Times New Roman" w:cs="Times New Roman" w:eastAsia="Times New Roman" w:hAnsi="Times New Roman"/>
          <w:sz w:val="18"/>
          <w:szCs w:val="18"/>
          <w:color w:val="auto"/>
        </w:rPr>
        <w:t>We manage our business in two operating segments: Beverage Solutions and Sustainable Sourcing &amp; Traceability (“SS&amp;T”).</w:t>
      </w:r>
    </w:p>
    <w:p>
      <w:pPr>
        <w:spacing w:after="0" w:line="121" w:lineRule="exact"/>
        <w:rPr>
          <w:sz w:val="20"/>
          <w:szCs w:val="20"/>
          <w:color w:val="auto"/>
        </w:rPr>
      </w:pPr>
    </w:p>
    <w:p>
      <w:pPr>
        <w:ind w:left="60" w:right="359"/>
        <w:spacing w:after="0" w:line="312" w:lineRule="auto"/>
        <w:rPr>
          <w:sz w:val="20"/>
          <w:szCs w:val="20"/>
          <w:color w:val="auto"/>
        </w:rPr>
      </w:pPr>
      <w:r>
        <w:rPr>
          <w:rFonts w:ascii="Times New Roman" w:cs="Times New Roman" w:eastAsia="Times New Roman" w:hAnsi="Times New Roman"/>
          <w:sz w:val="17"/>
          <w:szCs w:val="17"/>
          <w:u w:val="single" w:color="auto"/>
          <w:color w:val="auto"/>
        </w:rPr>
        <w:t>Beverage Solutions</w:t>
      </w:r>
      <w:r>
        <w:rPr>
          <w:rFonts w:ascii="Times New Roman" w:cs="Times New Roman" w:eastAsia="Times New Roman" w:hAnsi="Times New Roman"/>
          <w:sz w:val="17"/>
          <w:szCs w:val="17"/>
          <w:color w:val="auto"/>
        </w:rPr>
        <w:t>: Through this segment, we combine our product innovation and customer insights to provide value-added beverage solutions, including coffee, tea, flavors, extracts, and ingredients. We provide products in a variety of</w:t>
      </w:r>
    </w:p>
    <w:p>
      <w:pPr>
        <w:spacing w:after="0" w:line="35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packaging, including branded and private label coffee in bags, fractional packs, single serve cups, multi-serve bottles and ready-to-drink bottles and cans,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spacing w:after="0" w:line="153"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u w:val="single" w:color="auto"/>
          <w:color w:val="auto"/>
        </w:rPr>
        <w:t>Sustainable Sourcing &amp; Traceability</w:t>
      </w:r>
      <w:r>
        <w:rPr>
          <w:rFonts w:ascii="Times New Roman" w:cs="Times New Roman" w:eastAsia="Times New Roman" w:hAnsi="Times New Roman"/>
          <w:sz w:val="18"/>
          <w:szCs w:val="18"/>
          <w:color w:val="auto"/>
        </w:rPr>
        <w:t>: Through this segment, we utilize our proprietary technology and digitally traceable supply chain to directly impact and improve the lives of our farming partners, provide tangible economic empowerment and emphasize environmental accountability and farmer literacy. Revenues primarily consist of sales from commodity contracts related to forward sales of green coffee.</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Significant Developments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Offering</w:t>
      </w:r>
    </w:p>
    <w:p>
      <w:pPr>
        <w:spacing w:after="0" w:line="229"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On November 4, 2025, the Company sold and issued in a private placement $30.0 million in aggregate principal amount of 5.00% convertible senior notes due 2031 (the “2031 Convertible Notes”). The 2031 Convertible Notes are unsecured and senior obligations of the Company and accrue interest at a rate of 5.00% per annum.</w:t>
      </w:r>
    </w:p>
    <w:p>
      <w:pPr>
        <w:spacing w:after="0" w:line="17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purchasers of the 2031 Convertible Notes include, among others, HF Direct Investments Pool, LLC (a holder of more than 10% of the outstanding Common Shares), Jeffrey H. Fox Revocable Trust (an affiliate of Jeffrey H. Fox, a member of the board of directors of the Company), and an affiliate of The Stephens Group, LLC (a holder of more than 5% of the outstanding Common Shares). See Note 12 to our Consolidated Financial Statements for additional discussion related to the 2031 Convertible Notes offering.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Amendments</w:t>
      </w:r>
    </w:p>
    <w:p>
      <w:pPr>
        <w:spacing w:after="0" w:line="22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On January 15, 2025, the Company entered into an Incremental Assumption Agreement and Amendment No. 4 (the “Fourth Amendment”) to the Credit Agreement dated as of August 29, 2022 among the Borrower, the Company, Wells Fargo Bank, N.A., as administrative agent, as collateral agent and as swingline lender, Wells Fargo Securities, LLC, as sustainability structuring agent, the issuing banks party thereto from time to time and the lenders party thereto from time to time (as amended, restated, amended and restated, supplemented or otherwise modified, the “Credit Agreement”). The Fourth Amendment expanded the syndicate to include member banks from the Farm Credit System and increased the amount of revolving facility commitments (the “Existing Revolving Facility Commitments”, and any loans thereunder, the “Existing Revolving Loans”) available to the Borrower under the Credit Agreement by $25.0 million (the “Incremental Revolving Facility Commitments” and any loans thereunder, the “Incremental Revolving Loans”). The amount of revolving facility commitments available to the Borrower under the Credit Agreement, as amended through the Fourth Amendment, is $200.0 million. The Incremental Revolving Facility Commitments and the Incremental Revolving Loans are subject to the same interest rates, commitment fees, maturity dates and other terms as the Existing Revolving Facility Commitments and the Existing Revolving Loans.</w:t>
      </w:r>
    </w:p>
    <w:p>
      <w:pPr>
        <w:spacing w:after="0" w:line="187"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The Fourth Amendment also modified the secured net leverage ratio that the Company must comply with during the Covenant Relief Period and clarified that the Company’s minimum liquidity covenant will not apply after the Covenant Relief Period ends.</w:t>
      </w:r>
    </w:p>
    <w:p>
      <w:pPr>
        <w:spacing w:after="0" w:line="1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On November 4, 2025, the Company entered into Amendment No. 5 (the “Fifth Amendment”) to the Credit Agreement. The Fifth Amendment modified and extended the existing Covenant Relief Period, which commenced on June 30, 2023, and will end on the earlier to occur of (i) October 1, 2026 and (ii) any date following June 30, 2024, on which the Borrower elects to terminate the Covenant Relief Period subject to satisfaction of certain conditions.</w:t>
      </w:r>
    </w:p>
    <w:p>
      <w:pPr>
        <w:spacing w:after="0" w:line="180"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During the Covenant Relief Period, the Borrower’s ability to incur additional indebtedness and make investments, restricted payments and junior debt restricted payments is more limited. The Fifth Amendment permitted the Borrower to issue convertible notes, including the 2031 Convertible Notes.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The Fifth Amendment modified the secured net leverage ratio that the Company must comply with during the Covenant Relief Period to increase the maximum secured net leverage ratio to (a) 5.50x for the test period ending December 31, 2025, (b) 5.25x for the test period ending March 31, 2026, (c) 5.00x for the test period ending June 30, 2026, (d) 4.50x for the test period ending September 30, 2026 and (e) 4.00x for the test period ending December 31, 2026. In addition, the Fifth Amendment lowered the interest coverage ratio that the Company must comply with to permit the interest coverage ratio as of the last day of any test period to be less than (a) on and prior to December 31, 2025, 1.50x, (b) on January 1, 2026 and on or prior to September 30, 2026, 1.75x and (c) on October 1, 2026 and thereafter, 2.00x. As of the date of this Annual Report on Form 10-K, the Company was in compliance with its financial covenants.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 and De-Consolidation of Rwanda Trading Company</w:t>
      </w:r>
    </w:p>
    <w:p>
      <w:pPr>
        <w:spacing w:after="0" w:line="229"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On April 1, 2025, the Company entered into an agreement with ETC Holdings SA (“ECOM”) that combines Westrock’s and ECOM’s Rwandan export operations (the “Rwandan JV”). This strategic partnership, which was established to trade Arabica coffee from Rwanda and commercially operate wet mill and storage facilities, allows Westrock to scale its operations in Rwanda, improve profitability, and strengthen our ability to provide smallholder farmers and their families the ability to advance their quality of life and economic well-being. The Company contributed its ownership interest in Rwanda Trading Company (“RTC”) and $100,000 in cash in exchange for a 49.9% ownership interest in the Rwandan JV. As a result of the transaction, the Company de-consolidated RTC, de-recognizing $9.3 million of assets, including approximately $2.9 million of cash and cash equivalents, and $10.3 million of liabilities that were previously reported within our SS&amp;T segment. Upon de-consolidation, the Company recognized a $2.3 million gain, which is recorded in other, net on the Consolidated Statements of Operations.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Distribution Agreement</w:t>
      </w:r>
    </w:p>
    <w:p>
      <w:pPr>
        <w:spacing w:after="0" w:line="229" w:lineRule="exact"/>
        <w:rPr>
          <w:sz w:val="20"/>
          <w:szCs w:val="20"/>
          <w:color w:val="auto"/>
        </w:rPr>
      </w:pPr>
    </w:p>
    <w:p>
      <w:pPr>
        <w:ind w:left="60" w:right="279"/>
        <w:spacing w:after="0" w:line="274" w:lineRule="auto"/>
        <w:rPr>
          <w:sz w:val="20"/>
          <w:szCs w:val="20"/>
          <w:color w:val="auto"/>
        </w:rPr>
      </w:pPr>
      <w:r>
        <w:rPr>
          <w:rFonts w:ascii="Times New Roman" w:cs="Times New Roman" w:eastAsia="Times New Roman" w:hAnsi="Times New Roman"/>
          <w:sz w:val="17"/>
          <w:szCs w:val="17"/>
          <w:color w:val="auto"/>
        </w:rPr>
        <w:t>On March 15, 2024, the Company entered into an Equity Distribution Agreement (the “Equity Distribution Agreement”) with Wells Fargo Securities, LLC and Truist Securities, Inc. (the “Agents”), pursuant to which the Company may from time to time offer and sell Common Shares not to exceed 5,000,000 Common Shares in the aggregate (the “Placement Securities”) through the Agents as part of an “at the market” offering program (the “ATM Program”). During the year ended December 31, 2025, the Company sold 1,909,676 Common Shares under the ATM Program. At December 31, 2025, there were 3,030,324 of remining shares authorized to be sold under the ATM Program.</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Falcon Credit Agreement Amendment</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March 7, 2025, Falcon Coffees Limited (“Falcon”), a wholly owned subsidiary of the Company, renewed its working capital trade finance facility with multiple institutions. The facility size was increased from $75.0 million to $85.0 million and remains uncommitted and repayable on demand, with certain of Falcon’s assets pledged as collateral against the facility. The facility will mature one year from inception. Borrowings under the facility will bear interest at the borrower’s option at a rate equal to (a) Term SOFR plus a margin of 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w:t>
      </w:r>
    </w:p>
    <w:p>
      <w:pPr>
        <w:spacing w:after="0" w:line="192"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On July 23, 2025, Falcon amended its working capital trade finance facility with multiple institutions. The facility size was increased from $85.0 million to $102.5 million and remains uncommitted and repayable on demand, with certain of Falcon’s assets pledged as collateral against the facility.</w:t>
      </w:r>
    </w:p>
    <w:p>
      <w:pPr>
        <w:spacing w:after="0" w:line="176"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On December 16, 2025, Falcon amended its working capital trade finance facility with responsAbility Climate Smart Agriculture &amp; Food Systems Fund. The amendment extended the maturity date on the then remaining outstanding balance of $3.5 million to March 31, 2028, and requires stepped repayments of $1.0 million during 2026, $2.0 million during 2027 and $0.5 million on March 31, 2028. On December 16, 2025, Falcon obtained an additional $2.9 million loan with responsAbility Climate Smart Agriculture &amp; Food Systems Fund. The facility will mature on December 31, 2028 and requires stepped repayments of $2.9 million throughout 2028.</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On March 5, 2026, Falcon renewed its working capital trade finance facility with multiple institutions. The facility size was increased from $102.5 million to $110.0 million and remains uncommitted and repayable on demand, with certain of Falcon’s assets pledged as collateral against the facility. See Note 12 to our Consolidated Financial Statements for additional discussion related to Falcon’s working capital trade finance facility.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2025 and 2024</w:t>
      </w:r>
    </w:p>
    <w:p>
      <w:pPr>
        <w:spacing w:after="0" w:line="22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expressed as dollars and as a percentage of total revenues for the periods indicated:</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0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  % of</w:t>
            </w:r>
          </w:p>
        </w:tc>
        <w:tc>
          <w:tcPr>
            <w:tcW w:w="160" w:type="dxa"/>
            <w:vAlign w:val="bottom"/>
          </w:tcPr>
          <w:p>
            <w:pPr>
              <w:spacing w:after="0"/>
              <w:rPr>
                <w:sz w:val="13"/>
                <w:szCs w:val="13"/>
                <w:color w:val="auto"/>
              </w:rPr>
            </w:pPr>
          </w:p>
        </w:tc>
        <w:tc>
          <w:tcPr>
            <w:tcW w:w="10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2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  % of</w:t>
            </w:r>
          </w:p>
        </w:tc>
        <w:tc>
          <w:tcPr>
            <w:tcW w:w="0" w:type="dxa"/>
            <w:vAlign w:val="bottom"/>
          </w:tcPr>
          <w:p>
            <w:pPr>
              <w:spacing w:after="0"/>
              <w:rPr>
                <w:sz w:val="1"/>
                <w:szCs w:val="1"/>
                <w:color w:val="auto"/>
              </w:rPr>
            </w:pPr>
          </w:p>
        </w:tc>
      </w:tr>
      <w:tr>
        <w:trPr>
          <w:trHeight w:val="173"/>
        </w:trPr>
        <w:tc>
          <w:tcPr>
            <w:tcW w:w="45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1,188,952</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850,726</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Costs of sales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1,038,188</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87.3 %</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696,952</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81.9 %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150,764</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153,774</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185,469</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185,137</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9,475</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13,797</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Impairment charges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Loss (gain) on disposal of property, plant and equipment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196,222</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202,898</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(45,458)</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(49,124)</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55,747</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33,856</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Loss before income taxes and equity in earnings from</w:t>
            </w: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unconsolidated entities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(97,118)</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(76,378)</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Equity in (earnings) loss from unconsolidated entities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(90,445)</w:t>
            </w:r>
          </w:p>
        </w:tc>
        <w:tc>
          <w:tcPr>
            <w:tcW w:w="16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(80,298)</w:t>
            </w:r>
          </w:p>
        </w:tc>
        <w:tc>
          <w:tcPr>
            <w:tcW w:w="140" w:type="dxa"/>
            <w:vAlign w:val="bottom"/>
            <w:vMerge w:val="continue"/>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Series A Convertible Preferred Shares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5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532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5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(Thousands)</w:t>
            </w:r>
          </w:p>
        </w:tc>
        <w:tc>
          <w:tcPr>
            <w:tcW w:w="200" w:type="dxa"/>
            <w:vAlign w:val="bottom"/>
          </w:tcPr>
          <w:p>
            <w:pPr>
              <w:spacing w:after="0"/>
              <w:rPr>
                <w:sz w:val="24"/>
                <w:szCs w:val="24"/>
                <w:color w:val="auto"/>
              </w:rPr>
            </w:pPr>
          </w:p>
        </w:tc>
        <w:tc>
          <w:tcPr>
            <w:tcW w:w="21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gridSpan w:val="3"/>
            <w:vMerge w:val="continue"/>
          </w:tcPr>
          <w:p>
            <w:pPr>
              <w:spacing w:after="0"/>
              <w:rPr>
                <w:sz w:val="18"/>
                <w:szCs w:val="18"/>
                <w:color w:val="auto"/>
              </w:rPr>
            </w:pP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Borders>
              <w:top w:val="single" w:sz="8" w:color="auto"/>
            </w:tcBorders>
            <w:shd w:val="clear" w:color="auto" w:fill="CCEEFF"/>
          </w:tcPr>
          <w:p>
            <w:pPr>
              <w:spacing w:after="0"/>
              <w:rPr>
                <w:sz w:val="18"/>
                <w:szCs w:val="18"/>
                <w:color w:val="auto"/>
              </w:rPr>
            </w:pPr>
          </w:p>
        </w:tc>
        <w:tc>
          <w:tcPr>
            <w:tcW w:w="6580" w:type="dxa"/>
            <w:vAlign w:val="bottom"/>
            <w:tcBorders>
              <w:top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Beverage Solutions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908,449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659,383</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6580" w:type="dxa"/>
            <w:vAlign w:val="bottom"/>
            <w:tcBorders>
              <w:bottom w:val="single" w:sz="8" w:color="CCEEFF"/>
            </w:tcBorders>
            <w:gridSpan w:val="3"/>
          </w:tcPr>
          <w:p>
            <w:pPr>
              <w:ind w:left="100"/>
              <w:spacing w:after="0" w:line="216" w:lineRule="exact"/>
              <w:rPr>
                <w:sz w:val="20"/>
                <w:szCs w:val="20"/>
                <w:color w:val="auto"/>
              </w:rPr>
            </w:pPr>
            <w:r>
              <w:rPr>
                <w:rFonts w:ascii="Times New Roman" w:cs="Times New Roman" w:eastAsia="Times New Roman" w:hAnsi="Times New Roman"/>
                <w:sz w:val="17"/>
                <w:szCs w:val="17"/>
                <w:color w:val="auto"/>
              </w:rPr>
              <w:t>Sustainable Sourcing &amp; Traceability</w:t>
            </w:r>
            <w:r>
              <w:rPr>
                <w:rFonts w:ascii="Times New Roman" w:cs="Times New Roman" w:eastAsia="Times New Roman" w:hAnsi="Times New Roman"/>
                <w:sz w:val="25"/>
                <w:szCs w:val="25"/>
                <w:color w:val="auto"/>
                <w:vertAlign w:val="superscript"/>
              </w:rPr>
              <w:t>(1)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280,503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191,343</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5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1,188,952</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850,726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6"/>
          <w:szCs w:val="16"/>
          <w:color w:val="auto"/>
        </w:rPr>
        <w:t>(1)</w:t>
        <w:tab/>
        <w:t>Net of intersegment revenues.</w:t>
      </w:r>
    </w:p>
    <w:p>
      <w:pPr>
        <w:spacing w:after="0" w:line="230"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Net Sales from our Beverage Solutions segment were $908.4 million for the year ended December 31, 2025, compared to $659.4 million for the year ended December 31, 2024, increasing 37.8%. The increase was primarily due to a $184.0 million increase in the sale of coffee and tea products, driven by a 28.7% increase in single serve cup volumes, a 6.4% increase in core roast and ground coffee volumes and the year over year growth in coffee commodity prices and tariffs, both of which are passed through to our customers. In addition, sales of flavors, extracts &amp; ingredients products increased $66.9 million, driven by the ramp up in operations of our Conway, Arkansas extract and ready-to-drink manufacturing facility (the “Conway Facility”). The Company notes that the single serve volumes have increased during 2025 in part due to the onboarding of a new customer. This customer is currently involved in a pending transaction in which it would be acquired by a competitor of ours within the coffee industry, which has created uncertainty around this customer’s near-term single serve cup commitments. As a result, there can be no assurances that single serve cup volumes reported during the year ended December 31, 2025 will be achieved in future periods, which could negatively impact net sales from our Beverage Solutions segment.</w:t>
      </w:r>
    </w:p>
    <w:p>
      <w:pPr>
        <w:spacing w:after="0" w:line="19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Net Sales from our SS&amp;T segment totaled $280.5 million, net of intersegment revenues, during the year ended December 31, 2025, increasing 46.6% compared to $191.3 million, net of intersegment revenues, during the year ended December 31, 2024. The increase is primarily driven by an increase in the average sales price per pound, which increased 48.0% for the year ended December 31, 2025 compared to the year ended December 31, 2024. The increase in the average sales price per pound is directly correlated to the global commodity price.</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Costs of Sales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200" w:type="dxa"/>
            <w:vAlign w:val="bottom"/>
          </w:tcPr>
          <w:p>
            <w:pPr>
              <w:spacing w:after="0"/>
              <w:rPr>
                <w:sz w:val="24"/>
                <w:szCs w:val="24"/>
                <w:color w:val="auto"/>
              </w:rPr>
            </w:pPr>
          </w:p>
        </w:tc>
        <w:tc>
          <w:tcPr>
            <w:tcW w:w="21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6600" w:type="dxa"/>
            <w:vAlign w:val="bottom"/>
            <w:vMerge w:val="continue"/>
          </w:tcPr>
          <w:p>
            <w:pPr>
              <w:spacing w:after="0"/>
              <w:rPr>
                <w:sz w:val="18"/>
                <w:szCs w:val="18"/>
                <w:color w:val="auto"/>
              </w:rPr>
            </w:pP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66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Beverage Solutions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780,020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527,432</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Sustainable Sourcing &amp; Traceability</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258,168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169,520</w:t>
            </w:r>
          </w:p>
        </w:tc>
        <w:tc>
          <w:tcPr>
            <w:tcW w:w="0" w:type="dxa"/>
            <w:vAlign w:val="bottom"/>
          </w:tcPr>
          <w:p>
            <w:pPr>
              <w:spacing w:after="0"/>
              <w:rPr>
                <w:sz w:val="1"/>
                <w:szCs w:val="1"/>
                <w:color w:val="auto"/>
              </w:rPr>
            </w:pPr>
          </w:p>
        </w:tc>
      </w:tr>
      <w:tr>
        <w:trPr>
          <w:trHeight w:val="20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of sales</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1,038,188</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696,952</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In our Beverage Solutions segment, costs of sales increased $252.6 million or 47.9% to $780.0 million for the year ended December 31, 2025, from $527.4 million for the year ended December 31, 2024. The increase in costs of sales was primarily driven by an increase in the sales volumes, and the year over year growth in coffee commodity prices and tariffs for the year ended December 31, 2025 compared to the year ended December 31, 2024.</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our SS&amp;T segment, costs of sales increased $88.6 million or 52.3% to $258.2 million for the year ended</w:t>
      </w:r>
    </w:p>
    <w:p>
      <w:pPr>
        <w:spacing w:after="0" w:line="27" w:lineRule="exact"/>
        <w:rPr>
          <w:sz w:val="20"/>
          <w:szCs w:val="20"/>
          <w:color w:val="auto"/>
        </w:rPr>
      </w:pPr>
    </w:p>
    <w:p>
      <w:pPr>
        <w:jc w:val="both"/>
        <w:ind w:left="60" w:right="119"/>
        <w:spacing w:after="0" w:line="253" w:lineRule="auto"/>
        <w:rPr>
          <w:sz w:val="20"/>
          <w:szCs w:val="20"/>
          <w:color w:val="auto"/>
        </w:rPr>
      </w:pPr>
      <w:r>
        <w:rPr>
          <w:rFonts w:ascii="Times New Roman" w:cs="Times New Roman" w:eastAsia="Times New Roman" w:hAnsi="Times New Roman"/>
          <w:sz w:val="18"/>
          <w:szCs w:val="18"/>
          <w:color w:val="auto"/>
        </w:rPr>
        <w:t>December 31, 2025 compared to the year ended December 31, 2024. The increase is primarily due to an increase in coffee commodity prices. Costs of sales for the year ended December 31, 2025 included $0.6 million of net unrealized losses on forward sales and purchase contracts and mark-to-market adjustments on green coffee inventory compared to $4.6 million of net unrealized gains on forward sales and purchase contracts and mark-to-market adjustments on green coffee inventory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7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900" w:type="dxa"/>
            <w:vAlign w:val="bottom"/>
            <w:gridSpan w:val="2"/>
          </w:tcPr>
          <w:p>
            <w:pPr>
              <w:jc w:val="right"/>
              <w:ind w:right="636"/>
              <w:spacing w:after="0" w:line="11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106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of Segment</w:t>
            </w:r>
          </w:p>
        </w:tc>
        <w:tc>
          <w:tcPr>
            <w:tcW w:w="2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0"/>
                <w:szCs w:val="10"/>
                <w:color w:val="auto"/>
              </w:rPr>
            </w:pPr>
          </w:p>
        </w:tc>
        <w:tc>
          <w:tcPr>
            <w:tcW w:w="106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of Segment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Beverage Solutions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$ 174,225</w:t>
            </w: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$ 173,879</w:t>
            </w: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Sustainable Sourcing &amp; Traceability</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11,244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09"/>
        </w:trPr>
        <w:tc>
          <w:tcPr>
            <w:tcW w:w="4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selling, general and administrative expense</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$ 185,469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$ 185,137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59"/>
        <w:spacing w:after="0" w:line="282" w:lineRule="auto"/>
        <w:rPr>
          <w:sz w:val="20"/>
          <w:szCs w:val="20"/>
          <w:color w:val="auto"/>
        </w:rPr>
      </w:pPr>
      <w:r>
        <w:rPr>
          <w:rFonts w:ascii="Times New Roman" w:cs="Times New Roman" w:eastAsia="Times New Roman" w:hAnsi="Times New Roman"/>
          <w:sz w:val="18"/>
          <w:szCs w:val="18"/>
          <w:color w:val="auto"/>
        </w:rPr>
        <w:t>Total selling, general and administrative expense in our Beverage Solutions segment and our SS&amp;T segment were relatively unchanged compared to the year ended December 31,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Transaction, Restructuring and Integration Expense</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Transaction, restructuring and integration expenses for the year ended December 31, 2025 were $9.5 million, approximately $5.5 million of which related to severance and other employee termination and benefit costs associated with the elimination of various positions as part of cost reduction objectives, $1.0 million of non-capitalizable costs associated with credit agreement amendments, $0.8 million of plant closure costs, $0.3 million of fees related to our at-the-market common stock offering program, and $0.3 million of fees related to the establishment of our accounts receivable factoring program. During the year ended December 31, 2024, we incurred $13.8 million of transaction, restructuring and integration expenses, approximately $4.7 million of which related to severance and other employee termination and benefit costs associated with the elimination of various positions as part of cost reduction objectives, $3.1 million of which related to plant closure costs, $2.4 million of which related to the establishment of our at-the-market common stock offering program and $1.6 million of which related to professional and legal costs associated with the Westrock warrant exchange.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196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62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3"/>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6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
                <w:szCs w:val="1"/>
                <w:color w:val="auto"/>
                <w:w w:val="4294942296"/>
              </w:rPr>
              <w:t>​</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Cash:</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gridSpan w:val="4"/>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 and delayed draw term loan facilities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16,512</w:t>
            </w:r>
          </w:p>
        </w:tc>
        <w:tc>
          <w:tcPr>
            <w:tcW w:w="420" w:type="dxa"/>
            <w:vAlign w:val="bottom"/>
            <w:gridSpan w:val="4"/>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notes payable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Convertible notes payable - related party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Supply chain finance program</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 trade finance lines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notes payable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cash interest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gridSpan w:val="4"/>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Capitalized interest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non-cash interest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55,747</w:t>
            </w:r>
          </w:p>
        </w:tc>
        <w:tc>
          <w:tcPr>
            <w:tcW w:w="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19"/>
        <w:spacing w:after="0" w:line="256" w:lineRule="auto"/>
        <w:rPr>
          <w:sz w:val="20"/>
          <w:szCs w:val="20"/>
          <w:color w:val="auto"/>
        </w:rPr>
      </w:pPr>
      <w:r>
        <w:rPr>
          <w:rFonts w:ascii="Times New Roman" w:cs="Times New Roman" w:eastAsia="Times New Roman" w:hAnsi="Times New Roman"/>
          <w:sz w:val="18"/>
          <w:szCs w:val="18"/>
          <w:color w:val="auto"/>
        </w:rPr>
        <w:t>Interest expense for the year ended December 31, 2025 was $55.7 million compared to $33.9 million for the year ended December 31, 2024. Interest expense associated with our term loan and delayed draw term loan facilities decreased $2.2 million due to a decrease in outstanding balances, while interest on our revolving credit facility increased $7.2 million, primarily due to higher outstanding borrowings. During the year ended December 31, 2025, the Company capitalized approximately $1.0 million of interest costs associated with the build-out of our Conway Facility, compared to $11.7 million of such interest costs for the year ended December 31, 2024.</w:t>
      </w:r>
    </w:p>
    <w:p>
      <w:pPr>
        <w:spacing w:after="0" w:line="200" w:lineRule="exact"/>
        <w:rPr>
          <w:sz w:val="20"/>
          <w:szCs w:val="20"/>
          <w:color w:val="auto"/>
        </w:rPr>
      </w:pPr>
    </w:p>
    <w:p>
      <w:pPr>
        <w:spacing w:after="0" w:line="20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22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Warrant liabilities are adjusted to fair value at each reporting period, with any change in fair value recognized in the Consolidated Statements of Operations. For the year ended December 31, 2024, the Company recognized $7.0 million of gains related to the change in fair value of warrant liabilities. No such gains or losses were recognized during the year ended December 31, 2025, as there were no warrants outstanding during the year.</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jc w:val="both"/>
        <w:ind w:left="60" w:right="139"/>
        <w:spacing w:after="0" w:line="261" w:lineRule="auto"/>
        <w:rPr>
          <w:sz w:val="20"/>
          <w:szCs w:val="20"/>
          <w:color w:val="auto"/>
        </w:rPr>
      </w:pPr>
      <w:r>
        <w:rPr>
          <w:rFonts w:ascii="Times New Roman" w:cs="Times New Roman" w:eastAsia="Times New Roman" w:hAnsi="Times New Roman"/>
          <w:sz w:val="18"/>
          <w:szCs w:val="18"/>
          <w:color w:val="auto"/>
        </w:rPr>
        <w:t>Income tax benefit for the year ended December 31, 2025 was $1.7 million, resulting in an effective tax rate of 1.9%. Our income tax benefit for the year ended December 31, 2025 is primarily comprised of $16.3 million of expense related to the increase in the valuation allowance against our deferred tax assets, offset by federal and state benefits, at statutory rates, of $19.3 million.</w:t>
      </w:r>
    </w:p>
    <w:p>
      <w:pPr>
        <w:spacing w:after="0" w:line="180"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Income tax expense for the year ended December 31, 2024 was $3.7 million, resulting in an effective tax rate of (4.9%). Our income tax expense for the year ended December 31, 2024 is primarily comprised of $20.8 million of expense related to increases in the valuation allowance against our deferred tax assets, offset by federal and state benefits, at statutory rates, of $18.2 million and $1.5 million of tax benefit resulting from the change in fair value of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22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expressed as dollars and as a percentage of total revenues for the periods indicated:</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6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  % of</w:t>
            </w:r>
          </w:p>
        </w:tc>
        <w:tc>
          <w:tcPr>
            <w:tcW w:w="120" w:type="dxa"/>
            <w:vAlign w:val="bottom"/>
          </w:tcPr>
          <w:p>
            <w:pPr>
              <w:spacing w:after="0"/>
              <w:rPr>
                <w:sz w:val="13"/>
                <w:szCs w:val="13"/>
                <w:color w:val="auto"/>
              </w:rPr>
            </w:pP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  % of</w:t>
            </w:r>
          </w:p>
        </w:tc>
        <w:tc>
          <w:tcPr>
            <w:tcW w:w="0" w:type="dxa"/>
            <w:vAlign w:val="bottom"/>
          </w:tcPr>
          <w:p>
            <w:pPr>
              <w:spacing w:after="0"/>
              <w:rPr>
                <w:sz w:val="1"/>
                <w:szCs w:val="1"/>
                <w:color w:val="auto"/>
              </w:rPr>
            </w:pPr>
          </w:p>
        </w:tc>
      </w:tr>
      <w:tr>
        <w:trPr>
          <w:trHeight w:val="173"/>
        </w:trPr>
        <w:tc>
          <w:tcPr>
            <w:tcW w:w="4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7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8"/>
              </w:rPr>
              <w:t>Revenues</w:t>
            </w: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5"/>
                <w:szCs w:val="15"/>
                <w:color w:val="auto"/>
              </w:rPr>
            </w:pPr>
          </w:p>
        </w:tc>
        <w:tc>
          <w:tcPr>
            <w:tcW w:w="7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8"/>
              </w:rPr>
              <w:t>Revenues</w:t>
            </w:r>
          </w:p>
        </w:tc>
        <w:tc>
          <w:tcPr>
            <w:tcW w:w="0" w:type="dxa"/>
            <w:vAlign w:val="bottom"/>
          </w:tcPr>
          <w:p>
            <w:pPr>
              <w:spacing w:after="0"/>
              <w:rPr>
                <w:sz w:val="1"/>
                <w:szCs w:val="1"/>
                <w:color w:val="auto"/>
              </w:rPr>
            </w:pPr>
          </w:p>
        </w:tc>
      </w:tr>
      <w:tr>
        <w:trPr>
          <w:trHeight w:val="210"/>
        </w:trPr>
        <w:tc>
          <w:tcPr>
            <w:tcW w:w="46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850,726</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864,714</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Costs of sales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696,952</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81.9 %</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724,856</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83.8 %</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153,774</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139,858</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185,137</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144,577</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13,797</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14,557</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charges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5,686</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loss on disposal of property, plant and equipment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202,898</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160,287</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(49,124)</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(20,429)</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33,856</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29,157</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(10,207)</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413</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174"/>
        </w:trPr>
        <w:tc>
          <w:tcPr>
            <w:tcW w:w="46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Loss before income taxes and equity in earnings from</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unconsolidated entities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(76,378)</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(40,825)</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3,728</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in (earnings) loss from unconsolidated entities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4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(80,298)</w:t>
            </w:r>
          </w:p>
        </w:tc>
        <w:tc>
          <w:tcPr>
            <w:tcW w:w="12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(34,567)</w:t>
            </w:r>
          </w:p>
        </w:tc>
        <w:tc>
          <w:tcPr>
            <w:tcW w:w="120" w:type="dxa"/>
            <w:vAlign w:val="bottom"/>
            <w:vMerge w:val="continue"/>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4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shareholders</w:t>
            </w: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(80,298)</w:t>
            </w:r>
          </w:p>
        </w:tc>
        <w:tc>
          <w:tcPr>
            <w:tcW w:w="12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(34,582)</w:t>
            </w:r>
          </w:p>
        </w:tc>
        <w:tc>
          <w:tcPr>
            <w:tcW w:w="120" w:type="dxa"/>
            <w:vAlign w:val="bottom"/>
            <w:vMerge w:val="continue"/>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8"/>
        </w:trPr>
        <w:tc>
          <w:tcPr>
            <w:tcW w:w="46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Amortization (accretion) of Series A Convertible Preferred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349</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2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(79,949)</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(34,743)</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534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(Thousands)</w:t>
            </w:r>
          </w:p>
        </w:tc>
        <w:tc>
          <w:tcPr>
            <w:tcW w:w="200" w:type="dxa"/>
            <w:vAlign w:val="bottom"/>
          </w:tcPr>
          <w:p>
            <w:pPr>
              <w:spacing w:after="0"/>
              <w:rPr>
                <w:sz w:val="24"/>
                <w:szCs w:val="24"/>
                <w:color w:val="auto"/>
              </w:rPr>
            </w:pPr>
          </w:p>
        </w:tc>
        <w:tc>
          <w:tcPr>
            <w:tcW w:w="20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gridSpan w:val="3"/>
            <w:vMerge w:val="continue"/>
          </w:tcPr>
          <w:p>
            <w:pPr>
              <w:spacing w:after="0"/>
              <w:rPr>
                <w:sz w:val="18"/>
                <w:szCs w:val="18"/>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Borders>
              <w:top w:val="single" w:sz="8" w:color="auto"/>
            </w:tcBorders>
            <w:shd w:val="clear" w:color="auto" w:fill="CCEEFF"/>
          </w:tcPr>
          <w:p>
            <w:pPr>
              <w:spacing w:after="0"/>
              <w:rPr>
                <w:sz w:val="18"/>
                <w:szCs w:val="18"/>
                <w:color w:val="auto"/>
              </w:rPr>
            </w:pPr>
          </w:p>
        </w:tc>
        <w:tc>
          <w:tcPr>
            <w:tcW w:w="6600" w:type="dxa"/>
            <w:vAlign w:val="bottom"/>
            <w:tcBorders>
              <w:top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Beverage Solutions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659,383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722,865</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6600" w:type="dxa"/>
            <w:vAlign w:val="bottom"/>
            <w:tcBorders>
              <w:bottom w:val="single" w:sz="8" w:color="CCEEFF"/>
            </w:tcBorders>
            <w:gridSpan w:val="3"/>
          </w:tcPr>
          <w:p>
            <w:pPr>
              <w:ind w:left="100"/>
              <w:spacing w:after="0" w:line="216" w:lineRule="exact"/>
              <w:rPr>
                <w:sz w:val="20"/>
                <w:szCs w:val="20"/>
                <w:color w:val="auto"/>
              </w:rPr>
            </w:pPr>
            <w:r>
              <w:rPr>
                <w:rFonts w:ascii="Times New Roman" w:cs="Times New Roman" w:eastAsia="Times New Roman" w:hAnsi="Times New Roman"/>
                <w:sz w:val="17"/>
                <w:szCs w:val="17"/>
                <w:color w:val="auto"/>
              </w:rPr>
              <w:t>Sustainable Sourcing &amp; Traceability</w:t>
            </w:r>
            <w:r>
              <w:rPr>
                <w:rFonts w:ascii="Times New Roman" w:cs="Times New Roman" w:eastAsia="Times New Roman" w:hAnsi="Times New Roman"/>
                <w:sz w:val="25"/>
                <w:szCs w:val="25"/>
                <w:color w:val="auto"/>
                <w:vertAlign w:val="superscript"/>
              </w:rPr>
              <w:t>(1)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191,343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141,849</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850,726</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864,714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6"/>
          <w:szCs w:val="16"/>
          <w:color w:val="auto"/>
        </w:rPr>
        <w:t>(1)</w:t>
        <w:tab/>
        <w:t>Net of intersegment revenues.</w:t>
      </w:r>
    </w:p>
    <w:p>
      <w:pPr>
        <w:spacing w:after="0" w:line="200" w:lineRule="exact"/>
        <w:rPr>
          <w:sz w:val="20"/>
          <w:szCs w:val="20"/>
          <w:color w:val="auto"/>
        </w:rPr>
      </w:pPr>
    </w:p>
    <w:p>
      <w:pPr>
        <w:spacing w:after="0" w:line="24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Net Sales from our Beverage Solutions segment were $659.4 million for the year ended December 31, 2024, compared to $722.9 million for the year ended December 31, 2023, a decrease of 8.8%. The decrease was primarily due to a $79.4 million decrease in the sale of coffee and tea products, driven by a 16.4% decrease in single serve cup volumes and a 13.2% decrease in roast and ground coffee volumes, partially offset by a $13.8 million increase in the sale of flavors, extracts and ingredients products, driven by a 24.1% increase in flavors, extracts and ingredients volumes.</w:t>
      </w:r>
    </w:p>
    <w:p>
      <w:pPr>
        <w:spacing w:after="0" w:line="183"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Net Sales from our SS&amp;T segment totaled $191.3 million, net of intersegment revenues, during the year ended December 31, 2024, increasing 34.9% compared to $141.8 million, net of intersegment revenues, during the year ended December 31, 2023. The increase is driven by an increase in sales volume, which increased 39.5% compared to the year ended December 31, 2023.</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Costs of Sales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200" w:type="dxa"/>
            <w:vAlign w:val="bottom"/>
          </w:tcPr>
          <w:p>
            <w:pPr>
              <w:spacing w:after="0"/>
              <w:rPr>
                <w:sz w:val="24"/>
                <w:szCs w:val="24"/>
                <w:color w:val="auto"/>
              </w:rPr>
            </w:pPr>
          </w:p>
        </w:tc>
        <w:tc>
          <w:tcPr>
            <w:tcW w:w="20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6620" w:type="dxa"/>
            <w:vAlign w:val="bottom"/>
            <w:vMerge w:val="continue"/>
          </w:tcPr>
          <w:p>
            <w:pPr>
              <w:spacing w:after="0"/>
              <w:rPr>
                <w:sz w:val="18"/>
                <w:szCs w:val="18"/>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Beverage Solutions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527,432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596,966</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Sustainable Sourcing &amp; Traceability</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169,520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127,890</w:t>
            </w: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of sales</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696,952</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724,856</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299"/>
        <w:spacing w:after="0" w:line="256" w:lineRule="auto"/>
        <w:rPr>
          <w:sz w:val="20"/>
          <w:szCs w:val="20"/>
          <w:color w:val="auto"/>
        </w:rPr>
      </w:pPr>
      <w:r>
        <w:rPr>
          <w:rFonts w:ascii="Times New Roman" w:cs="Times New Roman" w:eastAsia="Times New Roman" w:hAnsi="Times New Roman"/>
          <w:sz w:val="18"/>
          <w:szCs w:val="18"/>
          <w:color w:val="auto"/>
        </w:rPr>
        <w:t>In our Beverage Solutions segment, costs of sales decreased $69.5 million or 11.6% to $527.4 million for the year ended December 31, 2024, from $597.0 million for the year ended December 31, 2023. The decrease in costs of sales was primarily driven by a decrease in the sale volumes of single serve cup and coffee and tea products for the year ended December 31, 2024 compared to the year ended December 31, 2023, partially offset by an increase in costs of sales associated with flavors, extracts and ingredients products, primarily due to an increase in volumes for the year ended December 31, 2024 compared to the year ended December 31, 2023.</w:t>
      </w:r>
    </w:p>
    <w:p>
      <w:pPr>
        <w:spacing w:after="0" w:line="187"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In our SS&amp;T segment, costs of sales increased $41.6 million or 32.6% to $169.5 million for the year ended December 31, 2024 compared to the year ended December 31, 2023. This increase is primarily due to a 39.5% increase in green coffee sales volume. Costs of sales for the year ended December 31, 2024 included $4.8 million of net unrealized gains on forward sales and purchase contracts and mark-to-market adjustments on green coffee inventory compared to $0.1 million of net unrealized gains on forward sales and purchase contracts and mark-to-market adjustments on green coffee inventory for the year ended December 31, 2023.</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7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900" w:type="dxa"/>
            <w:vAlign w:val="bottom"/>
            <w:gridSpan w:val="2"/>
          </w:tcPr>
          <w:p>
            <w:pPr>
              <w:jc w:val="right"/>
              <w:ind w:right="636"/>
              <w:spacing w:after="0" w:line="118"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108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of Segment</w:t>
            </w:r>
          </w:p>
        </w:tc>
        <w:tc>
          <w:tcPr>
            <w:tcW w:w="240" w:type="dxa"/>
            <w:vAlign w:val="bottom"/>
            <w:vMerge w:val="continue"/>
          </w:tcPr>
          <w:p>
            <w:pPr>
              <w:spacing w:after="0"/>
              <w:rPr>
                <w:sz w:val="10"/>
                <w:szCs w:val="10"/>
                <w:color w:val="auto"/>
              </w:rPr>
            </w:pPr>
          </w:p>
        </w:tc>
        <w:tc>
          <w:tcPr>
            <w:tcW w:w="76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0"/>
                <w:szCs w:val="10"/>
                <w:color w:val="auto"/>
              </w:rPr>
            </w:pPr>
          </w:p>
        </w:tc>
        <w:tc>
          <w:tcPr>
            <w:tcW w:w="106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of Segment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Beverage Solutions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$ 173,879</w:t>
            </w: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$ 134,542</w:t>
            </w:r>
          </w:p>
        </w:tc>
        <w:tc>
          <w:tcPr>
            <w:tcW w:w="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Sustainable Sourcing &amp; Traceability</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5.9 %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selling, general and administrative expense</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$ 185,137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tcBorders>
              <w:top w:val="single" w:sz="8" w:color="CCEEFF"/>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$ 144,577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00"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Total selling, general and administrative expense in our Beverage Solutions segment increased $39.3 million to $173.9 million for the year ended December 31, 2024, compared to the year ended December 31, 2023. The increase is primarily due to a $30.6 million increase in expenses associated with the Conway Facility and a $6.7 million increase in personnel-related costs. In our SS&amp;T segment, selling, general and administrative costs increased $1.2 million for the year ended December 31, 2024, primarily due to a $1.0 million increase in personnel-related costs compared to the year ended December 31, 2023.</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Transaction, Restructuring and Integration Expense</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Transaction, restructuring and integration expense for the year ended December 31, 2024 were $13.8 million, approximately $4.7 million of which related to severance and other employee termination and benefit costs associated with the elimination of various positions as part of cost reduction objectives, $3.1 million of which related to plant closure costs, $2.4 million of which related to the establishment of our at-the-market common stock offering program and $1.6 million of which related to professional and legal costs associated with the Westrock warrant exchange. During the year ended December 31, 2023, we incurred $14.6 million of transaction, restructuring and integration expenses, $10.5 million of which related to the costs associated with the integration of our new enterprise resource-planning system, including internal and external costs related to go-live system support and duplicative systems costs and $2.5 million of non-capitalizable costs associated with acquisitions and registration statements.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19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62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6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Cash:</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 and delayed draw term loan facilities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18,674</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notes payable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Convertible notes payable - related party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Supply chain finance program</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 trade finance lines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notes payable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cash interest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28,805</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interest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non-cash interest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(8,508)</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33,856</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Interest expense for the year ended December 31, 2024 was $33.9 million compared to $29.2 million for the year ended December 31, 2023. Cash interest increased $13.6 million and is attributable to increased interest associated with our term loan and delayed draw term loan facilities, primarily due to higher outstanding borrowings, $3.2 million of interest on our 2029 Convertible Notes that were issued in February of 2024, and $4.1 million of increased interest expense associated with our supply chain financing program, due to increased average borrowings outstanding in 2024 compared to 2023. During the year ended December 31, 2024, the Company capitalized approximately $11.7 million of interest costs associated with the build out of the Conway Facility, compared to $3.2 million of such interest for the year ended December 31, 2023.</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22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Warrant liabilities are adjusted to fair value at each reporting period, with any change in fair value recognized in the Consolidated Statements of Operations. The change in fair value of warrant liabilities for the year ended December 31,</w:t>
      </w:r>
    </w:p>
    <w:p>
      <w:pPr>
        <w:spacing w:after="0" w:line="37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2024 resulted in recognition of $7.0 million of gains compared to recognition of $10.2 million of gains during the year ended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Income tax expense for the year ended December 31, 2024 was $3.7 million, resulting in an effective tax rate of (4.9%). Our income tax expense for the year ended December 31, 2024 is primarily comprised of $20.8 million of expense related to increases in the valuation allowance against our deferred tax assets, offset by federal and state benefits, at statutory rates, of $18.2 million and $1.5 million of tax benefit resulting from the change in fair value of warrants.</w:t>
      </w:r>
    </w:p>
    <w:p>
      <w:pPr>
        <w:spacing w:after="0" w:line="180"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Income tax benefit for the year ended December 31, 2023 was $6.4 million, resulting in an effective tax rate of 15.6%. Our income tax benefit for the year ended December 31, 2023 is primarily comprised of federal and state benefits, at statutory rates, of $9.4 million and $2.1 million of tax benefit resulting from the change in fair value of warrants, offset by $4.4 million of expense related to increases in the valuation allowance against our deferred tax assets.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and related notes presented in Item 8 “Financial Statements and Supplementary Data” in this Annual Report on Form 10-K have been prepared in accordance with GAAP. Our significant accounting policies are discussed in Note 3 to the Consolidated Financial Statements. Certain accounting estimates involve a significant level of estimation and uncertainty and require management to make difficult, subjective or complex judgments about matters that are uncertain and have had, or are reasonably likely to have, a material impact on our financial condition or results of operations. Because of the uncertainty involved in these estimates, materially different amounts could be reported under different conditions or using different assumptions.</w:t>
      </w:r>
    </w:p>
    <w:p>
      <w:pPr>
        <w:spacing w:after="0" w:line="189"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We make certain judgments and use certain estimates and assumptions when applying accounting principles in the preparation of our financial statements. The nature of those estimates and assumptions are material due to the levels of subjectivity and judgment necessary to account for highly uncertain factors or the susceptibility of such factors to change. We have identified the following critical accounting estimates, as they are the most important to our financial statement presentation and require difficult, subjective and complex judgments.</w:t>
      </w:r>
    </w:p>
    <w:p>
      <w:pPr>
        <w:spacing w:after="0" w:line="183"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We believe the current assumptions and other considerations used to estimate amounts reflected in our financial statements are appropriate. However, if actual experience differs from the assumptions and other considerations used in estimating amounts reflected in our financial statements, the resulting changes could have a material adverse effect on our results of operations and, in certain situations, could have a material adverse effect on our financial condition.</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 (ASC 606)</w:t>
      </w:r>
    </w:p>
    <w:p>
      <w:pPr>
        <w:spacing w:after="0" w:line="227" w:lineRule="exact"/>
        <w:rPr>
          <w:sz w:val="20"/>
          <w:szCs w:val="20"/>
          <w:color w:val="auto"/>
        </w:rPr>
      </w:pPr>
    </w:p>
    <w:p>
      <w:pPr>
        <w:jc w:val="both"/>
        <w:ind w:left="60" w:right="259"/>
        <w:spacing w:after="0" w:line="289" w:lineRule="auto"/>
        <w:rPr>
          <w:sz w:val="20"/>
          <w:szCs w:val="20"/>
          <w:color w:val="auto"/>
        </w:rPr>
      </w:pPr>
      <w:r>
        <w:rPr>
          <w:rFonts w:ascii="Times New Roman" w:cs="Times New Roman" w:eastAsia="Times New Roman" w:hAnsi="Times New Roman"/>
          <w:sz w:val="17"/>
          <w:szCs w:val="17"/>
          <w:color w:val="auto"/>
        </w:rPr>
        <w:t>We measure revenue based on the consideration specified in the client arrangement, and revenue is recognized when the performance obligations in the client arrangement are satisfied. Our principal source of revenue is from the procurement, trade, manufacture, and distribution of coffee, tea and extracts to customers in the United States, Europe, and Asia.</w:t>
      </w:r>
    </w:p>
    <w:p>
      <w:pPr>
        <w:spacing w:after="0" w:line="158" w:lineRule="exact"/>
        <w:rPr>
          <w:sz w:val="20"/>
          <w:szCs w:val="20"/>
          <w:color w:val="auto"/>
        </w:rPr>
      </w:pPr>
    </w:p>
    <w:p>
      <w:pPr>
        <w:ind w:left="60" w:right="399"/>
        <w:spacing w:after="0" w:line="256" w:lineRule="auto"/>
        <w:rPr>
          <w:sz w:val="20"/>
          <w:szCs w:val="20"/>
          <w:color w:val="auto"/>
        </w:rPr>
      </w:pPr>
      <w:r>
        <w:rPr>
          <w:rFonts w:ascii="Times New Roman" w:cs="Times New Roman" w:eastAsia="Times New Roman" w:hAnsi="Times New Roman"/>
          <w:sz w:val="18"/>
          <w:szCs w:val="18"/>
          <w:color w:val="auto"/>
        </w:rPr>
        <w:t>The transaction price of a contract, net of discounts and expected returns, is allocated to each distinct performance obligation based on the relative standalone selling price of the obligation and is recognized as revenue when the performance obligation is satisfied. The standalone selling price is the estimated price we would charge for the good or service in a separate transaction with similar customers in similar circumstances. Identifying distinct performance obligations and determining the standalone selling price for each performance obligation within a contract requires management judgment.</w:t>
      </w:r>
    </w:p>
    <w:p>
      <w:pPr>
        <w:spacing w:after="0" w:line="187"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Substantially all our client contracts require that we be compensated for services performed to date. This is upon the completion of production, shipment of goods or upon delivery of goods to the customer, depending on contractual terms. Shipping and handling costs paid by the customer to us are included in revenue and costs incurred by us for shipping and handling activities that are performed after a customer obtains control of the product are accounted for as fulfillment costs. In addition, we exclude from net revenue and cost of sales taxes assessed by governmental authorities on revenue-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producing transactions. Although we occasionally receive returns of products from our customers, historically returns have not been material.</w:t>
      </w:r>
    </w:p>
    <w:p>
      <w:pPr>
        <w:spacing w:after="0" w:line="162" w:lineRule="exact"/>
        <w:rPr>
          <w:sz w:val="20"/>
          <w:szCs w:val="20"/>
          <w:color w:val="auto"/>
        </w:rPr>
      </w:pPr>
    </w:p>
    <w:p>
      <w:pPr>
        <w:ind w:left="60" w:right="259"/>
        <w:spacing w:after="0" w:line="255" w:lineRule="auto"/>
        <w:rPr>
          <w:sz w:val="20"/>
          <w:szCs w:val="20"/>
          <w:color w:val="auto"/>
        </w:rPr>
      </w:pPr>
      <w:r>
        <w:rPr>
          <w:rFonts w:ascii="Times New Roman" w:cs="Times New Roman" w:eastAsia="Times New Roman" w:hAnsi="Times New Roman"/>
          <w:sz w:val="18"/>
          <w:szCs w:val="18"/>
          <w:color w:val="auto"/>
        </w:rPr>
        <w:t xml:space="preserve">At times, the Company may enter into agreements in which its Sustainable Sourcing &amp; Traceability segment will sell inventory to a third party, from whom the Company’s Beverage Solutions segment has an obligation to repurchase. Such repurchase agreement obligations are recorded within accrued expenses and other current liabilities on the Consolidated Balances Sheets and are collateralized by the corresponding inventory. These transactions are accounted for as financing transactions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Net cash flows associated with these repurchase agreements are reported as financing activities in the Consolidated Statements of Cash Flows.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from Forward Contracts (ASC 815)</w:t>
      </w:r>
    </w:p>
    <w:p>
      <w:pPr>
        <w:spacing w:after="0" w:line="227"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 xml:space="preserve">A portion of the Company’s revenues consist of sales from commodity contracts that are accounted for under ASC 815, </w:t>
      </w: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(“ASC 815”). Sales from commodity contracts primarily relate to forward sales of green coffee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accounted for as derivatives at fair value under ASC 815. These forward sales meet the definition of a derivative under ASC 815 as they have an underlying, notional amount, no initial net investment and can be net settled since the commodity is readily converted to cash. The Company does not apply the normal purchase and normal sale exception under ASC 815 to these contracts.</w:t>
      </w:r>
    </w:p>
    <w:p>
      <w:pPr>
        <w:spacing w:after="0" w:line="187"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Revenues from commodity contracts are recognized in revenues for the contractually stated amount when the contracts are settled. Settlement generally occurs upon shipment or delivery of the product when title and risks and rewards of ownership transfers to the customer. Prior to settlement, these forward sales contracts are recognized at fair value with the unrealized gains or losses recorded within costs of sales in our Consolidated Statements of Operations.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Goodwill and Indefinite Lived Intangible Assets</w:t>
      </w:r>
    </w:p>
    <w:p>
      <w:pPr>
        <w:spacing w:after="0" w:line="227"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 xml:space="preserve">Goodwill represents the excess purchase price of acquired businesses over the fair value of the net assets acquired. Goodwill is reviewed for impairment at least annually. 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(“ASC 350”)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evaluate goodwill for impairment between annual impairment tests if an event occurs or circumstances change that would more likely than not reduce the fair value of a reporting unit below its carrying amount. Application of the goodwill impairment test requires significant judgment, including the identification of reporting units; assignment of assets and liabilities to reporting units; and assignment of goodwill to reporting units. As of December 31, 2025, all of our goodwill is assigned to our Beverage Solutions reporting unit. Unless circumstances otherwise dictate, the annual impairment test is performed as of October 1.</w:t>
      </w:r>
    </w:p>
    <w:p>
      <w:pPr>
        <w:spacing w:after="0" w:line="192"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While ASC 350 permits the use of a qualitative assessment to determine whether it is more likely than not that the fair value of our reporting unit is less than its carrying amount (the “Step Zero” analysis), we voluntarily elected to bypass the Step Zero analysis for our most recent annual impairment test, and proceeded directly to a quantitative assessment.</w:t>
      </w:r>
    </w:p>
    <w:p>
      <w:pPr>
        <w:spacing w:after="0" w:line="1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When performing a quantitative assessment, we estimate the fair value of our reporting unit using a combination of an income approach based on the present value of estimated future cash flows, and a market approach based on market data of comparable businesses and acquisition multiples paid in recent transactions. We evaluate the appropriateness of each valuation methodology in determining the weighting applied to each in the determination of the concluded fair value.</w:t>
      </w:r>
    </w:p>
    <w:p>
      <w:pPr>
        <w:spacing w:after="0" w:line="180"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If the carrying value of a reporting unit’s net assets is less than its fair value, no indication of impairment exists. If the carrying amount of the reporting unit is greater than the fair value of the reporting unit, an impairment loss must be recognized for the excess and recorded in the Consolidated Statements of Operations not to exceed the carrying value of goodwill.</w:t>
      </w:r>
    </w:p>
    <w:p>
      <w:pPr>
        <w:spacing w:after="0" w:line="180"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For the annual impairment test performed as of October 1, 2025, the estimated fair value of our Beverage Solutions reporting unit exceeded its carrying value by 55%, as such, no goodwill impairment was recognized. A 100-basis point increase in our weighted average cost of capital and a 100-basis point decrease in our terminal revenue growth rate,</w:t>
      </w:r>
    </w:p>
    <w:p>
      <w:pPr>
        <w:spacing w:after="0" w:line="39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holding all other assumptions constant, would result in the estimated fair value of our Beverage Solutions reporting unit exceeding its carrying value by 40%.</w:t>
      </w:r>
    </w:p>
    <w:p>
      <w:pPr>
        <w:spacing w:after="0" w:line="16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Fair value determinations of the business require considerable judgment and are sensitive to changes in underlying assumptions and factors. As a result, there can be no assurance that the estimates and assumptions made for the purposes of a quantitative goodwill impairment test proves to be an accurate prediction of future results. Key assumptions include our expected revenue growth rates, operating profits, levels of capital expenditures, and cost of capital. In determining these assumptions, we considered our ability to execute on our plans, future economic conditions, interest rates, and other market data. Many factors are outside the control of management, and these assumptions and estimates may change in future periods. Small changes in these assumptions or estimates could materially affect our cash flow projections; and therefore, could affect the likelihood and amount of potential impairment in future periods. Accordingly, if our current cash flow assumptions are not realized, it is possible that an impairment charge may be recorded in the future.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 xml:space="preserve">Finite-lived intangible assets are tested for impairment with the applicable asset group and evaluated for impairment along with property, plant and equipment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Impairment testing is required when events or changes in circumstances exist that indicate that an asset may not be recoverable. An asset is tested for recoverability by comparing the net carrying value of the asset to the entity-specific, undiscounted net cash flows to be generated from the use and eventual disposition of that asset group. If the carrying amount of an asset group is not recoverable, an impairment loss is recognized in the amount of the excess of the carrying value of the asset group over its fair value. Management determines fair value under ASC Topic 820 using the appropriate valuation technique of market, income or cost approach.</w:t>
      </w:r>
    </w:p>
    <w:p>
      <w:pPr>
        <w:spacing w:after="0" w:line="192"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Estimating cash flows for the purposes of the recoverability test is subjective and requires significant judgment and is sensitive to changes in the underlying assumptions, such as estimates regarding revenue growth rates, cost structure, economic and market trends and cash flows expected to result in the disposition of the asset group. As a result, there can be no assurance that the estimates and assumptions made for the purpose of the recoverability test prove to be an accurate prediction of future results. Accordingly, if our current estimates of undiscounted cash flows are not realized, it is possible that an impairment charge may be recorded in the future.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00"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are subject to federal, state, local and foreign tax laws. We utilize the asset and liability method in accounting for income taxes. Under this method, deferred tax assets and liabilities are determined based upon the difference between the values of the assets and liabilities as reflected in the financial statements and their related tax bases using enacted tax rates in effect for the year or years in which the differences are expected to be realized or settled. As changes in tax laws or rates are enacted, deferred tax assets and liabilities are adjusted through the provision for income taxes. The Company’s foreign subsidiaries file income tax returns and are subject to tax provisions in their respective foreign tax jurisdictions.</w:t>
      </w:r>
    </w:p>
    <w:p>
      <w:pPr>
        <w:spacing w:after="0" w:line="14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 valuation allowance is established to reduce deferred income tax assets if, on the basis of available evidence, it is not more likely than not that all or a portion of any deferred tax assets will be realized. The consideration of available evidence requires significant management judgment including an assessment of the future periods in which the deferred tax assets and liabilities are expected to be realized and projections of future taxable income. Specifically, in assessing the need for a valuation allowance, we consider the reversal of taxable temporary differences, future taxable income, the ability to carryback certain attributes and tax-planning strategies. The ultimate realization of the deferred tax assets, including net operating losses, is dependent upon the generation of future taxable income during the periods prior to their expiration. If our estimates and assumptions about future taxable income are not appropriate, the value of our deferred tax assets may not be recoverable, which may result in an increase to our valuation allowance that will impact current earnings. We re-evaluate our need for a valuation allowance on a quarterly basis.</w:t>
      </w:r>
    </w:p>
    <w:p>
      <w:pPr>
        <w:spacing w:after="0" w:line="154"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Tax laws are complex and subject to different interpretation by the taxpayer and the relevant government taxing authorities. In the normal course of business, we are routinely subjected to examinations and audits from federal, state</w:t>
      </w:r>
    </w:p>
    <w:p>
      <w:pPr>
        <w:spacing w:after="0" w:line="37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and local taxing authorities regarding tax positions taken by us and the determination of the amount of tax due. Challenges made by taxing authorities may result in adjustments to the amount of taxes due and may result in the imposition of penalties and interest. If any such challenges are not resolved in our favor, they could have a material adverse effect on our financial condition, results of operations and liquidity.</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87"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We record business combinations using the acquisition method of accounting. All assets acquired and liabilities assumed are recorded at fair value as of the acquisition date. Any excess of the purchase price over the fair value of the net tangible and intangible assets acquired is recorded as goodwill.</w:t>
      </w:r>
    </w:p>
    <w:p>
      <w:pPr>
        <w:spacing w:after="0" w:line="135"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application of the acquisition method of accounting for business combinations requires management to make significant estimates and assumptions in determination of the fair value of assets acquired and liabilities assumed. The fair value of the acquired assets and liabilities are estimated using the income, market and/or cost valuation approach. The income approach utilizes the present value of estimated future cash flows that a business or asset can be expected to generate, while under the market approach, the fair value of an asset or business reflects the price at which comparable assets are purchased under similar circumstances. Inherent in our preparation of cash flow projections are significant assumptions and estimates derived from a review of operating results, business plans, expected growth rates, capital expenditure plans, cost of capital and tax rates. We also make certain forecasts about future economic conditions, interest rates and other market data. Many of the factors used in assessing fair value are outside the control of management. Small changes in these assumptions or estimates could materially affect the estimated fair value. Additional information, which existed as of the acquisition date but unknown to the Company at that time, may become known during the remainder of the measurement period, a period not to exceed twelve months from the acquisition date. Adjustments in the purchase price allocation may require a recasting of the amounts allocated to goodwill and intangible assets. If such an adjustment is required, the Company will recognize a measurement-period adjustment during the period in which it determines the amount of the adjustment, including the effect on earnings of any amounts it would have recorded in previous periods if the accounting had been completed at the acquisition date.</w:t>
      </w:r>
    </w:p>
    <w:p>
      <w:pPr>
        <w:spacing w:after="0" w:line="168"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 xml:space="preserve">If actual results differ from the estimates and judgments used in these estimates, the amounts recorded in the consolidated financial statements may be exposed to potential impairment of the intangible assets and goodwill, as discussed in the </w:t>
      </w:r>
      <w:r>
        <w:rPr>
          <w:rFonts w:ascii="Times New Roman" w:cs="Times New Roman" w:eastAsia="Times New Roman" w:hAnsi="Times New Roman"/>
          <w:sz w:val="18"/>
          <w:szCs w:val="18"/>
          <w:i w:val="1"/>
          <w:iCs w:val="1"/>
          <w:color w:val="auto"/>
        </w:rPr>
        <w:t xml:space="preserve">Goodwill and Indefinite Lived Intangible Assets </w:t>
      </w:r>
      <w:r>
        <w:rPr>
          <w:rFonts w:ascii="Times New Roman" w:cs="Times New Roman" w:eastAsia="Times New Roman" w:hAnsi="Times New Roman"/>
          <w:sz w:val="18"/>
          <w:szCs w:val="18"/>
          <w:color w:val="auto"/>
        </w:rPr>
        <w:t>section above.</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Green Coffee Inventories</w:t>
      </w:r>
    </w:p>
    <w:p>
      <w:pPr>
        <w:spacing w:after="0" w:line="187" w:lineRule="exact"/>
        <w:rPr>
          <w:sz w:val="20"/>
          <w:szCs w:val="20"/>
          <w:color w:val="auto"/>
        </w:rPr>
      </w:pPr>
    </w:p>
    <w:p>
      <w:pPr>
        <w:ind w:left="60" w:right="259"/>
        <w:spacing w:after="0" w:line="276" w:lineRule="auto"/>
        <w:rPr>
          <w:sz w:val="20"/>
          <w:szCs w:val="20"/>
          <w:color w:val="auto"/>
        </w:rPr>
      </w:pPr>
      <w:r>
        <w:rPr>
          <w:rFonts w:ascii="Times New Roman" w:cs="Times New Roman" w:eastAsia="Times New Roman" w:hAnsi="Times New Roman"/>
          <w:sz w:val="17"/>
          <w:szCs w:val="17"/>
          <w:color w:val="auto"/>
        </w:rPr>
        <w:t>Green coffee associated with our forward contracts is recorded at net realizable value, which approximates market price, within our SS&amp;T segment, consistent with our forward purchase contracts recorded at fair value in accordance with ASC</w:t>
      </w:r>
    </w:p>
    <w:p>
      <w:pPr>
        <w:spacing w:after="0" w:line="1" w:lineRule="exact"/>
        <w:rPr>
          <w:sz w:val="20"/>
          <w:szCs w:val="20"/>
          <w:color w:val="auto"/>
        </w:rPr>
      </w:pPr>
    </w:p>
    <w:p>
      <w:pPr>
        <w:ind w:left="60" w:right="99" w:hanging="10"/>
        <w:spacing w:after="0" w:line="25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 coffee is a commodity with quoted market prices in active markets, may be sold without significant further processing, has predictable and insignificant disposal costs, and is available for immediate delivery. We estimate the fair value of green coffee based on the quoted market price at the end of each reporting period, with changes in fair value being reported as a component of cost of sales in our Consolidated Statements of Operations. At December 31, 2025, a 10% change in the price of coffee would have had an approximately $7.5 million impact on the value of our green coffee inventory.</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187"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Prior to October 2024, the Company had outstanding warrants to purchase Common Shares (the “Warrants”), which were accounted for in accordance with the guidance contained in ASC 815, under which the Warrants did not meet the criteria for equity treatment and must be recorded as liabilities. Accordingly, we classified the Warrants as liabilities at their fair value and adjusted the Warrants to fair value at each reporting period, with changes in fair value being recognized in our Consolidated Statements of Operations.</w:t>
      </w:r>
    </w:p>
    <w:p>
      <w:pPr>
        <w:spacing w:after="0" w:line="143"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Company re-measured the fair value of the public Warrants based on the quoted market price of the public Warrants. The private Warrants were valued using a binomial lattice valuation model. The primary unobservable input utilized in determining the fair value of the private Warrants was the expected volatility of the stock price, which is determined by use of an option pricing model. For the years ended December 31, 2023 and 2024, the Company</w:t>
      </w:r>
    </w:p>
    <w:p>
      <w:pPr>
        <w:spacing w:after="0" w:line="39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recognized $10.2 million and $7.0 million of gains related to the change in fair value of warrant liabilities, respectively. No such gains or losses were recognized during the year ended December 31, 2025. At December 31, 2024 and December 31, 2025, there were no outstanding Warrants.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We use Consolidated Adjusted EBITDA to evaluate our performance, identify trends, formulate financial projections, and to make strategic decisions.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Adjusted EBITDA</w:t>
      </w:r>
    </w:p>
    <w:p>
      <w:pPr>
        <w:spacing w:after="0" w:line="229" w:lineRule="exact"/>
        <w:rPr>
          <w:sz w:val="20"/>
          <w:szCs w:val="20"/>
          <w:color w:val="auto"/>
        </w:rPr>
      </w:pPr>
    </w:p>
    <w:p>
      <w:pPr>
        <w:ind w:left="60" w:right="319"/>
        <w:spacing w:after="0" w:line="254" w:lineRule="auto"/>
        <w:rPr>
          <w:sz w:val="20"/>
          <w:szCs w:val="20"/>
          <w:color w:val="auto"/>
        </w:rPr>
      </w:pPr>
      <w:r>
        <w:rPr>
          <w:rFonts w:ascii="Times New Roman" w:cs="Times New Roman" w:eastAsia="Times New Roman" w:hAnsi="Times New Roman"/>
          <w:sz w:val="18"/>
          <w:szCs w:val="18"/>
          <w:color w:val="auto"/>
        </w:rPr>
        <w:t>We refer to EBITDA and Consolidated Adjusted EBITDA in our analysis of our results of operations, which are not required by, or presented in accordance with, accounting principles generally accepted in the United States (“GAAP”). While we believe that net (loss) income, as defined by GAAP, is the most appropriate earnings measure, we also believe that EBITDA and Consolidated Adjusted EBITDA are important non-GAAP supplemental measures of operating performance as they contribute to a meaningful evaluation of the Company’s future operating performance and comparisons to the Company’s past operating performance. The Company believes that providing these non-GAAP financial measures helps investors evaluate the Company’s operating performance, profitability and business trends in a way that is consistent with how management evaluates such performance.</w:t>
      </w:r>
    </w:p>
    <w:p>
      <w:pPr>
        <w:spacing w:after="0" w:line="192" w:lineRule="exact"/>
        <w:rPr>
          <w:sz w:val="20"/>
          <w:szCs w:val="20"/>
          <w:color w:val="auto"/>
        </w:rPr>
      </w:pPr>
    </w:p>
    <w:p>
      <w:pPr>
        <w:ind w:left="60" w:right="239"/>
        <w:spacing w:after="0" w:line="254" w:lineRule="auto"/>
        <w:rPr>
          <w:sz w:val="20"/>
          <w:szCs w:val="20"/>
          <w:color w:val="auto"/>
        </w:rPr>
      </w:pPr>
      <w:r>
        <w:rPr>
          <w:rFonts w:ascii="Times New Roman" w:cs="Times New Roman" w:eastAsia="Times New Roman" w:hAnsi="Times New Roman"/>
          <w:sz w:val="18"/>
          <w:szCs w:val="18"/>
          <w:color w:val="auto"/>
        </w:rPr>
        <w:t>We define “EBITDA” as net (loss) income, as defined by GAAP, before interest expense, provision for income taxes and depreciation and amortization. We define “Consolidated Adjusted EBITDA” as EBITDA before equity-based compensation expense and the impact, which may be recurring in nature, of transaction, restructuring and integration related costs, impairment charges, changes in the fair value of warrant liabilities, non-cash mark-to-market adjustments, certain non-capitalizable costs necessary to place the Conway Facility into commercial production, the write off of unamortized deferred financing costs, costs incurred as a result of the early repayment of debt, gains or losses on dispositions, and other similar or infrequent items (although we may not have had such charges in the periods presented). We believe EBITDA and Consolidated Adjusted EBITDA are important supplemental measures to net (loss) income because they provide additional information to evaluate our operating performance on an unleveraged basis.</w:t>
      </w:r>
    </w:p>
    <w:p>
      <w:pPr>
        <w:spacing w:after="0" w:line="188"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Since EBITDA and Consolidated Adjusted EBITDA are not measures calculated in accordance with GAAP, they should be viewed in addition to, and not be considered as alternatives for, net (loss) income determined in accordance with GAAP. Further, our computations of EBITDA and Consolidated Adjusted EBITDA may not be comparable to that reported by other companies that define EBITDA and Consolidated Adjusted EBITDA differently than we do.</w:t>
      </w:r>
    </w:p>
    <w:p>
      <w:pPr>
        <w:spacing w:after="0" w:line="39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reconciliation of our net (loss) income to EBITDA and Consolidated Adjusted EBITDA for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2025, 2024 and 2023 is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(Thousands)</w:t>
            </w:r>
          </w:p>
        </w:tc>
        <w:tc>
          <w:tcPr>
            <w:tcW w:w="3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vMerge w:val="continue"/>
          </w:tcPr>
          <w:p>
            <w:pPr>
              <w:spacing w:after="0"/>
              <w:rPr>
                <w:sz w:val="17"/>
                <w:szCs w:val="17"/>
                <w:color w:val="auto"/>
              </w:rPr>
            </w:pPr>
          </w:p>
        </w:tc>
        <w:tc>
          <w:tcPr>
            <w:tcW w:w="340" w:type="dxa"/>
            <w:vAlign w:val="bottom"/>
            <w:gridSpan w:val="2"/>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(90,445)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(80,298)</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(34,567)</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55,836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26,584</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(10,207)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Management and consulting fees (S&amp;D Coffee, Inc. acquisition)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charges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Conway extract and ready-to-drink facility pre-production costs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Mark-to-market adjustments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(gain) on disposal of property, plant and equipment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Adjusted EBITDA</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47,180</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45,081</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139"/>
        <w:spacing w:after="0" w:line="312" w:lineRule="auto"/>
        <w:rPr>
          <w:sz w:val="20"/>
          <w:szCs w:val="20"/>
          <w:color w:val="auto"/>
        </w:rPr>
      </w:pPr>
      <w:r>
        <w:rPr>
          <w:rFonts w:ascii="Times New Roman" w:cs="Times New Roman" w:eastAsia="Times New Roman" w:hAnsi="Times New Roman"/>
          <w:sz w:val="17"/>
          <w:szCs w:val="17"/>
          <w:color w:val="auto"/>
        </w:rPr>
        <w:t>Refer to Note 20 of Part II, Item 8 “Financial Statements and Supplementary Data”, of this Annual Report on Form 10-K, for information regarding our reportable segments, including disclosures of the Company’s segment performance measure.</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Our principal liquidity needs are to fund operating expenses, meet debt service obligations, and fund investment activities, which include capital expenditures. Our primary sources of liquidity and capital resources are cash on hand, cash provided by operating activities, and available borrowings under our Credit Agreement (as defined herein).</w:t>
      </w:r>
    </w:p>
    <w:p>
      <w:pPr>
        <w:spacing w:after="0" w:line="176"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Our ability to generate cash provided by operating activities is dependent on several factors, including our ability to generate net sales and manage costs in line with our expectations. Failure to meet our financial targets, including any adverse impact from changes or further delays in the estimated timing and volume of products to be commercialized in our Conway Facility, may restrict our liquidity and capital resources and our ability to maintain compliance with our financial covenants and may require us to modify, delay, or abandon some of our planned future expansion or development, or to otherwise enact operating cost reductions, which could have a material adverse effect on our business, operating results, financial condition, covenant compliance and ability to achieve our intended business objectives.</w:t>
      </w:r>
    </w:p>
    <w:p>
      <w:pPr>
        <w:spacing w:after="0" w:line="18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Green coffee, which is our primary raw material, is an exchange traded agricultural commodity that is subject to price fluctuations, the reasons for which are outside of the control of the Company. During 2024 and 2025, market prices for green coffee were elevated relative to historical prices, at times exceeding $4.00 per pound of green coffee for sustained periods of time. Elevated market prices impact the entire supply chain, as exporters, traders, suppliers and roasters require increased working capital to fund rising green coffee costs, and without having access to sufficient working capital, supply chain disruptions may emerge.</w:t>
      </w:r>
    </w:p>
    <w:p>
      <w:pPr>
        <w:spacing w:after="0" w:line="187"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our liquidity may be negatively impacted by enacted and/or proposed tariffs and trading restrictions that, absent an exemption, would be applied to imported equipment, commodities and packaging materials. The uncertainty around the long-term tariff rates that could be applied to our importation of products into the U.S. presents significant challenges to our operations and supply chain and may result in future results being significantly different than any outlook given. We cannot predict what additional actions might be considered or implemented by the U.S. or its trade partners, particularly in the current geopolitical environment. The uncertainty could also cause disturbances in ocean</w:t>
      </w:r>
    </w:p>
    <w:p>
      <w:pPr>
        <w:spacing w:after="0" w:line="200" w:lineRule="exact"/>
        <w:rPr>
          <w:sz w:val="20"/>
          <w:szCs w:val="20"/>
          <w:color w:val="auto"/>
        </w:rPr>
      </w:pPr>
    </w:p>
    <w:p>
      <w:pPr>
        <w:spacing w:after="0" w:line="20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shipping capacity that could affect our ability to secure ocean freight containers for our products, and create inflationary effects on our costs, in addition to the direct impact of tariffs. A persistent increase in coffee costs or tariff-impacted equipment or material costs, could adversely affect consumer demand as producers attempt to pass higher costs down the supply chain.</w:t>
      </w:r>
    </w:p>
    <w:p>
      <w:pPr>
        <w:spacing w:after="0" w:line="180"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Where possible, we will seek to recover tariff- and inflation-impacted costs by passing these costs onto our customers through periodic pricing increases. However, our pricing increases often lag our cost increases, including increases in commodity costs. A prolonged increase in “C” market prices and/or tariff-impacted costs combined with the near-term costs associated with continuing to scale-up the remaining portions of the Conway Facility, may require us to evaluate our allocation of working capital, and if we are not able to effectively manage our working capital, or do not have access to sufficient working capital to meet our purchasing needs for green coffee, other commodity inputs, ingredients or supplies (such as materials used in our packaging), we may need to access the debt or equity capital markets, and there is no assurance that we will be able to do so on terms that are favorable to the Company or at all. In addition, we may be required to modify, delay, or abandon some of our planned future expansion or development, or to otherwise enact operating cost reductions, which could have a material adverse effect on our business, operating results, financial condition, covenant compliance and ability to achieve our intended business objectives.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29"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The Company is party to a credit agreement (as amended, modified or supplemented, the “Credit Agreement”) among the Company, Westrock Beverage Solutions, LLC, as the borrower (the “Borrower”), Wells Fargo Bank, N.A., as administrative agent, collateral agent, and swingline lender, Wells Fargo Securities, LLC, as sustainability structuring agent, and each issuing bank and lender party thereto. The Credit Agreement includes (a) a senior secured first lien revolving credit facility in an aggregate principal amount of $200.0 million (the “Revolving Credit Facility”), (b) a senior secured first lien term loan facility in an aggregate principal amount of $175.0 million (the “Term Loan Facility”) and (c) incremental term loan commitments in the form of a senior secured delayed draw term loan credit facility (the “Delayed Draw Term Loan Facility”) in the aggregate principal amount of $50.0 million. The Revolving Credit Facility, the Term Loan Facility and the Delayed Draw Term Loan Facility will mature on August 29, 2027. All obligations under the Credit Agreement are guaranteed by the Company and each of the Borrower’s domestic subsidiaries, which comprise our Beverage Solutions segment, and are secured by substantially all of the Company’s assets.</w:t>
      </w:r>
    </w:p>
    <w:p>
      <w:pPr>
        <w:spacing w:after="0" w:line="19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Borrowings under the Revolving Credit Facility, the Term Loan Facility and the Delayed Draw Term Loan Facility will bear interest, at the Borrower’s option, initially at an annual rate equal to (a) term SOFR plus a credit spread adjustment of 0.10% for loans with an interest period of one month, 0.15% for loans with an interest period of three months and 0.25% for loans with an interest period of six months, as applicable, (the “Adjusted Term SOFR”) or (b) the base rate (determined by reference to the greatest of (i) the rate of interest last quoted by The Wall Street Journal in the United States as the prime rate in effect, (ii) the NYFRB Rate from time to time plus 0.50% and (iii) the Adjusted Term SOFR for a one month interest period plus 1.00%, (the “Base Rate”)), in each case plus an applicable margin.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December 31, 2025, we had $145.0 million of outstanding borrowings under the Revolving Credit Facility, with 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weighted average interest rate of 7.9%, and we had $2.0 million of standby letters of credit outstanding. 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2025, the interest rate applicable to our Term Loan Facility was 7.9% and the interest rate applicable to our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Delayed Draw Term Loan Facility was 8.2%.</w:t>
      </w:r>
    </w:p>
    <w:p>
      <w:pPr>
        <w:spacing w:after="0" w:line="207"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On February 15, 2024, the Company entered into Amendment No. 3 (the “Third Amendment”) to the Credit Agreement. The Third Amendment modified the existing covenant relief period (the “Covenant Relief Period”), which commenced on June 30, 2023, and amended the thresholds for compliance with the Company’s (i) secured net leverage ratio, and (ii) interest coverage ratio, which were further amended by the Fourth and Fifth Amendments as described below. The Third Amendment permits the Company to issue convertible notes, including the 2029 Convertible Notes, and limited the Company’s ability to incur additional indebtedness and make investments, restricted payments and junior debt restricted payments.</w:t>
      </w:r>
    </w:p>
    <w:p>
      <w:pPr>
        <w:spacing w:after="0" w:line="189" w:lineRule="exact"/>
        <w:rPr>
          <w:sz w:val="20"/>
          <w:szCs w:val="20"/>
          <w:color w:val="auto"/>
        </w:rPr>
      </w:pPr>
    </w:p>
    <w:p>
      <w:pPr>
        <w:ind w:left="60" w:right="699"/>
        <w:spacing w:after="0" w:line="312" w:lineRule="auto"/>
        <w:rPr>
          <w:sz w:val="20"/>
          <w:szCs w:val="20"/>
          <w:color w:val="auto"/>
        </w:rPr>
      </w:pPr>
      <w:r>
        <w:rPr>
          <w:rFonts w:ascii="Times New Roman" w:cs="Times New Roman" w:eastAsia="Times New Roman" w:hAnsi="Times New Roman"/>
          <w:sz w:val="17"/>
          <w:szCs w:val="17"/>
          <w:color w:val="auto"/>
        </w:rPr>
        <w:t>The Credit Agreement, as amended through the Third Amendment, also includes (i) a minimum liquidity covenant requiring the Borrower not to permit its liquidity, measured as of the last business day of each calendar month</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commencing March 29, 2024, to be less than $15 million and (ii) an anti-cash hoarding covenant, which shall be effective only during the Covenant Relief Period, requiring the Borrower to have no more than $20 million of unrestricted cash, as defined within the Third Amendment of the Credit Agreement, on the last day of each calendar month when revolving loans or letters of credit are outstanding or on the date of borrowing of a revolving loan.</w:t>
      </w:r>
    </w:p>
    <w:p>
      <w:pPr>
        <w:spacing w:after="0" w:line="180"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On January 15, 2025, the Company, entered into an Incremental Assumption Agreement and Amendment No. 4 (the “Fourth Amendment”) to the Credit Agreement. The Fourth Amendment expanded the syndicate to include member banks from the Farm Credit System and increased the amount of revolving facility commitments (the “Existing Revolving Facility Commitments”, and any loans thereunder, the “Existing Revolving Loans”) available to the Borrower under the Credit Agreement by $25.0 million (the “Incremental Revolving Facility Commitments” and any loans thereunder, the “Incremental Revolving Loans”). The amount of revolving facility commitments available to the Borrower under the Credit Agreement, as amended through the Fourth Amendment, is $200.0 million. The Incremental Revolving Facility Commitments and the Incremental Revolving Loans are subject to the same interest rates, commitment fees, maturity dates and other terms as the Existing Revolving Facility Commitments and the Existing Revolving Loans.</w:t>
      </w:r>
    </w:p>
    <w:p>
      <w:pPr>
        <w:spacing w:after="0" w:line="188"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 Fourth Amendment also modified the secured net leverage ratio that the Company must comply with during the Covenant Relief Period and clarified that the Company’s the minimum liquidity covenant will not apply after the Covenant Relief Period ends.</w:t>
      </w:r>
    </w:p>
    <w:p>
      <w:pPr>
        <w:spacing w:after="0" w:line="1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On November 4, 2025, the Company entered into Amendment No. 5 (the “Fifth Amendment”) to the Credit Agreement. The Fifth Amendment modified and extended the existing Covenant Relief Period, which commenced on June 30, 2023, and will end on the earlier to occur of (i) October 1, 2026 and (ii) any date following June 30, 2024, on which the Borrower elects to terminate the Covenant Relief Period subject to satisfaction of certain conditions.</w:t>
      </w:r>
    </w:p>
    <w:p>
      <w:pPr>
        <w:spacing w:after="0" w:line="180"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During the Covenant Relief Period, the Borrower’s ability to incur additional indebtedness and make investments, restricted payments and junior debt restricted payments is more limited. The Fifth Amendment permitted the Borrower to issue convertible notes, including the 2031 Convertible Notes.</w:t>
      </w:r>
    </w:p>
    <w:p>
      <w:pPr>
        <w:spacing w:after="0" w:line="17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The Fifth Amendment modified the secured net leverage ratio that the Company must comply with during the Covenant Relief Period to increase the maximum secured net leverage ratio to (a) 5.50x for the test period ending December 31, 2025, (b) 5.25x for the test period ending March 31, 2026, (c) 5.00x for the test period ending June 30, 2026, (d) 4.50x for the test period ending September 30, 2026 and (e) 4.00x for the test period ending December 31, 2026. In addition, the Fifth Amendment lowered the interest coverage ratio that the Company must comply with to permit the interest coverage ratio as of the last day of any test period to be less than (a) on and prior to December 31, 2025, 1.50x, (b) on January 1, 2026 and on or prior to September 30, 2026, 1.75x and (c) on October 1, 2026 and thereafter, 2.00x. As of the date of this Annual Report on Form 10-K, the Company was in compliance with its financial covenants.</w:t>
      </w:r>
    </w:p>
    <w:p>
      <w:pPr>
        <w:spacing w:after="0" w:line="200" w:lineRule="exact"/>
        <w:rPr>
          <w:sz w:val="20"/>
          <w:szCs w:val="20"/>
          <w:color w:val="auto"/>
        </w:rPr>
      </w:pPr>
    </w:p>
    <w:p>
      <w:pPr>
        <w:spacing w:after="0" w:line="20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The Company believes that its secured net leverage under the Credit Agreement is important to the understanding of the Company’s financial condition and liquidity. At December 31, 2025, the Company’s secured net leverage ratio was 3.85:1.00, compared to a maximum allowable ratio of 5.50:1.00, with such calculation set forth below:</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except leverage ratio)</w:t>
            </w:r>
          </w:p>
        </w:tc>
        <w:tc>
          <w:tcPr>
            <w:tcW w:w="242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 ​​​Trailing Twelve-Months</w:t>
            </w:r>
          </w:p>
        </w:tc>
        <w:tc>
          <w:tcPr>
            <w:tcW w:w="0" w:type="dxa"/>
            <w:vAlign w:val="bottom"/>
          </w:tcPr>
          <w:p>
            <w:pPr>
              <w:spacing w:after="0"/>
              <w:rPr>
                <w:sz w:val="1"/>
                <w:szCs w:val="1"/>
                <w:color w:val="auto"/>
              </w:rPr>
            </w:pPr>
          </w:p>
        </w:tc>
      </w:tr>
      <w:tr>
        <w:trPr>
          <w:trHeight w:val="210"/>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Beverage Solutions Segment Adjusted EBITDA</w:t>
            </w:r>
          </w:p>
        </w:tc>
        <w:tc>
          <w:tcPr>
            <w:tcW w:w="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7"/>
                <w:szCs w:val="17"/>
                <w:color w:val="auto"/>
              </w:rPr>
              <w:t>Permissible credit agreement adjustments</w:t>
            </w:r>
            <w:r>
              <w:rPr>
                <w:rFonts w:ascii="Times New Roman" w:cs="Times New Roman" w:eastAsia="Times New Roman" w:hAnsi="Times New Roman"/>
                <w:sz w:val="25"/>
                <w:szCs w:val="25"/>
                <w:color w:val="auto"/>
                <w:vertAlign w:val="superscript"/>
              </w:rPr>
              <w:t>1</w:t>
            </w:r>
          </w:p>
        </w:tc>
        <w:tc>
          <w:tcPr>
            <w:tcW w:w="5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Trailing Twelve-Months Credit Agreement Adjusted EBITDA</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 loan facility</w:t>
            </w:r>
          </w:p>
        </w:tc>
        <w:tc>
          <w:tcPr>
            <w:tcW w:w="1180" w:type="dxa"/>
            <w:vAlign w:val="bottom"/>
            <w:gridSpan w:val="2"/>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Delayed draw term loan facility</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Letters of credit outstanding</w:t>
            </w:r>
          </w:p>
        </w:tc>
        <w:tc>
          <w:tcPr>
            <w:tcW w:w="5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Secured debt</w:t>
            </w: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Beverage Solutions unrestricted cash and cash equivalents</w:t>
            </w:r>
          </w:p>
        </w:tc>
        <w:tc>
          <w:tcPr>
            <w:tcW w:w="5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Secured net debt</w:t>
            </w:r>
          </w:p>
        </w:tc>
        <w:tc>
          <w:tcPr>
            <w:tcW w:w="520" w:type="dxa"/>
            <w:vAlign w:val="bottom"/>
          </w:tcPr>
          <w:p>
            <w:pPr>
              <w:spacing w:after="0"/>
              <w:rPr>
                <w:sz w:val="18"/>
                <w:szCs w:val="18"/>
                <w:color w:val="auto"/>
              </w:rPr>
            </w:pPr>
          </w:p>
        </w:tc>
        <w:tc>
          <w:tcPr>
            <w:tcW w:w="660" w:type="dxa"/>
            <w:vAlign w:val="bottom"/>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Beverage Solutions Credit Agreement secured net leverage ratio</w:t>
            </w: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3.85x</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182880</wp:posOffset>
            </wp:positionV>
            <wp:extent cx="1414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 Primarily consists of $4.2 million of pro forma run-rate impact of cost savings initiatives, as permitted by the Credit Agreement.</w:t>
      </w:r>
    </w:p>
    <w:p>
      <w:pPr>
        <w:spacing w:after="0" w:line="223"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Term Loan Facility and Delayed Draw Term Loan Facility require quarterly principal payments totaling approximately $4.2 million (1.875% of the original principal balance), increasing to approximately $5.6 million (2.5% of the original principal balance) during the final year of the agreements.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On February 15, 2024, the Company sold and issued in a private placement $72.0 million in aggregate principal amount of 5.00% convertible senior notes due 2029 (the “2029 Convertible Notes”), of which $50.0 million was from related parties. The 2029 Convertible Notes are unsecured, senior obligations of the Company and accrue interest at a rate of 5.00% per annum.</w:t>
      </w:r>
    </w:p>
    <w:p>
      <w:pPr>
        <w:spacing w:after="0" w:line="180" w:lineRule="exact"/>
        <w:rPr>
          <w:sz w:val="20"/>
          <w:szCs w:val="20"/>
          <w:color w:val="auto"/>
        </w:rPr>
      </w:pPr>
    </w:p>
    <w:p>
      <w:pPr>
        <w:jc w:val="both"/>
        <w:ind w:left="60" w:right="419"/>
        <w:spacing w:after="0" w:line="266" w:lineRule="auto"/>
        <w:rPr>
          <w:sz w:val="20"/>
          <w:szCs w:val="20"/>
          <w:color w:val="auto"/>
        </w:rPr>
      </w:pPr>
      <w:r>
        <w:rPr>
          <w:rFonts w:ascii="Times New Roman" w:cs="Times New Roman" w:eastAsia="Times New Roman" w:hAnsi="Times New Roman"/>
          <w:sz w:val="18"/>
          <w:szCs w:val="18"/>
          <w:color w:val="auto"/>
        </w:rPr>
        <w:t>The 2029 Convertible Notes are carried at amortized cost and are recorded in long-term debt, net and convertible notes payable – related party, net on the Consolidated Balance Sheets. At December 31, 2025, the carrying value of the 2029 Convertible Notes was $71.7 million, of which $49.8 million was from related parties.</w:t>
      </w:r>
    </w:p>
    <w:p>
      <w:pPr>
        <w:spacing w:after="0" w:line="176"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Pursuant to the terms of the 2029 Convertible Notes, noteholders may convert their 2029 Convertible Notes at their option only in the following circumstances: (i) during the period commencing on August 15, 2024, and prior to the close of business on the trading day immediately preceding August 15, 2028, if the closing price for at least 20 trading days (whether or not consecutive) during the period of any 30 consecutive trading days in the immediately preceding calendar quarter is equal to or greater than 130% of the conversion price; (ii) during the period commencing on August 15, 2028, and prior to the close of business on the second scheduled trading day immediately preceding February 15, 2029, at any time; and (iii) during the 35 trading days following the effective date of certain fundamental change transactions that occur prior to the close of business on the trading day immediately preceding August 15, 2028.</w:t>
      </w:r>
    </w:p>
    <w:p>
      <w:pPr>
        <w:spacing w:after="0" w:line="19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Company will settle conversions by paying or delivering, as applicable, at the Company’s election, cash, Common Shares, or a combination of cash and Common Shares. The Company may not issue more than 19.99% of the issued and outstanding Common Shares immediately prior to the issuance of the 2029 Convertible Notes in respect of the conversion of the 2029 Convertible Notes. The initial conversion price of the 2029 Convertible Notes is $12.84, which corresponds to an initial conversion rate of approximately 77.88 Common Shares per $1,000 principal amount of 2029 Convertible Notes. The conversion price and conversion rate are subject to customary adjustments.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On November 4, 2025, the Company sold and issued in a private placement $30.0 million in aggregate principal amount of 5.00% convertible senior notes due 2031 (the “2031 Convertible Notes”), of which $11.5 million was from related parties. The 2031 Convertible Notes are unsecured, senior obligations of the Company and accrue interest at a rate of 5.00% per annum.</w:t>
      </w:r>
    </w:p>
    <w:p>
      <w:pPr>
        <w:spacing w:after="0" w:line="180" w:lineRule="exact"/>
        <w:rPr>
          <w:sz w:val="20"/>
          <w:szCs w:val="20"/>
          <w:color w:val="auto"/>
        </w:rPr>
      </w:pPr>
    </w:p>
    <w:p>
      <w:pPr>
        <w:jc w:val="both"/>
        <w:ind w:left="60" w:right="419"/>
        <w:spacing w:after="0" w:line="266" w:lineRule="auto"/>
        <w:rPr>
          <w:sz w:val="20"/>
          <w:szCs w:val="20"/>
          <w:color w:val="auto"/>
        </w:rPr>
      </w:pPr>
      <w:r>
        <w:rPr>
          <w:rFonts w:ascii="Times New Roman" w:cs="Times New Roman" w:eastAsia="Times New Roman" w:hAnsi="Times New Roman"/>
          <w:sz w:val="18"/>
          <w:szCs w:val="18"/>
          <w:color w:val="auto"/>
        </w:rPr>
        <w:t>The 2031 Convertible Notes are carried at amortized cost and are recorded in long-term debt, net and convertible notes payable – related party, net on the Consolidated Balance Sheets. At December 31, 2025, the carrying value of the 2031 Convertible Notes was $28.9 million, of which $11.1 million was from related parties.</w:t>
      </w:r>
    </w:p>
    <w:p>
      <w:pPr>
        <w:spacing w:after="0" w:line="1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Pursuant to the terms of the 2031 Convertible Notes, noteholders may convert their 2031 Convertible Notes at their option only in the following circumstances: (i) during the period commencing on May 4, 2026, and prior to the close of business on the trading day immediately preceding August 15, 2030, if the closing price for at least 20 trading days (whether or not consecutive) during the period of any 30 consecutive trading days in the immediately preceding calendar quarter is equal to or greater than 130% of the conversion price; (ii) during the period commencing on August 15, 2030, and prior to the close of business on the second scheduled trading day immediately preceding February 15, 2031, at any time; and (iii) during the 35 trading days following the effective date of certain fundamental change transactions that occur prior to the close of business on the trading day immediately preceding August 15, 2030.</w:t>
      </w:r>
    </w:p>
    <w:p>
      <w:pPr>
        <w:spacing w:after="0" w:line="192"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The Company will settle conversions by paying or delivering, as applicable, at the Company’s election, cash, Common Shares or a combination of cash and Common Shares. The initial conversion price of the 2031 Convertible Notes is $5.25, which corresponds to an initial conversion rate of approximately 190.48 Common Shares per $1,000 principal amount of 2031 Convertible Notes. At this initial conversion price, the 2031 Convertible Notes are convertible into approximately 5.7 million Common Shares. The conversion price and conversion rate are subject to customary adjustments, provided that the Company may not issue more than 19.99% of the issued and outstanding Common Shares immediately prior to the issuance of the 2031 Convertible Notes in respect of the conversion of the 2031 Convertible Notes.</w:t>
      </w:r>
    </w:p>
    <w:p>
      <w:pPr>
        <w:spacing w:after="0" w:line="189" w:lineRule="exact"/>
        <w:rPr>
          <w:sz w:val="20"/>
          <w:szCs w:val="20"/>
          <w:color w:val="auto"/>
        </w:rPr>
      </w:pPr>
    </w:p>
    <w:p>
      <w:pPr>
        <w:ind w:left="60" w:right="239"/>
        <w:spacing w:after="0" w:line="254" w:lineRule="auto"/>
        <w:rPr>
          <w:sz w:val="20"/>
          <w:szCs w:val="20"/>
          <w:color w:val="auto"/>
        </w:rPr>
      </w:pPr>
      <w:r>
        <w:rPr>
          <w:rFonts w:ascii="Times New Roman" w:cs="Times New Roman" w:eastAsia="Times New Roman" w:hAnsi="Times New Roman"/>
          <w:sz w:val="18"/>
          <w:szCs w:val="18"/>
          <w:color w:val="auto"/>
        </w:rPr>
        <w:t>The 2031 Convertible Notes do not contain any financial or operating covenants or restrictions on the payments of dividends, the incurrence of indebtedness or the issuance or repurchase of securities by the Company or any of its subsidiaries. The 2031 Convertible Notes contain customary terms regarding events of default. If any event of default (other than certain events of bankruptcy, insolvency or reorganization involving the Company) occurs and is continuing, then each noteholder may, by written notice to the Company, declare the principal amount of, and all accrued and unpaid interest on, such noteholder’s 2031 Convertible Notes to become due and payable immediately. If an event of default involving certain events of bankruptcy, insolvency or reorganization occurs, then the principal amount of, and all accrued and unpaid interest on, all of the 2031 Convertible Notes then outstanding will immediately become due and payable without any further action or notice by any person.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International Debt and Lending Facilities</w:t>
      </w:r>
    </w:p>
    <w:p>
      <w:pPr>
        <w:spacing w:after="0" w:line="229" w:lineRule="exact"/>
        <w:rPr>
          <w:sz w:val="20"/>
          <w:szCs w:val="20"/>
          <w:color w:val="auto"/>
        </w:rPr>
      </w:pPr>
    </w:p>
    <w:p>
      <w:pPr>
        <w:ind w:left="60" w:right="379"/>
        <w:spacing w:after="0" w:line="254" w:lineRule="auto"/>
        <w:rPr>
          <w:sz w:val="20"/>
          <w:szCs w:val="20"/>
          <w:color w:val="auto"/>
        </w:rPr>
      </w:pPr>
      <w:r>
        <w:rPr>
          <w:rFonts w:ascii="Times New Roman" w:cs="Times New Roman" w:eastAsia="Times New Roman" w:hAnsi="Times New Roman"/>
          <w:sz w:val="18"/>
          <w:szCs w:val="18"/>
          <w:color w:val="auto"/>
        </w:rPr>
        <w:t>On March 21, 2023, we entered into a $70.0 million working capital trade finance facility with multiple financial institutions through our subsidiary, Falcon Coffees Limited (“Falcon”). The facility matured one year from inception. Borrowings under the facility bore interest at the borrower’s option at a rate equal to (a) term SOFR, as defined in the facility, plus a margin of 4.00% plus a liquidity premium set by the lender at the time of borrowing or (b) the Base Rate (determined by reference to the greatest of (i) the Prime Rate, as defined in the facility, at such time, (ii) one-half</w:t>
      </w:r>
    </w:p>
    <w:p>
      <w:pPr>
        <w:spacing w:after="0" w:line="3" w:lineRule="exact"/>
        <w:rPr>
          <w:sz w:val="20"/>
          <w:szCs w:val="20"/>
          <w:color w:val="auto"/>
        </w:rPr>
      </w:pPr>
    </w:p>
    <w:p>
      <w:pPr>
        <w:ind w:left="60" w:right="259"/>
        <w:spacing w:after="0" w:line="260" w:lineRule="auto"/>
        <w:rPr>
          <w:sz w:val="20"/>
          <w:szCs w:val="20"/>
          <w:color w:val="auto"/>
        </w:rPr>
      </w:pPr>
      <w:r>
        <w:rPr>
          <w:rFonts w:ascii="Times New Roman" w:cs="Times New Roman" w:eastAsia="Times New Roman" w:hAnsi="Times New Roman"/>
          <w:sz w:val="18"/>
          <w:szCs w:val="18"/>
          <w:color w:val="auto"/>
        </w:rPr>
        <w:t>of 1.00% in excess of the Federal Funds Effective Rate, as defined in the facility, at such time, and (iii) Term SOFR for a one-month tenor in effect at such time plus 1.00%).</w:t>
      </w:r>
    </w:p>
    <w:p>
      <w:pPr>
        <w:spacing w:after="0" w:line="181"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On March 8, 2024, Falcon renewed its working capital trade finance facility with multiple institutions. The facility size was reduced from $70.0 million to $55.0 million and remains uncommitted and repayable on demand, with certain of Falcon’s assets pledged as collateral against the facility. The facility will mature one year from inception. Borrowings under the facility will bear interest at the borrower’s option at a rate equal to (a) Term SOFR plus a margin of 4.00% plus a liquidity premium set by the lender at the time of borrowing or (b) the Base Rate (determined by reference to the greatest of (i) the Prime Rate, as defined in the facility, at such time, (ii) one-half of 1.00% in excess of the Federal</w:t>
      </w:r>
    </w:p>
    <w:p>
      <w:pPr>
        <w:spacing w:after="0" w:line="200" w:lineRule="exact"/>
        <w:rPr>
          <w:sz w:val="20"/>
          <w:szCs w:val="20"/>
          <w:color w:val="auto"/>
        </w:rPr>
      </w:pPr>
    </w:p>
    <w:p>
      <w:pPr>
        <w:spacing w:after="0" w:line="20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Funds Effective Rate, as defined in the facility, at such time, and (iii) Term SOFR for a one-month tenor in effect at such time plus 1.00%).</w:t>
      </w:r>
    </w:p>
    <w:p>
      <w:pPr>
        <w:spacing w:after="0" w:line="162"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On August 21, 2024, Falcon amended its working capital trade finance facility, increasing the facility size from $55.0 million to $75.0 million. The interest rates and maturity date were unchanged as a result of the amendment.</w:t>
      </w:r>
    </w:p>
    <w:p>
      <w:pPr>
        <w:spacing w:after="0" w:line="162"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color w:val="auto"/>
        </w:rPr>
        <w:t>On March 7, 2025, Falcon renewed its working capital trade finance facility with multiple institutions. The facility size was increased from $75.0 million to $85.0 million and remains uncommitted and repayable on demand, with certain of Falcon’s assets pledged as collateral against the facility. The facility will mature one year from inception. Borrowings under the facility bear interest at the borrower’s option at a rate equal to (a) Term SOFR plus a margin of 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w:t>
      </w:r>
    </w:p>
    <w:p>
      <w:pPr>
        <w:spacing w:after="0" w:line="171"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On July 23, 2025, Falcon amended its working capital trade finance facility with multiple institutions. The facility size was increased from $85.0 million to $102.5 million and remains uncommitted and repayable on demand, with certain of Falcon’s assets pledged as collateral against the facility.</w:t>
      </w:r>
    </w:p>
    <w:p>
      <w:pPr>
        <w:spacing w:after="0" w:line="176"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At December 31, 2025, there was $82.6 million of outstanding borrowings under the facility, which is recorded in short-term debt in the Consolidated Balance Sheets. Falcon’s facility contains certain restrictive financial covenants which require Falcon to maintain certain levels of working capital, debt, and net worth. Falcon was in compliance with these financial covenants as of December 31, 2025.</w:t>
      </w:r>
    </w:p>
    <w:p>
      <w:pPr>
        <w:spacing w:after="0" w:line="180"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On March 5, 2026, Falcon renewed its working capital trade finance facility with multiple institutions. The facility size was increased from $102.5 million to $110.0 million and remains uncommitted and repayable on demand, with certain of Falcon’s assets pledged as collateral against the facility.</w:t>
      </w:r>
    </w:p>
    <w:p>
      <w:pPr>
        <w:spacing w:after="0" w:line="176" w:lineRule="exact"/>
        <w:rPr>
          <w:sz w:val="20"/>
          <w:szCs w:val="20"/>
          <w:color w:val="auto"/>
        </w:rPr>
      </w:pPr>
    </w:p>
    <w:p>
      <w:pPr>
        <w:ind w:left="60" w:right="59"/>
        <w:spacing w:after="0" w:line="270" w:lineRule="auto"/>
        <w:rPr>
          <w:sz w:val="20"/>
          <w:szCs w:val="20"/>
          <w:color w:val="auto"/>
        </w:rPr>
      </w:pPr>
      <w:r>
        <w:rPr>
          <w:rFonts w:ascii="Times New Roman" w:cs="Times New Roman" w:eastAsia="Times New Roman" w:hAnsi="Times New Roman"/>
          <w:sz w:val="17"/>
          <w:szCs w:val="17"/>
          <w:color w:val="auto"/>
        </w:rPr>
        <w:t>On September 28, 2023, we entered into a $5.0 million unsecured working capital trade finance facility with responsAbility Climate Smart Agriculture &amp; Food Systems Fund through our subsidiary, Falcon. The facility will mature on December 31, 2026, and requires stepped repayments of $0.5 million on December 31, 2024, $1.0 million on December 31, 2025 and $3.5 million on December 31, 2026. Borrowings under the facility bear interest at the borrower’s option at a rate equal to</w:t>
      </w:r>
    </w:p>
    <w:p>
      <w:pPr>
        <w:spacing w:after="0" w:line="3" w:lineRule="exact"/>
        <w:rPr>
          <w:sz w:val="20"/>
          <w:szCs w:val="20"/>
          <w:color w:val="auto"/>
        </w:rPr>
      </w:pPr>
    </w:p>
    <w:p>
      <w:pPr>
        <w:ind w:left="60" w:right="159" w:hanging="10"/>
        <w:spacing w:after="0" w:line="252" w:lineRule="auto"/>
        <w:tabs>
          <w:tab w:leader="none" w:pos="30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most recent applicable Term SOFR for the longest period (for which Term SOFR is available) which is less than the applicable interest period of the loan or (ii) if no such Term SOFR is available for a period which is less than the applicable interest period, SOFR for the day which is two U.S. Government Securities Business Days, as defined in the facility, before the Quotation Day, as defined in the facility; or (b) the most recent applicable Term SOFR (as of the Quotation Day) for the shortest period (for which Term SOFR is available) which exceeds the applicable interest period of that loan, in each case plus the applicable margin.</w:t>
      </w:r>
    </w:p>
    <w:p>
      <w:pPr>
        <w:spacing w:after="0" w:line="190"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On December 16, 2025, Falcon amended its working capital trade finance facility with responsAbility Climate Smart Agriculture &amp; Food Systems Fund. The amendment extended the maturity date on the then remaining outstanding balance of $3.5 million to March 31, 2028, and requires stepped repayments of $1.0 million during 2026, $2.0 million during 2027 and $0.5 million on March 31, 2028. On December 16, 2025, Falcon obtained an additional $2.9 million loan with responsAbility Climate Smart Agriculture &amp; Food Systems Fund. The facility will mature on December 31, 2028 and requires stepped repayments of $2.9 million throughout 2028.</w:t>
      </w:r>
    </w:p>
    <w:p>
      <w:pPr>
        <w:spacing w:after="0" w:line="187"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At December 31, 2025, there was $6.4 million of outstanding borrowings under the facility, of which $5.4 million and $1.0 million is recorded in long-term debt, net and current maturities of long-term debt, respectively, on the Consolidated Balance Sheets. Falcon’s facility contains certain restrictive financial covenants which require Falcon to maintain certain levels of working capital, debt, and tangible net worth. Falcon was in compliance with these financial covenants as of December 31, 2025.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Supply Chain Finance Program</w:t>
      </w:r>
    </w:p>
    <w:p>
      <w:pPr>
        <w:spacing w:after="0" w:line="229"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The Company is party to a supply chain finance program (the “Program”) with a third-party financing provider to provide better working capital usage by deferring payments for certain raw materials of up to $100.0 million. Under the Program, the financing provider remits payment to the Company’s suppliers for approved invoices, and the Company repays the financing provider the amount of the approved invoices, plus a financing charge, on 180-day terms. The Program is uncommitted and the financing provider may, at its sole discretion, cancel the Program at any time. The Company may request cancellation of the Program in whole or in respect of one or more approved suppliers. Due to the extension of payment terms beyond the original due date of approved invoices, obligations under the Program are recorded outside of accounts payable, within our supply chain finance program, on our Consolidated Balance Sheets. As of December 31, 2025, there were $96.6 million in obligations outstanding under the Program.</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Receivables Purchase Agreement</w:t>
      </w:r>
    </w:p>
    <w:p>
      <w:pPr>
        <w:spacing w:after="0" w:line="229" w:lineRule="exact"/>
        <w:rPr>
          <w:sz w:val="20"/>
          <w:szCs w:val="20"/>
          <w:color w:val="auto"/>
        </w:rPr>
      </w:pPr>
    </w:p>
    <w:p>
      <w:pPr>
        <w:ind w:left="60" w:right="299"/>
        <w:spacing w:after="0" w:line="255" w:lineRule="auto"/>
        <w:rPr>
          <w:sz w:val="20"/>
          <w:szCs w:val="20"/>
          <w:color w:val="auto"/>
        </w:rPr>
      </w:pPr>
      <w:r>
        <w:rPr>
          <w:rFonts w:ascii="Times New Roman" w:cs="Times New Roman" w:eastAsia="Times New Roman" w:hAnsi="Times New Roman"/>
          <w:sz w:val="18"/>
          <w:szCs w:val="18"/>
          <w:color w:val="auto"/>
        </w:rPr>
        <w:t xml:space="preserve">On June 27, 2025, the Company entered into a receivable purchase agreement (the “Factoring Agreement”) with a third-party financial institution (the “Factor”) through which the Company may sell up to $35.0 million of certain trade receivables on a nonrecourse basis to the Factor. Transactions under the Factoring Agreement qualify for true-sale treatment in accordance with Accounting Standards Codification (“ASC”)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xml:space="preserve"> (“ASC 860”), whereby receivables sold to the Factor are recorded as a reduction of accounts receivable in the Consolidated Balance Sheets. As a part of the Factoring Agreement, we perform certain collection and administrative functions for the receivables sold.</w:t>
      </w:r>
    </w:p>
    <w:p>
      <w:pPr>
        <w:spacing w:after="0" w:line="18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the Company received gross cash proceeds of $210.8 million related to the sale of receivables under the Factoring Agreement, remitted approximately $175.8 million of customer payments to the Factor, and incurred approximately $1.6 million of fees associated with these sales, which are recorded within selling, general and administrative expense on the Consolidated Statements of Operations. At December 31, 2025, the Company held $13.8 million of customer payments that have yet to be remitted to the Factor, which is recorded within restricted cash on the Consolidated Balance Sheets.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Green Coffee Repurchase Program</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Company is party to a master commodity purchase and sale agreement (the “Commodity Program”) with a third-party financing provider whereby the Company may enter into commodities purchase and sales, including transactions in which the Company sells green coffee to the financing provider, but retains a right, or obligation, to re-purchase the green coffee at the original sales price, plus a finance charge (“Repo Transactions”). The Commodity Program is uncommitted and may be canceled by the financing provider at any time. At December 31, 2025 and December 31, 2024, the Company had a right, or obligation, to repurchase $11.8 million and $0, respectively, of green coffee from the financing provider. The liability for Repo Transactions is recorded within accrued expenses and other current liabilities on the Company’s Consolidated Balance Sheets. Cash flows related to Repo Transactions are reported as financing activities in our Consolidated Statements of Cash Flows.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At-the-Market Common Stock Offering Program</w:t>
      </w:r>
    </w:p>
    <w:p>
      <w:pPr>
        <w:spacing w:after="0" w:line="229"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We have an effective shelf registration statement on file with the SEC (the “Registration Statement”) to offer and sell various securities from time to time. Under the Registration Statement, we have established an at-the-market common stock offering program (the “ATM Program”) to sell shares of common stock not to exceed 5,000,000 Common Shares in the aggregate. This program is intended to provide additional financial flexibility and an alternative mechanism to access the capital markets at an efficient cost as and when we need financing, including for acquisitions. During the year ended December 31, 2024, the Company sold 60,000 Common Shares under the ATM Program, resulting in net proceeds of $0.6 million. During the year ended December 31, 2025, the Company sold 1,909,676 Common Shares under the ATM Program, generating net proceeds of $11.9 million. As of December 31, 2025, there were 3,030,324 of remaining shares authorized to be sold under ATM Program.</w:t>
      </w:r>
    </w:p>
    <w:p>
      <w:pPr>
        <w:spacing w:after="0" w:line="200" w:lineRule="exact"/>
        <w:rPr>
          <w:sz w:val="20"/>
          <w:szCs w:val="20"/>
          <w:color w:val="auto"/>
        </w:rPr>
      </w:pPr>
    </w:p>
    <w:p>
      <w:pPr>
        <w:spacing w:after="0" w:line="20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Current and Long-Term Liquidity</w:t>
      </w:r>
    </w:p>
    <w:p>
      <w:pPr>
        <w:spacing w:after="0" w:line="22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Our liquidity needs are to fund operating expenses, meet debt service obligations, and fund both current and long-term investment activities, which include capital expenditures. We have completed the majority of the capital expenditures related to the Conway Facility, and we believe cash from operations, and borrowings available under the Revolving Credit Facility will provide sufficient cash on-hand to fund our operating expenses, debt service, near-term investment activities and near-term growth strategies, which include, (i) extending and enhancing product offerings through innovation, (ii) expanding our customer base and (iii) continuing to drive margin expansion. However, the Company will continuously evaluate its liquidity needs, especially in light of “C” market price volatility and tariff and trading restrictions (as discussed above) and may seek to opportunistically access additional liquidity, including through either the debt or equity capital markets. If it is determined that we have insufficient liquidity to fund our operating expenses, debt service and near-term investment activities, we may delay and/or reprioritize our near-term growth strategies, which may have an adverse impact on our ability to achieve our growth objectives.</w:t>
      </w:r>
    </w:p>
    <w:p>
      <w:pPr>
        <w:spacing w:after="0" w:line="192" w:lineRule="exact"/>
        <w:rPr>
          <w:sz w:val="20"/>
          <w:szCs w:val="20"/>
          <w:color w:val="auto"/>
        </w:rPr>
      </w:pPr>
    </w:p>
    <w:p>
      <w:pPr>
        <w:jc w:val="both"/>
        <w:ind w:left="60" w:right="319"/>
        <w:spacing w:after="0" w:line="266" w:lineRule="auto"/>
        <w:rPr>
          <w:sz w:val="20"/>
          <w:szCs w:val="20"/>
          <w:color w:val="auto"/>
        </w:rPr>
      </w:pPr>
      <w:r>
        <w:rPr>
          <w:rFonts w:ascii="Times New Roman" w:cs="Times New Roman" w:eastAsia="Times New Roman" w:hAnsi="Times New Roman"/>
          <w:sz w:val="18"/>
          <w:szCs w:val="18"/>
          <w:color w:val="auto"/>
        </w:rPr>
        <w:t>We believe that cash from operations, borrowings available under the Revolving Credit Facility and our ability to obtain future financing will provide sufficient cash on hand to fund our long-term liquidity needs and growth strategies, which include (i) expanding geographically and (ii) finding accretive acquisitions.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Redemptions of Series A Preferred Shares</w:t>
      </w:r>
    </w:p>
    <w:p>
      <w:pPr>
        <w:spacing w:after="0" w:line="227"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After February 26, 2028, any holder of Series A Preferred Shares may require Westrock to redeem all or any whole number of such holder’s Series A Preferred Shares in cash, subject to applicable law and the terms of any credit 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Series A Preferred Share on the redemption notice date and (ii) the simple average of the daily volume-weighted average price per Common Share for the ten (10) trading days ending on and including the trading day immediately preceding the redemption notice date. Assuming that the liquidation preference of the Series A Preferred Shares remains $11.50 per share and all 23,510,527 Series A Preferred Shares remain outstanding after February 26, 2028, we estimate an aggregate redemption payment of at least approximately $270.4 million. If Westrock was required by the holders to redeem a significant number of Series A Preferred Shares, Westrock may not have enough cash available (including through draws on its credit facility) for other purposes such as paying dividends on the Common Shares, purchasing Common Shares, financing acquisitions or other expansions, paying employee incentives and/or executing its business strategy. An outflow of a significant amount of cash from Westrock as a result of redemptions of the Series A Preferred Shares may cause a deterioration in the financial condition of Westrock and our ability to pay our other obligations and/or execute our business strategy. The impact of such redemptions on Westrock will depend, among other things, on the financial condition of Westrock at the time of such redemptions, including the amount of available cash on hand and ability to draw on Westrock’s credit facilities or obtain other sources of financing, the business strategies and objectives of Westrock at that time and the magnitude of such redemptions. Additionally, we may reserve cash, refrain from pursuing other business objectives and/or direct cash away from other business objectives to ensure that we have sufficient available cash to satisfy holder redemptions and this may adversely affect our business and financial condition and ability to execute on our business strategy.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and Other Obligations</w:t>
      </w:r>
    </w:p>
    <w:p>
      <w:pPr>
        <w:spacing w:after="0" w:line="22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Our material contractual and other obligations include the payment of principal and interest under our debt obligations and future purchase of inventory obligations. The Term Loan Facility and Delayed Draw Term Loan Facility require quarterly principal payments totaling approximately $4.2 million (1.875% of the original principal balance), increasing to approximately $5.6 million (2.5% of the original principal balance) during the final year of the agreements. We have no other material obligations to pay principal amounts of our long-term debt obligations prior to their maturity.</w:t>
      </w:r>
    </w:p>
    <w:p>
      <w:pPr>
        <w:spacing w:after="0" w:line="183"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Future purchase obligations of $240.3 million as of December 31, 2025 consist of commitments for the purchase of inventory over the next 12 months. These obligations represent the minimum contractual obligations expected under the normal course of business. There are no material purchase obligations beyond 12 months.</w:t>
      </w:r>
    </w:p>
    <w:p>
      <w:pPr>
        <w:spacing w:after="0" w:line="39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419"/>
        <w:spacing w:after="0" w:line="266" w:lineRule="auto"/>
        <w:rPr>
          <w:sz w:val="20"/>
          <w:szCs w:val="20"/>
          <w:color w:val="auto"/>
        </w:rPr>
      </w:pPr>
      <w:r>
        <w:rPr>
          <w:rFonts w:ascii="Times New Roman" w:cs="Times New Roman" w:eastAsia="Times New Roman" w:hAnsi="Times New Roman"/>
          <w:sz w:val="18"/>
          <w:szCs w:val="18"/>
          <w:color w:val="auto"/>
        </w:rPr>
        <w:t>We have no future obligations to repurchase inventory associated with repurchase agreements in which the Company’s SS&amp;T segment has sold inventory to a third party and from whom the Company’s Beverage Solution segment has an obligation to repurchase. At December 31, 2024, the Company had $0.6 million of such obligations.</w:t>
      </w:r>
    </w:p>
    <w:p>
      <w:pPr>
        <w:spacing w:after="0" w:line="176" w:lineRule="exact"/>
        <w:rPr>
          <w:sz w:val="20"/>
          <w:szCs w:val="20"/>
          <w:color w:val="auto"/>
        </w:rPr>
      </w:pPr>
    </w:p>
    <w:p>
      <w:pPr>
        <w:ind w:left="60" w:right="419"/>
        <w:spacing w:after="0" w:line="266" w:lineRule="auto"/>
        <w:rPr>
          <w:sz w:val="20"/>
          <w:szCs w:val="20"/>
          <w:color w:val="auto"/>
        </w:rPr>
      </w:pPr>
      <w:r>
        <w:rPr>
          <w:rFonts w:ascii="Times New Roman" w:cs="Times New Roman" w:eastAsia="Times New Roman" w:hAnsi="Times New Roman"/>
          <w:sz w:val="18"/>
          <w:szCs w:val="18"/>
          <w:color w:val="auto"/>
        </w:rPr>
        <w:t>At December 31, 2025, we had a right or obligation to repurchase $11.8 million of inventory associated with Repo Transactions, for which the liability is recorded within accrued expenses and other current liabilities on the Company’s Consolidated Balance Sheets.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categorize our capital expenditures as (i) growth, (ii) maintenance, (iii) customer beverage equipment, or (iv) other.</w:t>
      </w:r>
    </w:p>
    <w:p>
      <w:pPr>
        <w:spacing w:after="0" w:line="225"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We define growth capital expenditures as investments in our manufacturing facilities that will contribute to revenue growth by increasing production capacity, improving production efficiencies, or related to production of new products. Maintenance capital expenditures are those necessary to keep our existing manufacturing equipment fully operational. Customer beverage equipment represents Company-owned equipment that is deployed in our customers’ locations.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Capital expenditures for the years ended December 31, 2025, 2024 and 2023 were as follows:</w:t>
      </w: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rPr>
                <w:sz w:val="13"/>
                <w:szCs w:val="13"/>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3"/>
                <w:szCs w:val="13"/>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28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3"/>
                <w:szCs w:val="13"/>
                <w:color w:val="auto"/>
              </w:rPr>
            </w:pP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Growth</w:t>
            </w:r>
          </w:p>
        </w:tc>
        <w:tc>
          <w:tcPr>
            <w:tcW w:w="1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16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Beverage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3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Equipment</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82,877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88,800</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155,309</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32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159,625</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153,604</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3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164,611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If circumstances warrant, we may need to take measures to conserve cash, which may include a suspension, delay, or reduction in growth and/or maintenance capital expenditures. We continually assess our capital expenditure plans in light of developments impacting our business, including the needs of our customers.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the date of this Annual Report on Form 10-K, we do not have any off-balance sheet arrangements.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60" w:right="419"/>
        <w:spacing w:after="0" w:line="266" w:lineRule="auto"/>
        <w:rPr>
          <w:sz w:val="20"/>
          <w:szCs w:val="20"/>
          <w:color w:val="auto"/>
        </w:rPr>
      </w:pPr>
      <w:r>
        <w:rPr>
          <w:rFonts w:ascii="Times New Roman" w:cs="Times New Roman" w:eastAsia="Times New Roman" w:hAnsi="Times New Roman"/>
          <w:sz w:val="18"/>
          <w:szCs w:val="18"/>
          <w:color w:val="auto"/>
        </w:rPr>
        <w:t>See Note 3, Summary of Significant Accounting Policies, to the Consolidated Financial Statements included in Part II, Item 8. Financial Statements and Supplementary Data of this Annual Report on Form 10-K for a detailed discussion of certain recent accounting pronouncements.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Commodities Price Risk</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are exposed to commodities price risk related to changes in the market price of green coffee. We have historically utilized, and expect to continue to utilize, various types of derivative instruments, including forward contracts, futures contracts, commodity swaps, and option contracts to hedge our exposure to the market price variability of green coffee. For most, but not all, of our customers, increases in the cost of green coffee can be passed on to our customers in the form of higher prices. See Note 3, Summary of Significant Accounting Policies, and Note 14, Derivatives, to the Consolidated Financial Statements included in Part II, Item 8. Financial Statements and Supplementary Data of this Annual Report on Form 10-K for further discussion of our derivative instruments.</w:t>
      </w:r>
    </w:p>
    <w:p>
      <w:pPr>
        <w:spacing w:after="0" w:line="200" w:lineRule="exact"/>
        <w:rPr>
          <w:sz w:val="20"/>
          <w:szCs w:val="20"/>
          <w:color w:val="auto"/>
        </w:rPr>
      </w:pPr>
    </w:p>
    <w:p>
      <w:pPr>
        <w:spacing w:after="0" w:line="205"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We are exposed to interest rate volatility with respect to the variable rate facilities under the Credit Agreement, entered into on August 29, 2022. We estimate that the potential impact to our interest rate expense associated with the variable rate Term Loan Facility and Delayed Draw Term Loan Facility, assuming a hypothetical 10% change in interest rates as of December 31, 2025, would be an annualized impact of approximately $0.7 million on the Company’s results of operations for the year ended December 31, 2025.</w:t>
      </w:r>
    </w:p>
    <w:p>
      <w:pPr>
        <w:spacing w:after="0" w:line="183" w:lineRule="exact"/>
        <w:rPr>
          <w:sz w:val="20"/>
          <w:szCs w:val="20"/>
          <w:color w:val="auto"/>
        </w:rPr>
      </w:pPr>
    </w:p>
    <w:p>
      <w:pPr>
        <w:ind w:left="60" w:right="219"/>
        <w:spacing w:after="0" w:line="289" w:lineRule="auto"/>
        <w:rPr>
          <w:sz w:val="20"/>
          <w:szCs w:val="20"/>
          <w:color w:val="auto"/>
        </w:rPr>
      </w:pPr>
      <w:r>
        <w:rPr>
          <w:rFonts w:ascii="Times New Roman" w:cs="Times New Roman" w:eastAsia="Times New Roman" w:hAnsi="Times New Roman"/>
          <w:sz w:val="17"/>
          <w:szCs w:val="17"/>
          <w:color w:val="auto"/>
        </w:rPr>
        <w:t>An increase in interest rates could impact our ability to secure financing to fund growth initiatives, such as growth capital expenditures and acquisitions. In addition, rising interest rates could also limit our ability to refinance our existing debt obligations as they come due or result in us paying higher interest rates upon refinancing our existing debt obligations.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 has been, and continues to be, impacted by negative effects of inflation on both our customers and our costs, including materials and labor costs. We attempt to mitigate the impacts of inflation wherever possible. Our mitigation strategies include working with our vendors and suppliers to ensure that we have adequate access to raw materials to reliably provide our customers with the high-quality products they expect. In addition, where possible, we seek to recover inflation impacted costs by passing these costs onto our customers through periodic pricing increases. However, our pricing increases often lag our cost increases, including increases in commodity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tbl>
      <w:tblPr>
        <w:tblLayout w:type="fixed"/>
        <w:tblInd w:w="60" w:type="dxa"/>
        <w:tblCellMar>
          <w:top w:w="0" w:type="dxa"/>
          <w:left w:w="0" w:type="dxa"/>
          <w:bottom w:w="0" w:type="dxa"/>
          <w:right w:w="0" w:type="dxa"/>
        </w:tblCellMar>
      </w:tblPr>
      <w:tr>
        <w:trPr>
          <w:trHeight w:val="207"/>
        </w:trPr>
        <w:tc>
          <w:tcPr>
            <w:tcW w:w="854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60" w:type="dxa"/>
            <w:vAlign w:val="bottom"/>
          </w:tcPr>
          <w:p>
            <w:pPr>
              <w:spacing w:after="0"/>
              <w:rPr>
                <w:sz w:val="17"/>
                <w:szCs w:val="17"/>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763"/>
        </w:trPr>
        <w:tc>
          <w:tcPr>
            <w:tcW w:w="854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tc>
        <w:tc>
          <w:tcPr>
            <w:tcW w:w="360" w:type="dxa"/>
            <w:vAlign w:val="bottom"/>
          </w:tcPr>
          <w:p>
            <w:pPr>
              <w:spacing w:after="0"/>
              <w:rPr>
                <w:sz w:val="24"/>
                <w:szCs w:val="24"/>
                <w:color w:val="auto"/>
              </w:rPr>
            </w:pPr>
          </w:p>
        </w:tc>
      </w:tr>
      <w:tr>
        <w:trPr>
          <w:trHeight w:val="626"/>
        </w:trPr>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80" w:type="dxa"/>
            <w:vAlign w:val="bottom"/>
            <w:gridSpan w:val="14"/>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9"/>
              </w:rPr>
              <w:t>WESTROCK COFFEE COMPANY</w:t>
            </w:r>
          </w:p>
        </w:tc>
        <w:tc>
          <w:tcPr>
            <w:tcW w:w="360" w:type="dxa"/>
            <w:vAlign w:val="bottom"/>
          </w:tcPr>
          <w:p>
            <w:pPr>
              <w:spacing w:after="0"/>
              <w:rPr>
                <w:sz w:val="24"/>
                <w:szCs w:val="24"/>
                <w:color w:val="auto"/>
              </w:rPr>
            </w:pPr>
          </w:p>
        </w:tc>
      </w:tr>
      <w:tr>
        <w:trPr>
          <w:trHeight w:val="238"/>
        </w:trPr>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740" w:type="dxa"/>
            <w:vAlign w:val="bottom"/>
            <w:gridSpan w:val="22"/>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360" w:type="dxa"/>
            <w:vAlign w:val="bottom"/>
          </w:tcPr>
          <w:p>
            <w:pPr>
              <w:spacing w:after="0"/>
              <w:rPr>
                <w:sz w:val="20"/>
                <w:szCs w:val="20"/>
                <w:color w:val="auto"/>
              </w:rPr>
            </w:pPr>
          </w:p>
        </w:tc>
      </w:tr>
      <w:tr>
        <w:trPr>
          <w:trHeight w:val="392"/>
        </w:trPr>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09"/>
        </w:trPr>
        <w:tc>
          <w:tcPr>
            <w:tcW w:w="854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 xml:space="preserve">Report of PricewaterhouseCoopers LLP, Independent Registered Public Accounting Firm </w:t>
            </w:r>
            <w:r>
              <w:rPr>
                <w:rFonts w:ascii="Times New Roman" w:cs="Times New Roman" w:eastAsia="Times New Roman" w:hAnsi="Times New Roman"/>
                <w:sz w:val="18"/>
                <w:szCs w:val="18"/>
                <w:color w:val="000000"/>
              </w:rPr>
              <w:t>(Auditor Firm ID: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8"/>
        </w:trPr>
        <w:tc>
          <w:tcPr>
            <w:tcW w:w="1200" w:type="dxa"/>
            <w:vAlign w:val="bottom"/>
            <w:tcBorders>
              <w:top w:val="single" w:sz="8" w:color="0000EE"/>
            </w:tcBorders>
            <w:gridSpan w:val="2"/>
          </w:tcPr>
          <w:p>
            <w:pPr>
              <w:ind w:left="140"/>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194"/>
        </w:trPr>
        <w:tc>
          <w:tcPr>
            <w:tcW w:w="5460" w:type="dxa"/>
            <w:vAlign w:val="bottom"/>
            <w:tcBorders>
              <w:bottom w:val="single" w:sz="8" w:color="0000EE"/>
            </w:tcBorders>
            <w:gridSpan w:val="23"/>
          </w:tcPr>
          <w:p>
            <w:pPr>
              <w:spacing w:after="0" w:line="194" w:lineRule="exact"/>
              <w:rPr>
                <w:sz w:val="20"/>
                <w:szCs w:val="20"/>
                <w:color w:val="auto"/>
              </w:rPr>
            </w:pPr>
            <w:r>
              <w:rPr>
                <w:rFonts w:ascii="Times New Roman" w:cs="Times New Roman" w:eastAsia="Times New Roman" w:hAnsi="Times New Roman"/>
                <w:sz w:val="18"/>
                <w:szCs w:val="18"/>
                <w:color w:val="0000EE"/>
                <w:w w:val="99"/>
              </w:rPr>
              <w:t>Consolidated Balance Sheets – December 31, 2025 and December 31, 2024</w:t>
            </w:r>
          </w:p>
        </w:tc>
        <w:tc>
          <w:tcPr>
            <w:tcW w:w="3080" w:type="dxa"/>
            <w:vAlign w:val="bottom"/>
            <w:gridSpan w:val="6"/>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650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 Years ended December 31, 2025, 2024 and 2023</w:t>
            </w:r>
          </w:p>
        </w:tc>
        <w:tc>
          <w:tcPr>
            <w:tcW w:w="204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85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Income (Loss) – Years ended December 31, 2025, 2024 and 2023</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7900" w:type="dxa"/>
            <w:vAlign w:val="bottom"/>
            <w:tcBorders>
              <w:top w:val="single" w:sz="8" w:color="0000EE"/>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Shareholders’ Equity (Deficit) – Years ended December 31, 2025, 2024 and 2023</w:t>
            </w:r>
          </w:p>
        </w:tc>
        <w:tc>
          <w:tcPr>
            <w:tcW w:w="2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85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 Years ended December 31, 2025, 2024 and 2023</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316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3380" w:type="dxa"/>
            <w:vAlign w:val="bottom"/>
            <w:tcBorders>
              <w:top w:val="single" w:sz="8" w:color="0000EE"/>
            </w:tcBorders>
            <w:gridSpan w:val="10"/>
          </w:tcPr>
          <w:p>
            <w:pPr>
              <w:spacing w:after="0"/>
              <w:rPr>
                <w:sz w:val="17"/>
                <w:szCs w:val="17"/>
                <w:color w:val="auto"/>
              </w:rPr>
            </w:pPr>
          </w:p>
        </w:tc>
        <w:tc>
          <w:tcPr>
            <w:tcW w:w="200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140" w:type="dxa"/>
            <w:vAlign w:val="bottom"/>
          </w:tcPr>
          <w:p>
            <w:pPr>
              <w:spacing w:after="0"/>
              <w:rPr>
                <w:sz w:val="17"/>
                <w:szCs w:val="17"/>
                <w:color w:val="auto"/>
              </w:rPr>
            </w:pPr>
          </w:p>
        </w:tc>
        <w:tc>
          <w:tcPr>
            <w:tcW w:w="35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Note 1. Organization and Description of Business</w:t>
            </w:r>
          </w:p>
        </w:tc>
        <w:tc>
          <w:tcPr>
            <w:tcW w:w="482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140" w:type="dxa"/>
            <w:vAlign w:val="bottom"/>
          </w:tcPr>
          <w:p>
            <w:pPr>
              <w:spacing w:after="0"/>
              <w:rPr>
                <w:sz w:val="17"/>
                <w:szCs w:val="17"/>
                <w:color w:val="auto"/>
              </w:rPr>
            </w:pPr>
          </w:p>
        </w:tc>
        <w:tc>
          <w:tcPr>
            <w:tcW w:w="34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Note 2. Basis of Presentation and Consolidation</w:t>
            </w:r>
          </w:p>
        </w:tc>
        <w:tc>
          <w:tcPr>
            <w:tcW w:w="494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140" w:type="dxa"/>
            <w:vAlign w:val="bottom"/>
          </w:tcPr>
          <w:p>
            <w:pPr>
              <w:spacing w:after="0"/>
              <w:rPr>
                <w:sz w:val="17"/>
                <w:szCs w:val="17"/>
                <w:color w:val="auto"/>
              </w:rPr>
            </w:pPr>
          </w:p>
        </w:tc>
        <w:tc>
          <w:tcPr>
            <w:tcW w:w="8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 3. Summary of Significant Accounting Policies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140" w:type="dxa"/>
            <w:vAlign w:val="bottom"/>
          </w:tcPr>
          <w:p>
            <w:pPr>
              <w:spacing w:after="0"/>
              <w:rPr>
                <w:sz w:val="17"/>
                <w:szCs w:val="17"/>
                <w:color w:val="auto"/>
              </w:rPr>
            </w:pPr>
          </w:p>
        </w:tc>
        <w:tc>
          <w:tcPr>
            <w:tcW w:w="380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Note 4. Common Stock Warrants</w:t>
            </w:r>
          </w:p>
        </w:tc>
        <w:tc>
          <w:tcPr>
            <w:tcW w:w="460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140" w:type="dxa"/>
            <w:vAlign w:val="bottom"/>
          </w:tcPr>
          <w:p>
            <w:pPr>
              <w:spacing w:after="0"/>
              <w:rPr>
                <w:sz w:val="17"/>
                <w:szCs w:val="17"/>
                <w:color w:val="auto"/>
              </w:rPr>
            </w:pPr>
          </w:p>
        </w:tc>
        <w:tc>
          <w:tcPr>
            <w:tcW w:w="23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Note 5. Revenue</w:t>
            </w:r>
          </w:p>
        </w:tc>
        <w:tc>
          <w:tcPr>
            <w:tcW w:w="6020" w:type="dxa"/>
            <w:vAlign w:val="bottom"/>
            <w:gridSpan w:val="1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20"/>
        </w:trPr>
        <w:tc>
          <w:tcPr>
            <w:tcW w:w="14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12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 6. Acquisitions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140" w:type="dxa"/>
            <w:vAlign w:val="bottom"/>
          </w:tcPr>
          <w:p>
            <w:pPr>
              <w:spacing w:after="0"/>
              <w:rPr>
                <w:sz w:val="17"/>
                <w:szCs w:val="17"/>
                <w:color w:val="auto"/>
              </w:rPr>
            </w:pPr>
          </w:p>
        </w:tc>
        <w:tc>
          <w:tcPr>
            <w:tcW w:w="148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Note 7. Inventories</w:t>
            </w:r>
          </w:p>
        </w:tc>
        <w:tc>
          <w:tcPr>
            <w:tcW w:w="6920" w:type="dxa"/>
            <w:vAlign w:val="bottom"/>
            <w:gridSpan w:val="2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20"/>
        </w:trPr>
        <w:tc>
          <w:tcPr>
            <w:tcW w:w="14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12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1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Note 8. Property, Plant and Equipment, Net</w:t>
            </w:r>
          </w:p>
        </w:tc>
        <w:tc>
          <w:tcPr>
            <w:tcW w:w="526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140" w:type="dxa"/>
            <w:vAlign w:val="bottom"/>
          </w:tcPr>
          <w:p>
            <w:pPr>
              <w:spacing w:after="0"/>
              <w:rPr>
                <w:sz w:val="17"/>
                <w:szCs w:val="17"/>
                <w:color w:val="auto"/>
              </w:rPr>
            </w:pPr>
          </w:p>
        </w:tc>
        <w:tc>
          <w:tcPr>
            <w:tcW w:w="8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 9. Leases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20"/>
        </w:trPr>
        <w:tc>
          <w:tcPr>
            <w:tcW w:w="14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12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 10. Goodwill</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20"/>
        </w:trPr>
        <w:tc>
          <w:tcPr>
            <w:tcW w:w="14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12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2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Note 11. Intangible Assets, Net</w:t>
            </w:r>
          </w:p>
        </w:tc>
        <w:tc>
          <w:tcPr>
            <w:tcW w:w="6140" w:type="dxa"/>
            <w:vAlign w:val="bottom"/>
            <w:gridSpan w:val="1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196"/>
        </w:trPr>
        <w:tc>
          <w:tcPr>
            <w:tcW w:w="140" w:type="dxa"/>
            <w:vAlign w:val="bottom"/>
          </w:tcPr>
          <w:p>
            <w:pPr>
              <w:spacing w:after="0"/>
              <w:rPr>
                <w:sz w:val="17"/>
                <w:szCs w:val="17"/>
                <w:color w:val="auto"/>
              </w:rPr>
            </w:pPr>
          </w:p>
        </w:tc>
        <w:tc>
          <w:tcPr>
            <w:tcW w:w="10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Note 12. Debt</w:t>
            </w:r>
          </w:p>
        </w:tc>
        <w:tc>
          <w:tcPr>
            <w:tcW w:w="7340" w:type="dxa"/>
            <w:vAlign w:val="bottom"/>
            <w:gridSpan w:val="2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196"/>
        </w:trPr>
        <w:tc>
          <w:tcPr>
            <w:tcW w:w="140" w:type="dxa"/>
            <w:vAlign w:val="bottom"/>
          </w:tcPr>
          <w:p>
            <w:pPr>
              <w:spacing w:after="0"/>
              <w:rPr>
                <w:sz w:val="17"/>
                <w:szCs w:val="17"/>
                <w:color w:val="auto"/>
              </w:rPr>
            </w:pPr>
          </w:p>
        </w:tc>
        <w:tc>
          <w:tcPr>
            <w:tcW w:w="25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Note 13. Series A Preferred Shares</w:t>
            </w:r>
          </w:p>
        </w:tc>
        <w:tc>
          <w:tcPr>
            <w:tcW w:w="5880" w:type="dxa"/>
            <w:vAlign w:val="bottom"/>
            <w:gridSpan w:val="1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196"/>
        </w:trPr>
        <w:tc>
          <w:tcPr>
            <w:tcW w:w="140" w:type="dxa"/>
            <w:vAlign w:val="bottom"/>
          </w:tcPr>
          <w:p>
            <w:pPr>
              <w:spacing w:after="0"/>
              <w:rPr>
                <w:sz w:val="17"/>
                <w:szCs w:val="17"/>
                <w:color w:val="auto"/>
              </w:rPr>
            </w:pPr>
          </w:p>
        </w:tc>
        <w:tc>
          <w:tcPr>
            <w:tcW w:w="15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Note 14. Derivatives</w:t>
            </w:r>
          </w:p>
        </w:tc>
        <w:tc>
          <w:tcPr>
            <w:tcW w:w="6900" w:type="dxa"/>
            <w:vAlign w:val="bottom"/>
            <w:gridSpan w:val="2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196"/>
        </w:trPr>
        <w:tc>
          <w:tcPr>
            <w:tcW w:w="140" w:type="dxa"/>
            <w:vAlign w:val="bottom"/>
          </w:tcPr>
          <w:p>
            <w:pPr>
              <w:spacing w:after="0"/>
              <w:rPr>
                <w:sz w:val="17"/>
                <w:szCs w:val="17"/>
                <w:color w:val="auto"/>
              </w:rPr>
            </w:pPr>
          </w:p>
        </w:tc>
        <w:tc>
          <w:tcPr>
            <w:tcW w:w="8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 15. Fair Value Measurements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20"/>
        </w:trPr>
        <w:tc>
          <w:tcPr>
            <w:tcW w:w="14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12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 16. Equity-Based Compensation</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r>
      <w:tr>
        <w:trPr>
          <w:trHeight w:val="20"/>
        </w:trPr>
        <w:tc>
          <w:tcPr>
            <w:tcW w:w="14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12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 17. Accumulated Other Comprehensive Income (Loss</w:t>
            </w:r>
            <w:r>
              <w:rPr>
                <w:rFonts w:ascii="Times New Roman" w:cs="Times New Roman" w:eastAsia="Times New Roman" w:hAnsi="Times New Roman"/>
                <w:sz w:val="18"/>
                <w:szCs w:val="18"/>
                <w:color w:val="000000"/>
              </w:rPr>
              <w:t>)</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196"/>
        </w:trPr>
        <w:tc>
          <w:tcPr>
            <w:tcW w:w="140" w:type="dxa"/>
            <w:vAlign w:val="bottom"/>
          </w:tcPr>
          <w:p>
            <w:pPr>
              <w:spacing w:after="0"/>
              <w:rPr>
                <w:sz w:val="17"/>
                <w:szCs w:val="17"/>
                <w:color w:val="auto"/>
              </w:rPr>
            </w:pPr>
          </w:p>
        </w:tc>
        <w:tc>
          <w:tcPr>
            <w:tcW w:w="428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Note 18. Income Taxes</w:t>
            </w:r>
          </w:p>
        </w:tc>
        <w:tc>
          <w:tcPr>
            <w:tcW w:w="412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r>
      <w:tr>
        <w:trPr>
          <w:trHeight w:val="20"/>
        </w:trPr>
        <w:tc>
          <w:tcPr>
            <w:tcW w:w="14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34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 19. Earnings Per Share</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20"/>
        </w:trPr>
        <w:tc>
          <w:tcPr>
            <w:tcW w:w="140" w:type="dxa"/>
            <w:vAlign w:val="bottom"/>
          </w:tcPr>
          <w:p>
            <w:pPr>
              <w:spacing w:after="0" w:line="20" w:lineRule="exact"/>
              <w:rPr>
                <w:sz w:val="1"/>
                <w:szCs w:val="1"/>
                <w:color w:val="auto"/>
              </w:rPr>
            </w:pPr>
          </w:p>
        </w:tc>
        <w:tc>
          <w:tcPr>
            <w:tcW w:w="2020" w:type="dxa"/>
            <w:vAlign w:val="bottom"/>
            <w:gridSpan w:val="7"/>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34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2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Note 20. Segment Information</w:t>
            </w:r>
          </w:p>
        </w:tc>
        <w:tc>
          <w:tcPr>
            <w:tcW w:w="6200" w:type="dxa"/>
            <w:vAlign w:val="bottom"/>
            <w:gridSpan w:val="2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196"/>
        </w:trPr>
        <w:tc>
          <w:tcPr>
            <w:tcW w:w="140" w:type="dxa"/>
            <w:vAlign w:val="bottom"/>
          </w:tcPr>
          <w:p>
            <w:pPr>
              <w:spacing w:after="0"/>
              <w:rPr>
                <w:sz w:val="17"/>
                <w:szCs w:val="17"/>
                <w:color w:val="auto"/>
              </w:rPr>
            </w:pPr>
          </w:p>
        </w:tc>
        <w:tc>
          <w:tcPr>
            <w:tcW w:w="8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 21. Commitments and Contingencies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196"/>
        </w:trPr>
        <w:tc>
          <w:tcPr>
            <w:tcW w:w="14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Note 22. Related Party Transactions</w:t>
            </w:r>
          </w:p>
        </w:tc>
        <w:tc>
          <w:tcPr>
            <w:tcW w:w="460" w:type="dxa"/>
            <w:vAlign w:val="bottom"/>
            <w:tcBorders>
              <w:top w:val="single" w:sz="8" w:color="0000EE"/>
            </w:tcBorders>
            <w:gridSpan w:val="3"/>
          </w:tcPr>
          <w:p>
            <w:pPr>
              <w:spacing w:after="0"/>
              <w:rPr>
                <w:sz w:val="17"/>
                <w:szCs w:val="17"/>
                <w:color w:val="auto"/>
              </w:rPr>
            </w:pPr>
          </w:p>
        </w:tc>
        <w:tc>
          <w:tcPr>
            <w:tcW w:w="5340" w:type="dxa"/>
            <w:vAlign w:val="bottom"/>
            <w:gridSpan w:val="1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196"/>
        </w:trPr>
        <w:tc>
          <w:tcPr>
            <w:tcW w:w="140" w:type="dxa"/>
            <w:vAlign w:val="bottom"/>
          </w:tcPr>
          <w:p>
            <w:pPr>
              <w:spacing w:after="0"/>
              <w:rPr>
                <w:sz w:val="17"/>
                <w:szCs w:val="17"/>
                <w:color w:val="auto"/>
              </w:rPr>
            </w:pPr>
          </w:p>
        </w:tc>
        <w:tc>
          <w:tcPr>
            <w:tcW w:w="8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 23. Subsequent Events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r>
      <w:tr>
        <w:trPr>
          <w:trHeight w:val="20"/>
        </w:trPr>
        <w:tc>
          <w:tcPr>
            <w:tcW w:w="14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60" w:lineRule="exact"/>
        <w:rPr>
          <w:sz w:val="20"/>
          <w:szCs w:val="20"/>
          <w:color w:val="auto"/>
        </w:rPr>
      </w:pPr>
    </w:p>
    <w:p>
      <w:pPr>
        <w:ind w:left="60" w:right="3179"/>
        <w:spacing w:after="0" w:line="473" w:lineRule="auto"/>
        <w:rPr>
          <w:sz w:val="20"/>
          <w:szCs w:val="20"/>
          <w:color w:val="auto"/>
        </w:rPr>
      </w:pPr>
      <w:r>
        <w:rPr>
          <w:rFonts w:ascii="Georgia" w:cs="Georgia" w:eastAsia="Georgia" w:hAnsi="Georgia"/>
          <w:sz w:val="18"/>
          <w:szCs w:val="18"/>
          <w:color w:val="auto"/>
        </w:rPr>
        <w:t xml:space="preserve">To the Board of Directors and Shareholders of Westrock Coffee Company </w:t>
      </w:r>
      <w:r>
        <w:rPr>
          <w:rFonts w:ascii="Georgia" w:cs="Georgia" w:eastAsia="Georgia" w:hAnsi="Georgia"/>
          <w:sz w:val="18"/>
          <w:szCs w:val="18"/>
          <w:b w:val="1"/>
          <w:bCs w:val="1"/>
          <w:i w:val="1"/>
          <w:iCs w:val="1"/>
          <w:color w:val="auto"/>
        </w:rPr>
        <w:t>Opinion on the Financial Statements</w:t>
      </w:r>
    </w:p>
    <w:p>
      <w:pPr>
        <w:spacing w:after="0" w:line="4" w:lineRule="exact"/>
        <w:rPr>
          <w:sz w:val="20"/>
          <w:szCs w:val="20"/>
          <w:color w:val="auto"/>
        </w:rPr>
      </w:pPr>
    </w:p>
    <w:p>
      <w:pPr>
        <w:ind w:left="60" w:right="59"/>
        <w:spacing w:after="0" w:line="237" w:lineRule="auto"/>
        <w:rPr>
          <w:sz w:val="20"/>
          <w:szCs w:val="20"/>
          <w:color w:val="auto"/>
        </w:rPr>
      </w:pPr>
      <w:r>
        <w:rPr>
          <w:rFonts w:ascii="Georgia" w:cs="Georgia" w:eastAsia="Georgia" w:hAnsi="Georgia"/>
          <w:sz w:val="18"/>
          <w:szCs w:val="18"/>
          <w:color w:val="auto"/>
        </w:rPr>
        <w:t>We have audited the accompanying consolidated balance sheets of Westrock Coffee Company and its subsidiaries (the “Company”) as of December 31, 2025 and 2024, and the related consolidated statements of operations, of comprehensive income (loss), of shareholders’ equity (deficit) and of cash flows for each of the three years in the period ended December 31, 2025, including the related notes and financial statement schedule listed in the index appearing under Item 15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206" w:lineRule="exact"/>
        <w:rPr>
          <w:sz w:val="20"/>
          <w:szCs w:val="20"/>
          <w:color w:val="auto"/>
        </w:rPr>
      </w:pPr>
    </w:p>
    <w:p>
      <w:pPr>
        <w:ind w:left="60"/>
        <w:spacing w:after="0"/>
        <w:rPr>
          <w:sz w:val="20"/>
          <w:szCs w:val="20"/>
          <w:color w:val="auto"/>
        </w:rPr>
      </w:pPr>
      <w:r>
        <w:rPr>
          <w:rFonts w:ascii="Georgia" w:cs="Georgia" w:eastAsia="Georgia" w:hAnsi="Georgia"/>
          <w:sz w:val="18"/>
          <w:szCs w:val="18"/>
          <w:b w:val="1"/>
          <w:bCs w:val="1"/>
          <w:i w:val="1"/>
          <w:iCs w:val="1"/>
          <w:color w:val="auto"/>
        </w:rPr>
        <w:t>Basis for Opinion</w:t>
      </w:r>
    </w:p>
    <w:p>
      <w:pPr>
        <w:spacing w:after="0" w:line="202" w:lineRule="exact"/>
        <w:rPr>
          <w:sz w:val="20"/>
          <w:szCs w:val="20"/>
          <w:color w:val="auto"/>
        </w:rPr>
      </w:pPr>
    </w:p>
    <w:p>
      <w:pPr>
        <w:ind w:left="60" w:right="159"/>
        <w:spacing w:after="0" w:line="237" w:lineRule="auto"/>
        <w:rPr>
          <w:sz w:val="20"/>
          <w:szCs w:val="20"/>
          <w:color w:val="auto"/>
        </w:rPr>
      </w:pPr>
      <w:r>
        <w:rPr>
          <w:rFonts w:ascii="Georgia" w:cs="Georgia" w:eastAsia="Georgia" w:hAnsi="Georgia"/>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ind w:left="60" w:right="179"/>
        <w:spacing w:after="0" w:line="237" w:lineRule="auto"/>
        <w:rPr>
          <w:sz w:val="20"/>
          <w:szCs w:val="20"/>
          <w:color w:val="auto"/>
        </w:rPr>
      </w:pPr>
      <w:r>
        <w:rPr>
          <w:rFonts w:ascii="Georgia" w:cs="Georgia" w:eastAsia="Georgia" w:hAnsi="Georgia"/>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6" w:lineRule="exact"/>
        <w:rPr>
          <w:sz w:val="20"/>
          <w:szCs w:val="20"/>
          <w:color w:val="auto"/>
        </w:rPr>
      </w:pPr>
    </w:p>
    <w:p>
      <w:pPr>
        <w:ind w:left="60" w:right="359"/>
        <w:spacing w:after="0" w:line="237" w:lineRule="auto"/>
        <w:rPr>
          <w:sz w:val="20"/>
          <w:szCs w:val="20"/>
          <w:color w:val="auto"/>
        </w:rPr>
      </w:pPr>
      <w:r>
        <w:rPr>
          <w:rFonts w:ascii="Georgia" w:cs="Georgia" w:eastAsia="Georgia" w:hAnsi="Georgia"/>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Georgia" w:cs="Georgia" w:eastAsia="Georgia" w:hAnsi="Georgia"/>
          <w:sz w:val="18"/>
          <w:szCs w:val="18"/>
          <w:color w:val="auto"/>
        </w:rPr>
        <w:t>/s/ PricewaterhouseCoopers LLP</w:t>
      </w:r>
    </w:p>
    <w:p>
      <w:pPr>
        <w:ind w:left="60"/>
        <w:spacing w:after="0" w:line="237" w:lineRule="auto"/>
        <w:rPr>
          <w:sz w:val="20"/>
          <w:szCs w:val="20"/>
          <w:color w:val="auto"/>
        </w:rPr>
      </w:pPr>
      <w:r>
        <w:rPr>
          <w:rFonts w:ascii="Georgia" w:cs="Georgia" w:eastAsia="Georgia" w:hAnsi="Georgia"/>
          <w:sz w:val="18"/>
          <w:szCs w:val="18"/>
          <w:color w:val="auto"/>
        </w:rPr>
        <w:t>Little Rock, Arkansas</w:t>
      </w:r>
    </w:p>
    <w:p>
      <w:pPr>
        <w:ind w:left="60"/>
        <w:spacing w:after="0"/>
        <w:rPr>
          <w:sz w:val="20"/>
          <w:szCs w:val="20"/>
          <w:color w:val="auto"/>
        </w:rPr>
      </w:pPr>
      <w:r>
        <w:rPr>
          <w:rFonts w:ascii="Georgia" w:cs="Georgia" w:eastAsia="Georgia" w:hAnsi="Georgia"/>
          <w:sz w:val="18"/>
          <w:szCs w:val="18"/>
          <w:color w:val="auto"/>
        </w:rPr>
        <w:t>March 10, 2026</w:t>
      </w:r>
    </w:p>
    <w:p>
      <w:pPr>
        <w:spacing w:after="0" w:line="200" w:lineRule="exact"/>
        <w:rPr>
          <w:sz w:val="20"/>
          <w:szCs w:val="20"/>
          <w:color w:val="auto"/>
        </w:rPr>
      </w:pPr>
    </w:p>
    <w:p>
      <w:pPr>
        <w:ind w:left="60"/>
        <w:spacing w:after="0"/>
        <w:rPr>
          <w:sz w:val="20"/>
          <w:szCs w:val="20"/>
          <w:color w:val="auto"/>
        </w:rPr>
      </w:pPr>
      <w:r>
        <w:rPr>
          <w:rFonts w:ascii="Georgia" w:cs="Georgia" w:eastAsia="Georgia" w:hAnsi="Georgia"/>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6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(Thousands, except par value)</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December 31, 2025</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ASSETS</w:t>
            </w:r>
          </w:p>
        </w:tc>
        <w:tc>
          <w:tcPr>
            <w:tcW w:w="1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520" w:type="dxa"/>
            <w:vAlign w:val="bottom"/>
            <w:gridSpan w:val="2"/>
          </w:tcPr>
          <w:p>
            <w:pPr>
              <w:jc w:val="right"/>
              <w:ind w:right="22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49,875</w:t>
            </w:r>
          </w:p>
        </w:tc>
        <w:tc>
          <w:tcPr>
            <w:tcW w:w="540" w:type="dxa"/>
            <w:vAlign w:val="bottom"/>
            <w:gridSpan w:val="2"/>
          </w:tcPr>
          <w:p>
            <w:pPr>
              <w:jc w:val="right"/>
              <w:ind w:right="22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Restricted cash</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21,164</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Accounts receivable, net of allowance for credit losses of $2,750 and $3,995, respectively</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94,099</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Inventories</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199,802</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163,323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Derivative assets</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15,049</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16,370</w:t>
            </w:r>
          </w:p>
        </w:tc>
        <w:tc>
          <w:tcPr>
            <w:tcW w:w="2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15,444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ind w:left="400"/>
              <w:spacing w:after="0" w:line="142" w:lineRule="exact"/>
              <w:rPr>
                <w:sz w:val="20"/>
                <w:szCs w:val="20"/>
                <w:color w:val="auto"/>
              </w:rPr>
            </w:pPr>
            <w:r>
              <w:rPr>
                <w:rFonts w:ascii="Times New Roman" w:cs="Times New Roman" w:eastAsia="Times New Roman" w:hAnsi="Times New Roman"/>
                <w:sz w:val="13"/>
                <w:szCs w:val="13"/>
                <w:color w:val="auto"/>
              </w:rPr>
              <w:t>Total current assets</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396,359</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333,643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483,606</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467,011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Goodwill</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116,111</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Intangible assets, net</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107,141</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114,879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60,310</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Other long-term assets</w:t>
            </w:r>
          </w:p>
        </w:tc>
        <w:tc>
          <w:tcPr>
            <w:tcW w:w="1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12,451</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Total Assets</w:t>
            </w:r>
          </w:p>
        </w:tc>
        <w:tc>
          <w:tcPr>
            <w:tcW w:w="1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1,175,978</w:t>
            </w:r>
          </w:p>
        </w:tc>
        <w:tc>
          <w:tcPr>
            <w:tcW w:w="2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1,101,780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 CONVERTIBLE PREFERRED SHARES AND SHAREHOLDERS' EQUITY</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Current maturities of long-term debt</w:t>
            </w:r>
          </w:p>
        </w:tc>
        <w:tc>
          <w:tcPr>
            <w:tcW w:w="520" w:type="dxa"/>
            <w:vAlign w:val="bottom"/>
            <w:gridSpan w:val="2"/>
          </w:tcPr>
          <w:p>
            <w:pPr>
              <w:jc w:val="right"/>
              <w:ind w:right="22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19,281</w:t>
            </w:r>
          </w:p>
        </w:tc>
        <w:tc>
          <w:tcPr>
            <w:tcW w:w="540" w:type="dxa"/>
            <w:vAlign w:val="bottom"/>
            <w:gridSpan w:val="2"/>
          </w:tcPr>
          <w:p>
            <w:pPr>
              <w:jc w:val="right"/>
              <w:ind w:right="22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Short-term debt</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82,640</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54,659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Accounts payable</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91,175</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84,255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Supply chain finance program</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96,594</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Derivative liabilities</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28,600</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95,340</w:t>
            </w:r>
          </w:p>
        </w:tc>
        <w:tc>
          <w:tcPr>
            <w:tcW w:w="2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34,095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ind w:left="400"/>
              <w:spacing w:after="0" w:line="142" w:lineRule="exact"/>
              <w:rPr>
                <w:sz w:val="20"/>
                <w:szCs w:val="20"/>
                <w:color w:val="auto"/>
              </w:rPr>
            </w:pPr>
            <w:r>
              <w:rPr>
                <w:rFonts w:ascii="Times New Roman" w:cs="Times New Roman" w:eastAsia="Times New Roman" w:hAnsi="Times New Roman"/>
                <w:sz w:val="13"/>
                <w:szCs w:val="13"/>
                <w:color w:val="auto"/>
              </w:rPr>
              <w:t>Total current liabilities</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413,630</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277,870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Long-term debt, net</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360,703</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325,880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Convertible notes payable - related party, net</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60,839</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Deferred income taxes</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10,160</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58,146</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865</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400"/>
              <w:spacing w:after="0" w:line="142" w:lineRule="exact"/>
              <w:rPr>
                <w:sz w:val="20"/>
                <w:szCs w:val="20"/>
                <w:color w:val="auto"/>
              </w:rPr>
            </w:pPr>
            <w:r>
              <w:rPr>
                <w:rFonts w:ascii="Times New Roman" w:cs="Times New Roman" w:eastAsia="Times New Roman" w:hAnsi="Times New Roman"/>
                <w:sz w:val="13"/>
                <w:szCs w:val="13"/>
                <w:color w:val="auto"/>
              </w:rPr>
              <w:t>Total liabilities</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904,343</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730,448</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Commitments and contingencies (Note 21)</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10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3"/>
                <w:szCs w:val="13"/>
                <w:color w:val="auto"/>
              </w:rPr>
              <w:t>Series A Convertible Preferred Shares, $0.01 par value, 24,000 shares authorized, 23,511 shares and 23,511</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shares issued and outstanding at December 31, 2025 and December 31, 2024, respectively, $11.50</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liquidation value</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273,503</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273,850</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Shareholders' Equity</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Preferred stock, $0.01 par value, 26,000 shares authorized, no shares issued and outstanding</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10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3"/>
                <w:szCs w:val="13"/>
                <w:color w:val="auto"/>
              </w:rPr>
              <w:t>Common stock, $0.01 par value, 300,000 shares authorized, 96,866 shares and 94,221 shares issued and</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outstanding at December 31, 2025 and December 31, 2024, respectively</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Additional paid-in-capital</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544,567</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519,878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Accumulated deficit</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(534,370)</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(442,922)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1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(13,034)</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19,584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400"/>
              <w:spacing w:after="0" w:line="142" w:lineRule="exact"/>
              <w:rPr>
                <w:sz w:val="20"/>
                <w:szCs w:val="20"/>
                <w:color w:val="auto"/>
              </w:rPr>
            </w:pPr>
            <w:r>
              <w:rPr>
                <w:rFonts w:ascii="Times New Roman" w:cs="Times New Roman" w:eastAsia="Times New Roman" w:hAnsi="Times New Roman"/>
                <w:sz w:val="13"/>
                <w:szCs w:val="13"/>
                <w:b w:val="1"/>
                <w:bCs w:val="1"/>
                <w:color w:val="auto"/>
              </w:rPr>
              <w:t>Total shareholders' equity (deficit)</w:t>
            </w:r>
          </w:p>
        </w:tc>
        <w:tc>
          <w:tcPr>
            <w:tcW w:w="1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(1,868)</w:t>
            </w:r>
          </w:p>
        </w:tc>
        <w:tc>
          <w:tcPr>
            <w:tcW w:w="2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97,482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 Convertible Preferred Shares and Shareholders' Equity</w:t>
            </w:r>
          </w:p>
        </w:tc>
        <w:tc>
          <w:tcPr>
            <w:tcW w:w="52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1,175,978</w:t>
            </w:r>
          </w:p>
        </w:tc>
        <w:tc>
          <w:tcPr>
            <w:tcW w:w="54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1,101,780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54</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0" w:lineRule="exact"/>
        <w:rPr>
          <w:sz w:val="20"/>
          <w:szCs w:val="20"/>
          <w:color w:val="auto"/>
        </w:rPr>
      </w:pP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(Thousands, except per share data)</w:t>
            </w:r>
          </w:p>
        </w:tc>
        <w:tc>
          <w:tcPr>
            <w:tcW w:w="14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86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380" w:type="dxa"/>
            <w:vAlign w:val="bottom"/>
            <w:gridSpan w:val="2"/>
          </w:tcPr>
          <w:p>
            <w:pPr>
              <w:jc w:val="right"/>
              <w:ind w:right="164"/>
              <w:spacing w:after="0" w:line="142"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gridSpan w:val="2"/>
          </w:tcPr>
          <w:p>
            <w:pPr>
              <w:jc w:val="right"/>
              <w:ind w:right="164"/>
              <w:spacing w:after="0" w:line="142"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Net sales</w:t>
            </w: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1,188,952</w:t>
            </w: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850,726</w:t>
            </w: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864,714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Costs of sales</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1,038,188</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696,952</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724,856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3"/>
                <w:szCs w:val="13"/>
                <w:color w:val="auto"/>
              </w:rPr>
              <w:t>Gross profit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150,764</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153,774</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139,858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Selling, general and administrative expense</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185,469</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185,137</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Transaction, restructuring and integration expense</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9,475</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13,797</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Impairment charges</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5,686</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Loss (gain) on disposal of property, plant and equipment</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1,278</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(1,722)</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3"/>
                <w:szCs w:val="13"/>
                <w:color w:val="auto"/>
              </w:rPr>
              <w:t>Total operating expenses</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196,222</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202,898</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160,287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Loss from operations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(45,458)</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(49,124)</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(20,429)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Other (income) expense</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Interest expense</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55,747</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33,856</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Change in fair value of warrant liabilities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(7,015)</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net</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(4,087)</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Loss before income taxes and equity in earnings from unconsolidated entities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(97,118)</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(76,378)</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(40,825)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(1,748)</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3,728</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Equity in (earnings) loss from unconsolidated entities</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(4,925)</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loss</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(90,445)</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(80,298)</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(34,567)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Net loss attributable to non-controlling interest</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loss attributable to shareholders</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(90,445)</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(80,298)</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(34,582)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Amortization (accretion) of Series A Convertible Preferred Shares</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loss attributable to common shareholders</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(90,098)</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(79,949)</w:t>
            </w:r>
          </w:p>
        </w:tc>
        <w:tc>
          <w:tcPr>
            <w:tcW w:w="380" w:type="dxa"/>
            <w:vAlign w:val="bottom"/>
            <w:gridSpan w:val="2"/>
            <w:shd w:val="clear" w:color="auto" w:fill="CCEEFF"/>
          </w:tcPr>
          <w:p>
            <w:pPr>
              <w:jc w:val="right"/>
              <w:ind w:right="124"/>
              <w:spacing w:after="0" w:line="142"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(34,743)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(Loss) earnings per common share:</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Basic</w:t>
            </w:r>
          </w:p>
        </w:tc>
        <w:tc>
          <w:tcPr>
            <w:tcW w:w="380" w:type="dxa"/>
            <w:vAlign w:val="bottom"/>
            <w:gridSpan w:val="2"/>
          </w:tcPr>
          <w:p>
            <w:pPr>
              <w:jc w:val="right"/>
              <w:ind w:right="12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(0.94)</w:t>
            </w:r>
          </w:p>
        </w:tc>
        <w:tc>
          <w:tcPr>
            <w:tcW w:w="380" w:type="dxa"/>
            <w:vAlign w:val="bottom"/>
            <w:gridSpan w:val="2"/>
          </w:tcPr>
          <w:p>
            <w:pPr>
              <w:jc w:val="right"/>
              <w:ind w:right="12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(0.89)</w:t>
            </w:r>
          </w:p>
        </w:tc>
        <w:tc>
          <w:tcPr>
            <w:tcW w:w="380" w:type="dxa"/>
            <w:vAlign w:val="bottom"/>
            <w:gridSpan w:val="2"/>
          </w:tcPr>
          <w:p>
            <w:pPr>
              <w:jc w:val="right"/>
              <w:ind w:right="12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60" w:type="dxa"/>
            <w:vAlign w:val="bottom"/>
            <w:tcBorders>
              <w:top w:val="single" w:sz="8" w:color="CCEEFF"/>
              <w:bottom w:val="single" w:sz="8" w:color="CCEEFF"/>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Diluted</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(0.94)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(0.89)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Weighted-average number of shares outstanding:</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Basic</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95,351</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89,795</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80,684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60" w:type="dxa"/>
            <w:vAlign w:val="bottom"/>
            <w:tcBorders>
              <w:bottom w:val="single" w:sz="8" w:color="CCEEFF"/>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Diluted</w:t>
            </w:r>
          </w:p>
        </w:tc>
        <w:tc>
          <w:tcPr>
            <w:tcW w:w="1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95,351</w:t>
            </w:r>
          </w:p>
        </w:tc>
        <w:tc>
          <w:tcPr>
            <w:tcW w:w="1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89,795</w:t>
            </w:r>
          </w:p>
        </w:tc>
        <w:tc>
          <w:tcPr>
            <w:tcW w:w="1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80,684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55</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(Thousands)</w:t>
            </w: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60" w:type="dxa"/>
            <w:vAlign w:val="bottom"/>
            <w:vMerge w:val="continue"/>
          </w:tcPr>
          <w:p>
            <w:pPr>
              <w:spacing w:after="0"/>
              <w:rPr>
                <w:sz w:val="12"/>
                <w:szCs w:val="12"/>
                <w:color w:val="auto"/>
              </w:rPr>
            </w:pPr>
          </w:p>
        </w:tc>
        <w:tc>
          <w:tcPr>
            <w:tcW w:w="440" w:type="dxa"/>
            <w:vAlign w:val="bottom"/>
          </w:tcPr>
          <w:p>
            <w:pPr>
              <w:ind w:left="80"/>
              <w:spacing w:after="0" w:line="142"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6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12"/>
                <w:szCs w:val="12"/>
                <w:color w:val="auto"/>
              </w:rPr>
            </w:pPr>
          </w:p>
        </w:tc>
        <w:tc>
          <w:tcPr>
            <w:tcW w:w="580" w:type="dxa"/>
            <w:vAlign w:val="bottom"/>
            <w:gridSpan w:val="2"/>
          </w:tcPr>
          <w:p>
            <w:pPr>
              <w:jc w:val="right"/>
              <w:ind w:right="373"/>
              <w:spacing w:after="0" w:line="142"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2"/>
                <w:szCs w:val="12"/>
                <w:color w:val="auto"/>
              </w:rPr>
            </w:pPr>
          </w:p>
        </w:tc>
        <w:tc>
          <w:tcPr>
            <w:tcW w:w="600" w:type="dxa"/>
            <w:vAlign w:val="bottom"/>
            <w:gridSpan w:val="2"/>
          </w:tcPr>
          <w:p>
            <w:pPr>
              <w:jc w:val="right"/>
              <w:ind w:right="384"/>
              <w:spacing w:after="0" w:line="142"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Net loss</w:t>
            </w:r>
          </w:p>
        </w:tc>
        <w:tc>
          <w:tcPr>
            <w:tcW w:w="4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(90,445)</w:t>
            </w:r>
          </w:p>
        </w:tc>
        <w:tc>
          <w:tcPr>
            <w:tcW w:w="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(80,298)</w:t>
            </w:r>
          </w:p>
        </w:tc>
        <w:tc>
          <w:tcPr>
            <w:tcW w:w="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(34,567)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Other comprehensive income (loss), net of tax:</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Unrealized gain (loss) on derivative instruments</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(33,202)</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15,501</w:t>
            </w: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(419)</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60" w:type="dxa"/>
            <w:vAlign w:val="bottom"/>
            <w:tcBorders>
              <w:top w:val="single" w:sz="8" w:color="CCEEFF"/>
            </w:tcBorders>
            <w:shd w:val="clear" w:color="auto" w:fill="CCEEFF"/>
          </w:tcPr>
          <w:p>
            <w:pPr>
              <w:ind w:left="440"/>
              <w:spacing w:after="0" w:line="142" w:lineRule="exact"/>
              <w:rPr>
                <w:sz w:val="20"/>
                <w:szCs w:val="20"/>
                <w:color w:val="auto"/>
              </w:rPr>
            </w:pPr>
            <w:r>
              <w:rPr>
                <w:rFonts w:ascii="Times New Roman" w:cs="Times New Roman" w:eastAsia="Times New Roman" w:hAnsi="Times New Roman"/>
                <w:sz w:val="13"/>
                <w:szCs w:val="13"/>
                <w:color w:val="auto"/>
              </w:rPr>
              <w:t>Total other comprehensive income (loss)</w:t>
            </w:r>
          </w:p>
        </w:tc>
        <w:tc>
          <w:tcPr>
            <w:tcW w:w="4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(33,621)</w:t>
            </w:r>
          </w:p>
        </w:tc>
        <w:tc>
          <w:tcPr>
            <w:tcW w:w="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15,766</w:t>
            </w:r>
          </w:p>
        </w:tc>
        <w:tc>
          <w:tcPr>
            <w:tcW w:w="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9,921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Comprehensive (loss) income</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(124,066)</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(64,532)</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(24,646)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Comprehensive income (loss) attributable to non-controlling interests</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 loss attributable to shareholders</w:t>
            </w:r>
          </w:p>
        </w:tc>
        <w:tc>
          <w:tcPr>
            <w:tcW w:w="4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(124,066)</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(64,532)</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(24,661)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Amortization of Series A Convertible Preferred Shares</w:t>
            </w:r>
          </w:p>
        </w:tc>
        <w:tc>
          <w:tcPr>
            <w:tcW w:w="4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 loss attributable to common shareholders</w:t>
            </w:r>
          </w:p>
        </w:tc>
        <w:tc>
          <w:tcPr>
            <w:tcW w:w="440" w:type="dxa"/>
            <w:vAlign w:val="bottom"/>
          </w:tcPr>
          <w:p>
            <w:pPr>
              <w:spacing w:after="0"/>
              <w:rPr>
                <w:sz w:val="12"/>
                <w:szCs w:val="12"/>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(123,719)</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(64,183)</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(24,822)</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(DEFICIT)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5"/>
        </w:trPr>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Borders>
              <w:bottom w:val="single" w:sz="8" w:color="auto"/>
            </w:tcBorders>
            <w:gridSpan w:val="4"/>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4"/>
                <w:szCs w:val="14"/>
                <w:color w:val="auto"/>
              </w:rPr>
            </w:pPr>
          </w:p>
        </w:tc>
        <w:tc>
          <w:tcPr>
            <w:tcW w:w="98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42"/>
        </w:trPr>
        <w:tc>
          <w:tcPr>
            <w:tcW w:w="222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(Thousands)</w:t>
            </w:r>
          </w:p>
        </w:tc>
        <w:tc>
          <w:tcPr>
            <w:tcW w:w="740" w:type="dxa"/>
            <w:vAlign w:val="bottom"/>
            <w:gridSpan w:val="2"/>
          </w:tcPr>
          <w:p>
            <w:pPr>
              <w:jc w:val="right"/>
              <w:ind w:right="33"/>
              <w:spacing w:after="0" w:line="142" w:lineRule="exact"/>
              <w:rPr>
                <w:sz w:val="20"/>
                <w:szCs w:val="20"/>
                <w:color w:val="auto"/>
              </w:rPr>
            </w:pPr>
            <w:r>
              <w:rPr>
                <w:rFonts w:ascii="Times New Roman" w:cs="Times New Roman" w:eastAsia="Times New Roman" w:hAnsi="Times New Roman"/>
                <w:sz w:val="13"/>
                <w:szCs w:val="13"/>
                <w:b w:val="1"/>
                <w:bCs w:val="1"/>
                <w:color w:val="auto"/>
              </w:rPr>
              <w:t>​​​ Shares</w:t>
            </w:r>
          </w:p>
        </w:tc>
        <w:tc>
          <w:tcPr>
            <w:tcW w:w="7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Amount</w:t>
            </w:r>
          </w:p>
        </w:tc>
        <w:tc>
          <w:tcPr>
            <w:tcW w:w="108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​​​Paid-in Capital</w:t>
            </w:r>
          </w:p>
        </w:tc>
        <w:tc>
          <w:tcPr>
            <w:tcW w:w="2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080" w:type="dxa"/>
            <w:vAlign w:val="bottom"/>
            <w:gridSpan w:val="4"/>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 Income (Loss)</w:t>
            </w:r>
          </w:p>
        </w:tc>
        <w:tc>
          <w:tcPr>
            <w:tcW w:w="2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0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​​​Equity (Deficit)</w:t>
            </w:r>
          </w:p>
        </w:tc>
      </w:tr>
      <w:tr>
        <w:trPr>
          <w:trHeight w:val="142"/>
        </w:trPr>
        <w:tc>
          <w:tcPr>
            <w:tcW w:w="22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75,020</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750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342,664</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(328,042)</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(6,103)</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2,460</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11,729</w:t>
            </w:r>
          </w:p>
        </w:tc>
      </w:tr>
      <w:tr>
        <w:trPr>
          <w:trHeight w:val="149"/>
        </w:trPr>
        <w:tc>
          <w:tcPr>
            <w:tcW w:w="2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(34,582)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(34,567)</w:t>
            </w:r>
          </w:p>
        </w:tc>
      </w:tr>
      <w:tr>
        <w:trPr>
          <w:trHeight w:val="136"/>
        </w:trPr>
        <w:tc>
          <w:tcPr>
            <w:tcW w:w="2220" w:type="dxa"/>
            <w:vAlign w:val="bottom"/>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61"/>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acquisitions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r>
      <w:tr>
        <w:trPr>
          <w:trHeight w:val="136"/>
        </w:trPr>
        <w:tc>
          <w:tcPr>
            <w:tcW w:w="222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1"/>
        </w:trPr>
        <w:tc>
          <w:tcPr>
            <w:tcW w:w="2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Public Warrant exercise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3,144</w:t>
            </w:r>
          </w:p>
        </w:tc>
      </w:tr>
      <w:tr>
        <w:trPr>
          <w:trHeight w:val="136"/>
        </w:trPr>
        <w:tc>
          <w:tcPr>
            <w:tcW w:w="2220" w:type="dxa"/>
            <w:vAlign w:val="bottom"/>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61"/>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 options exercised</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848</w:t>
            </w:r>
          </w:p>
        </w:tc>
      </w:tr>
      <w:tr>
        <w:trPr>
          <w:trHeight w:val="136"/>
        </w:trPr>
        <w:tc>
          <w:tcPr>
            <w:tcW w:w="222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48"/>
        </w:trPr>
        <w:tc>
          <w:tcPr>
            <w:tcW w:w="2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conversion of Series A Convertible</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1"/>
        </w:trPr>
        <w:tc>
          <w:tcPr>
            <w:tcW w:w="2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Preferred Shares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w:t>
            </w:r>
          </w:p>
        </w:tc>
      </w:tr>
      <w:tr>
        <w:trPr>
          <w:trHeight w:val="136"/>
        </w:trPr>
        <w:tc>
          <w:tcPr>
            <w:tcW w:w="2220" w:type="dxa"/>
            <w:vAlign w:val="bottom"/>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61"/>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purchase of non-controlling interest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(2,475)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w:t>
            </w:r>
          </w:p>
        </w:tc>
      </w:tr>
      <w:tr>
        <w:trPr>
          <w:trHeight w:val="136"/>
        </w:trPr>
        <w:tc>
          <w:tcPr>
            <w:tcW w:w="222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shares, net 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1"/>
        </w:trPr>
        <w:tc>
          <w:tcPr>
            <w:tcW w:w="2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issuance costs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11,877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117,648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117,767</w:t>
            </w:r>
          </w:p>
        </w:tc>
      </w:tr>
      <w:tr>
        <w:trPr>
          <w:trHeight w:val="136"/>
        </w:trPr>
        <w:tc>
          <w:tcPr>
            <w:tcW w:w="2220" w:type="dxa"/>
            <w:vAlign w:val="bottom"/>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Accretion of Series A Convertible</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61"/>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Preferred Shares</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r>
      <w:tr>
        <w:trPr>
          <w:trHeight w:val="149"/>
        </w:trPr>
        <w:tc>
          <w:tcPr>
            <w:tcW w:w="2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9,921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9,921</w:t>
            </w:r>
          </w:p>
        </w:tc>
      </w:tr>
      <w:tr>
        <w:trPr>
          <w:trHeight w:val="148"/>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8,702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8,708</w:t>
            </w:r>
          </w:p>
        </w:tc>
      </w:tr>
      <w:tr>
        <w:trPr>
          <w:trHeight w:val="148"/>
        </w:trPr>
        <w:tc>
          <w:tcPr>
            <w:tcW w:w="2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share settlement of equity awards</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(2,977)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(2,977)</w:t>
            </w:r>
          </w:p>
        </w:tc>
      </w:tr>
      <w:tr>
        <w:trPr>
          <w:trHeight w:val="142"/>
        </w:trPr>
        <w:tc>
          <w:tcPr>
            <w:tcW w:w="2220" w:type="dxa"/>
            <w:vAlign w:val="bottom"/>
            <w:tcBorders>
              <w:top w:val="single" w:sz="8" w:color="CCEEFF"/>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88,051</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9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880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471,666</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(362,624)</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3,818</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113,740</w:t>
            </w:r>
          </w:p>
        </w:tc>
      </w:tr>
      <w:tr>
        <w:trPr>
          <w:trHeight w:val="20"/>
        </w:trPr>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29"/>
        </w:trPr>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48"/>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88,051</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471,666</w:t>
            </w:r>
          </w:p>
        </w:tc>
        <w:tc>
          <w:tcPr>
            <w:tcW w:w="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(362,624)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3,818</w:t>
            </w:r>
          </w:p>
        </w:tc>
        <w:tc>
          <w:tcPr>
            <w:tcW w:w="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113,740</w:t>
            </w:r>
          </w:p>
        </w:tc>
      </w:tr>
      <w:tr>
        <w:trPr>
          <w:trHeight w:val="149"/>
        </w:trPr>
        <w:tc>
          <w:tcPr>
            <w:tcW w:w="2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(80,298)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(80,298)</w:t>
            </w:r>
          </w:p>
        </w:tc>
      </w:tr>
      <w:tr>
        <w:trPr>
          <w:trHeight w:val="136"/>
        </w:trPr>
        <w:tc>
          <w:tcPr>
            <w:tcW w:w="2220" w:type="dxa"/>
            <w:vAlign w:val="bottom"/>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48"/>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"at-the-market" offering program, net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61"/>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 issuance costs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w:t>
            </w:r>
          </w:p>
        </w:tc>
      </w:tr>
      <w:tr>
        <w:trPr>
          <w:trHeight w:val="136"/>
        </w:trPr>
        <w:tc>
          <w:tcPr>
            <w:tcW w:w="222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1"/>
        </w:trPr>
        <w:tc>
          <w:tcPr>
            <w:tcW w:w="2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stock options exercised</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36"/>
        </w:trPr>
        <w:tc>
          <w:tcPr>
            <w:tcW w:w="2220" w:type="dxa"/>
            <w:vAlign w:val="bottom"/>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61"/>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warrant exchange</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5,539</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37,732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37,786</w:t>
            </w:r>
          </w:p>
        </w:tc>
      </w:tr>
      <w:tr>
        <w:trPr>
          <w:trHeight w:val="136"/>
        </w:trPr>
        <w:tc>
          <w:tcPr>
            <w:tcW w:w="222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48"/>
        </w:trPr>
        <w:tc>
          <w:tcPr>
            <w:tcW w:w="2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conversion of Series A Convertible</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1"/>
        </w:trPr>
        <w:tc>
          <w:tcPr>
            <w:tcW w:w="2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Preferred Shares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36"/>
        </w:trPr>
        <w:tc>
          <w:tcPr>
            <w:tcW w:w="2220" w:type="dxa"/>
            <w:vAlign w:val="bottom"/>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Amortization of Series A Convertible</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61"/>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Preferred Shares</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w:t>
            </w:r>
          </w:p>
        </w:tc>
      </w:tr>
      <w:tr>
        <w:trPr>
          <w:trHeight w:val="149"/>
        </w:trPr>
        <w:tc>
          <w:tcPr>
            <w:tcW w:w="2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15,766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15,766</w:t>
            </w:r>
          </w:p>
        </w:tc>
      </w:tr>
      <w:tr>
        <w:trPr>
          <w:trHeight w:val="148"/>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11,601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11,608</w:t>
            </w:r>
          </w:p>
        </w:tc>
      </w:tr>
      <w:tr>
        <w:trPr>
          <w:trHeight w:val="149"/>
        </w:trPr>
        <w:tc>
          <w:tcPr>
            <w:tcW w:w="2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share settlement of equity awards</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(2,122)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(2,122)</w:t>
            </w:r>
          </w:p>
        </w:tc>
      </w:tr>
      <w:tr>
        <w:trPr>
          <w:trHeight w:val="142"/>
        </w:trPr>
        <w:tc>
          <w:tcPr>
            <w:tcW w:w="2220" w:type="dxa"/>
            <w:vAlign w:val="bottom"/>
            <w:tcBorders>
              <w:top w:val="single" w:sz="8" w:color="CCEEFF"/>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94,221</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9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942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519,878</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(442,922)</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19,584</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97,482</w:t>
            </w:r>
          </w:p>
        </w:tc>
      </w:tr>
      <w:tr>
        <w:trPr>
          <w:trHeight w:val="20"/>
        </w:trPr>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29"/>
        </w:trPr>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48"/>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94,221</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519,878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(442,922)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19,584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97,482</w:t>
            </w:r>
          </w:p>
        </w:tc>
      </w:tr>
      <w:tr>
        <w:trPr>
          <w:trHeight w:val="149"/>
        </w:trPr>
        <w:tc>
          <w:tcPr>
            <w:tcW w:w="2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(90,445)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(90,445)</w:t>
            </w:r>
          </w:p>
        </w:tc>
      </w:tr>
      <w:tr>
        <w:trPr>
          <w:trHeight w:val="136"/>
        </w:trPr>
        <w:tc>
          <w:tcPr>
            <w:tcW w:w="2220" w:type="dxa"/>
            <w:vAlign w:val="bottom"/>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48"/>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"at-the-market" offering program, net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61"/>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 issuance costs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11,896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11,915</w:t>
            </w:r>
          </w:p>
        </w:tc>
      </w:tr>
      <w:tr>
        <w:trPr>
          <w:trHeight w:val="136"/>
        </w:trPr>
        <w:tc>
          <w:tcPr>
            <w:tcW w:w="222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Amortization of Series A Convertible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1"/>
        </w:trPr>
        <w:tc>
          <w:tcPr>
            <w:tcW w:w="2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Preferred Shares</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r>
      <w:tr>
        <w:trPr>
          <w:trHeight w:val="148"/>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(33,621)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(33,621)</w:t>
            </w:r>
          </w:p>
        </w:tc>
      </w:tr>
      <w:tr>
        <w:trPr>
          <w:trHeight w:val="148"/>
        </w:trPr>
        <w:tc>
          <w:tcPr>
            <w:tcW w:w="2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14,544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14,552</w:t>
            </w:r>
          </w:p>
        </w:tc>
      </w:tr>
      <w:tr>
        <w:trPr>
          <w:trHeight w:val="149"/>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share settlement of equity awards</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(2,098)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(2,098)</w:t>
            </w:r>
          </w:p>
        </w:tc>
      </w:tr>
      <w:tr>
        <w:trPr>
          <w:trHeight w:val="148"/>
        </w:trPr>
        <w:tc>
          <w:tcPr>
            <w:tcW w:w="2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(1,003)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2"/>
        </w:trPr>
        <w:tc>
          <w:tcPr>
            <w:tcW w:w="2220" w:type="dxa"/>
            <w:vAlign w:val="bottom"/>
            <w:tcBorders>
              <w:top w:val="single" w:sz="8" w:color="CCEEFF"/>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96,866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9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969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544,567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(534,370)</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(13,034)</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(1,868)</w:t>
            </w:r>
          </w:p>
        </w:tc>
      </w:tr>
      <w:tr>
        <w:trPr>
          <w:trHeight w:val="20"/>
        </w:trPr>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(Thousands)</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50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31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34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1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31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4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340" w:type="dxa"/>
            <w:vAlign w:val="bottom"/>
            <w:gridSpan w:val="2"/>
          </w:tcPr>
          <w:p>
            <w:pPr>
              <w:jc w:val="right"/>
              <w:ind w:right="134"/>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(90,445)</w:t>
            </w:r>
          </w:p>
        </w:tc>
        <w:tc>
          <w:tcPr>
            <w:tcW w:w="340" w:type="dxa"/>
            <w:vAlign w:val="bottom"/>
            <w:gridSpan w:val="2"/>
          </w:tcPr>
          <w:p>
            <w:pPr>
              <w:jc w:val="right"/>
              <w:ind w:right="10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(80,298)</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(34,567)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i w:val="1"/>
                <w:iCs w:val="1"/>
                <w:color w:val="auto"/>
              </w:rPr>
              <w:t>Adjustments to reconcile net loss to net cash provided by (used in) operating activities: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55,836</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34,745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26,584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Impairment charges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5,686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Equity-based compensation</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14,552</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11,608</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8,708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Provision for credit losses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1,890</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2,316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Amortization of deferred financing fees included in interest expense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4,638</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3,224</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Write-off of unamortized deferred financing fees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137</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(Gain) loss on disposal of property, plant and equipment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1,278</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(1,722)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Gain on de-consolidation of Rwanda Trading Company</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(2,291)</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Mark-to-market adjustments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629</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(4,622)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Change in fair value of warrant liabilities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(7,015)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(10,207)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Foreign currency transactions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598</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Deferred income tax expense (benefit)</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(3,088)</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3,287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(6,512)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(3,347)</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1,257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i w:val="1"/>
                <w:iCs w:val="1"/>
                <w:color w:val="auto"/>
              </w:rPr>
              <w:t>Change in operating assets and liabilities: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620"/>
              <w:spacing w:after="0" w:line="135" w:lineRule="exact"/>
              <w:rPr>
                <w:sz w:val="20"/>
                <w:szCs w:val="20"/>
                <w:color w:val="auto"/>
              </w:rPr>
            </w:pPr>
            <w:r>
              <w:rPr>
                <w:rFonts w:ascii="Times New Roman" w:cs="Times New Roman" w:eastAsia="Times New Roman" w:hAnsi="Times New Roman"/>
                <w:sz w:val="13"/>
                <w:szCs w:val="13"/>
                <w:color w:val="auto"/>
              </w:rPr>
              <w:t>Accounts receivable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(6,960)</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(2,766)</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620"/>
              <w:spacing w:after="0" w:line="135" w:lineRule="exact"/>
              <w:rPr>
                <w:sz w:val="20"/>
                <w:szCs w:val="20"/>
                <w:color w:val="auto"/>
              </w:rPr>
            </w:pPr>
            <w:r>
              <w:rPr>
                <w:rFonts w:ascii="Times New Roman" w:cs="Times New Roman" w:eastAsia="Times New Roman" w:hAnsi="Times New Roman"/>
                <w:sz w:val="13"/>
                <w:szCs w:val="13"/>
                <w:color w:val="auto"/>
              </w:rPr>
              <w:t>Inventories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(46,903)</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(6,558)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620"/>
              <w:spacing w:after="0" w:line="135" w:lineRule="exact"/>
              <w:rPr>
                <w:sz w:val="20"/>
                <w:szCs w:val="20"/>
                <w:color w:val="auto"/>
              </w:rPr>
            </w:pPr>
            <w:r>
              <w:rPr>
                <w:rFonts w:ascii="Times New Roman" w:cs="Times New Roman" w:eastAsia="Times New Roman" w:hAnsi="Times New Roman"/>
                <w:sz w:val="13"/>
                <w:szCs w:val="13"/>
                <w:color w:val="auto"/>
              </w:rPr>
              <w:t>Derivative assets and liabilities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(6,010)</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16,383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620"/>
              <w:spacing w:after="0" w:line="135" w:lineRule="exact"/>
              <w:rPr>
                <w:sz w:val="20"/>
                <w:szCs w:val="20"/>
                <w:color w:val="auto"/>
              </w:rPr>
            </w:pPr>
            <w:r>
              <w:rPr>
                <w:rFonts w:ascii="Times New Roman" w:cs="Times New Roman" w:eastAsia="Times New Roman" w:hAnsi="Times New Roman"/>
                <w:sz w:val="13"/>
                <w:szCs w:val="13"/>
                <w:color w:val="auto"/>
              </w:rPr>
              <w:t>Prepaid expense and other assets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3,349</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1,983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62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34,454</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5,693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(59,292)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620"/>
              <w:spacing w:after="0" w:line="135" w:lineRule="exact"/>
              <w:rPr>
                <w:sz w:val="20"/>
                <w:szCs w:val="20"/>
                <w:color w:val="auto"/>
              </w:rPr>
            </w:pPr>
            <w:r>
              <w:rPr>
                <w:rFonts w:ascii="Times New Roman" w:cs="Times New Roman" w:eastAsia="Times New Roman" w:hAnsi="Times New Roman"/>
                <w:sz w:val="13"/>
                <w:szCs w:val="13"/>
                <w:color w:val="auto"/>
              </w:rPr>
              <w:t>Accrued liabilities and other</w:t>
            </w:r>
          </w:p>
        </w:tc>
        <w:tc>
          <w:tcPr>
            <w:tcW w:w="1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23,408</w:t>
            </w:r>
          </w:p>
        </w:tc>
        <w:tc>
          <w:tcPr>
            <w:tcW w:w="1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2,958</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(5,826)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48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auto"/>
              </w:rPr>
              <w:t>Net cash used in operating activities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(19,014)</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(13,243)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(64,064)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Additions to property, plant and equipment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(88,800)</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(159,625)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(164,611)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Additions to intangible assets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(174)</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Acquisition of business, net of cash acquired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sale of equity method investments and non-marketable securities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500</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w w:val="98"/>
              </w:rPr>
              <w:t>Acquisition of equity method investments and non-marketable securities, inclusive of cash contributed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(2,952)</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sale of property, plant and equipment</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462</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13,875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Borders>
              <w:bottom w:val="single" w:sz="8" w:color="CCEEFF"/>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deferred purchase price of sold trade receivables</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8,788</w:t>
            </w: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(82,176)</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(145,923)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(168,355)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Payments on debt</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(126,487)</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(181,242)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(199,196)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debt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185,853</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278,141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258,490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Payments on supply chain financing program</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(181,513)</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(163,869)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(32,141)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supply chain financing program</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199,269</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164,631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110,217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convertible notes payable</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18,500</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22,000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convertible notes payable - related party</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11,500</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 of debt issuance costs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(4,016)</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(3,329)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 of convertible notes payable issuance costs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(1,175)</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Net proceeds from (repayments of) repurchase agreements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11,209</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(7,706)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(6,268)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Net change in unremitted cash collections from servicing factored receivables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13,756</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exercise of stock options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848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exercise of Public Warrants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2,632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issuance of common stock</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12,097</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118,767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 of equity issuance costs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 for purchase of non-controlling interest</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Borders>
              <w:bottom w:val="single" w:sz="8" w:color="CCEEFF"/>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 for taxes for net share settlement of equity awards</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(2,098)</w:t>
            </w: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(2,122)</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(2,977)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3"/>
                <w:szCs w:val="13"/>
                <w:color w:val="auto"/>
              </w:rPr>
              <w:t>Net cash provided by financing activities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136,714</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156,630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244,214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Borders>
              <w:bottom w:val="single" w:sz="8" w:color="CCEEFF"/>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rPr>
              <w:t>Effect of exchange rate changes on cash</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(49)</w:t>
            </w: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260</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(360)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4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Net increase (decrease) in cash and cash equivalents and restricted cash</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35,475</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(2,276)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11,435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 and restricted cash at beginning of period</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35,564</w:t>
            </w: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37,840</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26,405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8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and cash equivalents and restricted cash at end of period</w:t>
            </w:r>
          </w:p>
        </w:tc>
        <w:tc>
          <w:tcPr>
            <w:tcW w:w="1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71,039</w:t>
            </w:r>
          </w:p>
        </w:tc>
        <w:tc>
          <w:tcPr>
            <w:tcW w:w="1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35,564</w:t>
            </w: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37,840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5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4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Supplemental non-cash investing and financing activities: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Property, plant and equipment acquired but not yet paid</w:t>
            </w:r>
          </w:p>
        </w:tc>
        <w:tc>
          <w:tcPr>
            <w:tcW w:w="340" w:type="dxa"/>
            <w:vAlign w:val="bottom"/>
            <w:gridSpan w:val="2"/>
          </w:tcPr>
          <w:p>
            <w:pPr>
              <w:jc w:val="right"/>
              <w:ind w:right="134"/>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12,889</w:t>
            </w:r>
          </w:p>
        </w:tc>
        <w:tc>
          <w:tcPr>
            <w:tcW w:w="340" w:type="dxa"/>
            <w:vAlign w:val="bottom"/>
            <w:gridSpan w:val="2"/>
          </w:tcPr>
          <w:p>
            <w:pPr>
              <w:jc w:val="right"/>
              <w:ind w:right="10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32,582</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23,124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Amounts obtained as beneficial interest in sold trade receivables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10,630</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5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4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Supplemental cash flow information:</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Cash paid for interest</w:t>
            </w:r>
          </w:p>
        </w:tc>
        <w:tc>
          <w:tcPr>
            <w:tcW w:w="34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49,398</w:t>
            </w:r>
          </w:p>
        </w:tc>
        <w:tc>
          <w:tcPr>
            <w:tcW w:w="34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37,552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29,446</w:t>
            </w:r>
          </w:p>
        </w:tc>
        <w:tc>
          <w:tcPr>
            <w:tcW w:w="0" w:type="dxa"/>
            <w:vAlign w:val="bottom"/>
          </w:tcPr>
          <w:p>
            <w:pPr>
              <w:spacing w:after="0"/>
              <w:rPr>
                <w:sz w:val="1"/>
                <w:szCs w:val="1"/>
                <w:color w:val="auto"/>
              </w:rPr>
            </w:pPr>
          </w:p>
        </w:tc>
      </w:tr>
    </w:tbl>
    <w:p>
      <w:pPr>
        <w:spacing w:after="0" w:line="39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229"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Westrock Coffee Company, a Delaware corporation (the “Company,” “Westrock,” “we,” “us,” or “our”), is a leading integrated coffee, tea, flavors, extracts, and ingredients solutions provider in the United States, providing coffee sourcing, supply chain management, product development, roasting, packaging, and distribution services to the retail, food service and restaurant, convenience store and travel center, non-commercial account, consumer packaged goods (“CPG”), and hospitality industries around the world. We manage our business in two operating segments.</w:t>
      </w:r>
    </w:p>
    <w:p>
      <w:pPr>
        <w:spacing w:after="0" w:line="183"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u w:val="single" w:color="auto"/>
          <w:color w:val="auto"/>
        </w:rPr>
        <w:t>Beverage Solutions</w:t>
      </w:r>
      <w:r>
        <w:rPr>
          <w:rFonts w:ascii="Times New Roman" w:cs="Times New Roman" w:eastAsia="Times New Roman" w:hAnsi="Times New Roman"/>
          <w:sz w:val="18"/>
          <w:szCs w:val="18"/>
          <w:color w:val="auto"/>
        </w:rPr>
        <w:t>: Through this segment, we combine our product innovation and customer insights to provide value-added beverage solutions, including coffee, tea, flavors, extracts and ingredients. We provide products in a variety of packaging, including branded and private label coffee in bags, fractional packs, single serve cups, multi-serve bottles and ready-to-drink bottles and cans,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spacing w:after="0" w:line="187"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u w:val="single" w:color="auto"/>
          <w:color w:val="auto"/>
        </w:rPr>
        <w:t>Sustainable Sourcing &amp; Traceability</w:t>
      </w:r>
      <w:r>
        <w:rPr>
          <w:rFonts w:ascii="Times New Roman" w:cs="Times New Roman" w:eastAsia="Times New Roman" w:hAnsi="Times New Roman"/>
          <w:sz w:val="18"/>
          <w:szCs w:val="18"/>
          <w:color w:val="auto"/>
        </w:rPr>
        <w:t>: Through this segment, we utilize our proprietary technology and digitally traceable supply chain to directly impact and improve the lives of our farming partners, provide tangible economic empowerment and emphasize environmental accountability and farmer literacy. Revenues primarily consist of sales from commodity contracts related to forward sales of green coffee.</w:t>
      </w:r>
    </w:p>
    <w:p>
      <w:pPr>
        <w:spacing w:after="0" w:line="180" w:lineRule="exact"/>
        <w:rPr>
          <w:sz w:val="20"/>
          <w:szCs w:val="20"/>
          <w:color w:val="auto"/>
        </w:rPr>
      </w:pPr>
    </w:p>
    <w:p>
      <w:pPr>
        <w:jc w:val="both"/>
        <w:ind w:left="60" w:right="159"/>
        <w:spacing w:after="0" w:line="289" w:lineRule="auto"/>
        <w:rPr>
          <w:sz w:val="20"/>
          <w:szCs w:val="20"/>
          <w:color w:val="auto"/>
        </w:rPr>
      </w:pPr>
      <w:r>
        <w:rPr>
          <w:rFonts w:ascii="Times New Roman" w:cs="Times New Roman" w:eastAsia="Times New Roman" w:hAnsi="Times New Roman"/>
          <w:sz w:val="17"/>
          <w:szCs w:val="17"/>
          <w:color w:val="auto"/>
        </w:rPr>
        <w:t>The Company operates manufacturing and distribution facilities in Concord, North Carolina, North Little Rock, Arkansas, Conway, Arkansas, and Johor Bahru, Malaysia. In addition, the Company operates Trading and Representative offices in Lewes, UK, Austin, Texas, Lima &amp; Jaen, Peru, Addis Ababa, Ethiopia, Johor Bahru, Malaysia, and Seoul, Korea.</w:t>
      </w:r>
    </w:p>
    <w:p>
      <w:pPr>
        <w:spacing w:after="0" w:line="158"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On June 29, 2023, the Company entered into a subscription agreement (the “Subscription Agreement”) with HF Direct Investments Pool, LLC (the “HF Investor”), an affiliate of HF Capital, LLC, pursuant to which the Company agreed to sell and issue to the HF Investor and the HF Investor agreed to purchase from the Company 5,000,000 shares (the “HF Subscription Amount”) of common stock, par value $0.01 per share, of the Company (the “Common Shares”) at a purchase price per share of $10.00 for aggregate gross proceeds to the Company of $50.0 million (such transaction, the “HF Investment”). On August 3, 2023, the HF Investment closed after the expiration of the applicable waiting period under the Hart-Scott-Rodino Antitrust Improvements Act of 1976, as amended.</w:t>
      </w:r>
    </w:p>
    <w:p>
      <w:pPr>
        <w:spacing w:after="0" w:line="18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Additionally, on June 29, 2023 and July 18, 2023, the Company entered into definitive agreements with an affiliate of the Herbert Hunt family (the “Hunt Investor”) and the Arkansas Teacher Retirement System (the “ARTRS” and together with the Hunt Investor, the “Investors”), respectively, pursuant to which the Company agreed to sell and issue to the Investors and the Investors agreed to purchase from the Company a total of 5,000,000 Common Shares of the Company at a purchase price per share of $10.00 for aggregate gross proceeds to the Company of $50.0 million (such transactions the “PIPE Investments”). On August 3, 2023, the Company closed on the PIPE Investments.</w:t>
      </w:r>
    </w:p>
    <w:p>
      <w:pPr>
        <w:spacing w:after="0" w:line="18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On July 24, 2023, affiliates of Brown Brothers Harriman &amp; Co. (the “BBH Investors”) exercised preemptive rights (the “BBH Preemptive Rights”) to purchase approximately 1.9 million Common Shares at a purchase price per share of $10.00, under the terms of that certain Investor Rights Agreement, dated April 4, 2022, by and among the Company, the BBH Investors, and the other parties thereto. On August 7, 2023, the Company sold and issued the Common Shares to the BBH Investors, receiving aggregate gross proceeds of approximately $18.8 million.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Basis of Presentation and Consolidation</w:t>
      </w:r>
    </w:p>
    <w:p>
      <w:pPr>
        <w:spacing w:after="0" w:line="229"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(“GAAP”) using the U.S. dollar as the reporting currency. The Consolidated Financial Statements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include the activities of the Company and its wholly owned and/or controlled subsidiaries. All intercompany balances and transactions have been eliminated.</w:t>
      </w:r>
    </w:p>
    <w:p>
      <w:pPr>
        <w:spacing w:after="0" w:line="162"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On April 1, 2025, the Company entered into an agreement with ETC Holdings SA (“ECOM”) that combines Westrock’s and ECOM’s Rwandan export operations (the “Rwandan JV”). This strategic partnership, which was established to trade Arabica coffee from Rwanda and commercially operate wet mill and storage facilities, allows Westrock to scale its operations in Rwanda, improve profitability, and strengthen our ability to provide smallholder farmers and their families the ability to advance their quality of life and economic well-being. The Company contributed its ownership interest in Rwanda Trading Company (“RTC”) and $100,000 in cash in exchange for a 49.9% ownership interest in the Rwandan JV. As a result of the transaction, the Company de-consolidated RTC, de-recognizing $9.3 million of assets, including approximately $2.9 million of cash and cash equivalents, and $10.3 million of liabilities that were previously reported within our Sustainable Sourcing &amp; Traceability (“SS&amp;T”) segment. Upon de-consolidation, the Company recognized a $2.3 million gain during the three months ended June 30, 2025, which is recorded in other, net on the Consolidated Statements of Operations. The gain on de-consolidation of RTC is reported as operating activities in the Consolidated Statements of Cash Flows.</w:t>
      </w:r>
    </w:p>
    <w:p>
      <w:pPr>
        <w:spacing w:after="0" w:line="19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April 3, 2023, the Company purchased the remaining 15% of the equity interests of Falcon Coffees Limited (“Falcon”) that it did not previously own, resulting in Falcon becoming a wholly owned subsidiary of the Company. Aggregate consideration paid for the interest totaled $3.2 million and included $2.0 million in cash and 100,000 Common Shares. Due to the Company’s controlling financial interest in Falcon prior to the purchase, the transaction was accounted for as an equity transaction. For periods prior to April 3, 2023, equity interests not owned by us are reflected as non-controlling interests. In the Consolidated Statements of Operations, we allocate net income (loss) attributable to non-controlling interest to arrive at net income (loss) attributable to common shareholders based on their proportionate share. Falcon operates our trading business and is reported within our Sustainable Sourcing &amp; Traceability segment.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us to make estimates and assumptions that affect the reported amounts of assets, liabilities, revenues and expenses, and related disclosures of contingent assets and liabilities in the consolidated financial statements and accompanying notes. On an ongoing basis, we evaluate our estimates, including those related to the allowance for credit losses, useful lives of property, plant and equipment, incremental borrowing rates for lease liability measurement, fair values of forward purchase and sales contracts, green coffee associated with forward contracts,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may differ from the estimates and assumptions used in preparing the accompanying consolidated financial statements.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5"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Accounting Standards Update (“ASU”) 2014-15, </w:t>
      </w:r>
      <w:r>
        <w:rPr>
          <w:rFonts w:ascii="Times New Roman" w:cs="Times New Roman" w:eastAsia="Times New Roman" w:hAnsi="Times New Roman"/>
          <w:sz w:val="18"/>
          <w:szCs w:val="18"/>
          <w:i w:val="1"/>
          <w:iCs w:val="1"/>
          <w:color w:val="auto"/>
        </w:rPr>
        <w:t>Disclosure of Uncertainties about an Entity’s 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Continue as a Going Concern (Subtopic 205-40)</w:t>
      </w:r>
      <w:r>
        <w:rPr>
          <w:rFonts w:ascii="Times New Roman" w:cs="Times New Roman" w:eastAsia="Times New Roman" w:hAnsi="Times New Roman"/>
          <w:sz w:val="18"/>
          <w:szCs w:val="18"/>
          <w:color w:val="auto"/>
        </w:rPr>
        <w:t>, the Company has the responsibility to evaluate whether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events raise substantial doubt about its ability to meet its obligations as they become due within one year after the date that the financial statements are available to be issued. The Company is dependent on borrowings under its Credit Agreement (as defined herein) and cash generated from operations to finance its operations, service its debt requirements, maintain compliance with its covenants, and to fund capital requirements. The Company believes that projected cash flow from operations, including current projections of the timing and amount of cash flows to be generated from our Conway, Arkansas extract and ready-to-drink manufacturing facility (the “Conway Facility”) and available borrowings under its Credit Agreement, as amended, will be sufficient to fund operations and to maintain covenant compliance for at least the next twelve months. However, during the year ended December 31, 2025, we incurred net losses of $90.4 million and net cash outflows from operating activities of $19.0 million. If we are unable to achieve our profitability growth projections and maintain our covenant leverage ratio, interest coverage, and minimum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liquidity requirements, as a result of, for example, experiencing any adverse impact of changes or further delays in the estimated timing and/or volume of products to be produced in our Conway Facility over the next twelve months, and generate sufficient cash flows from operations, it may restrict our liquidity and capital resources and our ability to maintain compliance with our financial covenants.</w:t>
      </w:r>
    </w:p>
    <w:p>
      <w:pPr>
        <w:spacing w:after="0" w:line="180"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As further discussed in Note 12, on November 4, 2025, the Company sold and issued in a private placement $30.0 million in aggregate principal amount of 5.00% convertible senior notes due 2031 and entered into an Incremental Assumption Agreement and Amendment No. 5 to its Credit Agreement (as defined in Note 12), which modified certain financial covenants. However, as management’s ability to raise additional capital or amend its financial covenants cannot be assured, if necessary, management has committed to delay growth capital expenditures and/or reduce operating expenses, including headcount, salary and/or bonus reductions, all of which are in the Company’s control, as necessary, in order to have adequate liquidity and to remain in compliance with its debt covenants. If required, the Company will reduce operating costs to ensure compliance with its financial covenants. The accompanying Consolidated Financial Statements have been prepared assuming that the Company will continue as a going concern, which contemplates the realization of assets and satisfaction of liabilities in the ordinary course of business.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all highly liquid investments with original maturities not exceeding three months at the time of purchase. The fair values of our cash and cash equivalents approximate the amounts shown on our Consolidated Balance Sheets due to their short-term nature.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Restricted cash represents cash maintained in margin accounts in accordance with futures market and broker regulations. In accordance with the Company’s accounting policy, the Company does not adjust the value of its derivative assets or liabilities by the amount of cash held in margin accounts.</w:t>
      </w:r>
    </w:p>
    <w:p>
      <w:pPr>
        <w:spacing w:after="0" w:line="1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 xml:space="preserve">Restricted cash also includes unremitted customer payments received under factoring arrangements, as described under </w:t>
      </w:r>
      <w:r>
        <w:rPr>
          <w:rFonts w:ascii="Times New Roman" w:cs="Times New Roman" w:eastAsia="Times New Roman" w:hAnsi="Times New Roman"/>
          <w:sz w:val="18"/>
          <w:szCs w:val="18"/>
          <w:i w:val="1"/>
          <w:iCs w:val="1"/>
          <w:color w:val="auto"/>
        </w:rPr>
        <w:t xml:space="preserve">Receivables Purchase Agreement </w:t>
      </w:r>
      <w:r>
        <w:rPr>
          <w:rFonts w:ascii="Times New Roman" w:cs="Times New Roman" w:eastAsia="Times New Roman" w:hAnsi="Times New Roman"/>
          <w:sz w:val="18"/>
          <w:szCs w:val="18"/>
          <w:color w:val="auto"/>
        </w:rPr>
        <w:t>below.</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total cash and cash equivalents and restricted cash is as follows: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(Thousands)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b w:val="1"/>
                <w:bCs w:val="1"/>
                <w:color w:val="auto"/>
              </w:rPr>
              <w:t>December 31, 2025</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December 31, 2024</w:t>
            </w:r>
          </w:p>
        </w:tc>
      </w:tr>
      <w:tr>
        <w:trPr>
          <w:trHeight w:val="209"/>
        </w:trPr>
        <w:tc>
          <w:tcPr>
            <w:tcW w:w="5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49,875</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26,151</w:t>
            </w:r>
          </w:p>
        </w:tc>
      </w:tr>
      <w:tr>
        <w:trPr>
          <w:trHeight w:val="216"/>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21,164</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9,413</w:t>
            </w:r>
          </w:p>
        </w:tc>
      </w:tr>
      <w:tr>
        <w:trPr>
          <w:trHeight w:val="210"/>
        </w:trPr>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71,039</w:t>
            </w: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35,564</w:t>
            </w:r>
          </w:p>
        </w:tc>
      </w:tr>
      <w:tr>
        <w:trPr>
          <w:trHeight w:val="20"/>
        </w:trPr>
        <w:tc>
          <w:tcPr>
            <w:tcW w:w="5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Credit Losses</w:t>
      </w:r>
    </w:p>
    <w:p>
      <w:pPr>
        <w:spacing w:after="0" w:line="22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Accounts receivable consist principally of amounts billed and currently due from customers and are generally unsecured and due within 30 to 60 days. A portion of our accounts receivable is not expected to be collected due to non-payment, bankruptcies or deductions. Our accounting policy for the allowance for credit losses requires us to reserve an amount based on the evaluation of the aging of accounts receivable, detailed analysis of high-risk customers’ accounts, and the overall market and economic conditions of our customers. This evaluation considers the customer demographic, such as large commercial customers as compared to small businesses or individual customers. We consider our accounts receivable delinquent or past due based on payment terms established with each customer. Accounts receivable are written off when the account is determined to be uncollectible.</w:t>
      </w:r>
    </w:p>
    <w:p>
      <w:pPr>
        <w:spacing w:after="0" w:line="200" w:lineRule="exact"/>
        <w:rPr>
          <w:sz w:val="20"/>
          <w:szCs w:val="20"/>
          <w:color w:val="auto"/>
        </w:rPr>
      </w:pPr>
    </w:p>
    <w:p>
      <w:pPr>
        <w:spacing w:after="0" w:line="20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Activity in the allowance for credit losses was as follows:</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(Thousands)</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5"/>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10"/>
        </w:trPr>
        <w:tc>
          <w:tcPr>
            <w:tcW w:w="59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gridSpan w:val="3"/>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Charged to selling, general and administrative expense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net</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1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220" w:type="dxa"/>
            <w:vAlign w:val="bottom"/>
            <w:gridSpan w:val="2"/>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Receivables Purchase Agreement</w:t>
      </w:r>
    </w:p>
    <w:p>
      <w:pPr>
        <w:spacing w:after="0" w:line="227" w:lineRule="exact"/>
        <w:rPr>
          <w:sz w:val="20"/>
          <w:szCs w:val="20"/>
          <w:color w:val="auto"/>
        </w:rPr>
      </w:pPr>
    </w:p>
    <w:p>
      <w:pPr>
        <w:ind w:left="60" w:right="299"/>
        <w:spacing w:after="0" w:line="255" w:lineRule="auto"/>
        <w:rPr>
          <w:sz w:val="20"/>
          <w:szCs w:val="20"/>
          <w:color w:val="auto"/>
        </w:rPr>
      </w:pPr>
      <w:r>
        <w:rPr>
          <w:rFonts w:ascii="Times New Roman" w:cs="Times New Roman" w:eastAsia="Times New Roman" w:hAnsi="Times New Roman"/>
          <w:sz w:val="18"/>
          <w:szCs w:val="18"/>
          <w:color w:val="auto"/>
        </w:rPr>
        <w:t xml:space="preserve">On June 27, 2025, the Company entered into a receivable purchase agreement (the “Factoring Agreement”) with a third-party financial institution (the “Factor”) through which the Company may sell up to $35.0 million of certain trade receivables on a nonrecourse basis to the Factor. Transactions under the Factoring Agreement qualify for true-sale treatment in accordance with Accounting Standards Codification (“ASC”)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xml:space="preserve"> (“ASC 860”), whereby receivables sold to the Factor are recorded as a reduction of accounts receivable in the Consolidated Balance Sheets. As a part of the Factoring Agreement, we perform certain collection and administrative functions for the receivables sold.</w:t>
      </w:r>
    </w:p>
    <w:p>
      <w:pPr>
        <w:spacing w:after="0" w:line="18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2025, the Company received cash proceeds of $210.8 million related to the sale of receivables under the Factoring Agreement, remitted approximately $175.8 million of customer payments to the Factor, and incurred approximately $1.6 million of fees associated with these sales, which are recorded within selling, general and administrative expense on the Consolidated Statements of Operations. At December 31, 2025, the Company held $13.8 million of customer payments that have yet to be remitted to the Factor, which is recorded within restricted cash on the Consolidated Balance Sheets. At December 31, 2025 and December 31, 2024, there was $1.2 million and $0, respectively, of deferred purchase price on the sold receivables, as defined in the Factoring Agreement, recorded within prepaid expenses and other current assets on the Consolidated Balance Sheets. Cash received from the initial sale of receivables under the Factoring Agreement is classified within operating activities, and cash received from any deferred purchase price is classified within investing activities in the Consolidated Statements of Cash Flows.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determined on the average cost method, or net realizable value. Finished goods and work-in-process include the inventory costs of raw materials, direct labor and manufacturing overhead costs.</w:t>
      </w:r>
    </w:p>
    <w:p>
      <w:pPr>
        <w:spacing w:after="0" w:line="16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 xml:space="preserve">Within our Sustainable Sourcing &amp; Traceability segment, green coffee associated with our forward contracts is recorded at net realizable value, which approximates market price, consistent with our forward purchase contracts recorded at fair value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Green coffee is a commodity with quoted market prices in active markets, may be sold without significant further processing, has predictable and insignificant disposal costs and is available for immediate delivery. We estimate the fair value of green coffee based on the quoted market price at the end of each reporting period, with changes in fair value being reported as a component of costs of sales in our Consolidated Statements of Operations. For the years ended December 31, 2025, 2024 and 2023, we recognized $8.7 million of net unrealized losses, $6.8 million of net unrealized gains and $4.2 million of net unrealized gains, respectively, on green coffee inventory associated with our forward sales and purchase contracts.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227" w:lineRule="exact"/>
        <w:rPr>
          <w:sz w:val="20"/>
          <w:szCs w:val="20"/>
          <w:color w:val="auto"/>
        </w:rPr>
      </w:pPr>
    </w:p>
    <w:p>
      <w:pPr>
        <w:jc w:val="both"/>
        <w:ind w:left="60" w:right="279"/>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Depreciation is allocated between cost of sales and selling, general and administrative expense and is determined using the straight-line method over the estimated useful life of the assets. Leasehold improvements are amortized using the straight-line method over the remaining life of the lease or useful life of the asset, whichever is shorter. Maintenance and repairs are charged to operating expense when incurred.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59"/>
        <w:spacing w:after="0" w:line="266" w:lineRule="auto"/>
        <w:rPr>
          <w:sz w:val="20"/>
          <w:szCs w:val="20"/>
          <w:color w:val="auto"/>
        </w:rPr>
      </w:pPr>
      <w:r>
        <w:rPr>
          <w:rFonts w:ascii="Times New Roman" w:cs="Times New Roman" w:eastAsia="Times New Roman" w:hAnsi="Times New Roman"/>
          <w:sz w:val="18"/>
          <w:szCs w:val="18"/>
          <w:color w:val="auto"/>
        </w:rPr>
        <w:t>As part of normal business operations, we identify long-lived assets that are no longer productive and dispose of them. Gains and losses on disposals of assets are presented separately in our Consolidated Statements of Operations as part of operating expenses.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Capitalized Interest</w:t>
      </w:r>
    </w:p>
    <w:p>
      <w:pPr>
        <w:spacing w:after="0" w:line="227"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We capitalize a portion of interest costs incurred related to assets that require a period of time to get them ready for their intended use. The amount of interest capitalized is based on eligible expenditures incurred during the period involved in bringing the assets to their intended use and the Company’s weighted-average interest rate during the period. For the years ended December 31, 2025, 2024 and 2023, we capitalized approximately $1.0 million, $11.7 million and $3.2 million of interest costs, respectively.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Supply Chain Finance Program</w:t>
      </w:r>
    </w:p>
    <w:p>
      <w:pPr>
        <w:spacing w:after="0" w:line="227"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is party to a supply chain finance program (the “Program”) with a third-party financing provider to provide better working capital usage by deferring payments for certain raw materials of up to $100.0 million. Under the Program, the financing provider remits payment to the Company’s suppliers for approved invoices, and the Company repays the financing provider the amount of the approved invoices, plus a financing charge, on 180-day terms. The Program is uncommitted and the financing provider may, at its sole discretion, cancel the Program at any time. The Company may request cancellation of the Program in whole or in respect of one or more approved suppliers. Due to the extension of payment terms beyond the original due date of approved invoices, obligations under the Program are recorded outside of accounts payable, within our supply chain finance program, on our Consolidated Balance Sheets. Amounts paid by the financing provider to suppliers are reported as cash inflows from financing activities and a corresponding cash outflow from operating activities in our Consolidated Statements of Cash Flows. Amounts paid to the financing provider are reflected as cash outflows from financing activities in our Consolidated Statements of Cash Flows. Activity in the Program was as follows:</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420" w:type="dxa"/>
            <w:vAlign w:val="bottom"/>
            <w:gridSpan w:val="4"/>
          </w:tcPr>
          <w:p>
            <w:pPr>
              <w:jc w:val="right"/>
              <w:ind w:right="6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6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Confirmed obligations outstanding at the beginning of the year</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78,838</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78,076</w:t>
            </w:r>
          </w:p>
        </w:tc>
      </w:tr>
      <w:tr>
        <w:trPr>
          <w:trHeight w:val="21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Invoices confirmed during the period</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199,269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164,631</w:t>
            </w:r>
          </w:p>
        </w:tc>
      </w:tr>
      <w:tr>
        <w:trPr>
          <w:trHeight w:val="21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Confirmed invoices paid during the period</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(181,513)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(163,869)</w:t>
            </w:r>
          </w:p>
        </w:tc>
      </w:tr>
      <w:tr>
        <w:trPr>
          <w:trHeight w:val="21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Confirmed obligations outstanding at the end of the quarter</w:t>
            </w:r>
          </w:p>
        </w:tc>
        <w:tc>
          <w:tcPr>
            <w:tcW w:w="1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96,594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78,838</w:t>
            </w:r>
          </w:p>
        </w:tc>
      </w:tr>
      <w:tr>
        <w:trPr>
          <w:trHeight w:val="20"/>
        </w:trPr>
        <w:tc>
          <w:tcPr>
            <w:tcW w:w="6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Green Coffee Repurchase Program</w:t>
      </w:r>
    </w:p>
    <w:p>
      <w:pPr>
        <w:spacing w:after="0" w:line="227"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On March 28, 2025, the Company entered into a master commodity purchase and sale agreement (the “Commodity Program”) with a third-party financing provider whereby the Company may enter into commodities purchase and sales, including transactions in which the Company sells green coffee to the financing provider, but retains a right, or obligation, to re-purchase the green coffee at the original sales price, plus a finance charge (“Repo Transactions”). The Commodity Program is uncommitted and may be canceled by the financing provider at any time. At December 31, 2025 and December 31, 2024, the Company had a right, or obligation, to repurchase $11.8 million and $0, respectively, of green coffee from the financing provider. The liability for Repo Transactions is recorded within accrued expenses and other current liabilities on the Company’s Consolidated Balance Sheets. Cash flows related to Repo Transactions are reported as financing activities in our Consolidated Statements of Cash Flows.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Restructuring Activities</w:t>
      </w:r>
    </w:p>
    <w:p>
      <w:pPr>
        <w:spacing w:after="0" w:line="227" w:lineRule="exact"/>
        <w:rPr>
          <w:sz w:val="20"/>
          <w:szCs w:val="20"/>
          <w:color w:val="auto"/>
        </w:rPr>
      </w:pPr>
    </w:p>
    <w:p>
      <w:pPr>
        <w:ind w:left="60" w:right="279"/>
        <w:spacing w:after="0" w:line="289" w:lineRule="auto"/>
        <w:rPr>
          <w:sz w:val="20"/>
          <w:szCs w:val="20"/>
          <w:color w:val="auto"/>
        </w:rPr>
      </w:pPr>
      <w:r>
        <w:rPr>
          <w:rFonts w:ascii="Times New Roman" w:cs="Times New Roman" w:eastAsia="Times New Roman" w:hAnsi="Times New Roman"/>
          <w:sz w:val="17"/>
          <w:szCs w:val="17"/>
          <w:color w:val="auto"/>
        </w:rPr>
        <w:t>The Company accounts for exit or disposal activities in accordance with ASC 420, Exit or Disposal Cost Obligations (“ASC 420”). Restructuring charges may include one-time termination benefits related to employee separations, contract termination costs, long-lived asset impairments, and other related costs associated with exit or disposal activities.</w:t>
      </w:r>
    </w:p>
    <w:p>
      <w:pPr>
        <w:spacing w:after="0" w:line="158"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The recognition of restructuring charges requires the Company to make certain judgments and estimates regarding the nature, timing and amount of costs associated with the planned exit activity. To the extent the Company’s actual results differ from its estimates and assumptions, the Company may be required to revise the estimates of future liabilities,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require the recognition of additional restructuring charges or the reduction of liabilities already recognized. Such changes to previously estimated amounts may be material to the Consolidated Financial Statements. Restructuring charges are not included in the Company’s measurement of segment profitability as discussed in Note 20.</w:t>
      </w:r>
    </w:p>
    <w:p>
      <w:pPr>
        <w:spacing w:after="0" w:line="176"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During the second quarter of 2024, the Company committed to a plan to consolidate its manufacturing operations in its Beverage Solutions segment, which resulted in the closure and sale of its West Winds manufacturing facility in Concord, North Carolina, and the closure of its manufacturing facility in Richmond, California. All production from the impacted facilities was consolidated into other facilities operated by the Company in Concord, North Carolina and Conway, Arkansas.</w:t>
      </w:r>
    </w:p>
    <w:p>
      <w:pPr>
        <w:spacing w:after="0" w:line="183"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closure of the West Winds facility was completed as of June 30, 2024, and the Company completed the sale of the associated land and buildings during the fourth quarter of 2024, recognizing a $3.4 million gain, which is recorded in loss (gain) on disposal of property, plant and equipment in the Consolidated Statements of Operations. Production in our Richmond, California facility ceased during the third quarter of 2024. During the year ended December 31, 2024, the Company recognized $5.6 million and $0.1 million of impairment charges on property, plant and equipment and intangible assets, respectively, as a result of the consolidation of manufacturing facilities, which are recorded in impairment charges in the Consolidated Statements of Operations. The Company incurred total costs related to the plant consolidations of $4.0 million, of which $3.2 million was incurred during the year ended December 31, 2024 and approximately $0.8 million was incurred during the year ended December 31, 2025. These charges primarily relate to costs to remove and re-install production equipment into other manufacturing facilities.</w:t>
      </w:r>
    </w:p>
    <w:p>
      <w:pPr>
        <w:spacing w:after="0" w:line="194" w:lineRule="exact"/>
        <w:rPr>
          <w:sz w:val="20"/>
          <w:szCs w:val="20"/>
          <w:color w:val="auto"/>
        </w:rPr>
      </w:pPr>
    </w:p>
    <w:p>
      <w:pPr>
        <w:ind w:left="60" w:right="359"/>
        <w:spacing w:after="0" w:line="258" w:lineRule="auto"/>
        <w:rPr>
          <w:sz w:val="20"/>
          <w:szCs w:val="20"/>
          <w:color w:val="auto"/>
        </w:rPr>
      </w:pPr>
      <w:r>
        <w:rPr>
          <w:rFonts w:ascii="Times New Roman" w:cs="Times New Roman" w:eastAsia="Times New Roman" w:hAnsi="Times New Roman"/>
          <w:sz w:val="18"/>
          <w:szCs w:val="18"/>
          <w:color w:val="auto"/>
        </w:rPr>
        <w:t>In addition, during the second quarter of 2024, the Company committed to targeted restructuring activities to improve operational efficiency by reducing excess workforce capacity. As a result of this reduction, and the impacts of the consolidation of manufacturing facilities noted above, the Company recognized approximately $4.7 million of one-time employee severance costs during the year ended December 31, 2024. At December 31, 2025, there were no amounts accrued for related to such termination benefits.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changes in the Company’s accrual for employee termination benefits: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9"/>
        </w:trPr>
        <w:tc>
          <w:tcPr>
            <w:tcW w:w="7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1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16"/>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10"/>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 xml:space="preserve">On February 12, 2024, following the completion of the Conway Facility, the Company entered into a lease termination agreement for its distribution center located in North Little Rock, AR (the “Gregory Distribution Center”). The Gregory Distribution Center lease terminated, by mutual agreement, on June 30, 2024. No costs were incurred as a result of the lease termination. During the first quarter of 2024, the Company remeasured the Gregory Distribution Center lease liability, and related right-of-use asset,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resulting in a reduction of the lease liability and right-of-use asset of approximately $3.0 million. As of June 30, 2024, there was no remaining lease liability or right-of-use assets related to the Gregory Distribution Center recorded in the Condensed Consolidated Balance Sheets.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Goodwill and Indefinite Lived Intangible Assets</w:t>
      </w:r>
    </w:p>
    <w:p>
      <w:pPr>
        <w:spacing w:after="0" w:line="227"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 xml:space="preserve">Goodwill represents the excess purchase price of acquired businesses over the fair value of the net assets acquired. Goodwill is reviewed for impairment at least annually. In accordance with ASC 350 </w:t>
      </w:r>
      <w:r>
        <w:rPr>
          <w:rFonts w:ascii="Times New Roman" w:cs="Times New Roman" w:eastAsia="Times New Roman" w:hAnsi="Times New Roman"/>
          <w:sz w:val="18"/>
          <w:szCs w:val="18"/>
          <w:i w:val="1"/>
          <w:iCs w:val="1"/>
          <w:color w:val="auto"/>
        </w:rPr>
        <w:t>Goodwill – Intangible and Other</w:t>
      </w:r>
      <w:r>
        <w:rPr>
          <w:rFonts w:ascii="Times New Roman" w:cs="Times New Roman" w:eastAsia="Times New Roman" w:hAnsi="Times New Roman"/>
          <w:sz w:val="18"/>
          <w:szCs w:val="18"/>
          <w:color w:val="auto"/>
        </w:rPr>
        <w:t>, we evaluate goodwill for impairment between annual impairment tests if an event occurs or circumstances change that would more likely than not reduce the fair value of a reporting unit below its carrying amount. Application of the goodwill impairment test requires significant judgment, including the identification of reporting units; assignment of assets and liabilities to reporting units; and assignment of goodwill to reporting units. As of December 31, 2025, all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our goodwill is assigned to our Beverage Solutions reporting unit. Unless circumstances otherwise dictate, the annual impairment test is performed as of October 1.</w:t>
      </w:r>
    </w:p>
    <w:p>
      <w:pPr>
        <w:spacing w:after="0" w:line="162"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While ASC 350 permits the use of a qualitative assessment to determine whether it is more likely than not that the fair value of our reporting unit is less than its carrying amount (the “Step Zero” analysis), we voluntarily elected to bypass the Step Zero analysis for our most recent annual impairment test, and proceeded directly to a quantitative assessment.</w:t>
      </w:r>
    </w:p>
    <w:p>
      <w:pPr>
        <w:spacing w:after="0" w:line="1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When performing a quantitative assessment, we estimate the fair value of our reporting unit using a combination of an income approach based on the present value of estimated future cash flows, and a market approach based on market data of comparable businesses and acquisition multiples paid in recent transactions. We evaluate the appropriateness of each valuation methodology in determining the weighting applied to each in the determination of the concluded fair value. For the annual impairment test performed as of October 1, 2025, equal weighting was applied to the income and market approaches.</w:t>
      </w:r>
    </w:p>
    <w:p>
      <w:pPr>
        <w:spacing w:after="0" w:line="187"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If the carrying value of a reporting unit’s net assets is less than its fair value, no indication of impairment exists. If the carrying amount of the reporting unit is greater than the fair value of the reporting unit, an impairment loss must be recognized for the excess and recorded in the Consolidated Statements of Operations not to exceed the carrying value of goodwill.</w:t>
      </w:r>
    </w:p>
    <w:p>
      <w:pPr>
        <w:spacing w:after="0" w:line="180"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For the annual impairment test performed as of October 1, 2025, the estimated fair value of our Beverage Solutions reporting unit exceeded its carrying value by 55%, as such, no goodwill impairment was recognized. A 100-basis point increase in our weighted average cost of capital and a 100-basis point decrease in our terminal revenue growth rate, holding all other assumptions constant, would result in the estimated fair value of our Beverage Solutions reporting unit exceeded its carrying value by 40%,</w:t>
      </w:r>
    </w:p>
    <w:p>
      <w:pPr>
        <w:spacing w:after="0" w:line="183"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Fair value determinations of the business require considerable judgment and are sensitive to changes in underlying assumptions and factors. As a result, there can be no assurance that the estimates and assumptions made for the purposes of a quantitative goodwill impairment test proves to be an accurate prediction of future results. Key assumptions include our expected revenue growth rates, operating profits, levels of capital expenditures, and cost of capital. In determining these assumptions, we considered our ability to execute on our plans, future economic conditions, interest rates, and other market data. Many factors are outside the control of management, and these assumptions and estimates may change in future periods. Small changes in these assumptions or estimates could materially affect our cash flow projections; and therefore, could affect the likelihood and amount of potential impairment in future periods. Accordingly, if our current cash flow assumptions are not realized, it is possible that an impairment charge may be recorded in the future.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Impairment of Property, Plant and Equipment</w:t>
      </w:r>
    </w:p>
    <w:p>
      <w:pPr>
        <w:spacing w:after="0" w:line="22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 xml:space="preserve">We review our property, plant and equipment for impairment whenever events or changes in circumstances indicate that the carrying amount of the asset group may not be recoverable from future, undiscounted net cash flows expected to be generated by the asset group. If the asset group is not fully recoverable, an impairment loss would be recognized for the difference between the carrying value of the asset group and its estimated fair value. As discussed in the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Activities </w:t>
      </w:r>
      <w:r>
        <w:rPr>
          <w:rFonts w:ascii="Times New Roman" w:cs="Times New Roman" w:eastAsia="Times New Roman" w:hAnsi="Times New Roman"/>
          <w:sz w:val="18"/>
          <w:szCs w:val="18"/>
          <w:color w:val="auto"/>
        </w:rPr>
        <w:t>section of this Note 3, for the year ended December 31, 2024, the Company recognized impairment losses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$5.6 million. For the years ended December 31, 2025 and 2023, there were no events or changes in circumstances indicating that the carrying amount of any of our asset groups were not recoverable from future undiscounted cash flows we expect the asset groups to generate, and no impairment losses were recognized.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As of December 31, 2025, our intangible assets subject to amortization, net of accumulated amortization were $107.1 million. Intangible assets, including acquired finite-lived intangible assets, are amortized on a straight-line basis over their remaining useful lives. The useful life for the customer relationship intangible assets acquired in our acquisitions was determined to be the expected remaining life of those relationships on a basis that reflects the pattern of realization. Other intangible assets are amortized over their expected recovery periods.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1" w:lineRule="auto"/>
        <w:rPr>
          <w:sz w:val="20"/>
          <w:szCs w:val="20"/>
          <w:color w:val="auto"/>
        </w:rPr>
      </w:pPr>
      <w:r>
        <w:rPr>
          <w:rFonts w:ascii="Times New Roman" w:cs="Times New Roman" w:eastAsia="Times New Roman" w:hAnsi="Times New Roman"/>
          <w:sz w:val="17"/>
          <w:szCs w:val="17"/>
          <w:color w:val="auto"/>
        </w:rPr>
        <w:t xml:space="preserve">Finite-lived intangible assets are tested for impairment with the applicable asset group and evaluated for impairment along with property, plant and equipment. As discussed in the </w:t>
      </w:r>
      <w:r>
        <w:rPr>
          <w:rFonts w:ascii="Times New Roman" w:cs="Times New Roman" w:eastAsia="Times New Roman" w:hAnsi="Times New Roman"/>
          <w:sz w:val="17"/>
          <w:szCs w:val="17"/>
          <w:i w:val="1"/>
          <w:iCs w:val="1"/>
          <w:color w:val="auto"/>
        </w:rPr>
        <w:t>Restructuring Activities</w:t>
      </w:r>
      <w:r>
        <w:rPr>
          <w:rFonts w:ascii="Times New Roman" w:cs="Times New Roman" w:eastAsia="Times New Roman" w:hAnsi="Times New Roman"/>
          <w:sz w:val="17"/>
          <w:szCs w:val="17"/>
          <w:color w:val="auto"/>
        </w:rPr>
        <w:t xml:space="preserve"> section of this Note 3, for the year ended December 31, 2024, the Company recognized impairment losses of approximately $0.1 million. For the years ended December 31, 2025 and 2023, no impairment losses were recognized related to intangible assets subject to amortization.</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27"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Prior to October 2024, the Company had outstanding public and private warrants to purchase Common Shares (the “Warrants”), which were accounted for in accordance with the guidance contained in ASC 815, under which the Warrants did not meet the criteria for equity treatment and must be recorded as liabilities. Accordingly, we classified the Warrants as liabilities at their fair value and adjusted the Warrants to fair value at each reporting period, with changes in fair value being recognized in our Consolidated Statements of Operations.</w:t>
      </w:r>
    </w:p>
    <w:p>
      <w:pPr>
        <w:spacing w:after="0" w:line="156"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The Company re-measured the fair value of the public Warrants based on the quoted market price of the public Warrants. The private Warrants were valued using a binomial lattice valuation model. The primary unobservable input utilized in determining the fair value of the private Warrants was the expected volatility of the stock price, which is determined by use of an option pricing model. For the years ended December 31, 2024 and 2023, the Company recognized $7.0 million and $10.2 million of gains, respectively, related to the change in fair value of warrant liabilities. No such gains or losses were recognized during the year ended December 31, 2025. At December 31, 2024 and December 31, 2025, there were no outstanding Warrants.</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22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equity method of accounting is used for investments in entities, partnerships and similar interests in which we have significant influence but do not control. Under the equity method, we adjust our investment in unconsolidated entities for additional contributions made, distributions received and income or losses from our pro-rata share of these unconsolidated entities’ net income or loss. As discussed in Note 2, on April 1, 2025, the Company entered into an agreement with ECOM that combines Westrock’s and ECOM’s Rwandan export operations. As of December 31, 2025, Westrock holds a 49.9% equity method investment in the joint venture with a balance of $6.5 million, which is reported in other long-term assets on the Consolidated Balance Sheets. Our proportionate share of the income or loss of the joint venture is reported in equity in (earnings) loss from unconsolidated entities on the Consolidated Statements of Operations and is reported in the results of our SS&amp;T segment.</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Investments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The Company holds strategic investments in other companies. These investments are accounted for under the measurement alternative described in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(“ASC 321”) for equity investments that do not have readily determinable fair values. These investments are measured at cost, less impairment, if any. The Company does not exercise significant influence over these companies. These investments are recorded in other long-term assets on the Consolidated Balance Sheets. At December 31, 2025, the Company had equity investments with a carrying value of approximately $1.0 million, for which there is no readily determinable fair value.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22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Debt issuance costs consist primarily of loan origination fees, underwriting, legal and other direct costs related to the issuance of debt. Fees related to the issuance of our Term Loan Facility are capitalized and amortized to interest expense over the term of the debt using the frozen effective yield method. The unamortized amount is presented as a reduction of long-term debt on the Consolidated Balance Sheets. Fees related to our Revolving Credit Facility are amortized ratably over the term of the Revolving Credit Facility and are included in other long-term assets in the accompanying Consolidated Balance Sheets. Amortization of deferred debt issuance costs are included in interest expense in the Consolidated Statements of Operations.</w:t>
      </w:r>
    </w:p>
    <w:p>
      <w:pPr>
        <w:spacing w:after="0" w:line="200" w:lineRule="exact"/>
        <w:rPr>
          <w:sz w:val="20"/>
          <w:szCs w:val="20"/>
          <w:color w:val="auto"/>
        </w:rPr>
      </w:pPr>
    </w:p>
    <w:p>
      <w:pPr>
        <w:spacing w:after="0" w:line="205"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227" w:lineRule="exact"/>
        <w:rPr>
          <w:sz w:val="20"/>
          <w:szCs w:val="20"/>
          <w:color w:val="auto"/>
        </w:rPr>
      </w:pPr>
    </w:p>
    <w:p>
      <w:pPr>
        <w:ind w:left="60" w:right="479"/>
        <w:spacing w:after="0" w:line="266" w:lineRule="auto"/>
        <w:rPr>
          <w:sz w:val="20"/>
          <w:szCs w:val="20"/>
          <w:color w:val="auto"/>
        </w:rPr>
      </w:pPr>
      <w:r>
        <w:rPr>
          <w:rFonts w:ascii="Times New Roman" w:cs="Times New Roman" w:eastAsia="Times New Roman" w:hAnsi="Times New Roman"/>
          <w:sz w:val="18"/>
          <w:szCs w:val="18"/>
          <w:color w:val="auto"/>
        </w:rPr>
        <w:t>We use derivative financial instruments to manage our exposure to movements in certain commodity prices, primarily green coffee. All derivative instruments are valued at fair value in the Consolidated Balance Sheets. We do not use derivative instruments for speculative purposes.</w:t>
      </w:r>
    </w:p>
    <w:p>
      <w:pPr>
        <w:spacing w:after="0" w:line="176"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For coffee-related derivative instruments designated as cash flow hedges, the change in fair value of the derivative is reported as accumulated other comprehensive income (loss) (“AOCI”) and subsequently reclassified into product costs of sales in the period, or periods, when the hedged transaction affects earnings. Due to the high degree of effectiveness between the hedging instruments and the underlying exposures being hedged, fluctuations in the value of the derivative instruments are generally offset by changes in the fair values of the cash flows of the underlying exposures being hedged. The change in fair value of derivatives that were not designated and/or did not qualify as hedging instruments are immediately recognized in earnings.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5"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 xml:space="preserve">The Company’s revenue consists of products and services which are accounted for under ASC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(“ASC 606”) and from commodity contracts that are accounted for under ASC 815.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revenue, net of sales returns, when ownership passes to customers for products manufactured in our own plants and/or by third parties on our behalf, and when prices to our customers are fixed or determinable and collection is reasonably assured. This may be upon completion of production, shipment of goods or upon delivery to the customer, depending on the contractual terms. Shipping and handling costs paid by the customer to us are included in revenue. Although we occasionally accept returns of products from our customers, historically returns have not been material.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Sales Incentives</w:t>
      </w:r>
    </w:p>
    <w:p>
      <w:pPr>
        <w:spacing w:after="0" w:line="22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participate in various incentive programs with our customers, including volume-based incentives, contractual rebates and promotional allowances. Volume incentives are based on our customers achieving volume targets for a period of time. Volume incentives and contractual rebates are deducted from revenue and accrued as the incentives are earned and are based on management’s estimate of the total the customer is expected to earn and claim. Promotional allowances are accrued at the time of revenue recognition and are deducted from revenue based on either the volume shipped, or the volume sold at the retailer location, depending on the terms of the allowance. We regularly review customer sales forecasts to ensure volume targets will be met and adjust incentive accruals and revenues accordingly.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i w:val="1"/>
          <w:iCs w:val="1"/>
          <w:color w:val="auto"/>
        </w:rPr>
        <w:t>osts of Sales</w:t>
      </w:r>
    </w:p>
    <w:p>
      <w:pPr>
        <w:spacing w:after="0" w:line="227"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We record costs associated with the manufacturing of our products in costs of sales. Finished goods inventory costs include the costs of direct labor and materials and the applicable share of overhead expense chargeable to production.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27" w:lineRule="exact"/>
        <w:rPr>
          <w:sz w:val="20"/>
          <w:szCs w:val="20"/>
          <w:color w:val="auto"/>
        </w:rPr>
      </w:pPr>
    </w:p>
    <w:p>
      <w:pPr>
        <w:ind w:left="60" w:right="339"/>
        <w:spacing w:after="0" w:line="281" w:lineRule="auto"/>
        <w:rPr>
          <w:sz w:val="20"/>
          <w:szCs w:val="20"/>
          <w:color w:val="auto"/>
        </w:rPr>
      </w:pPr>
      <w:r>
        <w:rPr>
          <w:rFonts w:ascii="Times New Roman" w:cs="Times New Roman" w:eastAsia="Times New Roman" w:hAnsi="Times New Roman"/>
          <w:sz w:val="17"/>
          <w:szCs w:val="17"/>
          <w:color w:val="auto"/>
        </w:rPr>
        <w:t>We record all other operating expenses not charged to production as selling, general and administrative expense, except those meeting the definition of transaction, restructuring and integration expenses. Advertising costs are expensed at the commencement of an advertising campaign and are recognized as a component of selling, general and administrative expense. For the years ended December 31, 2025, 2024 and 2023, advertising expenses were not material.</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227"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Shipping and handling costs incurred to deliver products from our locations to the end-user customer or distributor of those products are recorded in selling, general and administrative expense in our Consolidated Statements of Operations. Shipping and handling costs included in selling, general and administrative expense were $11.8 million, $14.7 million and $17.8 million, for the years ended December 31, 2025, 2024 and 2023, respectively.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Shipping and handling costs incurred to store, prepare, and move products between production facilities or from production facilities to branch locations or storage facilities are recorded in costs of sales.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Equity-Based Compensation</w:t>
      </w:r>
    </w:p>
    <w:p>
      <w:pPr>
        <w:spacing w:after="0" w:line="227"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We have determined that our equity-based awards qualify as equity classified awards, and are measured based on the fair value of the award on the date of the grant. See Note 16.</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22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 accrues for employee bonuses as they are earned over the service period. As of December 31, 2025, accrued expenses and other current liabilities in our Consolidated Balance Sheets include approximately $19.1 million in employee bonuses and sales commissions. These bonuses relate to performance during the 2025 fiscal year and are expected to be paid in full in the first quarter of 2026. As of December 31, 2024, approximately $1.0 million of employee bonuses and sales commissions were recorded in accrued expenses and other current liabilities in our Consolidated Balance Sheets.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22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Prior to the de-consolidation of RTC, the functional currency of our Rwandan subsidiary was the Rwandan Franc. All other international subsidiaries of the Company use the U.S. Dollar as their functional currency. The assets and liabilities of non-U.S. active operations are translated to U.S. dollars at the exchange rates in effect at the balance sheet dates. Revenues and expenses are translated using average monthly exchange rates prevailing during the period. The resulting gains or losses are recorded in AOCI.</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Deferred tax assets and liabilities are recognized based on the differences between the financial statement carrying amount of assets and liabilities and their respective tax bases, using enacted income tax rates expected to apply when the deferred tax assets and liabilities are expected to be realized or settled. The Company’s foreign subsidiaries file income tax returns and are subject to tax provisions in their respective foreign tax jurisdictions.</w:t>
      </w:r>
    </w:p>
    <w:p>
      <w:pPr>
        <w:spacing w:after="0" w:line="18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 valuation allowance is established to reduce deferred income tax assets if, on the basis of available evidence, it is more likely than not that all or a portion of any deferred tax assets will not be realized. The consideration of available evidence requires significant management judgment including an assessment of the future periods in which the deferred tax assets and liabilities are expected to be realized and projections of future taxable income. Specifically, in assessing the need for a valuation allowance, we consider the reversal of taxable temporary differences, future taxable income, the ability to carryback certain attributes and tax-planning strategies. The ultimate realization of the deferred tax assets, including net operating losses, is dependent upon the generation of future taxable income during the periods prior to their expiration. If our estimates and assumptions about future taxable income are not appropriate, the value of our deferred tax assets may not be recoverable, which may result in an increase to our valuation allowance that will impact current earnings. We re-evaluate our need for a valuation allowance on a quarterly basis.</w:t>
      </w:r>
    </w:p>
    <w:p>
      <w:pPr>
        <w:spacing w:after="0" w:line="194"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account for uncertain tax positions using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based on the technical merits. The second step requires management to estimate and measure the tax benefit as the largest amount that is more than 50% likely to be realized upon ultimate settlement. It is inherently difficult and subjective to estimate such amounts, as we have to determine the probability of various possible outcomes. We re-evaluate these uncertain tax positions on a quarterly basis. This evaluation is based on factors including, but not limited to, changes in facts or circumstances, changes in tax law, effectively settled issues under audit, and new audit activity. Such a change in recognition or measurement would result in the recognition of a tax benefit or an additional charge to the tax provision.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We recognize interest and penalties related to unrecognized tax benefits within the income tax expense (benefit) line in the accompanying Consolidated Statements of Operations, and we include accrued interest and penalties within other long-term liabilities in the accompanying Consolidated Balance Sheets.</w:t>
      </w:r>
    </w:p>
    <w:p>
      <w:pPr>
        <w:spacing w:after="0" w:line="1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On July 4, 2025, the One Big Beautiful Bill Act (the “Act”) was signed into law in the United States. The Act contains several provisions related to income taxes, including the extension of many expiring provisions from the Tax Cuts and Jobs Act of 2017, modifications to the international tax framework, and restoration of the favorable tax treatment for certain business provisions, including the interest limitation under Section 163(j). The legislation has multiple effective dates, with certain provisions effective in 2025 and others implemented through 2026. The effects of the Act were incorporated into our income tax provision for the year ended December 31, 2025 and there was no material impact to our income tax expense for year ended December 31, 2025. We will continue to evaluate the impacts of the Act and do not expect the Act to have a material impact to our total tax provision.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The Company accounts for business combinations under the acquisition method of accounting. The purchase price of each business acquired is allocated to the tangible and intangible assets acquired and the liabilities assumed based on information regarding their respective fair values on the date of acquisition. Any excess of the purchase price over the fair value of the separately identifiable assets acquired and the liabilities assumed is allocated to goodwill. The fair value of the acquired assets and liabilities assumed are estimated using the income, market and/or cost approach. The income approach utilizes the present value of estimated future cash flows that a business or asset can be expected to generate, while under the market approach, the fair value of an asset or business reflects the price at which comparable assets are purchased under similar circumstances. Inherent in our preparation of cash flow projections are significant assumptions and estimates derived from a review of operating results, business plans, expected growth rates, capital expenditure plans, costs of capital and tax rates. We also make certain forecasts about future economic conditions, interest rates and other market data. Many of the factors used in assessing fair value are outside the control of management. Small changes in these assumptions or estimates could materially affect the estimated fair value. Additional information, which existed as of the acquisition date but unknown to the Company at that time, may become known during the remainder of the measurement period, a period not to exceed twelve months from the acquisition date. Adjustments in the purchase price allocation may require a recasting of the amounts allocated to goodwill and intangible assets. If such an adjustment is required, the Company will recognize a measurement-period adjustment during the period in which it determines the amount of the adjustment, including the effect on earnings of any amounts it would have recorded in previous periods if the accounting had been completed at the acquisition date. The results of operations of businesses acquired are included in the Company’s Consolidated Financial Statements from their dates of acquisition.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Transaction, Restructuring and Integration Expense</w:t>
      </w:r>
    </w:p>
    <w:p>
      <w:pPr>
        <w:spacing w:after="0" w:line="227"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Company expenses non-capitalizable transaction, restructuring and integration expenses in the period in which they are incurred and services are received. Transaction costs represent incremental transaction pursuit and unsuccessful pursuit costs, including professional services (legal, accounting, advisory, etc.), finder’s fees and other direct expenses associated with an acquisition or other capital markets transactions. Restructuring and integration costs include direct costs related to restructuring activities, and costs necessary to integrate our systems and business processes, including professional services, systems and data conversions costs, severance and retention bonuses.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ind w:left="60" w:right="999"/>
        <w:spacing w:after="0" w:line="284" w:lineRule="auto"/>
        <w:rPr>
          <w:sz w:val="20"/>
          <w:szCs w:val="20"/>
          <w:color w:val="auto"/>
        </w:rPr>
      </w:pPr>
      <w:r>
        <w:rPr>
          <w:rFonts w:ascii="Times New Roman" w:cs="Times New Roman" w:eastAsia="Times New Roman" w:hAnsi="Times New Roman"/>
          <w:sz w:val="18"/>
          <w:szCs w:val="18"/>
          <w:i w:val="1"/>
          <w:iCs w:val="1"/>
          <w:color w:val="auto"/>
        </w:rPr>
        <w:t>ASU 2023-05 – Business Combinations – Joint Venture Formations (Subtopic 805-60): Recognition and Initial Measurement</w:t>
      </w:r>
    </w:p>
    <w:p>
      <w:pPr>
        <w:spacing w:after="0" w:line="160"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In August 2023, the Financial Accounting Standards Board (“FASB”) issued ASU 2023-05, “Business Combinations – Joint Venture Formations (Subtopic 805-60): Recognition and Initial Measurement”. The amendments in this update require that a joint venture recognize and initially measure assets contributed and liabilities assumed at fair value upon its formation in the joint venture’s separate financial statements. The amendments in this update are effective prospectively for all joint venture formations with a formation date on or after January 1, 2025, with early adoption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permitted. The Company adopted the amendments within ASU 2023-05 effective January 1, 2025. The adoption of this guidance did not have a material impact on our financial position, results of operations or cash flows.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ASU 2023-09 – Income Taxes (Topic 740): Improvements to Income Tax Disclosures</w:t>
      </w:r>
    </w:p>
    <w:p>
      <w:pPr>
        <w:spacing w:after="0" w:line="22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amendments in the update relate to the rate reconciliation and income taxes paid disclosure and are intended to improve transparency of income tax disclosures by requiring (1) consistent categories and greater disaggregation of information in the tax reconciliation and (2) income taxes paid disaggregated by jurisdiction. The other amendments in the update are intended to improve comparability of disclosures by (1) adding disclosures of pretax income (or loss) and income tax expense (or benefit) and (2) removing disclosures that no longer are considered cost beneficial or relevant. ASU 2023-09 is effective for annual periods beginning after December 15, 2024, with early adoption permitted for annual financial statements that have not yet been issued or made available for issuance. The amendments in the update should be applied on a prospective basis, with retrospective application permitted. The Company adopted the amendments within ASU 2023-09 when it became effective, in our 2025 annual reporting, on a retrospective basis. The adoption of this guidance resulted in additional annual tax disclosures but does not otherwise have a material impact on our financial position, results of operations or cash flows.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ASU 2024-03 – Income Statement – Reporting Comprehensive Income (Topic 220): Expense Disaggregation Disclosures</w:t>
      </w:r>
    </w:p>
    <w:p>
      <w:pPr>
        <w:spacing w:after="0" w:line="227"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(Topic 220): Expense Disaggregation Disclosures”. The amendments in this update include requirements for public business entities to provide disclosure, in the notes to the financial statements, of specified information about certain costs and expenses. The amendments in this update are effective for annual reporting periods beginning after December 15, 2026, and interim periods within annual reporting periods beginning after December 15, 2027, with early adoption permitted. The amendments in this update may be applied either prospectively or retrospectively. The Company is currently evaluating the impact that ASU 2024-03 will have on our consolidated financial statements.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ASU 2025-06 – Targeted Improvements to the Accounting for Internal-Use Software (Subtopic 350-40)</w:t>
      </w:r>
    </w:p>
    <w:p>
      <w:pPr>
        <w:spacing w:after="0" w:line="227"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On September 18, 2025, the FASB issued ASU No. 2025-06 “Targeted Improvements to the Accounting for Internal-Use Software (Subtopic 350-40)”. ASU 2025-06 removes references to prescriptive and sequential development stages, requiring companies to capitalize internal-use software costs when management commits to funding the software project and it is probable the project will be completed. ASU 2025-06 will be effective for annual and interim periods beginning after December 15, 2027, and can be applied on a prospective, modified prospective, or retrospective basis. The Company is currently evaluating the impact that ASU 2025-06 will have on our consolidated financial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Common Stock Warrants</w:t>
      </w:r>
    </w:p>
    <w:p>
      <w:pPr>
        <w:spacing w:after="0" w:line="229" w:lineRule="exact"/>
        <w:rPr>
          <w:sz w:val="20"/>
          <w:szCs w:val="20"/>
          <w:color w:val="auto"/>
        </w:rPr>
      </w:pPr>
    </w:p>
    <w:p>
      <w:pPr>
        <w:ind w:left="60" w:right="79"/>
        <w:spacing w:after="0" w:line="281" w:lineRule="auto"/>
        <w:rPr>
          <w:sz w:val="20"/>
          <w:szCs w:val="20"/>
          <w:color w:val="auto"/>
        </w:rPr>
      </w:pPr>
      <w:r>
        <w:rPr>
          <w:rFonts w:ascii="Times New Roman" w:cs="Times New Roman" w:eastAsia="Times New Roman" w:hAnsi="Times New Roman"/>
          <w:sz w:val="17"/>
          <w:szCs w:val="17"/>
          <w:color w:val="auto"/>
        </w:rPr>
        <w:t>We account for warrants in accordance with the guidance contained in ASC 815, under which the warrants do not meet the criteria for equity treatment and must be recorded as liabilities. Accordingly, we classify the warrants as liabilities at their fair value and adjust the warrants to fair value at each reporting period. The liability is subject to re-measurement at each balance sheet date until exercised, and any change in fair value is recognized in the Consolidated Statements of Operations.</w:t>
      </w:r>
    </w:p>
    <w:p>
      <w:pPr>
        <w:spacing w:after="0" w:line="164"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 re-measures the fair value of the Westrock Public Warrants (defined below) based on the quoted market price of the Westrock Public Warrants. Prior to the Offer described below, the Westrock Private Warrants (defined below) were valued using a binomial lattice valuation model. For the years ended December 31, 2024 and 2023, the Company recognized $7.0 million and $10.2 million, respectively, of gains related to the change in fair value of warrant liabilities, which is recognized in other (income) expense in the Consolidated Statements of Operations. No such gains or losses were recognized during the year ended December 31,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2" w:lineRule="auto"/>
        <w:rPr>
          <w:sz w:val="20"/>
          <w:szCs w:val="20"/>
          <w:color w:val="auto"/>
        </w:rPr>
      </w:pPr>
      <w:r>
        <w:rPr>
          <w:rFonts w:ascii="Times New Roman" w:cs="Times New Roman" w:eastAsia="Times New Roman" w:hAnsi="Times New Roman"/>
          <w:sz w:val="17"/>
          <w:szCs w:val="17"/>
          <w:color w:val="auto"/>
        </w:rPr>
        <w:t>On August 28, 2024, the Company announced that it had commenced an exchange offer (the “Offer”) and consent solicitation (the “Consent Solicitation”) relating to its outstanding (i) public warrants to purchase Common Shares, which traded on the Nasdaq Global Market (the “Nasdaq”) under the symbol “WESTW” (the “Westrock Public Warrants”), and</w:t>
      </w:r>
    </w:p>
    <w:p>
      <w:pPr>
        <w:spacing w:after="0" w:line="2" w:lineRule="exact"/>
        <w:rPr>
          <w:sz w:val="20"/>
          <w:szCs w:val="20"/>
          <w:color w:val="auto"/>
        </w:rPr>
      </w:pPr>
    </w:p>
    <w:p>
      <w:pPr>
        <w:ind w:left="60" w:right="359" w:hanging="10"/>
        <w:spacing w:after="0" w:line="253" w:lineRule="auto"/>
        <w:tabs>
          <w:tab w:leader="none" w:pos="3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placement warrants to purchase Common Shares (the “Westrock Private Warrants” and, together with the Westrock Public Warrants, the “Westrock Warrants”). The Company offered to all holders of the Westrock Warrants the opportunity to receive 0.290 Common Shares in exchange for each of the Westrock Warrants tendered pursuant to the Offer.</w:t>
      </w:r>
    </w:p>
    <w:p>
      <w:pPr>
        <w:spacing w:after="0" w:line="189"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The Offer and Consent Solicitation expired on September 26, 2024 (the “Expiration Date”). As of the Expiration Date, (x) 16,676,541 outstanding Westrock Public Warrants were validly tendered and not validly withdrawn in the Offer and Consent Solicitation, representing approximately 97.42% of the Westrock Public Warrants and (y) 2,026,046 outstanding Westrock Private Warrants were validly tendered and not validly withdrawn in the Offer and Consent Solicitation, representing 100% of the Westrock Private Warrants. On September 30, 2024, the Company issued 5,423,681 Common Shares in exchange for the tendered Westrock Warrants.</w:t>
      </w:r>
    </w:p>
    <w:p>
      <w:pPr>
        <w:spacing w:after="0" w:line="18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Concurrently with the Offer, the Company also solicited consents from the holders of each of the Westrock Public Warrants and the Westrock Private Warrants to amend that certain Warrant Agreement, dated as of August 25, 2022, by and between the Company and Computershare Inc., a Delaware corporation, and its affiliate, Computershare Trust Company, N.A., a federally chartered trust company, as warrant agent (the “Warrant Agent”), which governs all of the Westrock Warrants (the “Warrant Agreement”), to permit the Company to require that (x) each Westrock Public Warrant that is outstanding upon the closing of the Offer be exchanged for 0.261 Common Shares, which is a ratio 10% less than the exchange ratio applicable to the Offer and (y) each Westrock Private Warrant that is outstanding upon the closing of the Offer be exchanged for 0.261 Common Shares, which is a ratio 10% less than the exchange ratio applicable to the Offer (such amendment, the “Warrant Amendment”).</w:t>
      </w:r>
    </w:p>
    <w:p>
      <w:pPr>
        <w:spacing w:after="0" w:line="188"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Pursuant to the Consent Solicitation, the Company received the approval of holders of approximately 97.42% of the outstanding Westrock Public Warrants and 100% of the outstanding Westrock Private Warrants to adopt the Warrant Amendment, which exceeded (x) the 50% threshold of the outstanding Westrock Public Warrants required to amend the Warrant Agreement with respect to the Westrock Public Warrants and (y) the 50% threshold of the outstanding Westrock Private Warrants required to amend the Warrant Agreement with respect to the Westrock Private Warrants.</w:t>
      </w:r>
    </w:p>
    <w:p>
      <w:pPr>
        <w:spacing w:after="0" w:line="183"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Accordingly, the Company and the Warrant Agent entered into the Warrant Amendment, dated September 30, 2024. On September 30, 2024, the Company announced that it would exercise its right, in accordance with the terms of the Warrant Amendment, to exchange each Westrock Public Warrant that is outstanding following the closing of the Offer for 0.261 Common Shares per warrant (the “Post-Offer Exchange”). The Company fixed the date for the Post-Offer Exchange as October 15, 2024.</w:t>
      </w:r>
    </w:p>
    <w:p>
      <w:pPr>
        <w:spacing w:after="0" w:line="183" w:lineRule="exact"/>
        <w:rPr>
          <w:sz w:val="20"/>
          <w:szCs w:val="20"/>
          <w:color w:val="auto"/>
        </w:rPr>
      </w:pPr>
    </w:p>
    <w:p>
      <w:pPr>
        <w:ind w:left="60" w:right="279"/>
        <w:spacing w:after="0" w:line="281" w:lineRule="auto"/>
        <w:rPr>
          <w:sz w:val="20"/>
          <w:szCs w:val="20"/>
          <w:color w:val="auto"/>
        </w:rPr>
      </w:pPr>
      <w:r>
        <w:rPr>
          <w:rFonts w:ascii="Times New Roman" w:cs="Times New Roman" w:eastAsia="Times New Roman" w:hAnsi="Times New Roman"/>
          <w:sz w:val="17"/>
          <w:szCs w:val="17"/>
          <w:color w:val="auto"/>
        </w:rPr>
        <w:t>On October 16, 2024, the Post-Offer Exchange related to the Westrock Public Warrants was completed, resulting in the issuance of 115,220 Common Shares in exchange for then outstanding Westrock Public Warrants. Following the completion of the Post-Offer Exchange, no Westrock Warrants remain outstanding. Accordingly, the Westrock Public Warrants were suspended from trading on the Nasdaq as of the close of business on October 15, 2024, and were delisted.</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Revenue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 (ASC 606)</w:t>
      </w:r>
    </w:p>
    <w:p>
      <w:pPr>
        <w:spacing w:after="0" w:line="227" w:lineRule="exact"/>
        <w:rPr>
          <w:sz w:val="20"/>
          <w:szCs w:val="20"/>
          <w:color w:val="auto"/>
        </w:rPr>
      </w:pPr>
    </w:p>
    <w:p>
      <w:pPr>
        <w:jc w:val="both"/>
        <w:ind w:left="60" w:right="259"/>
        <w:spacing w:after="0" w:line="289" w:lineRule="auto"/>
        <w:rPr>
          <w:sz w:val="20"/>
          <w:szCs w:val="20"/>
          <w:color w:val="auto"/>
        </w:rPr>
      </w:pPr>
      <w:r>
        <w:rPr>
          <w:rFonts w:ascii="Times New Roman" w:cs="Times New Roman" w:eastAsia="Times New Roman" w:hAnsi="Times New Roman"/>
          <w:sz w:val="17"/>
          <w:szCs w:val="17"/>
          <w:color w:val="auto"/>
        </w:rPr>
        <w:t>We measure revenue based on the consideration specified in the client arrangement, and revenue is recognized when the performance obligations in the client arrangement are satisfied. Our principal source of revenue is from the procurement, trade, manufacture, and distribution of coffee, tea and extracts to customers in the United States, Europe, and Asia.</w:t>
      </w:r>
    </w:p>
    <w:p>
      <w:pPr>
        <w:spacing w:after="0" w:line="158" w:lineRule="exact"/>
        <w:rPr>
          <w:sz w:val="20"/>
          <w:szCs w:val="20"/>
          <w:color w:val="auto"/>
        </w:rPr>
      </w:pPr>
    </w:p>
    <w:p>
      <w:pPr>
        <w:ind w:left="60" w:right="399"/>
        <w:spacing w:after="0" w:line="261" w:lineRule="auto"/>
        <w:rPr>
          <w:sz w:val="20"/>
          <w:szCs w:val="20"/>
          <w:color w:val="auto"/>
        </w:rPr>
      </w:pPr>
      <w:r>
        <w:rPr>
          <w:rFonts w:ascii="Times New Roman" w:cs="Times New Roman" w:eastAsia="Times New Roman" w:hAnsi="Times New Roman"/>
          <w:sz w:val="18"/>
          <w:szCs w:val="18"/>
          <w:color w:val="auto"/>
        </w:rPr>
        <w:t>The transaction price of a contract, net of discounts and expected returns, is allocated to each distinct performance obligation based on the relative standalone selling price of the obligation and is recognized as revenue when the performance obligation is satisfied. The standalone selling price is the estimated price we would charge for the good or service in a separate transaction with similar customers in similar circumstances. Identifying distinct performance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obligations and determining the standalone selling price for each performance obligation within a contract requires management judgment.</w:t>
      </w:r>
    </w:p>
    <w:p>
      <w:pPr>
        <w:spacing w:after="0" w:line="162"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Substantially all our client contracts require that we be compensated for services performed to date. This is upon the completion of production, shipment of goods or upon delivery of goods to the customer, depending on contractual terms. Shipping and handling costs paid by the customer to us are included in revenue and costs incurred by us for shipping and handling activities that are performed after a customer obtains control of the product are accounted for as fulfillment costs. In addition, we exclude from net revenue and cost of sales taxes assessed by governmental authorities on revenue-producing transactions. Although we occasionally accept returns of products from our customers, historically returns have not been material.</w:t>
      </w:r>
    </w:p>
    <w:p>
      <w:pPr>
        <w:spacing w:after="0" w:line="18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At times, the Company may enter into agreements in which its Sustainable Sourcing &amp; Traceability segment will sell inventory to a third party, from whom the Company’s Beverage Solutions segment has an obligation to repurchase. Such transactions are accounted for as financing transactions in accordance with ASC 606. At December 31, 2025 and 2024, the Company has $0.0 and $0.6 million, respectively, of such repurchase agreement obligations, collateralized by the corresponding inventory, that are recorded within accrued expenses and other current liabilities on the Consolidated Balance Sheets. Net cash flows associated with these repurchase agreements are reported as financing activities in the Consolidated Statements of Cash Flows.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from Forward Contracts (ASC 815)</w:t>
      </w:r>
    </w:p>
    <w:p>
      <w:pPr>
        <w:spacing w:after="0" w:line="227"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A portion of the Company’s revenues consist of sales from commodity contracts that are accounted for under ASC 815. Sales from commodity contracts primarily relate to forward sales of green coffee which are accounted for as derivatives at fair value under ASC 815. These forward sales meet the definition of a derivative under ASC 815 as they have an underlying, notional amount, no initial net investment and can be net settled since the commodity is readily converted to cash. The Company does not apply the normal purchase and normal sale exception under ASC 815 to these contracts.</w:t>
      </w:r>
    </w:p>
    <w:p>
      <w:pPr>
        <w:spacing w:after="0" w:line="183"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Revenues from commodity contracts are recognized in revenues for the contractually stated amount when the contracts are settled. Settlement generally occurs upon shipment or delivery of the product when title and risks and rewards of ownership transfer to the customer. Prior to settlement, these forward sales contracts are recognized at fair value with the unrealized gains or losses recorded within cost of sales on our Consolidated Statements of Operations. For the years ended December 31, 2025, 2024 and 2023, we recorded $8.0 million of net unrealized gains, $2.1 million of net unrealized losses and $4.1 million of net unrealized losses, respectively, within costs of sales.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years ended December 31, 2025, 2024 and 2023, the Company recognized $280.7 million, $190.0 million and</w:t>
      </w:r>
    </w:p>
    <w:p>
      <w:pPr>
        <w:spacing w:after="0" w:line="27" w:lineRule="exact"/>
        <w:rPr>
          <w:sz w:val="20"/>
          <w:szCs w:val="20"/>
          <w:color w:val="auto"/>
        </w:rPr>
      </w:pPr>
    </w:p>
    <w:p>
      <w:pPr>
        <w:ind w:left="60" w:right="279"/>
        <w:spacing w:after="0" w:line="260" w:lineRule="auto"/>
        <w:rPr>
          <w:sz w:val="20"/>
          <w:szCs w:val="20"/>
          <w:color w:val="auto"/>
        </w:rPr>
      </w:pPr>
      <w:r>
        <w:rPr>
          <w:rFonts w:ascii="Times New Roman" w:cs="Times New Roman" w:eastAsia="Times New Roman" w:hAnsi="Times New Roman"/>
          <w:sz w:val="18"/>
          <w:szCs w:val="18"/>
          <w:color w:val="auto"/>
        </w:rPr>
        <w:t>$141.0 million in revenues under ASC 815, respectively, and are reported within the Company’s Sustainable Sourcing &amp; Traceability segment.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227" w:lineRule="exact"/>
        <w:rPr>
          <w:sz w:val="20"/>
          <w:szCs w:val="20"/>
          <w:color w:val="auto"/>
        </w:rPr>
      </w:pPr>
    </w:p>
    <w:p>
      <w:pPr>
        <w:ind w:left="60" w:right="99"/>
        <w:spacing w:after="0" w:line="272" w:lineRule="auto"/>
        <w:rPr>
          <w:sz w:val="20"/>
          <w:szCs w:val="20"/>
          <w:color w:val="auto"/>
        </w:rPr>
      </w:pPr>
      <w:r>
        <w:rPr>
          <w:rFonts w:ascii="Times New Roman" w:cs="Times New Roman" w:eastAsia="Times New Roman" w:hAnsi="Times New Roman"/>
          <w:sz w:val="17"/>
          <w:szCs w:val="17"/>
          <w:color w:val="auto"/>
        </w:rPr>
        <w:t>The nature of the Company’s contracts give rise to variable consideration including cash discounts, volume-based rebates, point of sale promotions, and other promotional discounts to certain customers. For all promotional programs and discounts, the Company estimates the rebate or discount that will be granted to the customer and records an accrual upon invoicing. These estimated rebates or discounts are included in the transaction price of the Company’s contracts with customers as a reduction to net revenues and are included as accrued sales incentives in accrued expenses and other current liabilities in the Consolidated Balance Sheets. Accrued sales incentives were $1.4 million at December 31, 2025 and $1.8 million at December 31, 2024. Other accrued deductions were $1.4 million at December 31, 2025 and $2.0 million at December 31, 2024 and are included as a reduction to accounts receivable, net in the Consolidated Balance Sheets.</w:t>
      </w:r>
    </w:p>
    <w:p>
      <w:pPr>
        <w:spacing w:after="0" w:line="172"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We do not disclose the value of unsatisfied performance obligations for contracts (i) with an original expected length of one year or less or (ii) for which the Company recognizes revenue at the amount in which it has the right to invoice as the product is delivered.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Contract balances relate primarily to advances received from the Company’s customers before revenue is recognized. The Company does not have any material contract liabilities as of December 31, 2025 or 2024. Receivables from contracts with customers are included in accounts receivable, net on the Company’s Consolidated Balance Sheets. At December 31, 2025 and 2024, accounts receivable, net of allowance for credit losses included $97.0 million and $104.8 million in receivables from contracts with customers, respectively.</w:t>
      </w:r>
    </w:p>
    <w:p>
      <w:pPr>
        <w:spacing w:after="0" w:line="183"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Contract acquisition costs for obtaining contracts that are deemed recoverable are capitalized as contract costs. Such costs result from the payment of sales incentives and are amortized over the contract life. As of December 31, 2025 and 2024, no costs were capitalized as all arrangements were less than a year.</w:t>
      </w:r>
    </w:p>
    <w:p>
      <w:pPr>
        <w:spacing w:after="0" w:line="176" w:lineRule="exact"/>
        <w:rPr>
          <w:sz w:val="20"/>
          <w:szCs w:val="20"/>
          <w:color w:val="auto"/>
        </w:rPr>
      </w:pPr>
    </w:p>
    <w:p>
      <w:pPr>
        <w:ind w:left="60" w:right="339"/>
        <w:spacing w:after="0" w:line="258" w:lineRule="auto"/>
        <w:rPr>
          <w:sz w:val="20"/>
          <w:szCs w:val="20"/>
          <w:color w:val="auto"/>
        </w:rPr>
      </w:pPr>
      <w:r>
        <w:rPr>
          <w:rFonts w:ascii="Times New Roman" w:cs="Times New Roman" w:eastAsia="Times New Roman" w:hAnsi="Times New Roman"/>
          <w:sz w:val="18"/>
          <w:szCs w:val="18"/>
          <w:color w:val="auto"/>
        </w:rPr>
        <w:t>Contract assets, primarily deferred promotional incentives paid to customers, totaled $1.0 million at December 31, 2025 and $1.2 million at December 31, 2024, and were included in prepaid expenses and other current assets on our Consolidated Balance Sheets. Deferred promotional incentives are amortized straight-line over the contract life. Amortization of deferred contract costs for the years ended December 31, 2025, 2024 and 2023 was $1.3 million, $1.5 million and $2.4 million, respectively, and are included in revenues in our Consolidated Statements of Operations.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Concentration of Customers</w:t>
      </w:r>
    </w:p>
    <w:p>
      <w:pPr>
        <w:spacing w:after="0" w:line="227"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December 31, 2024, no customers accounted for more than 10% of our consolidated net revenues. For the year ended December 31, 2023, one customer, who is represented in the Company’s Beverage Solutions segment, accounted for 10.4%, or $90.0 million, of the Company’s consolidated net revenues.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auto"/>
        </w:rPr>
        <w:t>In general, the Company’s business segmentation is aligned according to the nature and economic characteristics of its products and customer relationships and provides meaningful disaggregation of each business segment’s results of operations.</w:t>
      </w:r>
    </w:p>
    <w:p>
      <w:pPr>
        <w:spacing w:after="0" w:line="17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Further disaggregation of revenues from sales to external customers by type and geographic area, based on customer location, for the periods indicated is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80" w:type="dxa"/>
            <w:vAlign w:val="bottom"/>
          </w:tcPr>
          <w:p>
            <w:pPr>
              <w:spacing w:after="0"/>
              <w:rPr>
                <w:sz w:val="15"/>
                <w:szCs w:val="15"/>
                <w:color w:val="auto"/>
              </w:rPr>
            </w:pP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9"/>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420" w:type="dxa"/>
            <w:vAlign w:val="bottom"/>
            <w:gridSpan w:val="2"/>
          </w:tcPr>
          <w:p>
            <w:pPr>
              <w:jc w:val="right"/>
              <w:ind w:right="15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center"/>
              <w:ind w:right="1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2"/>
                <w:szCs w:val="12"/>
                <w:color w:val="auto"/>
              </w:rPr>
            </w:pPr>
          </w:p>
        </w:tc>
        <w:tc>
          <w:tcPr>
            <w:tcW w:w="4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Coffee &amp; tea</w:t>
            </w: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663,595</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479,614</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559,040</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Flavors, extracts &amp; ingredients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242,738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175,804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162,043</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Green coffee</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280,503</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191,343</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141,849</w:t>
            </w:r>
          </w:p>
        </w:tc>
        <w:tc>
          <w:tcPr>
            <w:tcW w:w="0" w:type="dxa"/>
            <w:vAlign w:val="bottom"/>
          </w:tcPr>
          <w:p>
            <w:pPr>
              <w:spacing w:after="0"/>
              <w:rPr>
                <w:sz w:val="1"/>
                <w:szCs w:val="1"/>
                <w:color w:val="auto"/>
              </w:rPr>
            </w:pPr>
          </w:p>
        </w:tc>
      </w:tr>
      <w:tr>
        <w:trPr>
          <w:trHeight w:val="210"/>
        </w:trPr>
        <w:tc>
          <w:tcPr>
            <w:tcW w:w="4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1,188,952</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850,726</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864,714</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9"/>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94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220" w:type="dxa"/>
            <w:vAlign w:val="bottom"/>
            <w:gridSpan w:val="2"/>
          </w:tcPr>
          <w:p>
            <w:pPr>
              <w:spacing w:after="0"/>
              <w:rPr>
                <w:sz w:val="12"/>
                <w:szCs w:val="12"/>
                <w:color w:val="auto"/>
              </w:rPr>
            </w:pPr>
          </w:p>
        </w:tc>
        <w:tc>
          <w:tcPr>
            <w:tcW w:w="880" w:type="dxa"/>
            <w:vAlign w:val="bottom"/>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420" w:type="dxa"/>
            <w:vAlign w:val="bottom"/>
            <w:gridSpan w:val="2"/>
          </w:tcPr>
          <w:p>
            <w:pPr>
              <w:jc w:val="right"/>
              <w:ind w:right="19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center"/>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4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947,890</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673,186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744,067</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countries</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241,062</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177,540</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120,647</w:t>
            </w:r>
          </w:p>
        </w:tc>
        <w:tc>
          <w:tcPr>
            <w:tcW w:w="0" w:type="dxa"/>
            <w:vAlign w:val="bottom"/>
          </w:tcPr>
          <w:p>
            <w:pPr>
              <w:spacing w:after="0"/>
              <w:rPr>
                <w:sz w:val="1"/>
                <w:szCs w:val="1"/>
                <w:color w:val="auto"/>
              </w:rPr>
            </w:pPr>
          </w:p>
        </w:tc>
      </w:tr>
      <w:tr>
        <w:trPr>
          <w:trHeight w:val="210"/>
        </w:trPr>
        <w:tc>
          <w:tcPr>
            <w:tcW w:w="4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1,188,952</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850,726</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864,714</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other than the United States, no country accounted for more than 10 percent of our consolidated net sales.</w:t>
      </w:r>
    </w:p>
    <w:p>
      <w:pPr>
        <w:spacing w:after="0" w:line="200" w:lineRule="exact"/>
        <w:rPr>
          <w:sz w:val="20"/>
          <w:szCs w:val="20"/>
          <w:color w:val="auto"/>
        </w:rPr>
      </w:pPr>
    </w:p>
    <w:p>
      <w:pPr>
        <w:spacing w:after="0" w:line="39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Acquisitions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Bixby Roasting Co.</w:t>
      </w:r>
    </w:p>
    <w:p>
      <w:pPr>
        <w:spacing w:after="0" w:line="227"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On February 28, 2023, the Company completed the acquisition of substantially all of the assets of Bixby Roasting Co. (“Bixby”), a specialty-grade roaster that is a leader in the emerging influencer-led brand space. The transaction is accounted for as a business combination in accordance with ASC 805. Aggregate consideration paid for Bixby included 39,778 Common Shares and approximately $2.2 million in cash, for total consideration of $2.6 million, subject to customary adjustments. Net assets acquired totaled approximately $0.7 million. The acquisition allows the Company to continue to expand its product marketing and development resources as it capitalizes on shifting consumer consumption trends. The acquisition includes Bixby’s roasting facility in Los Angeles, California. The acquisition was recorded by allocating the costs of the assets acquired and liabilities assumed, which consisted of accounts receivable, inventory, property, plant and equipment, and accounts payable, based on their estimated fair values at the acquisition date. The excess of the cost of the acquisition over the fair value of the net assets acquired is recorded as goodwill. The Company finalized its purchase price allocation during the second quarter of 2023, recognizing approximately $2.0 million of goodwill, which is deductible for tax purposes, within our Beverage Solutions segment. The financial results of Bixby are included in the Beverage Solutions segment from the date of acquisition and were not material, individually or in the aggregate, to our results of operations and therefore, pro forma financial information has not been presented.</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Inventories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inventories as of December 31, 2025 and 2024:</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December 31, 2025</w:t>
            </w:r>
          </w:p>
        </w:tc>
        <w:tc>
          <w:tcPr>
            <w:tcW w:w="1520" w:type="dxa"/>
            <w:vAlign w:val="bottom"/>
            <w:gridSpan w:val="4"/>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December 31, 2024</w:t>
            </w:r>
          </w:p>
        </w:tc>
      </w:tr>
      <w:tr>
        <w:trPr>
          <w:trHeight w:val="210"/>
        </w:trPr>
        <w:tc>
          <w:tcPr>
            <w:tcW w:w="5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86,231</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82,412</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32,520</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 coffee</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75,335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48,391</w:t>
            </w:r>
          </w:p>
        </w:tc>
      </w:tr>
      <w:tr>
        <w:trPr>
          <w:trHeight w:val="209"/>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199,802</w:t>
            </w:r>
          </w:p>
        </w:tc>
        <w:tc>
          <w:tcPr>
            <w:tcW w:w="240" w:type="dxa"/>
            <w:vAlign w:val="bottom"/>
            <w:gridSpan w:val="2"/>
          </w:tcPr>
          <w:p>
            <w:pPr>
              <w:spacing w:after="0"/>
              <w:rPr>
                <w:sz w:val="18"/>
                <w:szCs w:val="18"/>
                <w:color w:val="auto"/>
              </w:rPr>
            </w:pP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163,323</w:t>
            </w:r>
          </w:p>
        </w:tc>
      </w:tr>
      <w:tr>
        <w:trPr>
          <w:trHeight w:val="20"/>
        </w:trPr>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119"/>
        <w:spacing w:after="0" w:line="282" w:lineRule="auto"/>
        <w:rPr>
          <w:sz w:val="20"/>
          <w:szCs w:val="20"/>
          <w:color w:val="auto"/>
        </w:rPr>
      </w:pPr>
      <w:r>
        <w:rPr>
          <w:rFonts w:ascii="Times New Roman" w:cs="Times New Roman" w:eastAsia="Times New Roman" w:hAnsi="Times New Roman"/>
          <w:sz w:val="18"/>
          <w:szCs w:val="18"/>
          <w:color w:val="auto"/>
        </w:rPr>
        <w:t>Green coffee inventories represents green coffee held for resale. At December 31, 2025 and 2024, all green coffee held for resale was included within our Sustainable Sourcing &amp; Traceability segment.</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Property, Plant and Equipment, Net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property, plant and equipment, net as of December 31, 2025 and 2024:</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840" w:type="dxa"/>
            <w:vAlign w:val="bottom"/>
            <w:gridSpan w:val="5"/>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Depreciable Lives</w:t>
            </w:r>
            <w:r>
              <w:rPr>
                <w:rFonts w:ascii="Arial" w:cs="Arial" w:eastAsia="Arial" w:hAnsi="Arial"/>
                <w:sz w:val="14"/>
                <w:szCs w:val="14"/>
                <w:color w:val="auto"/>
              </w:rPr>
              <w:t xml:space="preserve">  ​​​ </w:t>
            </w:r>
            <w:r>
              <w:rPr>
                <w:rFonts w:ascii="Times New Roman" w:cs="Times New Roman" w:eastAsia="Times New Roman" w:hAnsi="Times New Roman"/>
                <w:sz w:val="14"/>
                <w:szCs w:val="14"/>
                <w:b w:val="1"/>
                <w:bCs w:val="1"/>
                <w:color w:val="auto"/>
              </w:rPr>
              <w:t>December 31, 2025</w:t>
            </w: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December 31, 2024</w:t>
            </w:r>
          </w:p>
        </w:tc>
      </w:tr>
      <w:tr>
        <w:trPr>
          <w:trHeight w:val="210"/>
        </w:trPr>
        <w:tc>
          <w:tcPr>
            <w:tcW w:w="20" w:type="dxa"/>
            <w:vAlign w:val="bottom"/>
          </w:tcPr>
          <w:p>
            <w:pPr>
              <w:spacing w:after="0"/>
              <w:rPr>
                <w:sz w:val="18"/>
                <w:szCs w:val="18"/>
                <w:color w:val="auto"/>
              </w:rPr>
            </w:pPr>
          </w:p>
        </w:tc>
        <w:tc>
          <w:tcPr>
            <w:tcW w:w="4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w:t>
            </w: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w:t>
            </w:r>
          </w:p>
        </w:tc>
        <w:tc>
          <w:tcPr>
            <w:tcW w:w="180" w:type="dxa"/>
            <w:vAlign w:val="bottom"/>
          </w:tcPr>
          <w:p>
            <w:pPr>
              <w:spacing w:after="0"/>
              <w:rPr>
                <w:sz w:val="18"/>
                <w:szCs w:val="18"/>
                <w:color w:val="auto"/>
              </w:rPr>
            </w:pPr>
          </w:p>
        </w:tc>
        <w:tc>
          <w:tcPr>
            <w:tcW w:w="1720" w:type="dxa"/>
            <w:vAlign w:val="bottom"/>
            <w:gridSpan w:val="3"/>
          </w:tcPr>
          <w:p>
            <w:pPr>
              <w:jc w:val="center"/>
              <w:ind w:right="436"/>
              <w:spacing w:after="0"/>
              <w:rPr>
                <w:sz w:val="20"/>
                <w:szCs w:val="20"/>
                <w:color w:val="auto"/>
              </w:rPr>
            </w:pPr>
            <w:r>
              <w:rPr>
                <w:rFonts w:ascii="Times New Roman" w:cs="Times New Roman" w:eastAsia="Times New Roman" w:hAnsi="Times New Roman"/>
                <w:sz w:val="18"/>
                <w:szCs w:val="18"/>
                <w:color w:val="auto"/>
                <w:w w:val="99"/>
              </w:rPr>
              <w:t>10-40 years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182,653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175,171</w:t>
            </w: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Leasehold improvements</w:t>
            </w:r>
            <w:r>
              <w:rPr>
                <w:rFonts w:ascii="Times New Roman" w:cs="Times New Roman" w:eastAsia="Times New Roman" w:hAnsi="Times New Roman"/>
                <w:sz w:val="25"/>
                <w:szCs w:val="25"/>
                <w:color w:val="auto"/>
                <w:vertAlign w:val="superscript"/>
              </w:rPr>
              <w:t>(1)</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12,320</w:t>
            </w: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Plant equipment</w:t>
            </w:r>
          </w:p>
        </w:tc>
        <w:tc>
          <w:tcPr>
            <w:tcW w:w="180" w:type="dxa"/>
            <w:vAlign w:val="bottom"/>
          </w:tcPr>
          <w:p>
            <w:pPr>
              <w:spacing w:after="0"/>
              <w:rPr>
                <w:sz w:val="18"/>
                <w:szCs w:val="18"/>
                <w:color w:val="auto"/>
              </w:rPr>
            </w:pPr>
          </w:p>
        </w:tc>
        <w:tc>
          <w:tcPr>
            <w:tcW w:w="1720" w:type="dxa"/>
            <w:vAlign w:val="bottom"/>
            <w:gridSpan w:val="3"/>
          </w:tcPr>
          <w:p>
            <w:pPr>
              <w:jc w:val="center"/>
              <w:ind w:right="436"/>
              <w:spacing w:after="0"/>
              <w:rPr>
                <w:sz w:val="20"/>
                <w:szCs w:val="20"/>
                <w:color w:val="auto"/>
              </w:rPr>
            </w:pPr>
            <w:r>
              <w:rPr>
                <w:rFonts w:ascii="Times New Roman" w:cs="Times New Roman" w:eastAsia="Times New Roman" w:hAnsi="Times New Roman"/>
                <w:sz w:val="18"/>
                <w:szCs w:val="18"/>
                <w:color w:val="auto"/>
              </w:rPr>
              <w:t>3-15 years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360,576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249,933</w:t>
            </w: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 and transportation equipment</w:t>
            </w:r>
          </w:p>
        </w:tc>
        <w:tc>
          <w:tcPr>
            <w:tcW w:w="18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center"/>
              <w:ind w:right="416"/>
              <w:spacing w:after="0"/>
              <w:rPr>
                <w:sz w:val="20"/>
                <w:szCs w:val="20"/>
                <w:color w:val="auto"/>
              </w:rPr>
            </w:pPr>
            <w:r>
              <w:rPr>
                <w:rFonts w:ascii="Times New Roman" w:cs="Times New Roman" w:eastAsia="Times New Roman" w:hAnsi="Times New Roman"/>
                <w:sz w:val="18"/>
                <w:szCs w:val="18"/>
                <w:color w:val="auto"/>
                <w:w w:val="99"/>
              </w:rPr>
              <w:t>3-5 years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systems</w:t>
            </w:r>
          </w:p>
        </w:tc>
        <w:tc>
          <w:tcPr>
            <w:tcW w:w="180" w:type="dxa"/>
            <w:vAlign w:val="bottom"/>
          </w:tcPr>
          <w:p>
            <w:pPr>
              <w:spacing w:after="0"/>
              <w:rPr>
                <w:sz w:val="18"/>
                <w:szCs w:val="18"/>
                <w:color w:val="auto"/>
              </w:rPr>
            </w:pPr>
          </w:p>
        </w:tc>
        <w:tc>
          <w:tcPr>
            <w:tcW w:w="1720" w:type="dxa"/>
            <w:vAlign w:val="bottom"/>
            <w:gridSpan w:val="3"/>
          </w:tcPr>
          <w:p>
            <w:pPr>
              <w:jc w:val="center"/>
              <w:ind w:right="416"/>
              <w:spacing w:after="0"/>
              <w:rPr>
                <w:sz w:val="20"/>
                <w:szCs w:val="20"/>
                <w:color w:val="auto"/>
              </w:rPr>
            </w:pPr>
            <w:r>
              <w:rPr>
                <w:rFonts w:ascii="Times New Roman" w:cs="Times New Roman" w:eastAsia="Times New Roman" w:hAnsi="Times New Roman"/>
                <w:sz w:val="18"/>
                <w:szCs w:val="18"/>
                <w:color w:val="auto"/>
                <w:w w:val="99"/>
              </w:rPr>
              <w:t>3-7 years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12,717</w:t>
            </w: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center"/>
              <w:ind w:right="436"/>
              <w:spacing w:after="0"/>
              <w:rPr>
                <w:sz w:val="20"/>
                <w:szCs w:val="20"/>
                <w:color w:val="auto"/>
              </w:rPr>
            </w:pPr>
            <w:r>
              <w:rPr>
                <w:rFonts w:ascii="Times New Roman" w:cs="Times New Roman" w:eastAsia="Times New Roman" w:hAnsi="Times New Roman"/>
                <w:sz w:val="18"/>
                <w:szCs w:val="18"/>
                <w:color w:val="auto"/>
              </w:rPr>
              <w:t>3-10 years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w:t>
            </w: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Customer beverage equipment</w:t>
            </w:r>
            <w:r>
              <w:rPr>
                <w:rFonts w:ascii="Times New Roman" w:cs="Times New Roman" w:eastAsia="Times New Roman" w:hAnsi="Times New Roman"/>
                <w:sz w:val="25"/>
                <w:szCs w:val="25"/>
                <w:color w:val="auto"/>
                <w:vertAlign w:val="superscript"/>
              </w:rPr>
              <w:t>(2)</w:t>
            </w:r>
          </w:p>
        </w:tc>
        <w:tc>
          <w:tcPr>
            <w:tcW w:w="180" w:type="dxa"/>
            <w:vAlign w:val="bottom"/>
          </w:tcPr>
          <w:p>
            <w:pPr>
              <w:spacing w:after="0"/>
              <w:rPr>
                <w:sz w:val="18"/>
                <w:szCs w:val="18"/>
                <w:color w:val="auto"/>
              </w:rPr>
            </w:pPr>
          </w:p>
        </w:tc>
        <w:tc>
          <w:tcPr>
            <w:tcW w:w="1720" w:type="dxa"/>
            <w:vAlign w:val="bottom"/>
            <w:gridSpan w:val="3"/>
          </w:tcPr>
          <w:p>
            <w:pPr>
              <w:jc w:val="center"/>
              <w:ind w:right="416"/>
              <w:spacing w:after="0"/>
              <w:rPr>
                <w:sz w:val="20"/>
                <w:szCs w:val="20"/>
                <w:color w:val="auto"/>
              </w:rPr>
            </w:pPr>
            <w:r>
              <w:rPr>
                <w:rFonts w:ascii="Times New Roman" w:cs="Times New Roman" w:eastAsia="Times New Roman" w:hAnsi="Times New Roman"/>
                <w:sz w:val="18"/>
                <w:szCs w:val="18"/>
                <w:color w:val="auto"/>
                <w:w w:val="99"/>
              </w:rPr>
              <w:t>3-5 years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21,826</w:t>
            </w: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Lease right-of-use assets</w:t>
            </w:r>
            <w:r>
              <w:rPr>
                <w:rFonts w:ascii="Times New Roman" w:cs="Times New Roman" w:eastAsia="Times New Roman" w:hAnsi="Times New Roman"/>
                <w:sz w:val="25"/>
                <w:szCs w:val="25"/>
                <w:color w:val="auto"/>
                <w:vertAlign w:val="superscript"/>
              </w:rPr>
              <w:t>(3)</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Construction in progress and equipment deposits</w:t>
            </w:r>
          </w:p>
        </w:tc>
        <w:tc>
          <w:tcPr>
            <w:tcW w:w="1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27,132</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85,279</w:t>
            </w: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631,905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571,896</w:t>
            </w: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(148,299)</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(104,885)</w:t>
            </w:r>
          </w:p>
        </w:tc>
      </w:tr>
      <w:tr>
        <w:trPr>
          <w:trHeight w:val="209"/>
        </w:trPr>
        <w:tc>
          <w:tcPr>
            <w:tcW w:w="20" w:type="dxa"/>
            <w:vAlign w:val="bottom"/>
          </w:tcPr>
          <w:p>
            <w:pPr>
              <w:spacing w:after="0"/>
              <w:rPr>
                <w:sz w:val="18"/>
                <w:szCs w:val="18"/>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483,606</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467,011</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9"/>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1 - Leasehold improvements are amortized over the shorter of their estimated useful lives or the related lease life.</w:t>
      </w:r>
    </w:p>
    <w:p>
      <w:pPr>
        <w:ind w:left="60"/>
        <w:spacing w:after="0" w:line="226" w:lineRule="auto"/>
        <w:rPr>
          <w:sz w:val="20"/>
          <w:szCs w:val="20"/>
          <w:color w:val="auto"/>
        </w:rPr>
      </w:pPr>
      <w:r>
        <w:rPr>
          <w:rFonts w:ascii="Times New Roman" w:cs="Times New Roman" w:eastAsia="Times New Roman" w:hAnsi="Times New Roman"/>
          <w:sz w:val="14"/>
          <w:szCs w:val="14"/>
          <w:color w:val="auto"/>
        </w:rPr>
        <w:t>2 - Customer beverage equipment consists of brewers held on site at customer locations.</w:t>
      </w:r>
    </w:p>
    <w:p>
      <w:pPr>
        <w:ind w:left="60"/>
        <w:spacing w:after="0"/>
        <w:rPr>
          <w:sz w:val="20"/>
          <w:szCs w:val="20"/>
          <w:color w:val="auto"/>
        </w:rPr>
      </w:pPr>
      <w:r>
        <w:rPr>
          <w:rFonts w:ascii="Times New Roman" w:cs="Times New Roman" w:eastAsia="Times New Roman" w:hAnsi="Times New Roman"/>
          <w:sz w:val="14"/>
          <w:szCs w:val="14"/>
          <w:color w:val="auto"/>
        </w:rPr>
        <w:t>3 - Lease right-of-use assets are amortized over the shorter of the useful life of the asset or the lease term.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Depreciation expense for the years ended December 31, 2025, 2024 and 2023 was $48.0 million, $26.6 million and $18.4 million, respectively. Assets classified as construction in progress and equipment deposits are not depreciated, as they are not ready for production use. All assets classified as construction in progress and equipment deposits at December 31, 2025 are expected to be in production use.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229" w:lineRule="exact"/>
        <w:rPr>
          <w:sz w:val="20"/>
          <w:szCs w:val="20"/>
          <w:color w:val="auto"/>
        </w:rPr>
      </w:pPr>
    </w:p>
    <w:p>
      <w:pPr>
        <w:jc w:val="both"/>
        <w:ind w:left="60" w:right="159"/>
        <w:spacing w:after="0" w:line="261" w:lineRule="auto"/>
        <w:rPr>
          <w:sz w:val="20"/>
          <w:szCs w:val="20"/>
          <w:color w:val="auto"/>
        </w:rPr>
      </w:pPr>
      <w:r>
        <w:rPr>
          <w:rFonts w:ascii="Times New Roman" w:cs="Times New Roman" w:eastAsia="Times New Roman" w:hAnsi="Times New Roman"/>
          <w:sz w:val="18"/>
          <w:szCs w:val="18"/>
          <w:color w:val="auto"/>
        </w:rPr>
        <w:t>We have operating leases for manufacturing, production, administrative, distribution and warehousing facilities, vehicles and machinery and equipment. Some of our lease agreements have renewal options, tenant improvement allowances, rent holidays and rent escalation clauses. The remaining terms on our leases range from 1 year to 15 years, some of which may include options to extend the leases and some of which may include options to terminate the leases within 1 year.</w:t>
      </w:r>
    </w:p>
    <w:p>
      <w:pPr>
        <w:spacing w:after="0" w:line="180"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 of right-of-use lease assets and lease liabilities included in each respective line item on the Company’s Consolidated Balance Sheets:</w:t>
      </w:r>
    </w:p>
    <w:p>
      <w:pPr>
        <w:spacing w:after="0" w:line="18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4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12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14"/>
                <w:szCs w:val="14"/>
                <w:b w:val="1"/>
                <w:bCs w:val="1"/>
                <w:color w:val="auto"/>
              </w:rPr>
              <w:t>December 31, 2025</w:t>
            </w: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14"/>
                <w:szCs w:val="14"/>
                <w:b w:val="1"/>
                <w:bCs w:val="1"/>
                <w:color w:val="auto"/>
              </w:rPr>
              <w:t>December 31, 2024</w:t>
            </w:r>
          </w:p>
        </w:tc>
      </w:tr>
      <w:tr>
        <w:trPr>
          <w:trHeight w:val="210"/>
        </w:trPr>
        <w:tc>
          <w:tcPr>
            <w:tcW w:w="2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operating lease assets</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120" w:type="dxa"/>
            <w:vAlign w:val="bottom"/>
            <w:tcBorders>
              <w:top w:val="single" w:sz="8" w:color="auto"/>
            </w:tcBorders>
            <w:shd w:val="clear" w:color="auto" w:fill="CCEEFF"/>
          </w:tcPr>
          <w:p>
            <w:pPr>
              <w:jc w:val="center"/>
              <w:ind w:right="156"/>
              <w:spacing w:after="0"/>
              <w:rPr>
                <w:sz w:val="20"/>
                <w:szCs w:val="20"/>
                <w:color w:val="auto"/>
              </w:rPr>
            </w:pPr>
            <w:r>
              <w:rPr>
                <w:rFonts w:ascii="Times New Roman" w:cs="Times New Roman" w:eastAsia="Times New Roman" w:hAnsi="Times New Roman"/>
                <w:sz w:val="18"/>
                <w:szCs w:val="18"/>
                <w:color w:val="auto"/>
                <w:w w:val="99"/>
              </w:rPr>
              <w:t>Operating lease right-of-use assets</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60,310</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63,380</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160" w:type="dxa"/>
            <w:vAlign w:val="bottom"/>
          </w:tcPr>
          <w:p>
            <w:pPr>
              <w:spacing w:after="0"/>
              <w:rPr>
                <w:sz w:val="18"/>
                <w:szCs w:val="18"/>
                <w:color w:val="auto"/>
              </w:rPr>
            </w:pPr>
          </w:p>
        </w:tc>
        <w:tc>
          <w:tcPr>
            <w:tcW w:w="3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w:t>
            </w:r>
          </w:p>
        </w:tc>
      </w:tr>
      <w:tr>
        <w:trPr>
          <w:trHeight w:val="198"/>
        </w:trPr>
        <w:tc>
          <w:tcPr>
            <w:tcW w:w="2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Operating lease liabilities -</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4"/>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120" w:type="dxa"/>
            <w:vAlign w:val="bottom"/>
            <w:shd w:val="clear" w:color="auto" w:fill="CCEEFF"/>
          </w:tcPr>
          <w:p>
            <w:pPr>
              <w:jc w:val="center"/>
              <w:ind w:right="156"/>
              <w:spacing w:after="0"/>
              <w:rPr>
                <w:sz w:val="20"/>
                <w:szCs w:val="20"/>
                <w:color w:val="auto"/>
              </w:rPr>
            </w:pPr>
            <w:r>
              <w:rPr>
                <w:rFonts w:ascii="Times New Roman" w:cs="Times New Roman" w:eastAsia="Times New Roman" w:hAnsi="Times New Roman"/>
                <w:sz w:val="18"/>
                <w:szCs w:val="18"/>
                <w:color w:val="auto"/>
                <w:w w:val="99"/>
              </w:rPr>
              <w:t>Operating lease liabilities</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58,146</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60,692</w:t>
            </w:r>
          </w:p>
        </w:tc>
      </w:tr>
    </w:tbl>
    <w:p>
      <w:pPr>
        <w:spacing w:after="0" w:line="211" w:lineRule="exact"/>
        <w:rPr>
          <w:sz w:val="20"/>
          <w:szCs w:val="20"/>
          <w:color w:val="auto"/>
        </w:rPr>
      </w:pPr>
    </w:p>
    <w:p>
      <w:pPr>
        <w:jc w:val="both"/>
        <w:ind w:left="60" w:right="11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obtained approximately $2.5 million and $1.0 million, respectively, of right-of-use operating lease assets in exchange for lease obligations.</w:t>
      </w:r>
    </w:p>
    <w:p>
      <w:pPr>
        <w:spacing w:after="0" w:line="16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On February 12, 2024, following the completion of its 530,000 square foot distribution center in Conway, Arkansas, the Company entered into a lease termination agreement for the Gregory Distribution Center lease. The Gregory Distribution Center lease terminated, by mutual agreement, on June 30, 2024. No costs were incurred as a result of the lease termination. This lease termination event does not significantly alter the Company’s operational capabilities or its financial position.</w:t>
      </w:r>
    </w:p>
    <w:p>
      <w:pPr>
        <w:spacing w:after="0" w:line="183"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Depending on the nature of the lease, lease costs are classified within costs of sales or selling, general and administrative expense on the Company’s Consolidated Statements of Operations. The components of lease costs for the year ended December 31, 2025 and 2024 are as follows: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tcBorders>
              <w:bottom w:val="single" w:sz="8" w:color="auto"/>
            </w:tcBorders>
            <w:gridSpan w:val="5"/>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7"/>
                <w:szCs w:val="17"/>
                <w:color w:val="auto"/>
              </w:rPr>
            </w:pPr>
          </w:p>
        </w:tc>
        <w:tc>
          <w:tcPr>
            <w:tcW w:w="500" w:type="dxa"/>
            <w:vAlign w:val="bottom"/>
            <w:gridSpan w:val="2"/>
          </w:tcPr>
          <w:p>
            <w:pPr>
              <w:jc w:val="right"/>
              <w:ind w:right="21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6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10,371</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10,797</w:t>
            </w:r>
          </w:p>
        </w:tc>
      </w:tr>
      <w:tr>
        <w:trPr>
          <w:trHeight w:val="216"/>
        </w:trPr>
        <w:tc>
          <w:tcPr>
            <w:tcW w:w="5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10"/>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ind w:right="76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11,676</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11,872</w:t>
            </w: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11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weighted average discount rate and remaining lease term as of December 31, 2025 and 2024:</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2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80" w:type="dxa"/>
            <w:vAlign w:val="bottom"/>
            <w:gridSpan w:val="3"/>
          </w:tcPr>
          <w:p>
            <w:pPr>
              <w:jc w:val="right"/>
              <w:ind w:right="6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December 31, 2024</w:t>
            </w:r>
          </w:p>
        </w:tc>
      </w:tr>
      <w:tr>
        <w:trPr>
          <w:trHeight w:val="209"/>
        </w:trPr>
        <w:tc>
          <w:tcPr>
            <w:tcW w:w="5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r>
      <w:tr>
        <w:trPr>
          <w:trHeight w:val="234"/>
        </w:trPr>
        <w:tc>
          <w:tcPr>
            <w:tcW w:w="6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years</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years</w:t>
            </w:r>
          </w:p>
        </w:tc>
        <w:tc>
          <w:tcPr>
            <w:tcW w:w="20" w:type="dxa"/>
            <w:vAlign w:val="bottom"/>
          </w:tcPr>
          <w:p>
            <w:pPr>
              <w:spacing w:after="0"/>
              <w:rPr>
                <w:sz w:val="20"/>
                <w:szCs w:val="20"/>
                <w:color w:val="auto"/>
              </w:rPr>
            </w:pPr>
          </w:p>
        </w:tc>
      </w:tr>
      <w:tr>
        <w:trPr>
          <w:trHeight w:val="846"/>
        </w:trPr>
        <w:tc>
          <w:tcPr>
            <w:tcW w:w="5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560"/>
        </w:trPr>
        <w:tc>
          <w:tcPr>
            <w:tcW w:w="5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Supplemental cash flow information about the Company’s leases as of December 31, 2025 and 2024, respectively, is as follows: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56"/>
        </w:trPr>
        <w:tc>
          <w:tcPr>
            <w:tcW w:w="57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Pr>
          <w:p>
            <w:pPr>
              <w:ind w:left="60"/>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160" w:type="dxa"/>
            <w:vAlign w:val="bottom"/>
          </w:tcPr>
          <w:p>
            <w:pPr>
              <w:jc w:val="right"/>
              <w:ind w:right="542"/>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gridSpan w:val="2"/>
          </w:tcPr>
          <w:p>
            <w:pPr>
              <w:jc w:val="right"/>
              <w:ind w:right="190"/>
              <w:spacing w:after="0" w:line="155"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419"/>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related to operating lease liabilities</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w:t>
            </w:r>
          </w:p>
        </w:tc>
      </w:tr>
    </w:tbl>
    <w:p>
      <w:pPr>
        <w:spacing w:after="0" w:line="198"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Finance lease assets are recorded in property, plant and equipment, net with the corresponding lease liabilities included in accrued expenses and other current liabilities and long-term debt, net on the Consolidated Balance Sheets. There were no material finance leases as of December 31,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Future minimum lease payments under non-cancellable operating leases as of December 31, 2025 are as follows:</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880" w:type="dxa"/>
            <w:vAlign w:val="bottom"/>
            <w:tcBorders>
              <w:bottom w:val="single" w:sz="8" w:color="CCEEFF"/>
            </w:tcBorders>
            <w:gridSpan w:val="2"/>
          </w:tcPr>
          <w:p>
            <w:pPr>
              <w:jc w:val="right"/>
              <w:ind w:right="5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tcPr>
          <w:p>
            <w:pPr>
              <w:spacing w:after="0"/>
              <w:rPr>
                <w:sz w:val="14"/>
                <w:szCs w:val="14"/>
                <w:color w:val="auto"/>
              </w:rPr>
            </w:pPr>
          </w:p>
        </w:tc>
      </w:tr>
      <w:tr>
        <w:trPr>
          <w:trHeight w:val="20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8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9,262</w:t>
            </w: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9,010</w:t>
            </w: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w:t>
            </w: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8,377</w:t>
            </w: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w:t>
            </w:r>
          </w:p>
        </w:tc>
      </w:tr>
      <w:tr>
        <w:trPr>
          <w:trHeight w:val="216"/>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55,858</w:t>
            </w:r>
          </w:p>
        </w:tc>
      </w:tr>
      <w:tr>
        <w:trPr>
          <w:trHeight w:val="209"/>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97,386</w:t>
            </w:r>
          </w:p>
        </w:tc>
      </w:tr>
      <w:tr>
        <w:trPr>
          <w:trHeight w:val="216"/>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(34,332)</w:t>
            </w:r>
          </w:p>
        </w:tc>
      </w:tr>
      <w:tr>
        <w:trPr>
          <w:trHeight w:val="210"/>
        </w:trPr>
        <w:tc>
          <w:tcPr>
            <w:tcW w:w="6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2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63,054</w:t>
            </w:r>
          </w:p>
        </w:tc>
      </w:tr>
      <w:tr>
        <w:trPr>
          <w:trHeight w:val="20"/>
        </w:trPr>
        <w:tc>
          <w:tcPr>
            <w:tcW w:w="6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Goodwill</w:t>
      </w:r>
    </w:p>
    <w:p>
      <w:pPr>
        <w:spacing w:after="0" w:line="229"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Changes in the carrying amount of goodwill occurring during the years ended December 31, 2025 and 2024 were as follows: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420" w:type="dxa"/>
            <w:vAlign w:val="bottom"/>
            <w:gridSpan w:val="2"/>
          </w:tcPr>
          <w:p>
            <w:pPr>
              <w:jc w:val="right"/>
              <w:ind w:right="176"/>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6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192,994</w:t>
            </w:r>
          </w:p>
        </w:tc>
        <w:tc>
          <w:tcPr>
            <w:tcW w:w="40" w:type="dxa"/>
            <w:vAlign w:val="bottom"/>
          </w:tcPr>
          <w:p>
            <w:pPr>
              <w:spacing w:after="0"/>
              <w:rPr>
                <w:sz w:val="18"/>
                <w:szCs w:val="18"/>
                <w:color w:val="auto"/>
              </w:rPr>
            </w:pPr>
          </w:p>
        </w:tc>
        <w:tc>
          <w:tcPr>
            <w:tcW w:w="4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192,994</w:t>
            </w:r>
          </w:p>
        </w:tc>
        <w:tc>
          <w:tcPr>
            <w:tcW w:w="20" w:type="dxa"/>
            <w:vAlign w:val="bottom"/>
          </w:tcPr>
          <w:p>
            <w:pPr>
              <w:spacing w:after="0"/>
              <w:rPr>
                <w:sz w:val="18"/>
                <w:szCs w:val="18"/>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(76,883)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(76,883)</w:t>
            </w:r>
          </w:p>
        </w:tc>
        <w:tc>
          <w:tcPr>
            <w:tcW w:w="20" w:type="dxa"/>
            <w:vAlign w:val="bottom"/>
          </w:tcPr>
          <w:p>
            <w:pPr>
              <w:spacing w:after="0"/>
              <w:rPr>
                <w:sz w:val="18"/>
                <w:szCs w:val="18"/>
                <w:color w:val="auto"/>
              </w:rPr>
            </w:pPr>
          </w:p>
        </w:tc>
      </w:tr>
      <w:tr>
        <w:trPr>
          <w:trHeight w:val="210"/>
        </w:trPr>
        <w:tc>
          <w:tcPr>
            <w:tcW w:w="6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116,111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116,111</w:t>
            </w:r>
          </w:p>
        </w:tc>
        <w:tc>
          <w:tcPr>
            <w:tcW w:w="20" w:type="dxa"/>
            <w:vAlign w:val="bottom"/>
          </w:tcPr>
          <w:p>
            <w:pPr>
              <w:spacing w:after="0"/>
              <w:rPr>
                <w:sz w:val="18"/>
                <w:szCs w:val="18"/>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192,994</w:t>
            </w:r>
          </w:p>
        </w:tc>
        <w:tc>
          <w:tcPr>
            <w:tcW w:w="40" w:type="dxa"/>
            <w:vAlign w:val="bottom"/>
          </w:tcPr>
          <w:p>
            <w:pPr>
              <w:spacing w:after="0"/>
              <w:rPr>
                <w:sz w:val="18"/>
                <w:szCs w:val="18"/>
                <w:color w:val="auto"/>
              </w:rPr>
            </w:pPr>
          </w:p>
        </w:tc>
        <w:tc>
          <w:tcPr>
            <w:tcW w:w="4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192,994</w:t>
            </w:r>
          </w:p>
        </w:tc>
        <w:tc>
          <w:tcPr>
            <w:tcW w:w="20" w:type="dxa"/>
            <w:vAlign w:val="bottom"/>
          </w:tcPr>
          <w:p>
            <w:pPr>
              <w:spacing w:after="0"/>
              <w:rPr>
                <w:sz w:val="18"/>
                <w:szCs w:val="18"/>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(76,883)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(76,883)</w:t>
            </w:r>
          </w:p>
        </w:tc>
        <w:tc>
          <w:tcPr>
            <w:tcW w:w="20" w:type="dxa"/>
            <w:vAlign w:val="bottom"/>
          </w:tcPr>
          <w:p>
            <w:pPr>
              <w:spacing w:after="0"/>
              <w:rPr>
                <w:sz w:val="18"/>
                <w:szCs w:val="18"/>
                <w:color w:val="auto"/>
              </w:rPr>
            </w:pPr>
          </w:p>
        </w:tc>
      </w:tr>
      <w:tr>
        <w:trPr>
          <w:trHeight w:val="210"/>
        </w:trPr>
        <w:tc>
          <w:tcPr>
            <w:tcW w:w="6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116,111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116,111</w:t>
            </w:r>
          </w:p>
        </w:tc>
        <w:tc>
          <w:tcPr>
            <w:tcW w:w="20" w:type="dxa"/>
            <w:vAlign w:val="bottom"/>
          </w:tcPr>
          <w:p>
            <w:pPr>
              <w:spacing w:after="0"/>
              <w:rPr>
                <w:sz w:val="18"/>
                <w:szCs w:val="18"/>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192,994</w:t>
            </w:r>
          </w:p>
        </w:tc>
        <w:tc>
          <w:tcPr>
            <w:tcW w:w="40" w:type="dxa"/>
            <w:vAlign w:val="bottom"/>
          </w:tcPr>
          <w:p>
            <w:pPr>
              <w:spacing w:after="0"/>
              <w:rPr>
                <w:sz w:val="18"/>
                <w:szCs w:val="18"/>
                <w:color w:val="auto"/>
              </w:rPr>
            </w:pPr>
          </w:p>
        </w:tc>
        <w:tc>
          <w:tcPr>
            <w:tcW w:w="4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192,994</w:t>
            </w:r>
          </w:p>
        </w:tc>
        <w:tc>
          <w:tcPr>
            <w:tcW w:w="20" w:type="dxa"/>
            <w:vAlign w:val="bottom"/>
          </w:tcPr>
          <w:p>
            <w:pPr>
              <w:spacing w:after="0"/>
              <w:rPr>
                <w:sz w:val="18"/>
                <w:szCs w:val="18"/>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(76,883)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(76,883)</w:t>
            </w:r>
          </w:p>
        </w:tc>
        <w:tc>
          <w:tcPr>
            <w:tcW w:w="20" w:type="dxa"/>
            <w:vAlign w:val="bottom"/>
          </w:tcPr>
          <w:p>
            <w:pPr>
              <w:spacing w:after="0"/>
              <w:rPr>
                <w:sz w:val="18"/>
                <w:szCs w:val="18"/>
                <w:color w:val="auto"/>
              </w:rPr>
            </w:pPr>
          </w:p>
        </w:tc>
      </w:tr>
      <w:tr>
        <w:trPr>
          <w:trHeight w:val="210"/>
        </w:trPr>
        <w:tc>
          <w:tcPr>
            <w:tcW w:w="6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116,111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116,111</w:t>
            </w:r>
          </w:p>
        </w:tc>
        <w:tc>
          <w:tcPr>
            <w:tcW w:w="2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8"/>
        </w:trPr>
        <w:tc>
          <w:tcPr>
            <w:tcW w:w="6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560"/>
        </w:trPr>
        <w:tc>
          <w:tcPr>
            <w:tcW w:w="6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Intangible Assets, Net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intangible assets, net as of December 31, 2025 and 2024:</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6"/>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720" w:type="dxa"/>
            <w:vAlign w:val="bottom"/>
            <w:tcBorders>
              <w:bottom w:val="single" w:sz="8" w:color="auto"/>
            </w:tcBorders>
          </w:tcPr>
          <w:p>
            <w:pPr>
              <w:spacing w:after="0"/>
              <w:rPr>
                <w:sz w:val="15"/>
                <w:szCs w:val="15"/>
                <w:color w:val="auto"/>
              </w:rPr>
            </w:pPr>
          </w:p>
        </w:tc>
      </w:tr>
      <w:tr>
        <w:trPr>
          <w:trHeight w:val="131"/>
        </w:trPr>
        <w:tc>
          <w:tcPr>
            <w:tcW w:w="5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73"/>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320" w:type="dxa"/>
            <w:vAlign w:val="bottom"/>
            <w:gridSpan w:val="2"/>
          </w:tcPr>
          <w:p>
            <w:pPr>
              <w:jc w:val="right"/>
              <w:ind w:right="36"/>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340" w:type="dxa"/>
            <w:vAlign w:val="bottom"/>
            <w:gridSpan w:val="6"/>
          </w:tcPr>
          <w:p>
            <w:pPr>
              <w:jc w:val="right"/>
              <w:ind w:right="36"/>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14"/>
                <w:szCs w:val="14"/>
                <w:b w:val="1"/>
                <w:bCs w:val="1"/>
                <w:color w:val="auto"/>
              </w:rPr>
              <w:t>Amortization</w:t>
            </w:r>
            <w:r>
              <w:rPr>
                <w:rFonts w:ascii="Arial" w:cs="Arial" w:eastAsia="Arial" w:hAnsi="Arial"/>
                <w:sz w:val="14"/>
                <w:szCs w:val="14"/>
                <w:color w:val="auto"/>
              </w:rPr>
              <w:t xml:space="preserve"> ​​​</w:t>
            </w: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09"/>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106,741</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Favorable lease asset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150,175</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(43,034)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107,141</w:t>
            </w:r>
          </w:p>
        </w:tc>
      </w:tr>
      <w:tr>
        <w:trPr>
          <w:trHeight w:val="20"/>
        </w:trPr>
        <w:tc>
          <w:tcPr>
            <w:tcW w:w="5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58"/>
        </w:trPr>
        <w:tc>
          <w:tcPr>
            <w:tcW w:w="5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720" w:type="dxa"/>
            <w:vAlign w:val="bottom"/>
            <w:tcBorders>
              <w:bottom w:val="single" w:sz="8" w:color="auto"/>
            </w:tcBorders>
          </w:tcPr>
          <w:p>
            <w:pPr>
              <w:spacing w:after="0"/>
              <w:rPr>
                <w:sz w:val="24"/>
                <w:szCs w:val="24"/>
                <w:color w:val="auto"/>
              </w:rPr>
            </w:pPr>
          </w:p>
        </w:tc>
      </w:tr>
      <w:tr>
        <w:trPr>
          <w:trHeight w:val="131"/>
        </w:trPr>
        <w:tc>
          <w:tcPr>
            <w:tcW w:w="5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73"/>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320" w:type="dxa"/>
            <w:vAlign w:val="bottom"/>
            <w:gridSpan w:val="2"/>
          </w:tcPr>
          <w:p>
            <w:pPr>
              <w:jc w:val="right"/>
              <w:ind w:right="36"/>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340" w:type="dxa"/>
            <w:vAlign w:val="bottom"/>
            <w:gridSpan w:val="6"/>
          </w:tcPr>
          <w:p>
            <w:pPr>
              <w:jc w:val="right"/>
              <w:ind w:right="36"/>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14"/>
                <w:szCs w:val="14"/>
                <w:b w:val="1"/>
                <w:bCs w:val="1"/>
                <w:color w:val="auto"/>
              </w:rPr>
              <w:t>Amortization</w:t>
            </w:r>
            <w:r>
              <w:rPr>
                <w:rFonts w:ascii="Arial" w:cs="Arial" w:eastAsia="Arial" w:hAnsi="Arial"/>
                <w:sz w:val="14"/>
                <w:szCs w:val="14"/>
                <w:color w:val="auto"/>
              </w:rPr>
              <w:t xml:space="preserve"> ​​​</w:t>
            </w: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09"/>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(34,197)</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114,451</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Favorable lease asset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150,111</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(35,232)</w:t>
            </w:r>
          </w:p>
        </w:tc>
        <w:tc>
          <w:tcPr>
            <w:tcW w:w="18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114,879</w:t>
            </w:r>
          </w:p>
        </w:tc>
      </w:tr>
      <w:tr>
        <w:trPr>
          <w:trHeight w:val="20"/>
        </w:trPr>
        <w:tc>
          <w:tcPr>
            <w:tcW w:w="5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Amortization expense of intangible assets was $7.8 million, $8.1 million and $8.2 million for the years ended</w:t>
      </w:r>
    </w:p>
    <w:p>
      <w:pPr>
        <w:spacing w:after="0" w:line="27" w:lineRule="exact"/>
        <w:rPr>
          <w:sz w:val="20"/>
          <w:szCs w:val="20"/>
          <w:color w:val="auto"/>
        </w:rPr>
      </w:pPr>
    </w:p>
    <w:p>
      <w:pPr>
        <w:ind w:left="60" w:right="199"/>
        <w:spacing w:after="0" w:line="260" w:lineRule="auto"/>
        <w:rPr>
          <w:sz w:val="20"/>
          <w:szCs w:val="20"/>
          <w:color w:val="auto"/>
        </w:rPr>
      </w:pPr>
      <w:r>
        <w:rPr>
          <w:rFonts w:ascii="Times New Roman" w:cs="Times New Roman" w:eastAsia="Times New Roman" w:hAnsi="Times New Roman"/>
          <w:sz w:val="18"/>
          <w:szCs w:val="18"/>
          <w:color w:val="auto"/>
        </w:rPr>
        <w:t>December 31, 2025, 2024 and 2023, respectively. As of December 31, 2025, the weighted average useful life for definite-lived intangibles is approximately 20 years.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estimated amortization expense for intangible assets subject to amortization over the next five years is:</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CCEEFF"/>
            </w:tcBorders>
            <w:gridSpan w:val="2"/>
          </w:tcPr>
          <w:p>
            <w:pPr>
              <w:jc w:val="right"/>
              <w:ind w:right="156"/>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7,792</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68,195</w:t>
            </w:r>
          </w:p>
        </w:tc>
        <w:tc>
          <w:tcPr>
            <w:tcW w:w="0" w:type="dxa"/>
            <w:vAlign w:val="bottom"/>
          </w:tcPr>
          <w:p>
            <w:pPr>
              <w:spacing w:after="0"/>
              <w:rPr>
                <w:sz w:val="1"/>
                <w:szCs w:val="1"/>
                <w:color w:val="auto"/>
              </w:rPr>
            </w:pPr>
          </w:p>
        </w:tc>
      </w:tr>
      <w:tr>
        <w:trPr>
          <w:trHeight w:val="209"/>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107,141</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12. Debt</w:t>
            </w: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Our long-term debt as of December 31, 2025 and 2024 was as follows:</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1400" w:type="dxa"/>
            <w:vAlign w:val="bottom"/>
            <w:gridSpan w:val="5"/>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December 31, 2025</w:t>
            </w:r>
          </w:p>
        </w:tc>
        <w:tc>
          <w:tcPr>
            <w:tcW w:w="140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6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145,469</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155,313</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Delayed draw term loan facility</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45,313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48,125</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112,500</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payable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102,000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72,000</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trade finance lines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82,640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54,659</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notes payable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6,360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loans</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526,789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447,727</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costs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(19,281)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(14,057)</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payable - related party, net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(49,706)</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(82,640)</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(54,659)</w:t>
            </w: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360,703</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325,880</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long-term debt payments required in each of the next five years and thereafter:</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740" w:type="dxa"/>
            <w:vAlign w:val="bottom"/>
            <w:tcBorders>
              <w:bottom w:val="single" w:sz="8" w:color="CCEEFF"/>
            </w:tcBorders>
            <w:gridSpan w:val="2"/>
          </w:tcPr>
          <w:p>
            <w:pPr>
              <w:jc w:val="right"/>
              <w:ind w:right="496"/>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tcPr>
          <w:p>
            <w:pPr>
              <w:spacing w:after="0"/>
              <w:rPr>
                <w:sz w:val="14"/>
                <w:szCs w:val="14"/>
                <w:color w:val="auto"/>
              </w:rPr>
            </w:pPr>
          </w:p>
        </w:tc>
      </w:tr>
      <w:tr>
        <w:trPr>
          <w:trHeight w:val="209"/>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19,281</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319,508</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72,000</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09"/>
        </w:trPr>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444,149</w:t>
            </w:r>
          </w:p>
        </w:tc>
      </w:tr>
      <w:tr>
        <w:trPr>
          <w:trHeight w:val="20"/>
        </w:trPr>
        <w:tc>
          <w:tcPr>
            <w:tcW w:w="7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7"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The Company is party to a credit agreement (as amended, modified or supplemented, the “Credit Agreement”) among the Company, Westrock Beverage Solutions, LLC, as the borrower (the “Borrower”), Wells Fargo Bank, N.A., as administrative agent, collateral agent, and swingline lender, Wells Fargo Securities, LLC, as sustainability structuring agent, and each issuing bank and lender party thereto. The Credit Agreement includes (a) a senior secured first lien revolving credit facility in an aggregate principal amount of $200.0 million (the “Revolving Credit Facility”), (b) a senior secured first lien term loan facility in an aggregate principal amount of $175.0 million (the “Term Loan Facility”), and (c) incremental term loan commitments in the form of a senior secured delayed draw term loan credit facility (the “Delayed Draw Term Loan Facility”) in the aggregate principal amount of $50.0 million. The Revolving Credit Facility, the Term Loan Facility and the Delayed Draw Term Loan Facility will mature on August 29, 2027. All obligations under the Credit Agreement are guaranteed by the Company and each of the Borrower’s domestic subsidiaries, which comprise our Beverage Solutions segment, and are secured by substantially all of the Company’s assets.</w:t>
      </w:r>
    </w:p>
    <w:p>
      <w:pPr>
        <w:spacing w:after="0" w:line="19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Borrowings under the Revolving Credit Facility, the Term Loan Facility and the Delayed Draw Term Loan Facility will bear interest, at the Borrower’s option, initially at an annual rate equal to (a) term SOFR plus a credit spread adjustment of 0.10% for loans with an interest period of one month, 0.15% for loans with an interest period of three months and 0.25% for loans with an interest period of six months, as applicable, (the “Adjusted Term SOFR”) or (b) the base rate (determined by reference to the greatest of (i) the rate of interest last quoted by The Wall Street Journal in the United States as the prime rate in effect, (ii) the NYFRB Rate from time to time plus 0.50% and (iii) the Adjusted Term SOFR for a one month interest period plus 1.00%, (the “Base Rate”)), in each case plus an applicable margin.</w:t>
      </w:r>
    </w:p>
    <w:p>
      <w:pPr>
        <w:spacing w:after="0" w:line="189" w:lineRule="exact"/>
        <w:rPr>
          <w:sz w:val="20"/>
          <w:szCs w:val="20"/>
          <w:color w:val="auto"/>
        </w:rPr>
      </w:pPr>
    </w:p>
    <w:p>
      <w:pPr>
        <w:ind w:left="60" w:right="559"/>
        <w:spacing w:after="0" w:line="261" w:lineRule="auto"/>
        <w:rPr>
          <w:sz w:val="20"/>
          <w:szCs w:val="20"/>
          <w:color w:val="auto"/>
        </w:rPr>
      </w:pPr>
      <w:r>
        <w:rPr>
          <w:rFonts w:ascii="Times New Roman" w:cs="Times New Roman" w:eastAsia="Times New Roman" w:hAnsi="Times New Roman"/>
          <w:sz w:val="18"/>
          <w:szCs w:val="18"/>
          <w:color w:val="auto"/>
        </w:rPr>
        <w:t>At December 31, 2025, we had $145.0 million of outstanding borrowings under the Revolving Credit Facility, with a weighted average interest rate of 7.9%, and we had $2.0 million of standby letters of credit outstanding. At</w:t>
      </w:r>
    </w:p>
    <w:p>
      <w:pPr>
        <w:ind w:left="60" w:right="219"/>
        <w:spacing w:after="0" w:line="260" w:lineRule="auto"/>
        <w:rPr>
          <w:sz w:val="20"/>
          <w:szCs w:val="20"/>
          <w:color w:val="auto"/>
        </w:rPr>
      </w:pPr>
      <w:r>
        <w:rPr>
          <w:rFonts w:ascii="Times New Roman" w:cs="Times New Roman" w:eastAsia="Times New Roman" w:hAnsi="Times New Roman"/>
          <w:sz w:val="18"/>
          <w:szCs w:val="18"/>
          <w:color w:val="auto"/>
        </w:rPr>
        <w:t>December 31, 2025, the interest rate applicable to our Term Loan Facility was 7.9% and the interest rate applicable to our Delayed Draw Term Loan Facility was 8.2%.</w:t>
      </w:r>
    </w:p>
    <w:p>
      <w:pPr>
        <w:spacing w:after="0" w:line="181"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On February 15, 2024, the Company entered into Amendment No. 3 (the “Third Amendment”) to the Credit Agreement. The Third Amendment modified the existing covenant relief period (the “Covenant Relief Period”), which commenced on June 30, 2023, and amended the thresholds for compliance with the Company’s (i) secured net leverage ratio, and (ii) interest coverage ratio, which were further amended by the Fourth and Fifth Amendments as described below. The Third Amendment permits the Company to issue convertible notes, including the 2029 Convertible Notes, and limited the Company’s ability to incur additional indebtedness and make investments, restricted payments and junior debt restricted payments.</w:t>
      </w:r>
    </w:p>
    <w:p>
      <w:pPr>
        <w:spacing w:after="0" w:line="18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Credit Agreement, as amended through the Third Amendment, also includes (i) a minimum liquidity covenant requiring the Borrower not to permit its liquidity, measured as of the last business day of each calendar month commencing March 29, 2024, to be less than $15 million and (ii) an anti-cash hoarding covenant, which shall be effective only during the Covenant Relief Period, requiring the Borrower to have no more than $20 million of unrestricted cash, as defined within the Third Amendment of the Credit Agreement, on the last day of each calendar month when revolving loans or letters of credit are outstanding or on the date of borrowing of a revolving loan.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On January 15, 2025, the Company, entered into an Incremental Assumption Agreement and Amendment No. 4 (the “Fourth Amendment”) to the Credit Agreement. The Fourth Amendment expanded the syndicate to include member banks from the Farm Credit System and increased the amount of revolving facility commitments (the “Existing Revolving Facility Commitments”, and any loans thereunder, the “Existing Revolving Loans”) available to the Borrower under the Credit Agreement by $25.0 million (the “Incremental Revolving Facility Commitments” and any loans thereunder, the “Incremental Revolving Loans”). The amount of revolving facility commitments available to the Borrower under the Credit Agreement, as amended through the Fourth Amendment, is $200.0 million. The Incremental Revolving Facility Commitments and the Incremental Revolving Loans are subject to the same interest rates, commitment fees, maturity dates and other terms as the Existing Revolving Facility Commitments and the Existing Revolving Loans.</w:t>
      </w:r>
    </w:p>
    <w:p>
      <w:pPr>
        <w:spacing w:after="0" w:line="188"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The Fourth Amendment also modified the secured net leverage ratio that the Company must comply with during the Covenant Relief Period and clarified that the Company’s minimum liquidity covenant will not apply after the Covenant Relief Period ends.</w:t>
      </w:r>
    </w:p>
    <w:p>
      <w:pPr>
        <w:spacing w:after="0" w:line="1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On November 4, 2025, the Company entered into Amendment No. 5 (the “Fifth Amendment”) to the Credit Agreement. The Fifth Amendment modified and extended the existing Covenant Relief Period, which commenced on June 30, 2023, and will end on the earlier to occur of (i) October 1, 2026 and (ii) any date following June 30, 2024, on which the Borrower elects to terminate the Covenant Relief Period subject to satisfaction of certain conditions.</w:t>
      </w:r>
    </w:p>
    <w:p>
      <w:pPr>
        <w:spacing w:after="0" w:line="180"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During the Covenant Relief Period, the Borrower’s ability to incur additional indebtedness and make investments, restricted payments and junior debt restricted payments is more limited. The Fifth Amendment permitted the Borrower to issue convertible notes, including the 2031 Convertible Notes.</w:t>
      </w:r>
    </w:p>
    <w:p>
      <w:pPr>
        <w:spacing w:after="0" w:line="17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The Fifth Amendment modified the secured net leverage ratio that the Company must comply with during the Covenant Relief Period to increase the maximum secured net leverage ratio to (a) 5.50x for the test period ending December 31, 2025, (b) 5.25x for the test period ending March 31, 2026, (c) 5.00x for the test period ending June 30, 2026, (d) 4.50x for the test period ending September 30, 2026 and (e) 4.00x for the test period ending December 31, 2026. In addition, the Fifth Amendment lowered the interest coverage ratio that the Company must comply with to permit the interest coverage ratio as of the last day of any test period to be less than (a) on and prior to December 31, 2025, 1.50x, (b) on January 1, 2026 and on or prior to September 30, 2026, 1.75x and (c) on October 1, 2026 and thereafter, 2.00x. As of the date of this Annual Report on Form 10-K, the Company was in compliance with its financial covenants.</w:t>
      </w:r>
    </w:p>
    <w:p>
      <w:pPr>
        <w:spacing w:after="0" w:line="192"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Term Loan Facility and Delayed Draw Term Loan Facility require quarterly principal payments totaling approximately $4.2 million (1.875% of the original principal balance), increasing to approximately $5.6 million (2.5% of the original principal balance) during the final year of the agreements.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27" w:lineRule="exact"/>
        <w:rPr>
          <w:sz w:val="20"/>
          <w:szCs w:val="20"/>
          <w:color w:val="auto"/>
        </w:rPr>
      </w:pPr>
    </w:p>
    <w:p>
      <w:pPr>
        <w:jc w:val="both"/>
        <w:ind w:left="60" w:right="139"/>
        <w:spacing w:after="0" w:line="261" w:lineRule="auto"/>
        <w:rPr>
          <w:sz w:val="20"/>
          <w:szCs w:val="20"/>
          <w:color w:val="auto"/>
        </w:rPr>
      </w:pPr>
      <w:r>
        <w:rPr>
          <w:rFonts w:ascii="Times New Roman" w:cs="Times New Roman" w:eastAsia="Times New Roman" w:hAnsi="Times New Roman"/>
          <w:sz w:val="18"/>
          <w:szCs w:val="18"/>
          <w:color w:val="auto"/>
        </w:rPr>
        <w:t>On February 15, 2024, the Company sold and issued in a private placement $72.0 million in aggregate principal amount of 5.00% convertible senior notes due 2029 (the “2029 Convertible Notes”), of which $50.0 million was from related parties (See Note 22). The 2029 Convertible Notes are unsecured, senior obligations of the Company and accrue interest at a rate of 5.00% per annum.</w:t>
      </w:r>
    </w:p>
    <w:p>
      <w:pPr>
        <w:spacing w:after="0" w:line="180"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The 2029 Convertible Notes are carried at amortized cost and are recorded in long-term debt, net and convertible notes payable – related party, net on the Consolidated Balance Sheets. At December 31, 2025, the carrying value of the 2029 Convertible Notes was $71.7 million, of which $49.8 million was from related parties. We incurred a total of $0.5 million of financing fees in connection with the 2029 Convertible Notes, which were ratably allocated to the convertible notes payable and the convertible notes payable – related party, respectively, and are being amortized into interest expense over the remaining term of the 2029 Convertible Notes utilizing the effective interest rate method.</w:t>
      </w:r>
    </w:p>
    <w:p>
      <w:pPr>
        <w:spacing w:after="0" w:line="187"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Pursuant to the terms of the 2029 Convertible Notes, noteholders may convert their 2029 Convertible Notes at their option only in the following circumstances: (i) during the period commencing on August 15, 2024, and prior to the close of business on the trading day immediately preceding August 15, 2028, if the closing price for at least 20 trading days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(whether or not consecutive) during the period of any 30 consecutive trading days in the immediately preceding calendar quarter is equal to or greater than 130% of the conversion price; (ii) during the period commencing on August 15, 2028, and prior to the close of business on the second scheduled trading day immediately preceding February 15, 2029, at any time; and (iii) during the 35 trading days following the effective date of certain fundamental change transactions that occur prior to the close of business on the trading day immediately preceding August 15, 2028.</w:t>
      </w:r>
    </w:p>
    <w:p>
      <w:pPr>
        <w:spacing w:after="0" w:line="183"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Company will settle conversions by paying or delivering, as applicable, at the Company’s election, cash, Common Shares, or a combination of cash and Common Shares. The Company may not issue more than 19.99% of the issued and outstanding Common Shares immediately prior to the issuance of the 2029 Convertible Notes in respect of the conversion of the 2029 Convertible Notes. The initial conversion price of the 2029 Convertible Notes is $12.84, which corresponds to an initial conversion rate of approximately 77.88 Common Shares per $1,000 principal amount of 2029 Convertible Notes. The conversion price and conversion rate are subject to customary adjustments.</w:t>
      </w:r>
    </w:p>
    <w:p>
      <w:pPr>
        <w:spacing w:after="0" w:line="187"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On November 4, 2025, the Company sold and issued in a private placement $30.0 million in aggregate principal amount of 5.00% convertible senior notes due 2031 (the “2031 Convertible Notes”), of which $11.5 million was from related parties. The 2031 Convertible Notes are unsecured, senior obligations of the Company and accrue interest at a rate of 5.00% per annum.</w:t>
      </w:r>
    </w:p>
    <w:p>
      <w:pPr>
        <w:spacing w:after="0" w:line="180"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The 2031 Convertible Notes are carried at amortized cost and are recorded in long-term debt, net and convertible notes payable – related party, net on the Consolidated Balance Sheets. At December 31, 2025, the carrying value of the 2031 Convertible Notes was $28.9 million, of which $11.1 million was from related parties. We incurred a total of $1.2 million of financing fees in connection with the 2031 Convertible Notes, which were ratably allocated to the convertible notes payable and the convertible notes payable – related party, respectively, and are being amortized into interest expense over the remaining term of the 2031 Convertible Notes utilizing the effective interest rate method.</w:t>
      </w:r>
    </w:p>
    <w:p>
      <w:pPr>
        <w:spacing w:after="0" w:line="18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Pursuant to the terms of the 2031 Convertible Notes, noteholders may convert their 2031 Convertible Notes at their option only in the following circumstances: (i) during the period commencing on May 4, 2026, and prior to the close of business on the trading day immediately preceding August 15, 2030, if the closing price for at least 20 trading days (whether or not consecutive) during the period of any 30 consecutive trading days in the immediately preceding calendar quarter is equal to or greater than 130% of the conversion price; (ii) during the period commencing on August 15, 2030, and prior to the close of business on the second scheduled trading day immediately preceding February 15, 2031, at any time; and (iii) during the 35 trading days following the effective date of certain fundamental change transactions that occur prior to the close of business on the trading day immediately preceding August 15, 2030.</w:t>
      </w:r>
    </w:p>
    <w:p>
      <w:pPr>
        <w:spacing w:after="0" w:line="192"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The Company will settle conversions by paying or delivering, as applicable, at the Company’s election, cash, Common Shares or a combination of cash and Common Shares. The initial conversion price of the 2031 Convertible Notes is $5.25, which corresponds to an initial conversion rate of approximately 190.48 Common Shares per $1,000 principal amount of 2031 Convertible Notes. At this initial conversion price, the 2031 Convertible Notes are convertible into approximately 5.7 million Common Shares. The conversion price and conversion rate are subject to customary adjustments, provided that the Company may not issue more than 19.99% of the issued and outstanding Common Shares immediately prior to the issuance of the 2031 Convertible Notes in respect of the conversion of the 2031 Convertible Notes.</w:t>
      </w:r>
    </w:p>
    <w:p>
      <w:pPr>
        <w:spacing w:after="0" w:line="189" w:lineRule="exact"/>
        <w:rPr>
          <w:sz w:val="20"/>
          <w:szCs w:val="20"/>
          <w:color w:val="auto"/>
        </w:rPr>
      </w:pPr>
    </w:p>
    <w:p>
      <w:pPr>
        <w:ind w:left="60" w:right="239"/>
        <w:spacing w:after="0" w:line="254" w:lineRule="auto"/>
        <w:rPr>
          <w:sz w:val="20"/>
          <w:szCs w:val="20"/>
          <w:color w:val="auto"/>
        </w:rPr>
      </w:pPr>
      <w:r>
        <w:rPr>
          <w:rFonts w:ascii="Times New Roman" w:cs="Times New Roman" w:eastAsia="Times New Roman" w:hAnsi="Times New Roman"/>
          <w:sz w:val="18"/>
          <w:szCs w:val="18"/>
          <w:color w:val="auto"/>
        </w:rPr>
        <w:t>The 2031 Convertible Notes do not contain any financial or operating covenants or restrictions on the payments of dividends, the incurrence of indebtedness or the issuance or repurchase of securities by the Company or any of its subsidiaries. The 2031 Convertible Notes contain customary terms regarding events of default. If any event of default (other than certain events of bankruptcy, insolvency or reorganization involving the Company) occurs and is continuing, then each noteholder may, by written notice to the Company, declare the principal amount of, and all accrued and unpaid interest on, such noteholder’s 2031 Convertible Notes to become due and payable immediately. If an event of default involving certain events of bankruptcy, insolvency or reorganization occurs, then the principal amount of, and all accrued and unpaid interest on, all of the 2031 Convertible Notes then outstanding will immediately become due and payable without any further action or notice by any person.</w:t>
      </w:r>
    </w:p>
    <w:p>
      <w:pPr>
        <w:spacing w:after="0" w:line="200" w:lineRule="exact"/>
        <w:rPr>
          <w:sz w:val="20"/>
          <w:szCs w:val="20"/>
          <w:color w:val="auto"/>
        </w:rPr>
      </w:pPr>
    </w:p>
    <w:p>
      <w:pPr>
        <w:spacing w:after="0" w:line="20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International Debt and Lending Facilities</w:t>
      </w:r>
    </w:p>
    <w:p>
      <w:pPr>
        <w:spacing w:after="0" w:line="22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On March 21, 2023, we entered into a $70 million working capital trade finance facility with multiple financial institutions through our subsidiary, Falcon. The facility is uncommitted and repayable on demand, with certain of Falcon’s assets pledged as collateral against the facility. The facility matured one year from inception. Borrowings under the facility bore interest at the borrower’s option at a rate equal to (a) Term SOFR, plus a margin of 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w:t>
      </w:r>
    </w:p>
    <w:p>
      <w:pPr>
        <w:spacing w:after="0" w:line="189"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color w:val="auto"/>
        </w:rPr>
        <w:t>On March 8, 2024, Falcon renewed its working capital trade finance facility with multiple institutions. The facility size was reduced from $70.0 million to $55.0 million and remains uncommitted and repayable on demand, with certain of Falcon’s assets pledged as collateral against the facility. The facility will mature one year from inception. Borrowings under the facility will bear interest at the borrower’s option at a rate equal to (a) Term SOFR plus a margin of 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w:t>
      </w:r>
    </w:p>
    <w:p>
      <w:pPr>
        <w:spacing w:after="0" w:line="171"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On August 21, 2024, Falcon amended its working capital trade finance facility, increasing the facility size from $55.0 million to $75.0 million. The interest rates and maturity date were unchanged as a result of the amendment.</w:t>
      </w:r>
    </w:p>
    <w:p>
      <w:pPr>
        <w:spacing w:after="0" w:line="162"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color w:val="auto"/>
        </w:rPr>
        <w:t>On March 7, 2025, Falcon renewed its working capital trade finance facility with multiple institutions. The facility size was increased from $75.0 million to $85.0 million and remains uncommitted and repayable on demand, with certain of Falcon’s assets pledged as collateral against the facility. The facility will mature one year from inception. Borrowings under the facility bear interest at the borrower’s option at a rate equal to (a) Term SOFR plus a margin of 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w:t>
      </w:r>
    </w:p>
    <w:p>
      <w:pPr>
        <w:spacing w:after="0" w:line="171"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On July 23, 2025, Falcon amended its working capital trade finance facility with multiple institutions. The facility size was increased from $85.0 million to $102.5 million and remains uncommitted and repayable on demand, with certain of Falcon’s assets pledged as collateral against the facility.</w:t>
      </w:r>
    </w:p>
    <w:p>
      <w:pPr>
        <w:spacing w:after="0" w:line="176"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At December 31, 2025, there was $82.6 million of outstanding borrowings under the facility, which is recorded in short-term debt in the Consolidated Balance Sheets. Falcon’s facility contains certain restrictive financial covenants which require Falcon to maintain certain levels of working capital, debt, and net worth. Falcon was in compliance with these financial covenants as of December 31, 2025.</w:t>
      </w:r>
    </w:p>
    <w:p>
      <w:pPr>
        <w:spacing w:after="0" w:line="180"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On September 28, 2023, we entered into a $5.0 million unsecured working capital trade finance facility with responsAbility Climate Smart Agriculture &amp; Food Systems Fund through Falcon. The facility will mature on December 31, 2026, and requires stepped repayments of $0.5 million on December 31, 2024, $1.0 million on December 31, 2025 and $3.5 million on December 31, 2026. Borrowings under the facility bear interest at the borrower’s option at a rate equal to (a) (i) the most recent applicable Term SOFR for the longest period (for which Term SOFR is available) which is less than the applicable interest period of the loan or (ii) if no such Term SOFR is available for a period which is less than the applicable interest period, SOFR for the day which is two U.S. Government Securities Business Days, as defined in the facility, before the Quotation Day, as defined in the facility; or (b) the most recent applicable Term SOFR (as of the Quotation Day) for the shortest period (for which Term SOFR is available) which exceeds the applicable interest period of that loan, in each case plus the applicable margin.</w:t>
      </w:r>
    </w:p>
    <w:p>
      <w:pPr>
        <w:spacing w:after="0" w:line="194" w:lineRule="exact"/>
        <w:rPr>
          <w:sz w:val="20"/>
          <w:szCs w:val="20"/>
          <w:color w:val="auto"/>
        </w:rPr>
      </w:pPr>
    </w:p>
    <w:p>
      <w:pPr>
        <w:ind w:left="60" w:right="539"/>
        <w:spacing w:after="0" w:line="312" w:lineRule="auto"/>
        <w:rPr>
          <w:sz w:val="20"/>
          <w:szCs w:val="20"/>
          <w:color w:val="auto"/>
        </w:rPr>
      </w:pPr>
      <w:r>
        <w:rPr>
          <w:rFonts w:ascii="Times New Roman" w:cs="Times New Roman" w:eastAsia="Times New Roman" w:hAnsi="Times New Roman"/>
          <w:sz w:val="17"/>
          <w:szCs w:val="17"/>
          <w:color w:val="auto"/>
        </w:rPr>
        <w:t>On December 16, 2025, Falcon amended its working capital trade finance facility with responsAbility Climate Smart Agriculture &amp; Food Systems Fund. The amendment extended the maturity date on the then remaining outstanding</w:t>
      </w:r>
    </w:p>
    <w:p>
      <w:pPr>
        <w:spacing w:after="0" w:line="35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balance of $3.5 million to March 31, 2028, and requires stepped repayments of $1.0 million during 2026, $2.0 million during 2027 and $0.5 million on March 31, 2028. On December 16, 2025, Falcon obtained an additional $2.9 million loan with responsAbility Climate Smart Agriculture &amp; Food Systems Fund. The facility will mature on December 31, 2028 and requires stepped repayments of $2.9 million throughout 2028.</w:t>
      </w:r>
    </w:p>
    <w:p>
      <w:pPr>
        <w:spacing w:after="0" w:line="180"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At December 31, 2025, there was $6.4 million of outstanding borrowings under the facility, of which $5.4 million and $1.0 million is recorded in long-term debt, net and current maturities of long-term debt, respectively, on the Consolidated Balance Sheets. Falcon’s facility contains certain restrictive financial covenants which require Falcon to maintain certain levels of working capital, debt, and tangible net worth. Falcon was in compliance with these financial covenants as of December 31,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Series A Preferred Shares</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 has 23,510,527 Westrock Series A Preferred Shares outstanding, which rank senior to the Common Shares with respect to dividend rights and/or distribution rights upon the liquidation, winding up or dissolution, as applicable, of Westrock. Each holder of Westrock Series A Preferred Shares is entitled to vote, on an as-converted basis, as a single class with the holders of Common Shares and the holders of any other class or series of capital stock of Westrock then entitled to vote with the Common Shares on all matters submitted to a vote of the holders of Common Shares.</w:t>
      </w:r>
    </w:p>
    <w:p>
      <w:pPr>
        <w:spacing w:after="0" w:line="183" w:lineRule="exact"/>
        <w:rPr>
          <w:sz w:val="20"/>
          <w:szCs w:val="20"/>
          <w:color w:val="auto"/>
        </w:rPr>
      </w:pPr>
    </w:p>
    <w:p>
      <w:pPr>
        <w:ind w:left="60" w:right="119"/>
        <w:spacing w:after="0" w:line="272" w:lineRule="auto"/>
        <w:rPr>
          <w:sz w:val="20"/>
          <w:szCs w:val="20"/>
          <w:color w:val="auto"/>
        </w:rPr>
      </w:pPr>
      <w:r>
        <w:rPr>
          <w:rFonts w:ascii="Times New Roman" w:cs="Times New Roman" w:eastAsia="Times New Roman" w:hAnsi="Times New Roman"/>
          <w:sz w:val="17"/>
          <w:szCs w:val="17"/>
          <w:color w:val="auto"/>
        </w:rPr>
        <w:t>The initial liquidation preference of Westrock Series A Preferred Shares is $11.50 per share, plus any declared but unpaid dividends and subject to accretion under certain circumstances. In the event of our liquidation, dissolution or winding up, holders of Westrock Series A Preferred Shares are entitled to receive, per Westrock Series A Preferred Share, the greater of</w:t>
      </w:r>
    </w:p>
    <w:p>
      <w:pPr>
        <w:spacing w:after="0" w:line="2" w:lineRule="exact"/>
        <w:rPr>
          <w:sz w:val="20"/>
          <w:szCs w:val="20"/>
          <w:color w:val="auto"/>
        </w:rPr>
      </w:pPr>
    </w:p>
    <w:p>
      <w:pPr>
        <w:ind w:left="60" w:right="539" w:hanging="10"/>
        <w:spacing w:after="0" w:line="260" w:lineRule="auto"/>
        <w:tabs>
          <w:tab w:leader="none" w:pos="3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and (b) the amount such holder would have received had they converted their Westrock Series A Preferred Shares into Common Shares immediately prior to such liquidation event.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Holders of Westrock Series A Preferred Shares may voluntarily convert their Westrock Series A Preferred Shares into 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whole number of Common Shares at any time at a rate equal to the quotient of (a) the liquidation preference as of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applicable conversion date, divided by (b) the conversion price as of the applicable conversion date, which is currently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$11.50 per Westrock Series A Preferred Share, plus cash in lieu of fractional shares. The initial conversion price of $11.50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 Westrock Series A Preferred Share is subject to customary adjustments for the issuance of Common Shares as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dividend or distribution to the holders of Common Shares, a subdivision or combination of the Common Shares,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reclassification of the Common Shares into a greater or lesser number of Common Shares, certain tender or exchange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offers for the Common Shares, and issuances of Common Shares below a specified price.</w:t>
      </w:r>
    </w:p>
    <w:p>
      <w:pPr>
        <w:spacing w:after="0" w:line="20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After February 26, 2028, any holder of Westrock Series A Preferred Shares may require Westrock to redeem all or any whole number of such holder’s Westrock Series A Preferred Shares in cash, subject to applicable law and the terms of any credit 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Westrock Series A Preferred Share on the redemption notice date and (ii) the simple average of the daily volume weighted average price per Common Share for the ten trading days ending on and including the trading day immediately preceding the redemption notice date. Assuming that the liquidation preference of the Series A Preferred Shares remains $11.50 per share and all 23,510,527 Series A Preferred Shares outstanding at December 31, 2025 remain outstanding after February 26, 2028, we estimate an aggregate redemption payment of at least approximately $270.4 million.</w:t>
      </w:r>
    </w:p>
    <w:p>
      <w:pPr>
        <w:spacing w:after="0" w:line="194" w:lineRule="exact"/>
        <w:rPr>
          <w:sz w:val="20"/>
          <w:szCs w:val="20"/>
          <w:color w:val="auto"/>
        </w:rPr>
      </w:pPr>
    </w:p>
    <w:p>
      <w:pPr>
        <w:ind w:left="60" w:right="299"/>
        <w:spacing w:after="0" w:line="272" w:lineRule="auto"/>
        <w:rPr>
          <w:sz w:val="20"/>
          <w:szCs w:val="20"/>
          <w:color w:val="auto"/>
        </w:rPr>
      </w:pPr>
      <w:r>
        <w:rPr>
          <w:rFonts w:ascii="Times New Roman" w:cs="Times New Roman" w:eastAsia="Times New Roman" w:hAnsi="Times New Roman"/>
          <w:sz w:val="17"/>
          <w:szCs w:val="17"/>
          <w:color w:val="auto"/>
        </w:rPr>
        <w:t>At any time after February 26, 2028, Westrock may redeem, ratably, in whole or, from time to time in part, the Westrock Series A Preferred Shares of any holder then outstanding at the redemption price in cash, equal to the greater of (i) the liquidation preference and (ii) the product of (x) the number of Common Shares that would have been obtained from converting one Westrock Series A Preferred Share on the date of the exercise of such call is notified by Westrock (including fractional shares for this purpose) and (y) the simple average of the daily volume weighted average price per Common Share for the ten trading days ending on and including the trading day immediately preceding the date of the exercise of such call by Westrock. The redemption price for the Westrock Series A Preferred Shares held by controlled affiliates of Brown Brothers Harriman &amp; Co. (“BBH Investors”) may not be less than the $18.50 per Westrock Series A</w:t>
      </w:r>
    </w:p>
    <w:p>
      <w:pPr>
        <w:sectPr>
          <w:pgSz w:w="11900" w:h="16838" w:orient="portrait"/>
          <w:cols w:equalWidth="0" w:num="1">
            <w:col w:w="9019"/>
          </w:cols>
          <w:pgMar w:left="1440" w:top="513" w:right="1440" w:bottom="1440" w:gutter="0" w:footer="0" w:header="0"/>
        </w:sectPr>
      </w:pPr>
    </w:p>
    <w:p>
      <w:pPr>
        <w:spacing w:after="0" w:line="38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Preferred Share (subject to adjustments); provided that, Westrock may redeem such shares in such a case if it pays an incremental price per share on the redemption date to the BBH Investors equal to the difference between $18.50 (subject to adjustments) and the redemption price otherwise.</w:t>
      </w:r>
    </w:p>
    <w:p>
      <w:pPr>
        <w:spacing w:after="0" w:line="176"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Upon issuance, the Westrock Series A Preferred Shares were recorded on our Consolidated Balance Sheets at fair value. Subsequently, the Company will accrete changes in the redemption value from the date of issuance to the earliest redemption date using the effective interest rate method. The accretion will be recorded as a deemed dividend, which adjusts retained earnings (or in the absence of retained earnings, additional paid-in capital) and earnings attributable to common shareholders in computing basic and diluted earnings per share. However, at no time will the Westrock Series A Preferred Shares be reported at a value less than its initial carrying value. For the years ended December 31, 2025 and 2024, the Company recorded $0.3 million of amortization and $0.3 million of accretion, respectively, with respect to the Westrock Series A Preferred Shares.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Derivatives</w:t>
      </w:r>
    </w:p>
    <w:p>
      <w:pPr>
        <w:spacing w:after="0" w:line="229" w:lineRule="exact"/>
        <w:rPr>
          <w:sz w:val="20"/>
          <w:szCs w:val="20"/>
          <w:color w:val="auto"/>
        </w:rPr>
      </w:pPr>
    </w:p>
    <w:p>
      <w:pPr>
        <w:ind w:left="60" w:right="339"/>
        <w:spacing w:after="0" w:line="255" w:lineRule="auto"/>
        <w:rPr>
          <w:sz w:val="20"/>
          <w:szCs w:val="20"/>
          <w:color w:val="auto"/>
        </w:rPr>
      </w:pPr>
      <w:r>
        <w:rPr>
          <w:rFonts w:ascii="Times New Roman" w:cs="Times New Roman" w:eastAsia="Times New Roman" w:hAnsi="Times New Roman"/>
          <w:sz w:val="18"/>
          <w:szCs w:val="18"/>
          <w:color w:val="auto"/>
        </w:rPr>
        <w:t>We record all derivatives, whether designated in a hedging relationship or not, at fair value on the Consolidated Balance Sheets. We use various types of derivative instruments including, but not limited to, forward contracts, exchange-traded futures and options contracts and, over-the-counter (“OTC”) commodity swaps and options contracts for certain commodities. Forward and futures contracts, and commodity swaps are agreements to buy or sell a quantity of a commodity at a predetermined future date, and at a predetermined rate or price. Forward contracts are traded over the counter whereas futures contracts are traded on an exchange. Option contracts are agreements to facilitate a potential transaction involving the commodity at a preset price and date.</w:t>
      </w:r>
    </w:p>
    <w:p>
      <w:pPr>
        <w:spacing w:after="0" w:line="18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The accounting for gains and losses that result from changes in the fair values of derivative instruments depends on whether the derivatives have been designated and qualify as hedging instruments and the types of hedging relationships. Derivatives can be designated as fair value hedges, cash flow hedges or hedges of net investments in foreign operations. The changes in the fair values of derivatives that have not been designated and for which hedge accounting is not applied, are recorded in the same line item in our Consolidated Statements of Operations as the changes in the fair value of the hedged items attributable to the risk being hedged. The changes in fair values of derivatives that have been designated and qualify as cash flow hedges are recorded in accumulated other comprehensive income (loss) (“AOCI”) and are reclassified into the line item in the Consolidated Statements of Operations in which the hedged items are recorded in the same period the hedged items affect earnings.</w:t>
      </w:r>
    </w:p>
    <w:p>
      <w:pPr>
        <w:spacing w:after="0" w:line="188"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color w:val="auto"/>
        </w:rPr>
        <w:t>For derivatives that will be accounted for as hedging instruments, we formally designate and document, at inception, the financial instrument as a hedge of a specific underlying exposure, the risk management objective and the strategy for undertaking the hedge transaction. In addition, we formally assess both at the inception and at least quarterly thereafter, whether the financial instruments used in hedging transactions are highly effective at offsetting changes in either the fair values or cash flows of the related underlying exposures.</w:t>
      </w:r>
    </w:p>
    <w:p>
      <w:pPr>
        <w:spacing w:after="0" w:line="183"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We use cash flow hedges to minimize the variability in cash flows of assets or liabilities or forecasted transactions caused by fluctuations in commodity prices. The changes in fair values of hedges that are determined to be ineffective are immediately reclassified from AOCI into earnings.</w:t>
      </w:r>
    </w:p>
    <w:p>
      <w:pPr>
        <w:spacing w:after="0" w:line="1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Within our Beverage Solutions segment, we have entered into coffee futures, swaps, and options contracts to hedge our exposure to price fluctuations on green coffee associated with certain price-to-be-fixed purchase contracts, which generally range from three to twelve months in length. These derivative instruments have been designated as cash flow hedges. The objective of this hedging program is to reduce the variability of cash flows associated with future purchases of green coffee.</w:t>
      </w:r>
    </w:p>
    <w:p>
      <w:pPr>
        <w:spacing w:after="0" w:line="183"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notional amount for the coffee futures contracts that were designated and qualified for our commodity cash flow hedging program was 116.8 million pounds and 11.0 million pounds as of December 31, 2025 and 2024, respectively. During the years ended December 31, 2025 and 2024, the Company purchased coffee futures contracts, commodity swaps, and coffee options contracts under our cash flow hedging program with aggregate notional amount of 256.0 million pounds and 90.0 million pounds, respectively.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Approximately $20.1 million of net realized gains, $15.8 million of net realized gains and $6.4 million of net realized losses, representing the effective portion of the cash-flow hedge, were subsequently reclassified from AOCI to earnings and recognized in cost of sales in the Consolidated Statements of Operations for the years ended December 31, 2025, 2024 and 2023, respectively. As of December 31, 2025, the estimated amount of net losses reported in AOCI that is expected to be reclassified to the Consolidated Statements of Operations within the next twelve months is $16.1 million.</w:t>
      </w:r>
    </w:p>
    <w:p>
      <w:pPr>
        <w:spacing w:after="0" w:line="183"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Within our Sustainable Sourcing &amp; Traceability segment, the Company’s forward sales and forward purchase contracts are for physical delivery of green coffee in a future period. While the Company considers these contracts to be effective economic hedges, the Company does not designate or account for forward sales or forward purchase contracts as hedges as defined under current accounting standards. See Note 5 for a description of the treatment of realized and unrealized gains and losses on forward sales and forward purchase contracts.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fair value of our derivative assets and liabilities included in the Consolidated Balance Sheets are set forth below:</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4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218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December 31, 2025</w:t>
            </w: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00" w:type="dxa"/>
            <w:vAlign w:val="bottom"/>
            <w:tcBorders>
              <w:top w:val="single" w:sz="8" w:color="auto"/>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Derivative assets designated as cash flow</w:t>
            </w: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1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Coffee futures contracts</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9"/>
              </w:rPr>
              <w:t>Derivative assets</w:t>
            </w:r>
          </w:p>
        </w:tc>
        <w:tc>
          <w:tcPr>
            <w:tcW w:w="60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Options contracts</w:t>
            </w:r>
            <w:r>
              <w:rPr>
                <w:rFonts w:ascii="Times New Roman" w:cs="Times New Roman" w:eastAsia="Times New Roman" w:hAnsi="Times New Roman"/>
                <w:sz w:val="25"/>
                <w:szCs w:val="25"/>
                <w:color w:val="auto"/>
                <w:vertAlign w:val="superscript"/>
              </w:rPr>
              <w:t>(2)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8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9"/>
              </w:rPr>
              <w:t>Derivative assets</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4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 assets not designated as cash</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flow hedging instruments: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8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9"/>
              </w:rPr>
              <w:t>Derivative assets</w:t>
            </w:r>
          </w:p>
        </w:tc>
        <w:tc>
          <w:tcPr>
            <w:tcW w:w="60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15,049</w:t>
            </w:r>
          </w:p>
        </w:tc>
        <w:tc>
          <w:tcPr>
            <w:tcW w:w="58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15,049</w:t>
            </w:r>
          </w:p>
        </w:tc>
        <w:tc>
          <w:tcPr>
            <w:tcW w:w="1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derivative assets</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15,049</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4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 liabilities designated as cash flow</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Coffee futures contracts</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rPr>
              <w:t>Derivative liabilities</w:t>
            </w:r>
          </w:p>
        </w:tc>
        <w:tc>
          <w:tcPr>
            <w:tcW w:w="60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58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Commodity swaps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8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bottom w:val="single" w:sz="8" w:color="CCEEFF"/>
            </w:tcBorders>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Options contracts</w:t>
            </w:r>
            <w:r>
              <w:rPr>
                <w:rFonts w:ascii="Times New Roman" w:cs="Times New Roman" w:eastAsia="Times New Roman" w:hAnsi="Times New Roman"/>
                <w:sz w:val="25"/>
                <w:szCs w:val="25"/>
                <w:color w:val="auto"/>
                <w:vertAlign w:val="superscript"/>
              </w:rPr>
              <w:t>(2)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jc w:val="center"/>
              <w:ind w:right="132"/>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17,906</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26,251</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4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 liabilities not designated as cash</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flow hedging instruments:</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rPr>
              <w:t>Derivative liabilities</w:t>
            </w:r>
          </w:p>
        </w:tc>
        <w:tc>
          <w:tcPr>
            <w:tcW w:w="60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58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1 - The fair value of coffee futures excludes amounts related to margin accounts.</w:t>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2 – Options contracts include counterparty netting.</w:t>
      </w:r>
    </w:p>
    <w:p>
      <w:pPr>
        <w:spacing w:after="0" w:line="200" w:lineRule="exact"/>
        <w:rPr>
          <w:sz w:val="20"/>
          <w:szCs w:val="20"/>
          <w:color w:val="auto"/>
        </w:rPr>
      </w:pPr>
    </w:p>
    <w:p>
      <w:pPr>
        <w:spacing w:after="0" w:line="20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pre-tax net gains and losses for our derivative instruments for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2025, 2024 and 2023:</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6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1760" w:type="dxa"/>
            <w:vAlign w:val="bottom"/>
            <w:vMerge w:val="continue"/>
          </w:tcPr>
          <w:p>
            <w:pPr>
              <w:spacing w:after="0"/>
              <w:rPr>
                <w:sz w:val="9"/>
                <w:szCs w:val="9"/>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3600" w:type="dxa"/>
            <w:vAlign w:val="bottom"/>
            <w:gridSpan w:val="2"/>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176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4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80" w:type="dxa"/>
            <w:vAlign w:val="bottom"/>
            <w:tcBorders>
              <w:top w:val="single" w:sz="8" w:color="auto"/>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Derivative assets designated as cash flow</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realized gains (losses) on coffee derivatives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jc w:val="center"/>
              <w:ind w:right="19"/>
              <w:spacing w:after="0"/>
              <w:rPr>
                <w:sz w:val="20"/>
                <w:szCs w:val="20"/>
                <w:color w:val="auto"/>
              </w:rPr>
            </w:pPr>
            <w:r>
              <w:rPr>
                <w:rFonts w:ascii="Times New Roman" w:cs="Times New Roman" w:eastAsia="Times New Roman" w:hAnsi="Times New Roman"/>
                <w:sz w:val="18"/>
                <w:szCs w:val="18"/>
                <w:color w:val="auto"/>
                <w:w w:val="98"/>
              </w:rPr>
              <w:t>Costs of sales</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20,069</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5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 assets and liabilities not designated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cash flow hedging instruments: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Net unrealized gains (losses) on forward sales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and purchase contracts</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8"/>
                <w:szCs w:val="18"/>
                <w:color w:val="auto"/>
                <w:w w:val="98"/>
              </w:rPr>
              <w:t>Costs of sales</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Fair Value Measurements</w:t>
      </w:r>
    </w:p>
    <w:p>
      <w:pPr>
        <w:spacing w:after="0" w:line="227"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defines fair value at the exchange price that would be received for an asset or paid to transfer a liability (an exit price) in the principal or most advantageous market for the asset or liability in an orderly transaction between market participants at the measurement date. Additionally, the inputs used to measure fair value are prioritized based on a three-level hierarchy. This hierarchy requires entities to maximize the use of observable inputs and minimize the use of unobservable inputs.</w:t>
      </w:r>
    </w:p>
    <w:p>
      <w:pPr>
        <w:spacing w:after="0" w:line="185"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The Company groups its assets and liabilities at fair value in three levels, based on the markets in which the assets and liabilities are traded, and the reliability of the assumptions used to determine fair value. These levels are:</w:t>
      </w:r>
    </w:p>
    <w:p>
      <w:pPr>
        <w:spacing w:after="0" w:line="162"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 is based upon quoted prices for identical instruments traded in active markets.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55"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 is based upon inputs other than quoted prices included within Level 1 that are observable for the asset or liability, either directly or indirectly (i.e. interest rate and yield curves observable at commonly quoted intervals, default rates, etc.). Observable inputs include quoted prices for similar instruments in active and non-active markets. Level 2 includes those financial instruments that are valued with industry standard valuation models that incorporate inputs that are observable in the marketplace throughout the full term of the instrument or can otherwise be derived from or supported by observable market data in the marketplace. Level 2 inputs may also include insignificant adjustments to market observable inputs.</w:t>
      </w:r>
    </w:p>
    <w:p>
      <w:pPr>
        <w:spacing w:after="0" w:line="188" w:lineRule="exact"/>
        <w:rPr>
          <w:rFonts w:ascii="Times New Roman" w:cs="Times New Roman" w:eastAsia="Times New Roman" w:hAnsi="Times New Roman"/>
          <w:sz w:val="18"/>
          <w:szCs w:val="18"/>
          <w:color w:val="auto"/>
        </w:rPr>
      </w:pPr>
    </w:p>
    <w:p>
      <w:pPr>
        <w:ind w:left="720" w:right="119" w:hanging="319"/>
        <w:spacing w:after="0" w:line="261"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 is based upon one or more unobservable inputs that are significant in establishing a fair value estimate. These unobservable inputs are used to the extent relevant observable inputs are not available and are developed based on the best information available. These inputs may be used with internally developed methodologies that result in management’s best estimate of fair value.</w:t>
      </w:r>
    </w:p>
    <w:p>
      <w:pPr>
        <w:spacing w:after="0" w:line="39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fair value of financial instruments at December 31, 2025:</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152"/>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Green coffee associated with forward contracts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75,335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15,049</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90,384</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90,384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Coffee futures contracts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Commodity swaps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Options contracts</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27,384</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 – Options contracts include counterparty netting.</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fair value of financial instruments at December 31, 2024:</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152"/>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Green coffee associated with forward contracts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Coffee futures contracts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Options contracts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15,703</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63,347</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67,390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11,966</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11,966</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 in the fair value of Level 3 Westrock Private Warrants liabilities during the year ended December 31, 2024:</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Westrock</w:t>
            </w:r>
          </w:p>
        </w:tc>
      </w:tr>
      <w:tr>
        <w:trPr>
          <w:trHeight w:val="173"/>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6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Private Warrants</w:t>
            </w:r>
          </w:p>
        </w:tc>
      </w:tr>
      <w:tr>
        <w:trPr>
          <w:trHeight w:val="209"/>
        </w:trPr>
        <w:tc>
          <w:tcPr>
            <w:tcW w:w="7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2023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r>
      <w:tr>
        <w:trPr>
          <w:trHeight w:val="216"/>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exchange</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r>
      <w:tr>
        <w:trPr>
          <w:trHeight w:val="21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2024</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Financial instruments consist primarily of cash, accounts receivable, accounts payable, supply chain finance program obligations, inventory repurchase obligations, convertible notes payable, short-term debt and long-term debt. The carrying amount of cash, accounts receivable, accounts payable, short-term debt and the supply chain finance program was estimated by management to approximate fair value due to the relatively short period of time to maturity for those instruments. The Term Loan Facility, Delayed Draw Term Loan Facility and Revolving Credit Facility are carried on the Consolidated Balance Sheets at amortized cost and are estimated by management to approximate fair value as of December 31, 2025, as the interest rate on these facilities is adjusted for changes in the market rates. The fair value of the Term Loan Facility, Delayed Draw Term Loan Facility and Revolving Credit Facility was determined based on Level 2 inputs under the fair value hierarchy.</w:t>
      </w:r>
    </w:p>
    <w:p>
      <w:pPr>
        <w:spacing w:after="0" w:line="188"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Coffee futures contracts and coffee options are valued based on quoted market prices. The estimated fair value for green coffee inventories associated with forward contracts, commodity swaps, OTC options contracts, and forward sales and purchase contracts are based on exchange-quoted prices, adjusted for differences in origin, quantity, quality, and future delivery period, as the exchange quoted prices represent standardized terms for the commodity. These adjustments are generally determined using broker or dealer quotes or based upon observable market transactions. As a result, green coffee associated with forward contracts, commodity swaps, OTC options contracts, and forward sales and purchase contracts are classified within Level 2 of the fair value hierarchy.</w:t>
      </w:r>
    </w:p>
    <w:p>
      <w:pPr>
        <w:spacing w:after="0" w:line="18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2029 Convertible Notes and 2031 Convertible Notes are carried on the Consolidated Balance Sheets at amortized cost. The estimated fair value of the 2029 Convertible Notes and 2031 Convertible Notes as of December 31, 2025 was $59.1 million and $30.2 million, respectively, and was determined using a binomial lattice model, which is considered to be a Level 3 fair value measurement. The primary unobservable inputs at December 31, 2025 include the expected volatility of 50.0% and assumed debt yield of 14.5% and 14.6% for the 2029 Convertible Notes and 2031 Convertible Notes, respectively.</w:t>
      </w:r>
    </w:p>
    <w:p>
      <w:pPr>
        <w:spacing w:after="0" w:line="187" w:lineRule="exact"/>
        <w:rPr>
          <w:sz w:val="20"/>
          <w:szCs w:val="20"/>
          <w:color w:val="auto"/>
        </w:rPr>
      </w:pPr>
    </w:p>
    <w:p>
      <w:pPr>
        <w:jc w:val="both"/>
        <w:ind w:left="60" w:right="199"/>
        <w:spacing w:after="0" w:line="261" w:lineRule="auto"/>
        <w:rPr>
          <w:sz w:val="20"/>
          <w:szCs w:val="20"/>
          <w:color w:val="auto"/>
        </w:rPr>
      </w:pPr>
      <w:r>
        <w:rPr>
          <w:rFonts w:ascii="Times New Roman" w:cs="Times New Roman" w:eastAsia="Times New Roman" w:hAnsi="Times New Roman"/>
          <w:sz w:val="18"/>
          <w:szCs w:val="18"/>
          <w:color w:val="auto"/>
        </w:rPr>
        <w:t>Non-financial assets and liabilities, including property, plant and equipment, goodwill, and intangible assets are measured at fair value on a non-recurring basis. No events occurred during the years ended December 31, 2025 and 2024 requiring these non-financial assets and liabilities to be subsequently recognized at fair value, with the exception of the impairment charges on equipment related to the restructuring activities disclosed in Note 3.</w:t>
      </w:r>
    </w:p>
    <w:p>
      <w:pPr>
        <w:spacing w:after="0" w:line="180"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At December 31, 2025, the Company had an equity investment with a carrying value of approximately $1.0 million, for which there is no readily determinable fair value. This investment is recorded at cost within other long-term assets on the Consolidated Balance Sheets. As of December 31, 2025, there have been no adjustments, upward or downward, to the carrying value.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Equity-Based Compensation</w:t>
      </w:r>
    </w:p>
    <w:p>
      <w:pPr>
        <w:spacing w:after="0" w:line="229"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The Company has implemented equity compensation programs, which are designed to attract and retain key employees while also aligning employees’ interests with the interests of our shareholders.</w:t>
      </w:r>
    </w:p>
    <w:p>
      <w:pPr>
        <w:spacing w:after="0" w:line="162"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Compensation expense for all equity-based compensation awards is based on the grant date fair value estimate. As equity-based compensation expense recognized is based on awards ultimately expected to vest, such expense is reduced for forfeitures estimated at the date of grant based on our historical experience and future expectations. Income tax</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benefits related to the tax deductions for share-based awards are recognized only upon settlement of the related share-based awards.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Outstanding stock options were issued under the Company’s Amended and Restated Westrock Coffee Company 2020 Stock Option Incentive Plan (the “2020 Option Plan”). One-half of the options granted vest over four years of continuous service by the employee, and one-half of the options vest once the simple average of the daily volume weighted average price per share of Common Shares for 10 trading days in any consecutive 30-day period is $18.50 per share (“Performance Options”), provided that the recipient is either still working for the Company at the date of such realization event or that the performance goals are achieved within one year following a qualified termination of the recipient’s employment. All option grants have an exercise price of $9.54 and generally have a ten-year term prior to expiration. As of August 26, 2022, the effective date of the Company’s 2022 Equity Incentive Plan (the “2022 Equity Plan”), no additional awards will be granted under the 2020 Option Plan.</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5200" w:type="dxa"/>
            <w:vAlign w:val="bottom"/>
            <w:vMerge w:val="restart"/>
          </w:tcPr>
          <w:p>
            <w:pPr>
              <w:ind w:left="50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73"/>
        </w:trPr>
        <w:tc>
          <w:tcPr>
            <w:tcW w:w="52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340" w:type="dxa"/>
            <w:vAlign w:val="bottom"/>
            <w:gridSpan w:val="2"/>
          </w:tcPr>
          <w:p>
            <w:pPr>
              <w:jc w:val="right"/>
              <w:ind w:right="10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Contractual Term</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2024</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2,549,806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5.7 years</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2,313,736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4.8 years</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1,044,867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4.8 years</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Intrinsic value for stock options is defined as the amount by which the current market price of the underlying stock exceeds the weighted-average exercise price. For stock options where the weighted-average exercise price exceeds the current market price of the underlying stock, the intrinsic value is zero. The intrinsic value of options outstanding as of December 31, 2025 was zero, calculated using $4.07 per share, which was the closing price of our common stock on December 31, 2025, the last trading day of 2025. The total compensation cost of stock options vested during the years ended December 31, 2025, 2024 and 2023 was not material. The total compensation cost of unvested options, not yet recognized, will be recognized over the next year and is not expected to be material.</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Stock Unit Awards</w:t>
      </w:r>
    </w:p>
    <w:p>
      <w:pPr>
        <w:spacing w:after="0" w:line="227" w:lineRule="exact"/>
        <w:rPr>
          <w:sz w:val="20"/>
          <w:szCs w:val="20"/>
          <w:color w:val="auto"/>
        </w:rPr>
      </w:pPr>
    </w:p>
    <w:p>
      <w:pPr>
        <w:ind w:left="60" w:right="999"/>
        <w:spacing w:after="0" w:line="282" w:lineRule="auto"/>
        <w:rPr>
          <w:sz w:val="20"/>
          <w:szCs w:val="20"/>
          <w:color w:val="auto"/>
        </w:rPr>
      </w:pPr>
      <w:r>
        <w:rPr>
          <w:rFonts w:ascii="Times New Roman" w:cs="Times New Roman" w:eastAsia="Times New Roman" w:hAnsi="Times New Roman"/>
          <w:sz w:val="18"/>
          <w:szCs w:val="18"/>
          <w:color w:val="auto"/>
        </w:rPr>
        <w:t>The Company grants restricted stock units (“RSUs”) under the 2022 Equity Plan. RSUs may contain a service, performance or market condition on which vesting is based.</w:t>
      </w:r>
    </w:p>
    <w:p>
      <w:pPr>
        <w:spacing w:after="0" w:line="162"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Service-based RSUs vest in equal installments on anniversaries of the grant date over the explicit service period, which ranges from one to four years. The Company recognizes the expense relating to these units on a straight-line basis over the vesting period.</w:t>
      </w:r>
    </w:p>
    <w:p>
      <w:pPr>
        <w:spacing w:after="0" w:line="1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Performance-based RSUs vest upon satisfaction of the Company’s achievement of certain pre-defined performance targets during a stated performance period and are subject to the employee’s continuing employment throughout. The Company recognizes the expense relating to these units over the explicit service period, based on the probability of achievement of the performance targets.</w:t>
      </w:r>
    </w:p>
    <w:p>
      <w:pPr>
        <w:spacing w:after="0" w:line="180"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Market-based RSUs vest upon the Company’s achievement of certain stock price targets over a stated measurement period, subject to the employee’s continuing employment throughout. The Company recognizes the expense relating to these units over the derived service period, even if the market condition is not achieved.</w:t>
      </w:r>
    </w:p>
    <w:p>
      <w:pPr>
        <w:spacing w:after="0" w:line="176" w:lineRule="exact"/>
        <w:rPr>
          <w:sz w:val="20"/>
          <w:szCs w:val="20"/>
          <w:color w:val="auto"/>
        </w:rPr>
      </w:pPr>
    </w:p>
    <w:p>
      <w:pPr>
        <w:ind w:left="60" w:right="339"/>
        <w:spacing w:after="0" w:line="312" w:lineRule="auto"/>
        <w:rPr>
          <w:sz w:val="20"/>
          <w:szCs w:val="20"/>
          <w:color w:val="auto"/>
        </w:rPr>
      </w:pPr>
      <w:r>
        <w:rPr>
          <w:rFonts w:ascii="Times New Roman" w:cs="Times New Roman" w:eastAsia="Times New Roman" w:hAnsi="Times New Roman"/>
          <w:sz w:val="17"/>
          <w:szCs w:val="17"/>
          <w:color w:val="auto"/>
        </w:rPr>
        <w:t>The Company recognizes equity-based compensation expense, for its RSU awards, in an amount equal to the grant-date fair value of the respective award. The fair value of service-based RSUs and performance-based RSUs is based on the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60"/>
        <w:spacing w:after="0" w:line="261" w:lineRule="auto"/>
        <w:rPr>
          <w:sz w:val="20"/>
          <w:szCs w:val="20"/>
          <w:color w:val="auto"/>
        </w:rPr>
      </w:pPr>
      <w:r>
        <w:rPr>
          <w:rFonts w:ascii="Times New Roman" w:cs="Times New Roman" w:eastAsia="Times New Roman" w:hAnsi="Times New Roman"/>
          <w:sz w:val="18"/>
          <w:szCs w:val="18"/>
          <w:color w:val="auto"/>
        </w:rPr>
        <w:t>closing price of the Company’s common stock on the grant date. For market-based RSUs granted during the year ended December 31, 2025, the Company estimated the fair value of the market-based RSUs on the grant date using a Monte Carlo simulation model with the following assumptions: (i) expected term of 2.8 years, (ii) expected volatility of 50.0% and (iii) risk-free interest rate of 3.8%.</w:t>
      </w:r>
    </w:p>
    <w:p>
      <w:pPr>
        <w:spacing w:after="0" w:line="180" w:lineRule="exact"/>
        <w:rPr>
          <w:sz w:val="20"/>
          <w:szCs w:val="20"/>
          <w:color w:val="auto"/>
        </w:rPr>
      </w:pPr>
    </w:p>
    <w:p>
      <w:pPr>
        <w:ind w:left="60" w:right="680"/>
        <w:spacing w:after="0" w:line="266" w:lineRule="auto"/>
        <w:rPr>
          <w:sz w:val="20"/>
          <w:szCs w:val="20"/>
          <w:color w:val="auto"/>
        </w:rPr>
      </w:pPr>
      <w:r>
        <w:rPr>
          <w:rFonts w:ascii="Times New Roman" w:cs="Times New Roman" w:eastAsia="Times New Roman" w:hAnsi="Times New Roman"/>
          <w:sz w:val="18"/>
          <w:szCs w:val="18"/>
          <w:color w:val="auto"/>
        </w:rPr>
        <w:t>Compensation costs associated with service-based RSUs and performance-based RSUs are recognized only for those awards that ultimately vest, whereas compensation costs associated with market-based RSUs are recognized even if the market condition is never satisfied.</w:t>
      </w:r>
    </w:p>
    <w:p>
      <w:pPr>
        <w:spacing w:after="0" w:line="176" w:lineRule="exact"/>
        <w:rPr>
          <w:sz w:val="20"/>
          <w:szCs w:val="20"/>
          <w:color w:val="auto"/>
        </w:rPr>
      </w:pPr>
    </w:p>
    <w:p>
      <w:pPr>
        <w:ind w:left="60" w:right="460"/>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granted 1.5 million and 1.4 million RSUs with an aggregate grant date fair value of $9.1 million and $13.7 million, respectively, under the 2022 Equity Plan. During the years ended December 31, 2025, 2024 and 2023, the Company recognized approximately $14.5 million, $11.6 million and $8.3 million, respectively, in expense for the RSUs. As of December 31, 2025, total unrecognized compensation costs related to RSUs were approximately $10.1 million. These costs are expected to be recognized over a weighted average period of 1.4 years. As of December 31, 2025, there were 3.2 million shares available for future issuance under the 2022 Equity Plan.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the RSU activity under the 2022 Equity Plan for the year ended December 31, 2025.</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120" w:type="dxa"/>
            <w:vAlign w:val="bottom"/>
          </w:tcPr>
          <w:p>
            <w:pPr>
              <w:spacing w:after="0"/>
              <w:rPr>
                <w:sz w:val="13"/>
                <w:szCs w:val="13"/>
                <w:color w:val="auto"/>
              </w:rPr>
            </w:pPr>
          </w:p>
        </w:tc>
        <w:tc>
          <w:tcPr>
            <w:tcW w:w="2380" w:type="dxa"/>
            <w:vAlign w:val="bottom"/>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Service-based Restricted Stock Units</w:t>
            </w:r>
          </w:p>
        </w:tc>
        <w:tc>
          <w:tcPr>
            <w:tcW w:w="264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Performance-based Restricted Stock Units</w:t>
            </w:r>
          </w:p>
        </w:tc>
        <w:tc>
          <w:tcPr>
            <w:tcW w:w="2140" w:type="dxa"/>
            <w:vAlign w:val="bottom"/>
            <w:gridSpan w:val="4"/>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9"/>
              </w:rPr>
              <w:t>Market-based Restricted Stock Units</w:t>
            </w:r>
          </w:p>
        </w:tc>
      </w:tr>
      <w:tr>
        <w:trPr>
          <w:trHeight w:val="122"/>
        </w:trPr>
        <w:tc>
          <w:tcPr>
            <w:tcW w:w="212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spacing w:after="0" w:line="122" w:lineRule="exact"/>
              <w:rPr>
                <w:sz w:val="20"/>
                <w:szCs w:val="20"/>
                <w:color w:val="auto"/>
              </w:rPr>
            </w:pPr>
            <w:r>
              <w:rPr>
                <w:rFonts w:ascii="Times New Roman" w:cs="Times New Roman" w:eastAsia="Times New Roman" w:hAnsi="Times New Roman"/>
                <w:sz w:val="13"/>
                <w:szCs w:val="13"/>
                <w:b w:val="1"/>
                <w:bCs w:val="1"/>
                <w:color w:val="auto"/>
                <w:w w:val="94"/>
              </w:rPr>
              <w:t>Weighted-Average</w:t>
            </w:r>
          </w:p>
        </w:tc>
        <w:tc>
          <w:tcPr>
            <w:tcW w:w="22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22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spacing w:after="0" w:line="122" w:lineRule="exact"/>
              <w:rPr>
                <w:sz w:val="20"/>
                <w:szCs w:val="20"/>
                <w:color w:val="auto"/>
              </w:rPr>
            </w:pPr>
            <w:r>
              <w:rPr>
                <w:rFonts w:ascii="Times New Roman" w:cs="Times New Roman" w:eastAsia="Times New Roman" w:hAnsi="Times New Roman"/>
                <w:sz w:val="13"/>
                <w:szCs w:val="13"/>
                <w:b w:val="1"/>
                <w:bCs w:val="1"/>
                <w:color w:val="auto"/>
                <w:w w:val="94"/>
              </w:rPr>
              <w:t>Weighted-Average</w:t>
            </w:r>
          </w:p>
        </w:tc>
      </w:tr>
      <w:tr>
        <w:trPr>
          <w:trHeight w:val="148"/>
        </w:trPr>
        <w:tc>
          <w:tcPr>
            <w:tcW w:w="2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4"/>
              </w:rPr>
              <w:t>Fair Value at</w:t>
            </w: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Fair Value at</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w w:val="97"/>
              </w:rPr>
              <w:t>Fair Value at</w:t>
            </w:r>
          </w:p>
        </w:tc>
      </w:tr>
      <w:tr>
        <w:trPr>
          <w:trHeight w:val="155"/>
        </w:trPr>
        <w:tc>
          <w:tcPr>
            <w:tcW w:w="2120" w:type="dxa"/>
            <w:vAlign w:val="bottom"/>
          </w:tcPr>
          <w:p>
            <w:pPr>
              <w:spacing w:after="0"/>
              <w:rPr>
                <w:sz w:val="13"/>
                <w:szCs w:val="13"/>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0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4"/>
              </w:rPr>
              <w:t>Grant Date</w:t>
            </w:r>
          </w:p>
        </w:tc>
        <w:tc>
          <w:tcPr>
            <w:tcW w:w="128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80" w:type="dxa"/>
            <w:vAlign w:val="bottom"/>
          </w:tcPr>
          <w:p>
            <w:pPr>
              <w:spacing w:after="0"/>
              <w:rPr>
                <w:sz w:val="13"/>
                <w:szCs w:val="1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Grant Date</w:t>
            </w: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00" w:type="dxa"/>
            <w:vAlign w:val="bottom"/>
          </w:tcPr>
          <w:p>
            <w:pPr>
              <w:spacing w:after="0"/>
              <w:rPr>
                <w:sz w:val="13"/>
                <w:szCs w:val="13"/>
                <w:color w:val="auto"/>
              </w:rPr>
            </w:pP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Grant Date</w:t>
            </w:r>
          </w:p>
        </w:tc>
      </w:tr>
      <w:tr>
        <w:trPr>
          <w:trHeight w:val="142"/>
        </w:trPr>
        <w:tc>
          <w:tcPr>
            <w:tcW w:w="21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Outstanding at December 31, 2024</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2,444,228</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10.44</w:t>
            </w:r>
          </w:p>
        </w:tc>
        <w:tc>
          <w:tcPr>
            <w:tcW w:w="22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r>
      <w:tr>
        <w:trPr>
          <w:trHeight w:val="149"/>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297,654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w:t>
            </w:r>
          </w:p>
        </w:tc>
        <w:tc>
          <w:tcPr>
            <w:tcW w:w="2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609,818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609,855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w:t>
            </w:r>
          </w:p>
        </w:tc>
      </w:tr>
      <w:tr>
        <w:trPr>
          <w:trHeight w:val="148"/>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Forfeited</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(95,358)</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w:t>
            </w:r>
          </w:p>
        </w:tc>
        <w:tc>
          <w:tcPr>
            <w:tcW w:w="2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(52,352)</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(52,355)</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w:t>
            </w:r>
          </w:p>
        </w:tc>
      </w:tr>
      <w:tr>
        <w:trPr>
          <w:trHeight w:val="149"/>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Vested</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(1,060,935)</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10.92</w:t>
            </w:r>
          </w:p>
        </w:tc>
        <w:tc>
          <w:tcPr>
            <w:tcW w:w="2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2"/>
        </w:trPr>
        <w:tc>
          <w:tcPr>
            <w:tcW w:w="21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Outstanding at December 31, 2025</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1,585,589</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9.48</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557,466</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7.01</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557,500</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4.52</w:t>
            </w:r>
          </w:p>
        </w:tc>
      </w:tr>
      <w:tr>
        <w:trPr>
          <w:trHeight w:val="20"/>
        </w:trPr>
        <w:tc>
          <w:tcPr>
            <w:tcW w:w="2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60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issued 735,139 Common Shares upon the vesting of RSUs, for which no proceeds were recorded. The aggregate intrinsic value of RSUs vested for the year ended December 31, 2025 was $6.8 million, calculated using the closing price of our common stock on the vesting date.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17. Accumulated Other Comprehensive Income (Loss)</w:t>
      </w:r>
    </w:p>
    <w:p>
      <w:pPr>
        <w:spacing w:after="0" w:line="229" w:lineRule="exact"/>
        <w:rPr>
          <w:sz w:val="20"/>
          <w:szCs w:val="20"/>
          <w:color w:val="auto"/>
        </w:rPr>
      </w:pPr>
    </w:p>
    <w:p>
      <w:pPr>
        <w:ind w:left="60" w:right="400"/>
        <w:spacing w:after="0" w:line="258" w:lineRule="auto"/>
        <w:rPr>
          <w:sz w:val="20"/>
          <w:szCs w:val="20"/>
          <w:color w:val="auto"/>
        </w:rPr>
      </w:pPr>
      <w:r>
        <w:rPr>
          <w:rFonts w:ascii="Times New Roman" w:cs="Times New Roman" w:eastAsia="Times New Roman" w:hAnsi="Times New Roman"/>
          <w:sz w:val="18"/>
          <w:szCs w:val="18"/>
          <w:color w:val="auto"/>
        </w:rPr>
        <w:t>Comprehensive income (loss) includes all changes in equity during the period, except those resulting from transactions with our shareholders. Comprehensive income (loss) is comprised of net earnings and other comprehensive income (loss). Accumulated other comprehensive income (loss) reported on our Consolidated Balance Sheets consists of foreign currency translation adjustments and other items and the unrealized gains and losses, net of applicable taxes, on derivative instruments that have been designated and qualify as cash flow hedges.</w:t>
      </w:r>
    </w:p>
    <w:p>
      <w:pPr>
        <w:spacing w:after="0" w:line="399"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320"/>
          </w:cols>
          <w:pgMar w:left="1440" w:top="513" w:right="1139"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net of tax by component is as follows for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2025, 2024 and 2023:</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5"/>
                <w:szCs w:val="15"/>
                <w:color w:val="auto"/>
              </w:rPr>
            </w:pPr>
          </w:p>
        </w:tc>
      </w:tr>
      <w:tr>
        <w:trPr>
          <w:trHeight w:val="156"/>
        </w:trPr>
        <w:tc>
          <w:tcPr>
            <w:tcW w:w="51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(Thousands)</w:t>
            </w:r>
          </w:p>
        </w:tc>
        <w:tc>
          <w:tcPr>
            <w:tcW w:w="200" w:type="dxa"/>
            <w:vAlign w:val="bottom"/>
          </w:tcPr>
          <w:p>
            <w:pPr>
              <w:ind w:left="6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0" w:type="dxa"/>
            <w:vAlign w:val="bottom"/>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gridSpan w:val="2"/>
          </w:tcPr>
          <w:p>
            <w:pPr>
              <w:jc w:val="right"/>
              <w:ind w:right="36"/>
              <w:spacing w:after="0" w:line="155"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91"/>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gridSpan w:val="3"/>
          </w:tcPr>
          <w:p>
            <w:pPr>
              <w:jc w:val="right"/>
              <w:ind w:right="16"/>
              <w:spacing w:after="0" w:line="155"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91"/>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w:t>
            </w:r>
          </w:p>
        </w:tc>
      </w:tr>
      <w:tr>
        <w:trPr>
          <w:trHeight w:val="216"/>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w:t>
            </w:r>
          </w:p>
        </w:tc>
      </w:tr>
      <w:tr>
        <w:trPr>
          <w:trHeight w:val="216"/>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Amounts reclassified from accumulated comprehensive income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w:t>
            </w:r>
          </w:p>
        </w:tc>
      </w:tr>
      <w:tr>
        <w:trPr>
          <w:trHeight w:val="216"/>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Tax effect</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w:t>
            </w:r>
          </w:p>
        </w:tc>
      </w:tr>
      <w:tr>
        <w:trPr>
          <w:trHeight w:val="210"/>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(13,336)</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r>
      <w:tr>
        <w:trPr>
          <w:trHeight w:val="20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Amounts reclassified from accumulated comprehensive income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Tax effect</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1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 at end of period</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(13,034)</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19,584</w:t>
            </w:r>
          </w:p>
        </w:tc>
        <w:tc>
          <w:tcPr>
            <w:tcW w:w="22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w:t>
            </w:r>
          </w:p>
        </w:tc>
      </w:tr>
      <w:tr>
        <w:trPr>
          <w:trHeight w:val="20"/>
        </w:trPr>
        <w:tc>
          <w:tcPr>
            <w:tcW w:w="5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18. Income Taxes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U.S. and international components of income (loss) before income taxes is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1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5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(99,309)</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(77,808)</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(34,695)</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0" w:type="dxa"/>
            <w:vAlign w:val="bottom"/>
          </w:tcPr>
          <w:p>
            <w:pPr>
              <w:spacing w:after="0"/>
              <w:rPr>
                <w:sz w:val="1"/>
                <w:szCs w:val="1"/>
                <w:color w:val="auto"/>
              </w:rPr>
            </w:pPr>
          </w:p>
        </w:tc>
      </w:tr>
      <w:tr>
        <w:trPr>
          <w:trHeight w:val="209"/>
        </w:trPr>
        <w:tc>
          <w:tcPr>
            <w:tcW w:w="5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Loss before income taxes and equity in earnings from unconsolidated entities</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(97,118)</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(76,378)</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(40,825)</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 expense (benefit) consisted of the following:</w:t>
            </w: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1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500" w:type="dxa"/>
            <w:vAlign w:val="bottom"/>
            <w:gridSpan w:val="2"/>
          </w:tcPr>
          <w:p>
            <w:pPr>
              <w:jc w:val="right"/>
              <w:ind w:right="230"/>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8"/>
                <w:szCs w:val="18"/>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420" w:type="dxa"/>
            <w:vAlign w:val="bottom"/>
            <w:gridSpan w:val="5"/>
          </w:tcPr>
          <w:p>
            <w:pPr>
              <w:jc w:val="right"/>
              <w:ind w:right="196"/>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5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expense (benefit)</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889</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expense (benefit)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0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220" w:type="dxa"/>
            <w:vAlign w:val="bottom"/>
          </w:tcPr>
          <w:p>
            <w:pPr>
              <w:spacing w:after="0"/>
              <w:rPr>
                <w:sz w:val="18"/>
                <w:szCs w:val="18"/>
                <w:color w:val="auto"/>
              </w:rPr>
            </w:pP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reconciliation of income tax expense (benefit) to the federal statutory rate is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Rate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Rate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Rate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U.S. federal statutory tax rate</w:t>
            </w:r>
          </w:p>
        </w:tc>
        <w:tc>
          <w:tcPr>
            <w:tcW w:w="180" w:type="dxa"/>
            <w:vAlign w:val="bottom"/>
            <w:tcBorders>
              <w:top w:val="single" w:sz="8" w:color="CCEEFF"/>
            </w:tcBorders>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(19,361)</w:t>
            </w:r>
          </w:p>
        </w:tc>
        <w:tc>
          <w:tcPr>
            <w:tcW w:w="18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21.0%</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(16,039)</w:t>
            </w:r>
          </w:p>
        </w:tc>
        <w:tc>
          <w:tcPr>
            <w:tcW w:w="16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21.0%</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(8,573)</w:t>
            </w:r>
          </w:p>
        </w:tc>
        <w:tc>
          <w:tcPr>
            <w:tcW w:w="18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Times New Roman" w:cs="Times New Roman" w:eastAsia="Times New Roman" w:hAnsi="Times New Roman"/>
                <w:sz w:val="12"/>
                <w:szCs w:val="12"/>
                <w:color w:val="auto"/>
              </w:rPr>
              <w:t>State and local income taxes, net of federal income tax effect</w:t>
            </w:r>
            <w:r>
              <w:rPr>
                <w:rFonts w:ascii="Times New Roman" w:cs="Times New Roman" w:eastAsia="Times New Roman" w:hAnsi="Times New Roman"/>
                <w:sz w:val="17"/>
                <w:szCs w:val="17"/>
                <w:color w:val="auto"/>
                <w:vertAlign w:val="superscript"/>
              </w:rPr>
              <w:t>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Foreign tax effects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United Kingdom</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Change in valuation allowance</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(1,965)</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Rwanda</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Change in valuation allowance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(2,341)</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(249)</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foreign jurisdictions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Effect of cross-border tax laws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Global intangible low-taxed income ("GILTI") inclusion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 in valuation allowance</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17,193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17,366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Nontaxable or nondeductible items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 in fair value of warrants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(1,473)</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(2,144)</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Excess compensation (§162(m))</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Share-based payment awards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(838)</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nontaxable or nondeductible items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adjustments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Basis difference in equity method investment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(2,572)</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Income tax expense (benefit)</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(1,748)</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3,728</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(6,358)</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4"/>
          <w:szCs w:val="14"/>
          <w:color w:val="auto"/>
        </w:rPr>
        <w:t>1 - State taxes in California made up the majority (greater than 50 percent) of the tax effect in this category in both 2025 and 2023, while state taxes in Virginia and Illinois made up the majority in 2024.</w:t>
      </w:r>
    </w:p>
    <w:p>
      <w:pPr>
        <w:spacing w:after="0" w:line="200" w:lineRule="exact"/>
        <w:rPr>
          <w:sz w:val="20"/>
          <w:szCs w:val="20"/>
          <w:color w:val="auto"/>
        </w:rPr>
      </w:pPr>
    </w:p>
    <w:p>
      <w:pPr>
        <w:spacing w:after="0" w:line="33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taxes paid, net of refunds, by jurisdiction consisted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14"/>
                <w:szCs w:val="14"/>
                <w:b w:val="1"/>
                <w:bCs w:val="1"/>
                <w:color w:val="auto"/>
              </w:rPr>
              <w:t>December 31, 2025</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December 31, 2024</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December 31, 2023</w:t>
            </w:r>
          </w:p>
        </w:tc>
      </w:tr>
      <w:tr>
        <w:trPr>
          <w:trHeight w:val="210"/>
        </w:trPr>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Kingdom</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216"/>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00" w:type="dxa"/>
            <w:vAlign w:val="bottom"/>
          </w:tcPr>
          <w:p>
            <w:pPr>
              <w:spacing w:after="0"/>
              <w:rPr>
                <w:sz w:val="18"/>
                <w:szCs w:val="18"/>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r>
      <w:tr>
        <w:trPr>
          <w:trHeight w:val="20"/>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 paid income taxes, net of refunds of $1.2 million, $0.4 million and $1.4 million for years ended December 31, 2025, 2024 and 2023, respectively. For the years ended December 31, 2025 and 2023, the Company paid income taxes, net of refunds in the United Kingdom of $0.6 million and $0.9 million respectively. As the remaining amounts of income taxes paid, net of refunds are considered immaterial to the consolidated financial statements, further disaggregation by federal, state and foreign jurisdictions has not been provided.</w:t>
      </w:r>
    </w:p>
    <w:p>
      <w:pPr>
        <w:spacing w:after="0" w:line="143"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Deferred income tax assets and liabilities were recognized on temporary differences between the financial and tax basis of existing assets and liabilities as follows:</w:t>
      </w:r>
    </w:p>
    <w:p>
      <w:pPr>
        <w:spacing w:after="0" w:line="144"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December 31, 2025</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December 31, 2024</w:t>
            </w:r>
          </w:p>
        </w:tc>
      </w:tr>
      <w:tr>
        <w:trPr>
          <w:trHeight w:val="209"/>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16"/>
        </w:trPr>
        <w:tc>
          <w:tcPr>
            <w:tcW w:w="5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Liabilities and reserves</w:t>
            </w:r>
          </w:p>
        </w:tc>
        <w:tc>
          <w:tcPr>
            <w:tcW w:w="5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660" w:type="dxa"/>
            <w:vAlign w:val="bottom"/>
            <w:gridSpan w:val="3"/>
          </w:tcPr>
          <w:p>
            <w:pPr>
              <w:jc w:val="right"/>
              <w:ind w:right="30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r>
      <w:tr>
        <w:trPr>
          <w:trHeight w:val="216"/>
        </w:trPr>
        <w:tc>
          <w:tcPr>
            <w:tcW w:w="5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limitation</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20,633</w:t>
            </w:r>
          </w:p>
        </w:tc>
      </w:tr>
      <w:tr>
        <w:trPr>
          <w:trHeight w:val="216"/>
        </w:trPr>
        <w:tc>
          <w:tcPr>
            <w:tcW w:w="5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losses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65,630</w:t>
            </w:r>
          </w:p>
        </w:tc>
      </w:tr>
      <w:tr>
        <w:trPr>
          <w:trHeight w:val="216"/>
        </w:trPr>
        <w:tc>
          <w:tcPr>
            <w:tcW w:w="5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Transaction expenses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5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compensation</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r>
      <w:tr>
        <w:trPr>
          <w:trHeight w:val="216"/>
        </w:trPr>
        <w:tc>
          <w:tcPr>
            <w:tcW w:w="5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Derivatives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15,709</w:t>
            </w:r>
          </w:p>
        </w:tc>
      </w:tr>
      <w:tr>
        <w:trPr>
          <w:trHeight w:val="216"/>
        </w:trPr>
        <w:tc>
          <w:tcPr>
            <w:tcW w:w="58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w:t>
            </w:r>
          </w:p>
        </w:tc>
      </w:tr>
      <w:tr>
        <w:trPr>
          <w:trHeight w:val="21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124,581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107,386</w:t>
            </w:r>
          </w:p>
        </w:tc>
      </w:tr>
      <w:tr>
        <w:trPr>
          <w:trHeight w:val="216"/>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(55,762)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(30,542)</w:t>
            </w:r>
          </w:p>
        </w:tc>
      </w:tr>
      <w:tr>
        <w:trPr>
          <w:trHeight w:val="21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assets, net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68,819</w:t>
            </w:r>
          </w:p>
        </w:tc>
        <w:tc>
          <w:tcPr>
            <w:tcW w:w="240" w:type="dxa"/>
            <w:vAlign w:val="bottom"/>
            <w:gridSpan w:val="2"/>
            <w:shd w:val="clear" w:color="auto" w:fill="CCEEFF"/>
          </w:tcPr>
          <w:p>
            <w:pPr>
              <w:spacing w:after="0"/>
              <w:rPr>
                <w:sz w:val="18"/>
                <w:szCs w:val="18"/>
                <w:color w:val="auto"/>
              </w:rPr>
            </w:pPr>
          </w:p>
        </w:tc>
        <w:tc>
          <w:tcPr>
            <w:tcW w:w="42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76,844</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(39,450)</w:t>
            </w:r>
          </w:p>
        </w:tc>
        <w:tc>
          <w:tcPr>
            <w:tcW w:w="660" w:type="dxa"/>
            <w:vAlign w:val="bottom"/>
            <w:gridSpan w:val="3"/>
            <w:shd w:val="clear" w:color="auto" w:fill="CCEEFF"/>
          </w:tcPr>
          <w:p>
            <w:pPr>
              <w:jc w:val="right"/>
              <w:ind w:right="30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(42,659)</w:t>
            </w:r>
          </w:p>
        </w:tc>
      </w:tr>
      <w:tr>
        <w:trPr>
          <w:trHeight w:val="216"/>
        </w:trPr>
        <w:tc>
          <w:tcPr>
            <w:tcW w:w="5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(25,061)</w:t>
            </w:r>
          </w:p>
        </w:tc>
      </w:tr>
      <w:tr>
        <w:trPr>
          <w:trHeight w:val="216"/>
        </w:trPr>
        <w:tc>
          <w:tcPr>
            <w:tcW w:w="5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Derivatives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w:t>
            </w:r>
          </w:p>
        </w:tc>
      </w:tr>
      <w:tr>
        <w:trPr>
          <w:trHeight w:val="216"/>
        </w:trPr>
        <w:tc>
          <w:tcPr>
            <w:tcW w:w="5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(15,267)</w:t>
            </w:r>
          </w:p>
        </w:tc>
      </w:tr>
      <w:tr>
        <w:trPr>
          <w:trHeight w:val="216"/>
        </w:trPr>
        <w:tc>
          <w:tcPr>
            <w:tcW w:w="5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r>
      <w:tr>
        <w:trPr>
          <w:trHeight w:val="216"/>
        </w:trPr>
        <w:tc>
          <w:tcPr>
            <w:tcW w:w="58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09"/>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(91,798)</w:t>
            </w: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2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(10,160)</w:t>
            </w:r>
          </w:p>
        </w:tc>
        <w:tc>
          <w:tcPr>
            <w:tcW w:w="240" w:type="dxa"/>
            <w:vAlign w:val="bottom"/>
            <w:gridSpan w:val="2"/>
          </w:tcPr>
          <w:p>
            <w:pPr>
              <w:spacing w:after="0"/>
              <w:rPr>
                <w:sz w:val="18"/>
                <w:szCs w:val="18"/>
                <w:color w:val="auto"/>
              </w:rPr>
            </w:pPr>
          </w:p>
        </w:tc>
        <w:tc>
          <w:tcPr>
            <w:tcW w:w="420" w:type="dxa"/>
            <w:vAlign w:val="bottom"/>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(14,954)</w:t>
            </w: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We establish a valuation allowance to reduce deferred tax assets if, based on the weight of the available evidence, both positive and negative, for each respective tax jurisdiction, it is more likely than not that some portion or all of the deferred tax assets will not be realized. A valuation allowance related to domestic deferred tax assets of $54.2 million was recorded as of December 31, 2025, of which $44.0 million and $8.9 million were against the Company’s federal and state net operating loss carryforwards, respectively, and $1.1 million was against an equity method investment. A valuation allowance related to domestic deferred tax assets of $26.7 million was recorded as of December 31, 2024, of which $21.0 million and $5.7 million were against the Company’s federal and state net operating loss carryforwards, respectively. A valuation allowance related to foreign deferred tax assets of $1.6 million and $3.8 million was recorded against certain foreign net operating losses as of December 31, 2025 and 2024, respectively. The amount of deferred tax assets considered realizable could be adjusted in the near term, resulting in an increase to the valuation allowance, if estimates of future taxable income during the carryforward period are reduced.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Activity in the valuation allowance is as follows:</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45"/>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14"/>
                <w:szCs w:val="14"/>
                <w:b w:val="1"/>
                <w:bCs w:val="1"/>
                <w:color w:val="auto"/>
              </w:rPr>
              <w:t>December 31, 2025</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December 31, 2024</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December 31, 2023</w:t>
            </w:r>
          </w:p>
        </w:tc>
      </w:tr>
      <w:tr>
        <w:trPr>
          <w:trHeight w:val="210"/>
        </w:trPr>
        <w:tc>
          <w:tcPr>
            <w:tcW w:w="4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30,542</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12,878</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w:t>
            </w:r>
          </w:p>
        </w:tc>
      </w:tr>
      <w:tr>
        <w:trPr>
          <w:trHeight w:val="216"/>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25,220</w:t>
            </w: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17,664</w:t>
            </w: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w:t>
            </w:r>
          </w:p>
        </w:tc>
      </w:tr>
      <w:tr>
        <w:trPr>
          <w:trHeight w:val="209"/>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55,762</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30,542</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12,878</w:t>
            </w:r>
          </w:p>
        </w:tc>
      </w:tr>
      <w:tr>
        <w:trPr>
          <w:trHeight w:val="20"/>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valuation allowance increased $25.2 million, which was comprised of additional income tax expense of $16.3 million that is reflected as a component of the effective tax rate against continuing operations, and $6.9 million reflected as a component of other comprehensive income.</w:t>
      </w:r>
    </w:p>
    <w:p>
      <w:pPr>
        <w:spacing w:after="0" w:line="1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federal net operating loss carryforwards of approximately $319.0 million which do not expire. As of December 31, 2025, the Company had post-apportionment state net operating loss carryforwards of approximately $220.2 million which begin to expire in 2030. As of December 31, 2025, the Company had foreign net operating loss carryforwards of approximately $6.6 million which begin to expire in 2030.</w:t>
      </w:r>
    </w:p>
    <w:p>
      <w:pPr>
        <w:spacing w:after="0" w:line="18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As of December 31, 2025 and 2024, the Company’s reserve for uncertain tax positions was $6.7 million and $5.0 million, respectively. Of the total reserve for uncertain tax positions as of December 31, 2025 and 2024, only $0.1 million and $0.1 million, respectively, would impact the effective tax rate if released. As indicated in Note 3, the Company re-revaluates uncertain tax positions on a quarterly basis. The Company recognizes potential interest and penalties relating to unrecognized tax positions as a component of income tax expense (benefit). A reconciliation of the beginning and ending balances of the reserve for uncertain tax positions is as follows: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380" w:type="dxa"/>
            <w:vAlign w:val="bottom"/>
            <w:gridSpan w:val="4"/>
          </w:tcPr>
          <w:p>
            <w:pPr>
              <w:ind w:left="8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14"/>
                <w:szCs w:val="14"/>
                <w:b w:val="1"/>
                <w:bCs w:val="1"/>
                <w:color w:val="auto"/>
              </w:rPr>
              <w:t>December 31, 2025</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December 31, 2024</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December 31, 2023</w:t>
            </w:r>
          </w:p>
        </w:tc>
      </w:tr>
      <w:tr>
        <w:trPr>
          <w:trHeight w:val="209"/>
        </w:trPr>
        <w:tc>
          <w:tcPr>
            <w:tcW w:w="4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in prior period</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in current period</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r>
      <w:tr>
        <w:trPr>
          <w:trHeight w:val="21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200" w:type="dxa"/>
            <w:vAlign w:val="bottom"/>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w:t>
            </w: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As of December 31, 2025, undistributed earnings of certain foreign subsidiaries are intended to be permanently reinvested outside the U.S. Accordingly, no provision for foreign withholding tax, foreign exchange gains/losses or state income taxes associated with a distribution of these earnings has been made. The amount of the unrecognized deferred tax liability on these unremitted earnings is not material.</w:t>
      </w:r>
    </w:p>
    <w:p>
      <w:pPr>
        <w:spacing w:after="0" w:line="180"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We are subject to taxation in the United States and various states and foreign jurisdictions, including the United Kingdom. As of December 31, 2025, we have no tax years under examination by the IRS, and there are currently no state or foreign income tax examinations in process. The Company is subject to United States federal income tax examinations for years after 2020 and to state and foreign income tax examinations for years after 2020.</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19. Earnings Per Share</w:t>
      </w:r>
    </w:p>
    <w:p>
      <w:pPr>
        <w:spacing w:after="0" w:line="229"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 xml:space="preserve">Westrock Series A Preferred Shares and our RSUs issued under our 2022 Equity Plan are considered participating securities as they receive non-forfeitable rights to dividends at the same rate as Common Shares. As participating securities, we include these instruments in the computation of earnings per share under the two-class method described in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260”)</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60" w:right="119"/>
        <w:spacing w:after="0" w:line="277" w:lineRule="auto"/>
        <w:rPr>
          <w:sz w:val="20"/>
          <w:szCs w:val="20"/>
          <w:color w:val="auto"/>
        </w:rPr>
      </w:pPr>
      <w:r>
        <w:rPr>
          <w:rFonts w:ascii="Times New Roman" w:cs="Times New Roman" w:eastAsia="Times New Roman" w:hAnsi="Times New Roman"/>
          <w:sz w:val="17"/>
          <w:szCs w:val="17"/>
          <w:color w:val="auto"/>
        </w:rPr>
        <w:t>The dilutive effect of Westrock Series A Preferred Shares, the 2029 Convertible Notes and the 2031 Convertible Notes is calculated using the if-converted method, which assumes an add-back of any accretion on preferred shares and interest expense associated with the 2029 Convertible Notes and 2031 Convertible Notes to net income attributable to shareholders as if the securities were converted to Common Shares at the beginning of the reporting period (or at the time of issuance, if later), and the resulting Common Shares being included in the number of weighted-average units outstanding.</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019"/>
        <w:spacing w:after="0" w:line="282" w:lineRule="auto"/>
        <w:rPr>
          <w:sz w:val="20"/>
          <w:szCs w:val="20"/>
          <w:color w:val="auto"/>
        </w:rPr>
      </w:pPr>
      <w:r>
        <w:rPr>
          <w:rFonts w:ascii="Times New Roman" w:cs="Times New Roman" w:eastAsia="Times New Roman" w:hAnsi="Times New Roman"/>
          <w:sz w:val="18"/>
          <w:szCs w:val="18"/>
          <w:color w:val="auto"/>
        </w:rPr>
        <w:t>The dilutive effect of time-based option awards and RSUs is calculated using the treasury stock method, while performance-based awards are treated as contingently issuable.</w:t>
      </w:r>
    </w:p>
    <w:p>
      <w:pPr>
        <w:spacing w:after="0" w:line="162"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computation of diluted shares for the periods indicated because their inclusion would have an anti-dilutive effect on dilutive earnings (loss) per common share.</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60" w:type="dxa"/>
            <w:vAlign w:val="bottom"/>
            <w:vMerge w:val="continue"/>
          </w:tcPr>
          <w:p>
            <w:pPr>
              <w:spacing w:after="0"/>
              <w:rPr>
                <w:sz w:val="13"/>
                <w:szCs w:val="13"/>
                <w:color w:val="auto"/>
              </w:rPr>
            </w:pPr>
          </w:p>
        </w:tc>
        <w:tc>
          <w:tcPr>
            <w:tcW w:w="3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14,298</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19,149</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If-converted securities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under the two-class method for the periods indicated.</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6"/>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9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(Thousands, except per share data)</w:t>
            </w:r>
          </w:p>
        </w:tc>
        <w:tc>
          <w:tcPr>
            <w:tcW w:w="200" w:type="dxa"/>
            <w:vAlign w:val="bottom"/>
          </w:tcPr>
          <w:p>
            <w:pPr>
              <w:ind w:left="6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60" w:type="dxa"/>
            <w:vAlign w:val="bottom"/>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gridSpan w:val="2"/>
          </w:tcPr>
          <w:p>
            <w:pPr>
              <w:jc w:val="right"/>
              <w:ind w:right="176"/>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gridSpan w:val="2"/>
          </w:tcPr>
          <w:p>
            <w:pPr>
              <w:jc w:val="right"/>
              <w:ind w:right="56"/>
              <w:spacing w:after="0" w:line="155"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(90,098)</w:t>
            </w:r>
          </w:p>
        </w:tc>
        <w:tc>
          <w:tcPr>
            <w:tcW w:w="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(79,949)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95,351</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80,684</w:t>
            </w:r>
          </w:p>
        </w:tc>
        <w:tc>
          <w:tcPr>
            <w:tcW w:w="0" w:type="dxa"/>
            <w:vAlign w:val="bottom"/>
          </w:tcPr>
          <w:p>
            <w:pPr>
              <w:spacing w:after="0"/>
              <w:rPr>
                <w:sz w:val="1"/>
                <w:szCs w:val="1"/>
                <w:color w:val="auto"/>
              </w:rPr>
            </w:pPr>
          </w:p>
        </w:tc>
      </w:tr>
      <w:tr>
        <w:trPr>
          <w:trHeight w:val="250"/>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200" w:type="dxa"/>
            <w:vAlign w:val="bottom"/>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220" w:type="dxa"/>
            <w:vAlign w:val="bottom"/>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9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(loss) attributable to common shareholders - basic</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(90,098)</w:t>
            </w:r>
          </w:p>
        </w:tc>
        <w:tc>
          <w:tcPr>
            <w:tcW w:w="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(79,949)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shareholders - diluted</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(79,949)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(34,743)</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95,351</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89,795</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80,684</w:t>
            </w:r>
          </w:p>
        </w:tc>
        <w:tc>
          <w:tcPr>
            <w:tcW w:w="0" w:type="dxa"/>
            <w:vAlign w:val="bottom"/>
          </w:tcPr>
          <w:p>
            <w:pPr>
              <w:spacing w:after="0"/>
              <w:rPr>
                <w:sz w:val="1"/>
                <w:szCs w:val="1"/>
                <w:color w:val="auto"/>
              </w:rPr>
            </w:pPr>
          </w:p>
        </w:tc>
      </w:tr>
      <w:tr>
        <w:trPr>
          <w:trHeight w:val="250"/>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95,351</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89,795</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Dilutive (loss) earnings per common share</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20. Segment Information</w:t>
            </w: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Our two operating segments, Beverage Solutions and Sustainable Sourcing &amp; Traceability, are evaluated using Segment Adjusted EBITDA, which is a segment performance measure. We define Segment Adjusted EBITDA as net (loss) income determined in accordance with GAAP, before interest expense, provision for income taxes, depreciation and amortization, equity-based compensation expense and the impact, which may be recurring in nature, of transaction, restructuring and integrations costs, including management services and consulting agreements entered into in connection with the acquisition of S&amp;D Coffee, Inc., impairment charges, changes in the fair value of warrant liabilities, non-cash mark-to-market adjustments, certain non-capitalizable costs necessary to place the Conway extract and ready-to-drink facility into commercial production, certain recurring operating costs related to the scale-up of operations of the Conway extract and ready-to-drink facility, the write off of unamortized deferred financing costs, costs incurred as a result of the early repayment of debt, gains or losses on dispositions, and other similar or infrequent items (although we may not have had such charges in the periods presented).</w:t>
      </w:r>
    </w:p>
    <w:p>
      <w:pPr>
        <w:spacing w:after="0" w:line="192"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The Company’s Chief Executive Officer, its chief operating decision maker (“CODM”), reviews Segment Adjusted EBITDA for the purpose of making operating decisions, assessing financial performance, and deciding how to allocate resources. Segment Adjusted EBITDA is used by the CODM to review operating trends and to monitor budget-to-actual variances in order to make key operating decisions.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Selected financial data, including a reconciliation of total reportable segments’ Segment Adjusted EBITDA to loss before income taxes and equity in earnings from unconsolidated entities, is presented below for the periods indicated:</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6"/>
          </w:tcPr>
          <w:p>
            <w:pPr>
              <w:jc w:val="center"/>
              <w:ind w:left="618"/>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200" w:type="dxa"/>
            <w:vAlign w:val="bottom"/>
          </w:tcPr>
          <w:p>
            <w:pPr>
              <w:ind w:left="60"/>
              <w:spacing w:after="0" w:line="118"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restart"/>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400" w:type="dxa"/>
            <w:vAlign w:val="bottom"/>
            <w:gridSpan w:val="2"/>
          </w:tcPr>
          <w:p>
            <w:pPr>
              <w:jc w:val="right"/>
              <w:ind w:right="190"/>
              <w:spacing w:after="0" w:line="118"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Sustainable</w:t>
            </w:r>
          </w:p>
        </w:tc>
        <w:tc>
          <w:tcPr>
            <w:tcW w:w="500" w:type="dxa"/>
            <w:vAlign w:val="bottom"/>
            <w:gridSpan w:val="2"/>
          </w:tcPr>
          <w:p>
            <w:pPr>
              <w:jc w:val="right"/>
              <w:ind w:right="276"/>
              <w:spacing w:after="0" w:line="118"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Sourcing &amp;</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Traceability</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Net sales</w:t>
            </w:r>
            <w:r>
              <w:rPr>
                <w:rFonts w:ascii="Times New Roman" w:cs="Times New Roman" w:eastAsia="Times New Roman" w:hAnsi="Times New Roman"/>
                <w:sz w:val="24"/>
                <w:szCs w:val="24"/>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908,449</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280,503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1,188,952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Conway extract and ready-to-drink facility pre-production costs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Conway extract and ready-to-drink facility scale up operating</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Mark-to-market adjustments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(Gain) loss on disposal of property, plant and equipment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0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Loss before income taxes and equity in earnings from</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(97,118)</w:t>
            </w:r>
          </w:p>
        </w:tc>
        <w:tc>
          <w:tcPr>
            <w:tcW w:w="0" w:type="dxa"/>
            <w:vAlign w:val="bottom"/>
          </w:tcPr>
          <w:p>
            <w:pPr>
              <w:spacing w:after="0"/>
              <w:rPr>
                <w:sz w:val="1"/>
                <w:szCs w:val="1"/>
                <w:color w:val="auto"/>
              </w:rPr>
            </w:pPr>
          </w:p>
        </w:tc>
      </w:tr>
      <w:tr>
        <w:trPr>
          <w:trHeight w:val="261"/>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unconsolidated entities</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88,770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1,175,846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1,175,978</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380" w:right="539" w:hanging="330"/>
        <w:spacing w:after="0" w:line="191" w:lineRule="auto"/>
        <w:tabs>
          <w:tab w:leader="none" w:pos="380" w:val="left"/>
        </w:tabs>
        <w:numPr>
          <w:ilvl w:val="0"/>
          <w:numId w:val="1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Excludes $8.4 million of intersegment revenues that represent sales of green coffee from our SS&amp;T segment to our Beverage Solutions segment.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jc w:val="center"/>
              <w:ind w:left="578"/>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380" w:type="dxa"/>
            <w:vAlign w:val="bottom"/>
            <w:gridSpan w:val="2"/>
          </w:tcPr>
          <w:p>
            <w:pPr>
              <w:jc w:val="right"/>
              <w:ind w:right="170"/>
              <w:spacing w:after="0" w:line="118"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340" w:type="dxa"/>
            <w:vAlign w:val="bottom"/>
            <w:gridSpan w:val="2"/>
          </w:tcPr>
          <w:p>
            <w:pPr>
              <w:jc w:val="right"/>
              <w:ind w:right="136"/>
              <w:spacing w:after="0" w:line="118"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Sustainable</w:t>
            </w:r>
          </w:p>
        </w:tc>
        <w:tc>
          <w:tcPr>
            <w:tcW w:w="480" w:type="dxa"/>
            <w:vAlign w:val="bottom"/>
            <w:gridSpan w:val="2"/>
          </w:tcPr>
          <w:p>
            <w:pPr>
              <w:jc w:val="right"/>
              <w:ind w:right="256"/>
              <w:spacing w:after="0" w:line="118"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Sourcing &amp;</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0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Traceability</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Net sales</w:t>
            </w:r>
            <w:r>
              <w:rPr>
                <w:rFonts w:ascii="Times New Roman" w:cs="Times New Roman" w:eastAsia="Times New Roman" w:hAnsi="Times New Roman"/>
                <w:sz w:val="24"/>
                <w:szCs w:val="24"/>
                <w:color w:val="auto"/>
                <w:vertAlign w:val="superscript"/>
              </w:rPr>
              <w:t>(1)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659,383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191,343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Impairment charges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Conway extract and ready-to-drink facility pre-production costs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Conway extract and ready-to-drink facility scale up operating costs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Mark-to-market adjustments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(Gain) loss on disposal of property, plant and equipment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Loss before income taxes and equity in earnings from unconsolidated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gridSpan w:val="2"/>
            <w:vMerge w:val="restart"/>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(76,378)</w:t>
            </w:r>
          </w:p>
        </w:tc>
        <w:tc>
          <w:tcPr>
            <w:tcW w:w="0" w:type="dxa"/>
            <w:vAlign w:val="bottom"/>
          </w:tcPr>
          <w:p>
            <w:pPr>
              <w:spacing w:after="0"/>
              <w:rPr>
                <w:sz w:val="1"/>
                <w:szCs w:val="1"/>
                <w:color w:val="auto"/>
              </w:rPr>
            </w:pPr>
          </w:p>
        </w:tc>
      </w:tr>
      <w:tr>
        <w:trPr>
          <w:trHeight w:val="261"/>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80" w:type="dxa"/>
            <w:vAlign w:val="bottom"/>
            <w:gridSpan w:val="2"/>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159,391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1,004,126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1,101,780</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380" w:right="479" w:hanging="330"/>
        <w:spacing w:after="0" w:line="269" w:lineRule="auto"/>
        <w:tabs>
          <w:tab w:leader="none" w:pos="3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$11.1 million of intersegment revenues that represent sales of green coffee from our SS&amp;T segment to our Beverage Solutions segment.</w:t>
      </w:r>
    </w:p>
    <w:tbl>
      <w:tblPr>
        <w:tblLayout w:type="fixed"/>
        <w:tblInd w:w="40" w:type="dxa"/>
        <w:tblCellMar>
          <w:top w:w="0" w:type="dxa"/>
          <w:left w:w="0" w:type="dxa"/>
          <w:bottom w:w="0" w:type="dxa"/>
          <w:right w:w="0" w:type="dxa"/>
        </w:tblCellMar>
      </w:tblPr>
      <w:tr>
        <w:trPr>
          <w:trHeight w:val="168"/>
        </w:trPr>
        <w:tc>
          <w:tcPr>
            <w:tcW w:w="4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jc w:val="center"/>
              <w:ind w:left="578"/>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860" w:type="dxa"/>
            <w:vAlign w:val="bottom"/>
          </w:tcPr>
          <w:p>
            <w:pPr>
              <w:spacing w:after="0"/>
              <w:rPr>
                <w:sz w:val="10"/>
                <w:szCs w:val="10"/>
                <w:color w:val="auto"/>
              </w:rPr>
            </w:pPr>
          </w:p>
        </w:tc>
        <w:tc>
          <w:tcPr>
            <w:tcW w:w="260" w:type="dxa"/>
            <w:vAlign w:val="bottom"/>
          </w:tcPr>
          <w:p>
            <w:pPr>
              <w:ind w:left="60"/>
              <w:spacing w:after="0" w:line="11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920" w:type="dxa"/>
            <w:vAlign w:val="bottom"/>
            <w:vMerge w:val="restart"/>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380" w:type="dxa"/>
            <w:vAlign w:val="bottom"/>
            <w:gridSpan w:val="2"/>
          </w:tcPr>
          <w:p>
            <w:pPr>
              <w:jc w:val="right"/>
              <w:ind w:right="170"/>
              <w:spacing w:after="0" w:line="118"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Sustainable</w:t>
            </w:r>
          </w:p>
        </w:tc>
        <w:tc>
          <w:tcPr>
            <w:tcW w:w="540" w:type="dxa"/>
            <w:vAlign w:val="bottom"/>
            <w:gridSpan w:val="2"/>
          </w:tcPr>
          <w:p>
            <w:pPr>
              <w:jc w:val="right"/>
              <w:ind w:right="310"/>
              <w:spacing w:after="0" w:line="118"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Sourcing &amp;</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Traceability</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auto"/>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Net sales</w:t>
            </w:r>
            <w:r>
              <w:rPr>
                <w:rFonts w:ascii="Times New Roman" w:cs="Times New Roman" w:eastAsia="Times New Roman" w:hAnsi="Times New Roman"/>
                <w:sz w:val="24"/>
                <w:szCs w:val="24"/>
                <w:color w:val="auto"/>
                <w:vertAlign w:val="superscript"/>
              </w:rPr>
              <w:t>(1)</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722,865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141,849</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864,714</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45,081</w:t>
            </w: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29,157</w:t>
            </w:r>
          </w:p>
        </w:tc>
        <w:tc>
          <w:tcPr>
            <w:tcW w:w="0" w:type="dxa"/>
            <w:vAlign w:val="bottom"/>
          </w:tcPr>
          <w:p>
            <w:pPr>
              <w:spacing w:after="0"/>
              <w:rPr>
                <w:sz w:val="1"/>
                <w:szCs w:val="1"/>
                <w:color w:val="auto"/>
              </w:rPr>
            </w:pPr>
          </w:p>
        </w:tc>
      </w:tr>
      <w:tr>
        <w:trPr>
          <w:trHeight w:val="216"/>
        </w:trPr>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26,584</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14,557</w:t>
            </w:r>
          </w:p>
        </w:tc>
        <w:tc>
          <w:tcPr>
            <w:tcW w:w="0" w:type="dxa"/>
            <w:vAlign w:val="bottom"/>
          </w:tcPr>
          <w:p>
            <w:pPr>
              <w:spacing w:after="0"/>
              <w:rPr>
                <w:sz w:val="1"/>
                <w:szCs w:val="1"/>
                <w:color w:val="auto"/>
              </w:rPr>
            </w:pPr>
          </w:p>
        </w:tc>
      </w:tr>
      <w:tr>
        <w:trPr>
          <w:trHeight w:val="216"/>
        </w:trPr>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(10,207)</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Management and consulting fees (S&amp;D acquisition)</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16"/>
        </w:trPr>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Conway extract and ready-to-drink facility pre-production costs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11,698</w:t>
            </w:r>
          </w:p>
        </w:tc>
        <w:tc>
          <w:tcPr>
            <w:tcW w:w="0" w:type="dxa"/>
            <w:vAlign w:val="bottom"/>
          </w:tcPr>
          <w:p>
            <w:pPr>
              <w:spacing w:after="0"/>
              <w:rPr>
                <w:sz w:val="1"/>
                <w:szCs w:val="1"/>
                <w:color w:val="auto"/>
              </w:rPr>
            </w:pPr>
          </w:p>
        </w:tc>
      </w:tr>
      <w:tr>
        <w:trPr>
          <w:trHeight w:val="216"/>
        </w:trPr>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Mark-to-market adjustments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loss on disposal of property, plant and equipment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0" w:type="dxa"/>
            <w:vAlign w:val="bottom"/>
          </w:tcPr>
          <w:p>
            <w:pPr>
              <w:spacing w:after="0"/>
              <w:rPr>
                <w:sz w:val="1"/>
                <w:szCs w:val="1"/>
                <w:color w:val="auto"/>
              </w:rPr>
            </w:pPr>
          </w:p>
        </w:tc>
      </w:tr>
      <w:tr>
        <w:trPr>
          <w:trHeight w:val="178"/>
        </w:trPr>
        <w:tc>
          <w:tcPr>
            <w:tcW w:w="512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Loss before income taxes and equity in earnings from</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(40,825)</w:t>
            </w:r>
          </w:p>
        </w:tc>
        <w:tc>
          <w:tcPr>
            <w:tcW w:w="0" w:type="dxa"/>
            <w:vAlign w:val="bottom"/>
          </w:tcPr>
          <w:p>
            <w:pPr>
              <w:spacing w:after="0"/>
              <w:rPr>
                <w:sz w:val="1"/>
                <w:szCs w:val="1"/>
                <w:color w:val="auto"/>
              </w:rPr>
            </w:pPr>
          </w:p>
        </w:tc>
      </w:tr>
      <w:tr>
        <w:trPr>
          <w:trHeight w:val="221"/>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unconsolidated entities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164,474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5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164,611</w:t>
            </w:r>
          </w:p>
        </w:tc>
        <w:tc>
          <w:tcPr>
            <w:tcW w:w="0" w:type="dxa"/>
            <w:vAlign w:val="bottom"/>
          </w:tcPr>
          <w:p>
            <w:pPr>
              <w:spacing w:after="0"/>
              <w:rPr>
                <w:sz w:val="1"/>
                <w:szCs w:val="1"/>
                <w:color w:val="auto"/>
              </w:rPr>
            </w:pPr>
          </w:p>
        </w:tc>
      </w:tr>
      <w:tr>
        <w:trPr>
          <w:trHeight w:val="234"/>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891,170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80,344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971,514</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80" w:right="539" w:hanging="330"/>
        <w:spacing w:after="0" w:line="298" w:lineRule="auto"/>
        <w:tabs>
          <w:tab w:leader="none" w:pos="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$5.1 million of intersegment revenues that represent sales of green coffee from our SS&amp;T segment to our Beverage Solutions segment.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Approximately 100% of our long-lived assets were located in the United States as of December 31,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Significant segment expense for our reportable segments is presented below for the periods indicated:</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24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34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230"/>
              <w:spacing w:after="0" w:line="145" w:lineRule="exact"/>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tcPr>
          <w:p>
            <w:pPr>
              <w:ind w:left="180"/>
              <w:spacing w:after="0" w:line="145" w:lineRule="exact"/>
              <w:rPr>
                <w:sz w:val="20"/>
                <w:szCs w:val="20"/>
                <w:color w:val="auto"/>
              </w:rPr>
            </w:pPr>
            <w:r>
              <w:rPr>
                <w:rFonts w:ascii="Times New Roman" w:cs="Times New Roman" w:eastAsia="Times New Roman" w:hAnsi="Times New Roman"/>
                <w:sz w:val="14"/>
                <w:szCs w:val="14"/>
                <w:b w:val="1"/>
                <w:bCs w:val="1"/>
                <w:color w:val="auto"/>
              </w:rPr>
              <w:t>Sustainable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Sourcing &amp;</w:t>
            </w:r>
          </w:p>
        </w:tc>
        <w:tc>
          <w:tcPr>
            <w:tcW w:w="0" w:type="dxa"/>
            <w:vAlign w:val="bottom"/>
          </w:tcPr>
          <w:p>
            <w:pPr>
              <w:spacing w:after="0"/>
              <w:rPr>
                <w:sz w:val="1"/>
                <w:szCs w:val="1"/>
                <w:color w:val="auto"/>
              </w:rPr>
            </w:pPr>
          </w:p>
        </w:tc>
      </w:tr>
      <w:tr>
        <w:trPr>
          <w:trHeight w:val="17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5"/>
                <w:szCs w:val="15"/>
                <w:color w:val="auto"/>
              </w:rPr>
            </w:pPr>
          </w:p>
        </w:tc>
        <w:tc>
          <w:tcPr>
            <w:tcW w:w="14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Traceability</w:t>
            </w:r>
          </w:p>
        </w:tc>
        <w:tc>
          <w:tcPr>
            <w:tcW w:w="0" w:type="dxa"/>
            <w:vAlign w:val="bottom"/>
          </w:tcPr>
          <w:p>
            <w:pPr>
              <w:spacing w:after="0"/>
              <w:rPr>
                <w:sz w:val="1"/>
                <w:szCs w:val="1"/>
                <w:color w:val="auto"/>
              </w:rPr>
            </w:pPr>
          </w:p>
        </w:tc>
      </w:tr>
      <w:tr>
        <w:trPr>
          <w:trHeight w:val="209"/>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908,449</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Costs of sales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735,008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Employee related</w:t>
            </w:r>
            <w:r>
              <w:rPr>
                <w:rFonts w:ascii="Times New Roman" w:cs="Times New Roman" w:eastAsia="Times New Roman" w:hAnsi="Times New Roman"/>
                <w:sz w:val="25"/>
                <w:szCs w:val="25"/>
                <w:color w:val="auto"/>
                <w:vertAlign w:val="superscript"/>
              </w:rPr>
              <w:t>(1)</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57,742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Information technology</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Advertising &amp; marketing</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insurance</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Freight</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Other segment expense</w:t>
            </w:r>
            <w:r>
              <w:rPr>
                <w:rFonts w:ascii="Times New Roman" w:cs="Times New Roman" w:eastAsia="Times New Roman" w:hAnsi="Times New Roman"/>
                <w:sz w:val="25"/>
                <w:szCs w:val="25"/>
                <w:color w:val="auto"/>
                <w:vertAlign w:val="superscript"/>
              </w:rPr>
              <w:t>(2)</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10,002</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68,481</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00" w:type="dxa"/>
            <w:vAlign w:val="bottom"/>
          </w:tcPr>
          <w:p>
            <w:pPr>
              <w:spacing w:after="0"/>
              <w:rPr>
                <w:sz w:val="24"/>
                <w:szCs w:val="24"/>
                <w:color w:val="auto"/>
              </w:rPr>
            </w:pPr>
          </w:p>
        </w:tc>
        <w:tc>
          <w:tcPr>
            <w:tcW w:w="24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334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230"/>
              <w:spacing w:after="0" w:line="145" w:lineRule="exact"/>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tcPr>
          <w:p>
            <w:pPr>
              <w:ind w:left="180"/>
              <w:spacing w:after="0" w:line="145" w:lineRule="exact"/>
              <w:rPr>
                <w:sz w:val="20"/>
                <w:szCs w:val="20"/>
                <w:color w:val="auto"/>
              </w:rPr>
            </w:pPr>
            <w:r>
              <w:rPr>
                <w:rFonts w:ascii="Times New Roman" w:cs="Times New Roman" w:eastAsia="Times New Roman" w:hAnsi="Times New Roman"/>
                <w:sz w:val="14"/>
                <w:szCs w:val="14"/>
                <w:b w:val="1"/>
                <w:bCs w:val="1"/>
                <w:color w:val="auto"/>
              </w:rPr>
              <w:t>Sustainable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Sourcing &amp;</w:t>
            </w:r>
          </w:p>
        </w:tc>
        <w:tc>
          <w:tcPr>
            <w:tcW w:w="0" w:type="dxa"/>
            <w:vAlign w:val="bottom"/>
          </w:tcPr>
          <w:p>
            <w:pPr>
              <w:spacing w:after="0"/>
              <w:rPr>
                <w:sz w:val="1"/>
                <w:szCs w:val="1"/>
                <w:color w:val="auto"/>
              </w:rPr>
            </w:pPr>
          </w:p>
        </w:tc>
      </w:tr>
      <w:tr>
        <w:trPr>
          <w:trHeight w:val="17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5"/>
                <w:szCs w:val="15"/>
                <w:color w:val="auto"/>
              </w:rPr>
            </w:pPr>
          </w:p>
        </w:tc>
        <w:tc>
          <w:tcPr>
            <w:tcW w:w="14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Traceability</w:t>
            </w:r>
          </w:p>
        </w:tc>
        <w:tc>
          <w:tcPr>
            <w:tcW w:w="0" w:type="dxa"/>
            <w:vAlign w:val="bottom"/>
          </w:tcPr>
          <w:p>
            <w:pPr>
              <w:spacing w:after="0"/>
              <w:rPr>
                <w:sz w:val="1"/>
                <w:szCs w:val="1"/>
                <w:color w:val="auto"/>
              </w:rPr>
            </w:pPr>
          </w:p>
        </w:tc>
      </w:tr>
      <w:tr>
        <w:trPr>
          <w:trHeight w:val="210"/>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659,383</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Costs of sales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502,194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Employee related</w:t>
            </w:r>
            <w:r>
              <w:rPr>
                <w:rFonts w:ascii="Times New Roman" w:cs="Times New Roman" w:eastAsia="Times New Roman" w:hAnsi="Times New Roman"/>
                <w:sz w:val="25"/>
                <w:szCs w:val="25"/>
                <w:color w:val="auto"/>
                <w:vertAlign w:val="superscript"/>
              </w:rPr>
              <w:t>(1)</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Information technology</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Advertising &amp; marketing</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insurance</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Freight</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Other segment expense</w:t>
            </w:r>
            <w:r>
              <w:rPr>
                <w:rFonts w:ascii="Times New Roman" w:cs="Times New Roman" w:eastAsia="Times New Roman" w:hAnsi="Times New Roman"/>
                <w:sz w:val="25"/>
                <w:szCs w:val="25"/>
                <w:color w:val="auto"/>
                <w:vertAlign w:val="superscript"/>
              </w:rPr>
              <w:t>(2)</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16,295</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53,639</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200" w:type="dxa"/>
            <w:vAlign w:val="bottom"/>
          </w:tcPr>
          <w:p>
            <w:pPr>
              <w:spacing w:after="0"/>
              <w:rPr>
                <w:sz w:val="24"/>
                <w:szCs w:val="24"/>
                <w:color w:val="auto"/>
              </w:rPr>
            </w:pPr>
          </w:p>
        </w:tc>
        <w:tc>
          <w:tcPr>
            <w:tcW w:w="24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334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230"/>
              <w:spacing w:after="0" w:line="145" w:lineRule="exact"/>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tcPr>
          <w:p>
            <w:pPr>
              <w:ind w:left="180"/>
              <w:spacing w:after="0" w:line="145" w:lineRule="exact"/>
              <w:rPr>
                <w:sz w:val="20"/>
                <w:szCs w:val="20"/>
                <w:color w:val="auto"/>
              </w:rPr>
            </w:pPr>
            <w:r>
              <w:rPr>
                <w:rFonts w:ascii="Times New Roman" w:cs="Times New Roman" w:eastAsia="Times New Roman" w:hAnsi="Times New Roman"/>
                <w:sz w:val="14"/>
                <w:szCs w:val="14"/>
                <w:b w:val="1"/>
                <w:bCs w:val="1"/>
                <w:color w:val="auto"/>
              </w:rPr>
              <w:t>Sustainable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Sourcing &amp;</w:t>
            </w:r>
          </w:p>
        </w:tc>
        <w:tc>
          <w:tcPr>
            <w:tcW w:w="0" w:type="dxa"/>
            <w:vAlign w:val="bottom"/>
          </w:tcPr>
          <w:p>
            <w:pPr>
              <w:spacing w:after="0"/>
              <w:rPr>
                <w:sz w:val="1"/>
                <w:szCs w:val="1"/>
                <w:color w:val="auto"/>
              </w:rPr>
            </w:pPr>
          </w:p>
        </w:tc>
      </w:tr>
      <w:tr>
        <w:trPr>
          <w:trHeight w:val="17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5"/>
                <w:szCs w:val="15"/>
                <w:color w:val="auto"/>
              </w:rPr>
            </w:pPr>
          </w:p>
        </w:tc>
        <w:tc>
          <w:tcPr>
            <w:tcW w:w="14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Traceability</w:t>
            </w:r>
          </w:p>
        </w:tc>
        <w:tc>
          <w:tcPr>
            <w:tcW w:w="0" w:type="dxa"/>
            <w:vAlign w:val="bottom"/>
          </w:tcPr>
          <w:p>
            <w:pPr>
              <w:spacing w:after="0"/>
              <w:rPr>
                <w:sz w:val="1"/>
                <w:szCs w:val="1"/>
                <w:color w:val="auto"/>
              </w:rPr>
            </w:pPr>
          </w:p>
        </w:tc>
      </w:tr>
      <w:tr>
        <w:trPr>
          <w:trHeight w:val="210"/>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722,865</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Costs of sales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582,528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Employee related</w:t>
            </w:r>
            <w:r>
              <w:rPr>
                <w:rFonts w:ascii="Times New Roman" w:cs="Times New Roman" w:eastAsia="Times New Roman" w:hAnsi="Times New Roman"/>
                <w:sz w:val="25"/>
                <w:szCs w:val="25"/>
                <w:color w:val="auto"/>
                <w:vertAlign w:val="superscript"/>
              </w:rPr>
              <w:t>(1)</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Information technology</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Advertising &amp; marketing</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insurance</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Freight</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Other segment expense</w:t>
            </w:r>
            <w:r>
              <w:rPr>
                <w:rFonts w:ascii="Times New Roman" w:cs="Times New Roman" w:eastAsia="Times New Roman" w:hAnsi="Times New Roman"/>
                <w:sz w:val="25"/>
                <w:szCs w:val="25"/>
                <w:color w:val="auto"/>
                <w:vertAlign w:val="superscript"/>
              </w:rPr>
              <w:t>(2)</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21,225</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41,624</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60" w:right="219"/>
        <w:spacing w:after="0" w:line="281" w:lineRule="auto"/>
        <w:rPr>
          <w:sz w:val="20"/>
          <w:szCs w:val="20"/>
          <w:color w:val="auto"/>
        </w:rPr>
      </w:pPr>
      <w:r>
        <w:rPr>
          <w:rFonts w:ascii="Times New Roman" w:cs="Times New Roman" w:eastAsia="Times New Roman" w:hAnsi="Times New Roman"/>
          <w:sz w:val="13"/>
          <w:szCs w:val="13"/>
          <w:color w:val="auto"/>
        </w:rPr>
        <w:t>1 - Employee related costs are costs reported within selling, general and administrative expense in our Consolidated Statements of Operations, and include employee salaries, related taxes and benefits, short-term cash incentive compensation and travel and entertainment expenses.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2 – Other segment expense includes equipment and real estate rent, equipment parts, supplies and service expenses and other overhead expenses.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21. Commitments and Contingencies</w:t>
      </w:r>
    </w:p>
    <w:p>
      <w:pPr>
        <w:spacing w:after="0" w:line="22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On November 27, 2024, Dairy Farmers of America, Inc. (“DFA”) filed a complaint against the Company and certain current and former employees of the Company in the United States District Court for the Western District of Missouri, which alleged trade secret misappropriation in violation of the Defend Trade Secrets Act and the Missouri Trade Secrets Act and civil conspiracy against the Company. DFA seeks money damages, interest, attorneys’ fees, costs, expenses, and injunctive relief from all defendants. On February 24, 2025, DFA filed an amended complaint, asserting the same causes of action against the Company and adding an individual defendant. On July 1, 2025, the United States District Court for the Western District of Missouri granted the Company’s motion to transfer the case to the United States District Court for the Eastern District of Arkansas, Case No. 4:25-cv-00662-JM. On July 14, 2025, DFA filed a second amended complaint, adding Westrock Beverage Company, LLC as a defendant, withdrawing the claim for civil conspiracy, and adding a claim seeking to pierce the corporate veil between the Company and Westrock Beverage Company, LLC. The Company and Westrock Beverage Company, LLC filed an answer on July 28, 2025, denying the allegations contained in DFA’s complaint, and also filed a motion to dismiss the veil-piercing claim. On October 28, 2025, the Court granted the motion to dismiss the veil-piercing claim.</w:t>
      </w:r>
    </w:p>
    <w:p>
      <w:pPr>
        <w:spacing w:after="0" w:line="187"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Discovery has commenced, and the case has been set for trial on February 22, 2027. The Company intends to defend this matter vigorously and seek all recourse available to it, and, because it is still in its preliminary stages, we have not yet determined what effect this lawsuit will have, if any, on our financial position or results of operations.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are subject to various other claims and legal proceedings with respect to matters such as governmental regulations, and other actions arising out of the normal course of business. Management believes that the resolution of these matters will not have a material adverse effect on our financial position, results of operations, or cash flow.</w:t>
      </w:r>
    </w:p>
    <w:p>
      <w:pPr>
        <w:spacing w:after="0" w:line="176"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We have future purchase obligations of $240.3 million as of December 31, 2025 that consist of commitments for the purchase of inventory over the next 12 months. These obligations represent the minimum contractual obligations expected under the normal course of business.</w:t>
      </w:r>
    </w:p>
    <w:p>
      <w:pPr>
        <w:spacing w:after="0" w:line="176"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In addition, at December 31, 2025 we had no obligation to repurchase inventory associated with repurchase agreements in which the Company’s Sustainable Sourcing &amp; Traceability segment has sold inventory to a third party and from whom the Company’s Beverage Solutions segment has an obligation to repurchase. At December 31, 2024, the Company had $0.6 million of such obligations. The liability for these obligations is recorded within accrued expenses and other current liabilities on the Company’s Consolidated Balance Sheet.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22. Related Party Transactions</w:t>
      </w:r>
    </w:p>
    <w:p>
      <w:pPr>
        <w:spacing w:after="0" w:line="229" w:lineRule="exact"/>
        <w:rPr>
          <w:sz w:val="20"/>
          <w:szCs w:val="20"/>
          <w:color w:val="auto"/>
        </w:rPr>
      </w:pPr>
    </w:p>
    <w:p>
      <w:pPr>
        <w:jc w:val="both"/>
        <w:ind w:left="60" w:right="319"/>
        <w:spacing w:after="0" w:line="261" w:lineRule="auto"/>
        <w:rPr>
          <w:sz w:val="20"/>
          <w:szCs w:val="20"/>
          <w:color w:val="auto"/>
        </w:rPr>
      </w:pPr>
      <w:r>
        <w:rPr>
          <w:rFonts w:ascii="Times New Roman" w:cs="Times New Roman" w:eastAsia="Times New Roman" w:hAnsi="Times New Roman"/>
          <w:sz w:val="18"/>
          <w:szCs w:val="18"/>
          <w:color w:val="auto"/>
        </w:rPr>
        <w:t>In February 2024, the Company sold and issued convertible notes (see Note 12) to Westrock Group, LLC (an affiliate of Scott Ford, the Company’s Chief Executive Officer and a member of the board of directors of the Company, “Westrock Group”), Wooster Capital, LLC (an affiliate of Joe Ford, chairman of the board of directors) and HF Direct Investments Pool, LLC (a holder of more than 10% of the outstanding Common Shares), each a related party.</w:t>
      </w:r>
    </w:p>
    <w:p>
      <w:pPr>
        <w:spacing w:after="0" w:line="180"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In November 2025, the Company sold and issued convertible notes (see Note 12) to HF Direct Investments Pool, LLC (a holder of more than 10% of the outstanding Common Shares) and Jeffrey H. Fox Revocable Trust (an affiliate of Jeffrey H. Fox, a member of the board of directors of the Company), each a related party.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Consolidated Financial Statements reflect the following transactions with related parties: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December 31, 2025</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December 31, 2024</w:t>
            </w:r>
          </w:p>
        </w:tc>
      </w:tr>
      <w:tr>
        <w:trPr>
          <w:trHeight w:val="210"/>
        </w:trPr>
        <w:tc>
          <w:tcPr>
            <w:tcW w:w="5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Westrock Group</w:t>
            </w:r>
          </w:p>
        </w:tc>
        <w:tc>
          <w:tcPr>
            <w:tcW w:w="66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740" w:type="dxa"/>
            <w:vAlign w:val="bottom"/>
            <w:gridSpan w:val="2"/>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Wooster Capital</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HF Direct Investments Pool, LLC</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16"/>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Jeffrey H. Fox Revocable Trust</w:t>
            </w:r>
          </w:p>
        </w:tc>
        <w:tc>
          <w:tcPr>
            <w:tcW w:w="2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8"/>
                <w:szCs w:val="18"/>
                <w:color w:val="auto"/>
              </w:rPr>
            </w:pP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200" w:type="dxa"/>
            <w:vAlign w:val="bottom"/>
          </w:tcPr>
          <w:p>
            <w:pPr>
              <w:spacing w:after="0"/>
              <w:rPr>
                <w:sz w:val="18"/>
                <w:szCs w:val="18"/>
                <w:color w:val="auto"/>
              </w:rPr>
            </w:pPr>
          </w:p>
        </w:tc>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0"/>
        </w:trPr>
        <w:tc>
          <w:tcPr>
            <w:tcW w:w="5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520" w:type="dxa"/>
            <w:vAlign w:val="bottom"/>
            <w:gridSpan w:val="5"/>
          </w:tcPr>
          <w:p>
            <w:pPr>
              <w:ind w:left="8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December 31, 2025</w:t>
            </w:r>
          </w:p>
        </w:tc>
        <w:tc>
          <w:tcPr>
            <w:tcW w:w="1500" w:type="dxa"/>
            <w:vAlign w:val="bottom"/>
            <w:gridSpan w:val="5"/>
          </w:tcPr>
          <w:p>
            <w:pPr>
              <w:ind w:left="6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December 31, 2024</w:t>
            </w:r>
          </w:p>
        </w:tc>
      </w:tr>
      <w:tr>
        <w:trPr>
          <w:trHeight w:val="209"/>
        </w:trPr>
        <w:tc>
          <w:tcPr>
            <w:tcW w:w="5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Convertible notes payable - related party, net: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Westrock Group</w:t>
            </w:r>
          </w:p>
        </w:tc>
        <w:tc>
          <w:tcPr>
            <w:tcW w:w="50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0" w:type="dxa"/>
            <w:vAlign w:val="bottom"/>
          </w:tcPr>
          <w:p>
            <w:pPr>
              <w:spacing w:after="0"/>
              <w:rPr>
                <w:sz w:val="18"/>
                <w:szCs w:val="18"/>
                <w:color w:val="auto"/>
              </w:rPr>
            </w:pPr>
          </w:p>
        </w:tc>
        <w:tc>
          <w:tcPr>
            <w:tcW w:w="48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Wooster Capital</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HF Direct Investments Pool, LLC</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Jeffrey H. Fox Revocable Trust</w:t>
            </w: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Unamortized debt costs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gridSpan w:val="2"/>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60,839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bottom w:val="single" w:sz="8" w:color="auto"/>
            </w:tcBorders>
            <w:gridSpan w:val="2"/>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49,706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56"/>
        </w:trPr>
        <w:tc>
          <w:tcPr>
            <w:tcW w:w="590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(Thousands)</w:t>
            </w:r>
          </w:p>
        </w:tc>
        <w:tc>
          <w:tcPr>
            <w:tcW w:w="22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000" w:type="dxa"/>
            <w:vAlign w:val="bottom"/>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3"/>
                <w:szCs w:val="13"/>
                <w:color w:val="auto"/>
              </w:rPr>
            </w:pPr>
          </w:p>
        </w:tc>
        <w:tc>
          <w:tcPr>
            <w:tcW w:w="480" w:type="dxa"/>
            <w:vAlign w:val="bottom"/>
            <w:gridSpan w:val="3"/>
          </w:tcPr>
          <w:p>
            <w:pPr>
              <w:ind w:left="60"/>
              <w:spacing w:after="0" w:line="155"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411"/>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3"/>
                <w:szCs w:val="13"/>
                <w:color w:val="auto"/>
              </w:rPr>
            </w:pPr>
          </w:p>
        </w:tc>
      </w:tr>
      <w:tr>
        <w:trPr>
          <w:trHeight w:val="209"/>
        </w:trPr>
        <w:tc>
          <w:tcPr>
            <w:tcW w:w="20" w:type="dxa"/>
            <w:vAlign w:val="bottom"/>
          </w:tcPr>
          <w:p>
            <w:pPr>
              <w:spacing w:after="0"/>
              <w:rPr>
                <w:sz w:val="18"/>
                <w:szCs w:val="18"/>
                <w:color w:val="auto"/>
              </w:rPr>
            </w:pPr>
          </w:p>
        </w:tc>
        <w:tc>
          <w:tcPr>
            <w:tcW w:w="5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Westrock Group</w:t>
            </w:r>
          </w:p>
        </w:tc>
        <w:tc>
          <w:tcPr>
            <w:tcW w:w="50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0" w:type="dxa"/>
            <w:vAlign w:val="bottom"/>
          </w:tcPr>
          <w:p>
            <w:pPr>
              <w:spacing w:after="0"/>
              <w:rPr>
                <w:sz w:val="18"/>
                <w:szCs w:val="18"/>
                <w:color w:val="auto"/>
              </w:rPr>
            </w:pPr>
          </w:p>
        </w:tc>
        <w:tc>
          <w:tcPr>
            <w:tcW w:w="48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Wooster Capital</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HF Direct Investments Pool, LLC</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Jeffrey H. Fox Revocable Trust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Pr>
          <w:p>
            <w:pPr>
              <w:spacing w:after="0"/>
              <w:rPr>
                <w:sz w:val="18"/>
                <w:szCs w:val="18"/>
                <w:color w:val="auto"/>
              </w:rPr>
            </w:pPr>
          </w:p>
        </w:tc>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gridSpan w:val="2"/>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In connection with the acquisition of S&amp;D Coffee, Inc. in February 2020, the Company entered into a Management Services Agreement with Westrock Group, whose controlling manager and controlling member, Greenbrier Holdings, LLC, is owned and controlled by our co-founder and Chief Executive Officer Scott Ford. Under the terms of the agreement, which expired in February 2023, Westrock Group was paid $10.0 million in return for financial, managerial, operational, and strategic services. The associated expense is recorded within selling, general and administrative expense in our Consolidated Statements of Operations. The Company recognized no such expenses during the years ended December 31, 2025 or 2024. For the year ended December 31, 2023, the Company recognized $0.6 million of such expenses. In addition, the Company reimburses Westrock Group for the usage of a corporate aircraft, and its portion of shared administrative expense. For the years ended December 31, 2025, 2024 and 2023, the Company incurred expenses of $0.3 million, $0.9 million and $1.5 million, respectively, for such items, which are recorded in selling, general and administrative expense on our Consolidated Statements of Operations. At December 31, 2025, we had $0.1 million payable to Westrock Group.</w:t>
      </w:r>
    </w:p>
    <w:p>
      <w:pPr>
        <w:spacing w:after="0" w:line="82"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Falcon purchased $9.6 million, of green coffee from the Rwandan JV, in which the Company has a 49.9% interest. There was no such activity during the years ended December 31, 2024 and 2023. At December 31, 2025, we had $1.2 million payable to the Rwandan JV.</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23. Subsequent Events</w:t>
      </w:r>
    </w:p>
    <w:p>
      <w:pPr>
        <w:spacing w:after="0" w:line="229"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On March 5, 2026, Falcon renewed its working capital trade finance facility with multiple institutions. The facility size was increased from $102.5 million to $110.0 million and remains uncommitted and repayable on demand, with certain of Falcon’s assets pledged as collateral against the facility.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left="60" w:right="699"/>
        <w:spacing w:after="0" w:line="289"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Rules 13a-15(e) and 15d-15(e) under the Securities Exchange Act of 1934, as amended, (the “Exchange Act”) that are designed to provide reasonable assurance that information required to be disclosed by us in the reports that we file or submit under the Exchange Act is recorded,</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61" w:lineRule="auto"/>
        <w:rPr>
          <w:sz w:val="20"/>
          <w:szCs w:val="20"/>
          <w:color w:val="auto"/>
        </w:rPr>
      </w:pPr>
      <w:r>
        <w:rPr>
          <w:rFonts w:ascii="Times New Roman" w:cs="Times New Roman" w:eastAsia="Times New Roman" w:hAnsi="Times New Roman"/>
          <w:sz w:val="18"/>
          <w:szCs w:val="18"/>
          <w:color w:val="auto"/>
        </w:rPr>
        <w:t>processed, summarized and reported within the time periods specified in the SEC’s rules and forms and to ensure that information required to be disclosed is accumulated and communicated to our management, including our Principal Executive Officer and Principal Financial Officer, as appropriate, to allow for timely decisions regarding required disclosure.</w:t>
      </w:r>
    </w:p>
    <w:p>
      <w:pPr>
        <w:spacing w:after="0" w:line="180"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December 31, 2025, the end of the period covered by this Annual Report. Based on this evaluation, our Principal Executive Officer and Principal Financial Officer concluded that our disclosure controls and procedures were effective at the reasonable assurance level as of December 31, 2025.</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2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is responsible for establishing and maintaining adequate internal control over financial reporting, as defined in Rules 13a-15(f) and 15d-15(f) of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83" w:lineRule="exact"/>
        <w:rPr>
          <w:sz w:val="20"/>
          <w:szCs w:val="20"/>
          <w:color w:val="auto"/>
        </w:rPr>
      </w:pPr>
    </w:p>
    <w:p>
      <w:pPr>
        <w:ind w:left="60" w:right="519"/>
        <w:spacing w:after="0" w:line="258"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December 31, 2025, based on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(“COSO Framework”). Based on that assessment, management has concluded that, as of December 31, 2025, the Company’s internal control over financial reporting was effective.</w:t>
      </w:r>
    </w:p>
    <w:p>
      <w:pPr>
        <w:spacing w:after="0" w:line="183" w:lineRule="exact"/>
        <w:rPr>
          <w:sz w:val="20"/>
          <w:szCs w:val="20"/>
          <w:color w:val="auto"/>
        </w:rPr>
      </w:pPr>
    </w:p>
    <w:p>
      <w:pPr>
        <w:jc w:val="both"/>
        <w:ind w:left="60" w:right="259"/>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the Company’s independent registered public accounting firm due to a transition period established by rules of the Securities and Exchange Commission for emerging growth companies.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33"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Exchange Act, that occurred during the quarter ended December 31, 2025, that have materially affected, or are reasonably likely to materially affect, our internal control over financial reporting.</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35" w:lineRule="exact"/>
        <w:rPr>
          <w:sz w:val="20"/>
          <w:szCs w:val="20"/>
          <w:color w:val="auto"/>
        </w:rPr>
      </w:pPr>
    </w:p>
    <w:p>
      <w:pPr>
        <w:ind w:left="380" w:hanging="330"/>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jc w:val="both"/>
        <w:ind w:left="380" w:right="319" w:hanging="330"/>
        <w:spacing w:after="0" w:line="266"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December 31, 2025, none of the Company’s directors or officers (as defined in Rule 16a-1(f) of the Securities Exchange Act of 1934) adopted or terminated a Rule 10b5-1 trading arrangement or non-Rule 10b5-1 trading arrangement, (as such terms are defined in Item 408(a) of Regulation S-K).</w:t>
      </w:r>
    </w:p>
    <w:p>
      <w:pPr>
        <w:spacing w:after="0" w:line="91" w:lineRule="exact"/>
        <w:rPr>
          <w:sz w:val="20"/>
          <w:szCs w:val="20"/>
          <w:color w:val="auto"/>
        </w:rPr>
      </w:pPr>
    </w:p>
    <w:p>
      <w:pPr>
        <w:ind w:left="60" w:right="3139"/>
        <w:spacing w:after="0" w:line="333" w:lineRule="auto"/>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Except as set forth below, the information required by this item is incorporated by reference from our definitive proxy statement for our 2025 annual meeting of stockholders (our “Proxy Statement”), which we expect to be filed with the SEC no later than 120 days after December 31, 2025, pursuant to Regulation 14A under the Exchange Act.</w:t>
      </w:r>
    </w:p>
    <w:p>
      <w:pPr>
        <w:spacing w:after="0" w:line="1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or “Code of Ethics,” which apply to all of our directors, officers and employees, including our principal executive officer, principal financial officer, principal accounting officer and persons performing similar functions. The board of directors also adopted the Westrock Coffee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Company Supplemental Code of Ethics for Chief Executive Officer and Senior Financial Officers (the “Supplemental Code of Ethics”). The Supplemental Code of Ethics applies to the Company’s chief executive officer, president, if any, chief financial officer and principal accounting officer. The Code of Ethics and Supplemental Code of Ethics are available on our website at www.investors.westrockcoffee.com. If we amend or grant any waiver from a provision of our Code of Ethics that applies to any of our executive officers or Supplemental Code of Ethics, we will publicly disclose such amendment or waiver as required by applicable law.</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required to be set forth herein is incorporated by reference, when filed, from our Proxy Statement.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62"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Except as set forth below, information required to be set forth herein is incorporated by reference, when filed, from our Proxy Statement.</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62" w:lineRule="exact"/>
        <w:rPr>
          <w:sz w:val="20"/>
          <w:szCs w:val="20"/>
          <w:color w:val="auto"/>
        </w:rPr>
      </w:pPr>
    </w:p>
    <w:p>
      <w:pPr>
        <w:ind w:left="60" w:right="959"/>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about our common stock that may be issued under our existing equity compensation plans as of December 31, 2025.</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4"/>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680" w:type="dxa"/>
            <w:vAlign w:val="bottom"/>
            <w:gridSpan w:val="6"/>
            <w:vMerge w:val="restart"/>
          </w:tcPr>
          <w:p>
            <w:pPr>
              <w:jc w:val="right"/>
              <w:ind w:right="15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Remaining</w:t>
            </w: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68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jc w:val="center"/>
              <w:ind w:right="5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Available for</w:t>
            </w:r>
          </w:p>
        </w:tc>
        <w:tc>
          <w:tcPr>
            <w:tcW w:w="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6"/>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60" w:type="dxa"/>
            <w:vAlign w:val="bottom"/>
            <w:gridSpan w:val="11"/>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 Issued ​​​ Weighted-Average</w:t>
            </w:r>
          </w:p>
        </w:tc>
        <w:tc>
          <w:tcPr>
            <w:tcW w:w="138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4"/>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140" w:type="dxa"/>
            <w:vAlign w:val="bottom"/>
          </w:tcPr>
          <w:p>
            <w:pPr>
              <w:spacing w:after="0"/>
              <w:rPr>
                <w:sz w:val="12"/>
                <w:szCs w:val="12"/>
                <w:color w:val="auto"/>
              </w:rPr>
            </w:pPr>
          </w:p>
        </w:tc>
        <w:tc>
          <w:tcPr>
            <w:tcW w:w="1400" w:type="dxa"/>
            <w:vAlign w:val="bottom"/>
            <w:gridSpan w:val="5"/>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00" w:type="dxa"/>
            <w:vAlign w:val="bottom"/>
          </w:tcPr>
          <w:p>
            <w:pPr>
              <w:spacing w:after="0"/>
              <w:rPr>
                <w:sz w:val="12"/>
                <w:szCs w:val="12"/>
                <w:color w:val="auto"/>
              </w:rPr>
            </w:pPr>
          </w:p>
        </w:tc>
        <w:tc>
          <w:tcPr>
            <w:tcW w:w="1280" w:type="dxa"/>
            <w:vAlign w:val="bottom"/>
            <w:gridSpan w:val="4"/>
          </w:tcPr>
          <w:p>
            <w:pPr>
              <w:jc w:val="center"/>
              <w:ind w:right="5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0" w:type="dxa"/>
            <w:vAlign w:val="bottom"/>
          </w:tcPr>
          <w:p>
            <w:pPr>
              <w:spacing w:after="0"/>
              <w:rPr>
                <w:sz w:val="12"/>
                <w:szCs w:val="12"/>
                <w:color w:val="auto"/>
              </w:rPr>
            </w:pPr>
          </w:p>
        </w:tc>
        <w:tc>
          <w:tcPr>
            <w:tcW w:w="1520" w:type="dxa"/>
            <w:vAlign w:val="bottom"/>
            <w:gridSpan w:val="5"/>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540" w:type="dxa"/>
            <w:vAlign w:val="bottom"/>
            <w:gridSpan w:val="6"/>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00" w:type="dxa"/>
            <w:vAlign w:val="bottom"/>
          </w:tcPr>
          <w:p>
            <w:pPr>
              <w:spacing w:after="0"/>
              <w:rPr>
                <w:sz w:val="12"/>
                <w:szCs w:val="12"/>
                <w:color w:val="auto"/>
              </w:rPr>
            </w:pPr>
          </w:p>
        </w:tc>
        <w:tc>
          <w:tcPr>
            <w:tcW w:w="1280" w:type="dxa"/>
            <w:vAlign w:val="bottom"/>
            <w:gridSpan w:val="4"/>
          </w:tcPr>
          <w:p>
            <w:pPr>
              <w:jc w:val="center"/>
              <w:ind w:right="5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540" w:type="dxa"/>
            <w:vAlign w:val="bottom"/>
            <w:gridSpan w:val="6"/>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00" w:type="dxa"/>
            <w:vAlign w:val="bottom"/>
          </w:tcPr>
          <w:p>
            <w:pPr>
              <w:spacing w:after="0"/>
              <w:rPr>
                <w:sz w:val="15"/>
                <w:szCs w:val="15"/>
                <w:color w:val="auto"/>
              </w:rPr>
            </w:pPr>
          </w:p>
        </w:tc>
        <w:tc>
          <w:tcPr>
            <w:tcW w:w="1280" w:type="dxa"/>
            <w:vAlign w:val="bottom"/>
            <w:gridSpan w:val="4"/>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in column (a))</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41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240" w:type="dxa"/>
            <w:vAlign w:val="bottom"/>
            <w:tcBorders>
              <w:top w:val="single" w:sz="8" w:color="auto"/>
              <w:bottom w:val="single" w:sz="8" w:color="auto"/>
            </w:tcBorders>
            <w:gridSpan w:val="3"/>
            <w:vMerge w:val="restart"/>
          </w:tcPr>
          <w:p>
            <w:pPr>
              <w:jc w:val="right"/>
              <w:ind w:right="450"/>
              <w:spacing w:after="0" w:line="129" w:lineRule="exact"/>
              <w:rPr>
                <w:sz w:val="20"/>
                <w:szCs w:val="20"/>
                <w:color w:val="auto"/>
              </w:rPr>
            </w:pPr>
            <w:r>
              <w:rPr>
                <w:rFonts w:ascii="Times New Roman" w:cs="Times New Roman" w:eastAsia="Times New Roman" w:hAnsi="Times New Roman"/>
                <w:sz w:val="14"/>
                <w:szCs w:val="14"/>
                <w:color w:val="auto"/>
              </w:rPr>
              <w:t>(a)</w:t>
            </w:r>
          </w:p>
        </w:tc>
        <w:tc>
          <w:tcPr>
            <w:tcW w:w="1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220" w:type="dxa"/>
            <w:vAlign w:val="bottom"/>
            <w:tcBorders>
              <w:top w:val="single" w:sz="8" w:color="auto"/>
              <w:bottom w:val="single" w:sz="8" w:color="auto"/>
            </w:tcBorders>
            <w:gridSpan w:val="3"/>
            <w:vMerge w:val="restart"/>
          </w:tcPr>
          <w:p>
            <w:pPr>
              <w:jc w:val="right"/>
              <w:ind w:right="450"/>
              <w:spacing w:after="0" w:line="129" w:lineRule="exact"/>
              <w:rPr>
                <w:sz w:val="20"/>
                <w:szCs w:val="20"/>
                <w:color w:val="auto"/>
              </w:rPr>
            </w:pPr>
            <w:r>
              <w:rPr>
                <w:rFonts w:ascii="Times New Roman" w:cs="Times New Roman" w:eastAsia="Times New Roman" w:hAnsi="Times New Roman"/>
                <w:sz w:val="14"/>
                <w:szCs w:val="14"/>
                <w:color w:val="auto"/>
              </w:rPr>
              <w:t>(b)</w:t>
            </w:r>
          </w:p>
        </w:tc>
        <w:tc>
          <w:tcPr>
            <w:tcW w:w="14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bottom w:val="single" w:sz="8" w:color="auto"/>
            </w:tcBorders>
            <w:gridSpan w:val="2"/>
            <w:vMerge w:val="restart"/>
          </w:tcPr>
          <w:p>
            <w:pPr>
              <w:jc w:val="center"/>
              <w:ind w:left="425"/>
              <w:spacing w:after="0" w:line="129" w:lineRule="exact"/>
              <w:rPr>
                <w:sz w:val="20"/>
                <w:szCs w:val="20"/>
                <w:color w:val="auto"/>
              </w:rPr>
            </w:pPr>
            <w:r>
              <w:rPr>
                <w:rFonts w:ascii="Times New Roman" w:cs="Times New Roman" w:eastAsia="Times New Roman" w:hAnsi="Times New Roman"/>
                <w:sz w:val="14"/>
                <w:szCs w:val="14"/>
                <w:color w:val="auto"/>
              </w:rPr>
              <w:t>(c)</w:t>
            </w:r>
          </w:p>
        </w:tc>
        <w:tc>
          <w:tcPr>
            <w:tcW w:w="120" w:type="dxa"/>
            <w:vAlign w:val="bottom"/>
            <w:tcBorders>
              <w:top w:val="single" w:sz="8" w:color="auto"/>
              <w:bottom w:val="single" w:sz="8" w:color="auto"/>
            </w:tcBorders>
          </w:tcPr>
          <w:p>
            <w:pPr>
              <w:jc w:val="right"/>
              <w:spacing w:after="0" w:line="75" w:lineRule="exact"/>
              <w:rPr>
                <w:sz w:val="20"/>
                <w:szCs w:val="20"/>
                <w:color w:val="auto"/>
              </w:rPr>
            </w:pPr>
            <w:r>
              <w:rPr>
                <w:rFonts w:ascii="Times New Roman" w:cs="Times New Roman" w:eastAsia="Times New Roman" w:hAnsi="Times New Roman"/>
                <w:sz w:val="8"/>
                <w:szCs w:val="8"/>
                <w:color w:val="auto"/>
              </w:rPr>
              <w:t>(1)</w:t>
            </w:r>
          </w:p>
        </w:tc>
        <w:tc>
          <w:tcPr>
            <w:tcW w:w="500" w:type="dxa"/>
            <w:vAlign w:val="bottom"/>
            <w:tcBorders>
              <w:top w:val="single" w:sz="8" w:color="auto"/>
              <w:bottom w:val="single" w:sz="8" w:color="auto"/>
            </w:tcBorders>
            <w:vMerge w:val="restart"/>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680" w:type="dxa"/>
            <w:vAlign w:val="bottom"/>
            <w:gridSpan w:val="6"/>
            <w:shd w:val="clear" w:color="auto" w:fill="CCEEFF"/>
          </w:tcPr>
          <w:p>
            <w:pPr>
              <w:jc w:val="right"/>
              <w:spacing w:after="0" w:line="216" w:lineRule="exact"/>
              <w:rPr>
                <w:sz w:val="20"/>
                <w:szCs w:val="20"/>
                <w:color w:val="auto"/>
              </w:rPr>
            </w:pPr>
            <w:r>
              <w:rPr>
                <w:rFonts w:ascii="Times New Roman" w:cs="Times New Roman" w:eastAsia="Times New Roman" w:hAnsi="Times New Roman"/>
                <w:sz w:val="18"/>
                <w:szCs w:val="18"/>
                <w:color w:val="auto"/>
              </w:rPr>
              <w:t xml:space="preserve">5,014,291 </w:t>
            </w:r>
            <w:r>
              <w:rPr>
                <w:rFonts w:ascii="Times New Roman" w:cs="Times New Roman" w:eastAsia="Times New Roman" w:hAnsi="Times New Roman"/>
                <w:sz w:val="25"/>
                <w:szCs w:val="25"/>
                <w:color w:val="auto"/>
                <w:vertAlign w:val="subscript"/>
              </w:rPr>
              <w:t>(2)</w:t>
            </w:r>
          </w:p>
        </w:tc>
        <w:tc>
          <w:tcPr>
            <w:tcW w:w="1500" w:type="dxa"/>
            <w:vAlign w:val="bottom"/>
            <w:gridSpan w:val="5"/>
            <w:shd w:val="clear" w:color="auto" w:fill="CCEEFF"/>
          </w:tcPr>
          <w:p>
            <w:pPr>
              <w:jc w:val="right"/>
              <w:spacing w:after="0" w:line="216" w:lineRule="exact"/>
              <w:rPr>
                <w:sz w:val="20"/>
                <w:szCs w:val="20"/>
                <w:color w:val="auto"/>
              </w:rPr>
            </w:pPr>
            <w:r>
              <w:rPr>
                <w:rFonts w:ascii="Times New Roman" w:cs="Times New Roman" w:eastAsia="Times New Roman" w:hAnsi="Times New Roman"/>
                <w:sz w:val="18"/>
                <w:szCs w:val="18"/>
                <w:color w:val="auto"/>
              </w:rPr>
              <w:t xml:space="preserve">$ 9.54 </w:t>
            </w:r>
            <w:r>
              <w:rPr>
                <w:rFonts w:ascii="Times New Roman" w:cs="Times New Roman" w:eastAsia="Times New Roman" w:hAnsi="Times New Roman"/>
                <w:sz w:val="25"/>
                <w:szCs w:val="25"/>
                <w:color w:val="auto"/>
                <w:vertAlign w:val="subscript"/>
              </w:rPr>
              <w:t>(3)</w:t>
            </w:r>
          </w:p>
        </w:tc>
        <w:tc>
          <w:tcPr>
            <w:tcW w:w="40" w:type="dxa"/>
            <w:vAlign w:val="bottom"/>
            <w:shd w:val="clear" w:color="auto" w:fill="CCEEFF"/>
          </w:tcPr>
          <w:p>
            <w:pPr>
              <w:spacing w:after="0"/>
              <w:rPr>
                <w:sz w:val="18"/>
                <w:szCs w:val="18"/>
                <w:color w:val="auto"/>
              </w:rPr>
            </w:pPr>
          </w:p>
        </w:tc>
        <w:tc>
          <w:tcPr>
            <w:tcW w:w="1520" w:type="dxa"/>
            <w:vAlign w:val="bottom"/>
            <w:gridSpan w:val="6"/>
            <w:shd w:val="clear" w:color="auto" w:fill="CCEEFF"/>
          </w:tcPr>
          <w:p>
            <w:pPr>
              <w:jc w:val="right"/>
              <w:spacing w:after="0" w:line="216" w:lineRule="exact"/>
              <w:rPr>
                <w:sz w:val="20"/>
                <w:szCs w:val="20"/>
                <w:color w:val="auto"/>
              </w:rPr>
            </w:pPr>
            <w:r>
              <w:rPr>
                <w:rFonts w:ascii="Times New Roman" w:cs="Times New Roman" w:eastAsia="Times New Roman" w:hAnsi="Times New Roman"/>
                <w:sz w:val="18"/>
                <w:szCs w:val="18"/>
                <w:color w:val="auto"/>
              </w:rPr>
              <w:t xml:space="preserve">3,240,657 </w:t>
            </w:r>
            <w:r>
              <w:rPr>
                <w:rFonts w:ascii="Times New Roman" w:cs="Times New Roman" w:eastAsia="Times New Roman" w:hAnsi="Times New Roman"/>
                <w:sz w:val="25"/>
                <w:szCs w:val="25"/>
                <w:color w:val="auto"/>
                <w:vertAlign w:val="subscript"/>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5,014,291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3,240,657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240" w:right="159" w:hanging="190"/>
        <w:spacing w:after="0" w:line="268" w:lineRule="auto"/>
        <w:tabs>
          <w:tab w:leader="none" w:pos="237"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number of securities remaining available for future issuance under the 2022 Equity Plan is based on a formula. The 2022 Equity Plan provides that the maximum number of shares that may be granted pursuant to Awards (as defined in the 2022 Equity Plan) shall be 4,574,765, provided that on January 1 of each year until January 2031, the share reserve will automatically increase by an amount equal to 2% of the total number of shares outstanding on December 31 of the preceding calendar year (or such lesser number as determined by the Compensation Committee).</w:t>
      </w:r>
    </w:p>
    <w:p>
      <w:pPr>
        <w:spacing w:after="0" w:line="185" w:lineRule="exact"/>
        <w:rPr>
          <w:rFonts w:ascii="Times New Roman" w:cs="Times New Roman" w:eastAsia="Times New Roman" w:hAnsi="Times New Roman"/>
          <w:sz w:val="23"/>
          <w:szCs w:val="23"/>
          <w:color w:val="auto"/>
          <w:vertAlign w:val="superscript"/>
        </w:rPr>
      </w:pPr>
    </w:p>
    <w:p>
      <w:pPr>
        <w:ind w:left="240" w:right="519" w:hanging="190"/>
        <w:spacing w:after="0" w:line="228" w:lineRule="auto"/>
        <w:tabs>
          <w:tab w:leader="none" w:pos="237"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This amount represents the number of shares of common stock underlying (i) stock options granted under the 2020 Option Plan (2,313,736) and (ii) RSUs granted under the 2022 Equity Plan (2,700,555).</w:t>
      </w:r>
    </w:p>
    <w:p>
      <w:pPr>
        <w:spacing w:after="0" w:line="6" w:lineRule="exact"/>
        <w:rPr>
          <w:rFonts w:ascii="Times New Roman" w:cs="Times New Roman" w:eastAsia="Times New Roman" w:hAnsi="Times New Roman"/>
          <w:sz w:val="23"/>
          <w:szCs w:val="23"/>
          <w:color w:val="auto"/>
          <w:vertAlign w:val="superscript"/>
        </w:rPr>
      </w:pPr>
    </w:p>
    <w:p>
      <w:pPr>
        <w:ind w:left="240" w:right="579" w:hanging="190"/>
        <w:spacing w:after="0" w:line="215" w:lineRule="auto"/>
        <w:tabs>
          <w:tab w:leader="none" w:pos="248"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weighted average exercise price set forth in this column is calculated excluding outstanding RSUs since recipients are not required to pay an exercise price to receive the shares subject to such awards.</w:t>
      </w:r>
    </w:p>
    <w:p>
      <w:pPr>
        <w:spacing w:after="0" w:line="6" w:lineRule="exact"/>
        <w:rPr>
          <w:rFonts w:ascii="Times New Roman" w:cs="Times New Roman" w:eastAsia="Times New Roman" w:hAnsi="Times New Roman"/>
          <w:sz w:val="25"/>
          <w:szCs w:val="25"/>
          <w:color w:val="auto"/>
          <w:vertAlign w:val="superscript"/>
        </w:rPr>
      </w:pPr>
    </w:p>
    <w:p>
      <w:pPr>
        <w:ind w:left="240" w:right="259" w:hanging="190"/>
        <w:spacing w:after="0" w:line="215" w:lineRule="auto"/>
        <w:tabs>
          <w:tab w:leader="none" w:pos="248"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Shares of common stock remaining available for grant under the 2022 Equity Plan, excluding shares underlying awards reflected in column (a). No further awards may be granted under the 2020 Option Plan.</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required to be set forth herein is incorporated by reference, when filed, from our Proxy Statement.</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required to be set forth herein is incorporated by reference, when filed, from our Proxy Statement.</w:t>
      </w:r>
    </w:p>
    <w:p>
      <w:pPr>
        <w:spacing w:after="0" w:line="200" w:lineRule="exact"/>
        <w:rPr>
          <w:sz w:val="20"/>
          <w:szCs w:val="20"/>
          <w:color w:val="auto"/>
        </w:rPr>
      </w:pPr>
    </w:p>
    <w:p>
      <w:pPr>
        <w:spacing w:after="0" w:line="33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Index to Consolidated Financial Statements in Part II, Item 8 in this Annual Report on Form 10-K.</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Except as noted below, Financial Statement Schedules are omitted because they are not required or are not applicable, or the required information is provided in the consolidated financial statements or related notes in Part II, Item 8 in this Annual Report on Form 10-K.</w:t>
      </w:r>
    </w:p>
    <w:p>
      <w:pPr>
        <w:spacing w:after="0" w:line="176" w:lineRule="exact"/>
        <w:rPr>
          <w:sz w:val="20"/>
          <w:szCs w:val="20"/>
          <w:color w:val="auto"/>
        </w:rPr>
      </w:pPr>
    </w:p>
    <w:p>
      <w:pPr>
        <w:jc w:val="both"/>
        <w:ind w:left="60" w:right="79"/>
        <w:spacing w:after="0" w:line="312" w:lineRule="auto"/>
        <w:rPr>
          <w:sz w:val="20"/>
          <w:szCs w:val="20"/>
          <w:color w:val="auto"/>
        </w:rPr>
      </w:pPr>
      <w:r>
        <w:rPr>
          <w:rFonts w:ascii="Times New Roman" w:cs="Times New Roman" w:eastAsia="Times New Roman" w:hAnsi="Times New Roman"/>
          <w:sz w:val="17"/>
          <w:szCs w:val="17"/>
          <w:color w:val="auto"/>
        </w:rPr>
        <w:t>Schedule I – Condensed Financial Information of the Registrant (Parent Company) as of December 31, 2025 and 2024, and for each of the three years in the period ended December 31, 2025 appearing on pages S-1, S-2, S-3 and S-4 of this report.</w:t>
      </w:r>
    </w:p>
    <w:p>
      <w:pPr>
        <w:spacing w:after="0" w:line="200" w:lineRule="exact"/>
        <w:rPr>
          <w:sz w:val="20"/>
          <w:szCs w:val="20"/>
          <w:color w:val="auto"/>
        </w:rPr>
      </w:pPr>
    </w:p>
    <w:p>
      <w:pPr>
        <w:spacing w:after="0" w:line="37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980" w:type="dxa"/>
            <w:vAlign w:val="bottom"/>
            <w:gridSpan w:val="27"/>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740" w:type="dxa"/>
            <w:vAlign w:val="bottom"/>
            <w:vMerge w:val="continue"/>
          </w:tcPr>
          <w:p>
            <w:pPr>
              <w:spacing w:after="0"/>
              <w:rPr>
                <w:sz w:val="11"/>
                <w:szCs w:val="11"/>
                <w:color w:val="auto"/>
              </w:rPr>
            </w:pPr>
          </w:p>
        </w:tc>
        <w:tc>
          <w:tcPr>
            <w:tcW w:w="3980" w:type="dxa"/>
            <w:vAlign w:val="bottom"/>
            <w:gridSpan w:val="27"/>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Filing</w:t>
            </w:r>
          </w:p>
        </w:tc>
        <w:tc>
          <w:tcPr>
            <w:tcW w:w="140" w:type="dxa"/>
            <w:vAlign w:val="bottom"/>
          </w:tcPr>
          <w:p>
            <w:pPr>
              <w:spacing w:after="0"/>
              <w:rPr>
                <w:sz w:val="11"/>
                <w:szCs w:val="11"/>
                <w:color w:val="auto"/>
              </w:rPr>
            </w:pPr>
          </w:p>
        </w:tc>
        <w:tc>
          <w:tcPr>
            <w:tcW w:w="720" w:type="dxa"/>
            <w:vAlign w:val="bottom"/>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20" w:type="dxa"/>
            <w:vAlign w:val="bottom"/>
            <w:gridSpan w:val="23"/>
          </w:tcPr>
          <w:p>
            <w:pPr>
              <w:ind w:left="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Form</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File No.</w:t>
            </w:r>
          </w:p>
        </w:tc>
        <w:tc>
          <w:tcPr>
            <w:tcW w:w="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Exhibit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Herewith</w:t>
            </w:r>
          </w:p>
        </w:tc>
        <w:tc>
          <w:tcPr>
            <w:tcW w:w="0" w:type="dxa"/>
            <w:vAlign w:val="bottom"/>
          </w:tcPr>
          <w:p>
            <w:pPr>
              <w:spacing w:after="0"/>
              <w:rPr>
                <w:sz w:val="1"/>
                <w:szCs w:val="1"/>
                <w:color w:val="auto"/>
              </w:rPr>
            </w:pPr>
          </w:p>
        </w:tc>
      </w:tr>
      <w:tr>
        <w:trPr>
          <w:trHeight w:val="398"/>
        </w:trPr>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3840" w:type="dxa"/>
            <w:vAlign w:val="bottom"/>
            <w:tcBorders>
              <w:top w:val="single" w:sz="8" w:color="auto"/>
              <w:bottom w:val="single" w:sz="8" w:color="0000EE"/>
            </w:tcBorders>
            <w:gridSpan w:val="25"/>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Transaction Agreement, dated as of April 4, 2022, by</w:t>
              </w:r>
            </w:hyperlink>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140" w:type="dxa"/>
            <w:vAlign w:val="bottom"/>
          </w:tcPr>
          <w:p>
            <w:pPr>
              <w:spacing w:after="0"/>
              <w:rPr>
                <w:sz w:val="24"/>
                <w:szCs w:val="24"/>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August 3,</w:t>
            </w:r>
          </w:p>
        </w:tc>
        <w:tc>
          <w:tcPr>
            <w:tcW w:w="14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and among Riverview Acquisition Corp., Westrock</w:t>
              </w:r>
            </w:hyperlink>
          </w:p>
        </w:tc>
        <w:tc>
          <w:tcPr>
            <w:tcW w:w="16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99"/>
              </w:rPr>
              <w:t>264464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6"/>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Coffee Holdings, LLC, Origin Merger Sub I, Inc.</w:t>
              </w:r>
            </w:hyperlink>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and Origin Merger Sub II, LLC</w:t>
              </w:r>
            </w:hyperlink>
          </w:p>
        </w:tc>
        <w:tc>
          <w:tcPr>
            <w:tcW w:w="320" w:type="dxa"/>
            <w:vAlign w:val="bottom"/>
            <w:gridSpan w:val="12"/>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3860" w:type="dxa"/>
            <w:vAlign w:val="bottom"/>
            <w:gridSpan w:val="26"/>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Certificate of Incorporation of Westrock Coffee</w:t>
              </w:r>
            </w:hyperlink>
          </w:p>
        </w:tc>
        <w:tc>
          <w:tcPr>
            <w:tcW w:w="1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76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rPr>
              <w:t>001-</w:t>
            </w:r>
          </w:p>
        </w:tc>
        <w:tc>
          <w:tcPr>
            <w:tcW w:w="8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29,</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7"/>
              </w:rPr>
            </w:pPr>
            <w:hyperlink r:id="rId114">
              <w:r>
                <w:rPr>
                  <w:rFonts w:ascii="Times New Roman" w:cs="Times New Roman" w:eastAsia="Times New Roman" w:hAnsi="Times New Roman"/>
                  <w:sz w:val="18"/>
                  <w:szCs w:val="18"/>
                  <w:color w:val="0000EE"/>
                  <w:w w:val="97"/>
                </w:rPr>
                <w:t>Company</w:t>
              </w:r>
            </w:hyperlink>
          </w:p>
        </w:tc>
        <w:tc>
          <w:tcPr>
            <w:tcW w:w="2720" w:type="dxa"/>
            <w:vAlign w:val="bottom"/>
            <w:tcBorders>
              <w:top w:val="single" w:sz="8" w:color="0000EE"/>
            </w:tcBorders>
            <w:gridSpan w:val="10"/>
          </w:tcPr>
          <w:p>
            <w:pPr>
              <w:spacing w:after="0"/>
              <w:rPr>
                <w:sz w:val="18"/>
                <w:szCs w:val="18"/>
                <w:color w:val="auto"/>
              </w:rPr>
            </w:pPr>
          </w:p>
        </w:tc>
        <w:tc>
          <w:tcPr>
            <w:tcW w:w="440" w:type="dxa"/>
            <w:vAlign w:val="bottom"/>
            <w:gridSpan w:val="14"/>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rPr>
              <w:t>41485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3860" w:type="dxa"/>
            <w:vAlign w:val="bottom"/>
            <w:gridSpan w:val="26"/>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Bylaws of Westrock Coffee Company</w:t>
              </w:r>
            </w:hyperlink>
          </w:p>
        </w:tc>
        <w:tc>
          <w:tcPr>
            <w:tcW w:w="1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76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rPr>
              <w:t>001-</w:t>
            </w:r>
          </w:p>
        </w:tc>
        <w:tc>
          <w:tcPr>
            <w:tcW w:w="8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29,</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rPr>
              <w:t>41485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36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Specimen Common Stock Certificate of Westrock</w:t>
              </w:r>
            </w:hyperlink>
          </w:p>
        </w:tc>
        <w:tc>
          <w:tcPr>
            <w:tcW w:w="260" w:type="dxa"/>
            <w:vAlign w:val="bottom"/>
            <w:gridSpan w:val="10"/>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76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rPr>
              <w:t>333-</w:t>
            </w:r>
          </w:p>
        </w:tc>
        <w:tc>
          <w:tcPr>
            <w:tcW w:w="8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3,</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r:id="rId116">
              <w:r>
                <w:rPr>
                  <w:rFonts w:ascii="Times New Roman" w:cs="Times New Roman" w:eastAsia="Times New Roman" w:hAnsi="Times New Roman"/>
                  <w:sz w:val="18"/>
                  <w:szCs w:val="18"/>
                  <w:color w:val="0000EE"/>
                  <w:w w:val="98"/>
                </w:rPr>
                <w:t>Coffee Company</w:t>
              </w:r>
            </w:hyperlink>
          </w:p>
        </w:tc>
        <w:tc>
          <w:tcPr>
            <w:tcW w:w="2620" w:type="dxa"/>
            <w:vAlign w:val="bottom"/>
            <w:gridSpan w:val="23"/>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99"/>
              </w:rPr>
              <w:t>264464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35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r:id="rId117">
              <w:r>
                <w:rPr>
                  <w:rFonts w:ascii="Times New Roman" w:cs="Times New Roman" w:eastAsia="Times New Roman" w:hAnsi="Times New Roman"/>
                  <w:sz w:val="18"/>
                  <w:szCs w:val="18"/>
                  <w:color w:val="0000EE"/>
                  <w:w w:val="98"/>
                </w:rPr>
                <w:t>Specimen Warrant Certificate of Westrock Coffee</w:t>
              </w:r>
            </w:hyperlink>
          </w:p>
        </w:tc>
        <w:tc>
          <w:tcPr>
            <w:tcW w:w="280" w:type="dxa"/>
            <w:vAlign w:val="bottom"/>
            <w:gridSpan w:val="11"/>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76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rPr>
              <w:t>333-</w:t>
            </w:r>
          </w:p>
        </w:tc>
        <w:tc>
          <w:tcPr>
            <w:tcW w:w="8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3,</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r:id="rId117">
              <w:r>
                <w:rPr>
                  <w:rFonts w:ascii="Times New Roman" w:cs="Times New Roman" w:eastAsia="Times New Roman" w:hAnsi="Times New Roman"/>
                  <w:sz w:val="18"/>
                  <w:szCs w:val="18"/>
                  <w:color w:val="0000EE"/>
                  <w:w w:val="97"/>
                </w:rPr>
                <w:t>Company</w:t>
              </w:r>
            </w:hyperlink>
          </w:p>
        </w:tc>
        <w:tc>
          <w:tcPr>
            <w:tcW w:w="3160" w:type="dxa"/>
            <w:vAlign w:val="bottom"/>
            <w:gridSpan w:val="24"/>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99"/>
              </w:rPr>
              <w:t>264464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3860" w:type="dxa"/>
            <w:vAlign w:val="bottom"/>
            <w:gridSpan w:val="26"/>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Amended and Restated Investor Rights Agreement,</w:t>
              </w:r>
            </w:hyperlink>
          </w:p>
        </w:tc>
        <w:tc>
          <w:tcPr>
            <w:tcW w:w="1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rPr>
              <w:t>001-</w:t>
            </w:r>
          </w:p>
        </w:tc>
        <w:tc>
          <w:tcPr>
            <w:tcW w:w="8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June 30, 2023</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Borders>
              <w:top w:val="single" w:sz="8" w:color="0000EE"/>
              <w:bottom w:val="single" w:sz="8" w:color="0000EE"/>
            </w:tcBorders>
            <w:gridSpan w:val="19"/>
          </w:tcPr>
          <w:p>
            <w:pPr>
              <w:spacing w:after="0"/>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dated as of June 29, 2023, by and among Westrock</w:t>
              </w:r>
            </w:hyperlink>
          </w:p>
        </w:tc>
        <w:tc>
          <w:tcPr>
            <w:tcW w:w="40" w:type="dxa"/>
            <w:vAlign w:val="bottom"/>
            <w:tcBorders>
              <w:top w:val="single" w:sz="8" w:color="0000EE"/>
            </w:tcBorders>
            <w:gridSpan w:val="2"/>
          </w:tcPr>
          <w:p>
            <w:pPr>
              <w:spacing w:after="0"/>
              <w:rPr>
                <w:sz w:val="18"/>
                <w:szCs w:val="18"/>
                <w:color w:val="auto"/>
              </w:rPr>
            </w:pPr>
          </w:p>
        </w:tc>
        <w:tc>
          <w:tcPr>
            <w:tcW w:w="16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rPr>
              <w:t>41485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118">
              <w:r>
                <w:rPr>
                  <w:rFonts w:ascii="Times New Roman" w:cs="Times New Roman" w:eastAsia="Times New Roman" w:hAnsi="Times New Roman"/>
                  <w:sz w:val="18"/>
                  <w:szCs w:val="18"/>
                  <w:color w:val="0000EE"/>
                  <w:w w:val="98"/>
                </w:rPr>
                <w:t>Coffee Company, Westrock Group, LLC, BBH</w:t>
              </w:r>
            </w:hyperlink>
          </w:p>
        </w:tc>
        <w:tc>
          <w:tcPr>
            <w:tcW w:w="480" w:type="dxa"/>
            <w:vAlign w:val="bottom"/>
            <w:gridSpan w:val="15"/>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6"/>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Capital Partners V, L.P., BBH Capital Partners V-A,</w:t>
              </w:r>
            </w:hyperlink>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8"/>
              </w:rPr>
            </w:pPr>
            <w:hyperlink r:id="rId118">
              <w:r>
                <w:rPr>
                  <w:rFonts w:ascii="Times New Roman" w:cs="Times New Roman" w:eastAsia="Times New Roman" w:hAnsi="Times New Roman"/>
                  <w:sz w:val="18"/>
                  <w:szCs w:val="18"/>
                  <w:color w:val="0000EE"/>
                  <w:w w:val="98"/>
                </w:rPr>
                <w:t>L.P., BBH CPV WCC Co-Investment LLC,</w:t>
              </w:r>
            </w:hyperlink>
          </w:p>
        </w:tc>
        <w:tc>
          <w:tcPr>
            <w:tcW w:w="580" w:type="dxa"/>
            <w:vAlign w:val="bottom"/>
            <w:tcBorders>
              <w:top w:val="single" w:sz="8" w:color="0000EE"/>
            </w:tcBorders>
            <w:gridSpan w:val="13"/>
          </w:tcPr>
          <w:p>
            <w:pPr>
              <w:spacing w:after="0"/>
              <w:rPr>
                <w:sz w:val="18"/>
                <w:szCs w:val="18"/>
                <w:color w:val="auto"/>
              </w:rPr>
            </w:pPr>
          </w:p>
        </w:tc>
        <w:tc>
          <w:tcPr>
            <w:tcW w:w="1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6"/>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Riverview Sponsor Partners, LLC and HF Direct</w:t>
              </w:r>
            </w:hyperlink>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Investments Pool, LLC</w:t>
              </w:r>
            </w:hyperlink>
          </w:p>
        </w:tc>
        <w:tc>
          <w:tcPr>
            <w:tcW w:w="1840" w:type="dxa"/>
            <w:vAlign w:val="bottom"/>
            <w:tcBorders>
              <w:top w:val="single" w:sz="8" w:color="0000EE"/>
            </w:tcBorders>
            <w:gridSpan w:val="9"/>
          </w:tcPr>
          <w:p>
            <w:pPr>
              <w:spacing w:after="0"/>
              <w:rPr>
                <w:sz w:val="18"/>
                <w:szCs w:val="18"/>
                <w:color w:val="auto"/>
              </w:rPr>
            </w:pPr>
          </w:p>
        </w:tc>
        <w:tc>
          <w:tcPr>
            <w:tcW w:w="340" w:type="dxa"/>
            <w:vAlign w:val="bottom"/>
            <w:gridSpan w:val="13"/>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3860" w:type="dxa"/>
            <w:vAlign w:val="bottom"/>
            <w:gridSpan w:val="26"/>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First Amendment, dated November 5, 2024, to the</w:t>
              </w:r>
            </w:hyperlink>
          </w:p>
        </w:tc>
        <w:tc>
          <w:tcPr>
            <w:tcW w:w="1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rPr>
              <w:t>001-</w:t>
            </w:r>
          </w:p>
        </w:tc>
        <w:tc>
          <w:tcPr>
            <w:tcW w:w="8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7,</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0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6"/>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Amended and Restated Investor Rights Agreement,</w:t>
              </w:r>
            </w:hyperlink>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rPr>
              <w:t>41485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Borders>
              <w:top w:val="single" w:sz="8" w:color="0000EE"/>
              <w:bottom w:val="single" w:sz="8" w:color="0000EE"/>
            </w:tcBorders>
            <w:gridSpan w:val="19"/>
          </w:tcPr>
          <w:p>
            <w:pPr>
              <w:spacing w:after="0"/>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dated as of June 29, 2023, by and among Westrock</w:t>
              </w:r>
            </w:hyperlink>
          </w:p>
        </w:tc>
        <w:tc>
          <w:tcPr>
            <w:tcW w:w="40" w:type="dxa"/>
            <w:vAlign w:val="bottom"/>
            <w:tcBorders>
              <w:top w:val="single" w:sz="8" w:color="0000EE"/>
            </w:tcBorders>
            <w:gridSpan w:val="2"/>
          </w:tcPr>
          <w:p>
            <w:pPr>
              <w:spacing w:after="0"/>
              <w:rPr>
                <w:sz w:val="18"/>
                <w:szCs w:val="18"/>
                <w:color w:val="auto"/>
              </w:rPr>
            </w:pPr>
          </w:p>
        </w:tc>
        <w:tc>
          <w:tcPr>
            <w:tcW w:w="16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119">
              <w:r>
                <w:rPr>
                  <w:rFonts w:ascii="Times New Roman" w:cs="Times New Roman" w:eastAsia="Times New Roman" w:hAnsi="Times New Roman"/>
                  <w:sz w:val="18"/>
                  <w:szCs w:val="18"/>
                  <w:color w:val="0000EE"/>
                  <w:w w:val="98"/>
                </w:rPr>
                <w:t>Coffee Company, Westrock Group, LLC, BBH</w:t>
              </w:r>
            </w:hyperlink>
          </w:p>
        </w:tc>
        <w:tc>
          <w:tcPr>
            <w:tcW w:w="480" w:type="dxa"/>
            <w:vAlign w:val="bottom"/>
            <w:gridSpan w:val="15"/>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6"/>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Capital Partners V, L.P., BBH Capital Partners V-A,</w:t>
              </w:r>
            </w:hyperlink>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20" w:type="dxa"/>
            <w:vAlign w:val="bottom"/>
            <w:gridSpan w:val="8"/>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L. P., BBH CPV WCC Co-Investment LLC, 2023-2</w:t>
              </w:r>
            </w:hyperlink>
          </w:p>
        </w:tc>
        <w:tc>
          <w:tcPr>
            <w:tcW w:w="12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6"/>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R Brad Martin Grantor Retained Annuity Trust, R.</w:t>
              </w:r>
            </w:hyperlink>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20" w:type="dxa"/>
            <w:vAlign w:val="bottom"/>
            <w:gridSpan w:val="8"/>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Brad Martin and HF Direct Investments Pool, LLC</w:t>
              </w:r>
            </w:hyperlink>
          </w:p>
        </w:tc>
        <w:tc>
          <w:tcPr>
            <w:tcW w:w="180" w:type="dxa"/>
            <w:vAlign w:val="bottom"/>
            <w:gridSpan w:val="6"/>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33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r:id="rId120">
              <w:r>
                <w:rPr>
                  <w:rFonts w:ascii="Times New Roman" w:cs="Times New Roman" w:eastAsia="Times New Roman" w:hAnsi="Times New Roman"/>
                  <w:sz w:val="18"/>
                  <w:szCs w:val="18"/>
                  <w:color w:val="0000EE"/>
                  <w:w w:val="98"/>
                </w:rPr>
                <w:t>Form of Convertible Note of Westrock Coffee</w:t>
              </w:r>
            </w:hyperlink>
          </w:p>
        </w:tc>
        <w:tc>
          <w:tcPr>
            <w:tcW w:w="540" w:type="dxa"/>
            <w:vAlign w:val="bottom"/>
            <w:gridSpan w:val="16"/>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rPr>
              <w:t>001-</w:t>
            </w:r>
          </w:p>
        </w:tc>
        <w:tc>
          <w:tcPr>
            <w:tcW w:w="8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15,</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r:id="rId120">
              <w:r>
                <w:rPr>
                  <w:rFonts w:ascii="Times New Roman" w:cs="Times New Roman" w:eastAsia="Times New Roman" w:hAnsi="Times New Roman"/>
                  <w:sz w:val="18"/>
                  <w:szCs w:val="18"/>
                  <w:color w:val="0000EE"/>
                  <w:w w:val="98"/>
                </w:rPr>
                <w:t>Company, dated February 15, 2024</w:t>
              </w:r>
            </w:hyperlink>
          </w:p>
        </w:tc>
        <w:tc>
          <w:tcPr>
            <w:tcW w:w="1320" w:type="dxa"/>
            <w:vAlign w:val="bottom"/>
            <w:gridSpan w:val="20"/>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rPr>
              <w:t>41485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4"/>
                <w:szCs w:val="24"/>
                <w:color w:val="auto"/>
              </w:rPr>
            </w:pPr>
          </w:p>
        </w:tc>
        <w:tc>
          <w:tcPr>
            <w:tcW w:w="33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r:id="rId121">
              <w:r>
                <w:rPr>
                  <w:rFonts w:ascii="Times New Roman" w:cs="Times New Roman" w:eastAsia="Times New Roman" w:hAnsi="Times New Roman"/>
                  <w:sz w:val="18"/>
                  <w:szCs w:val="18"/>
                  <w:color w:val="0000EE"/>
                  <w:w w:val="98"/>
                </w:rPr>
                <w:t>Form of Convertible Note of Westrock Coffee</w:t>
              </w:r>
            </w:hyperlink>
          </w:p>
        </w:tc>
        <w:tc>
          <w:tcPr>
            <w:tcW w:w="540" w:type="dxa"/>
            <w:vAlign w:val="bottom"/>
            <w:gridSpan w:val="16"/>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rPr>
              <w:t>001-</w:t>
            </w:r>
          </w:p>
        </w:tc>
        <w:tc>
          <w:tcPr>
            <w:tcW w:w="8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6,</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Borders>
              <w:bottom w:val="single" w:sz="8" w:color="0000EE"/>
            </w:tcBorders>
            <w:gridSpan w:val="7"/>
          </w:tcPr>
          <w:p>
            <w:pPr>
              <w:spacing w:after="0" w:line="182" w:lineRule="exact"/>
              <w:rPr>
                <w:rFonts w:ascii="Times New Roman" w:cs="Times New Roman" w:eastAsia="Times New Roman" w:hAnsi="Times New Roman"/>
                <w:sz w:val="18"/>
                <w:szCs w:val="18"/>
                <w:color w:val="0000EE"/>
                <w:w w:val="98"/>
              </w:rPr>
            </w:pPr>
            <w:hyperlink r:id="rId121">
              <w:r>
                <w:rPr>
                  <w:rFonts w:ascii="Times New Roman" w:cs="Times New Roman" w:eastAsia="Times New Roman" w:hAnsi="Times New Roman"/>
                  <w:sz w:val="18"/>
                  <w:szCs w:val="18"/>
                  <w:color w:val="0000EE"/>
                  <w:w w:val="98"/>
                </w:rPr>
                <w:t>Company, dated November 4, 2025</w:t>
              </w:r>
            </w:hyperlink>
          </w:p>
        </w:tc>
        <w:tc>
          <w:tcPr>
            <w:tcW w:w="1300" w:type="dxa"/>
            <w:vAlign w:val="bottom"/>
            <w:gridSpan w:val="19"/>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gridSpan w:val="2"/>
          </w:tcPr>
          <w:p>
            <w:pPr>
              <w:jc w:val="center"/>
              <w:ind w:left="91"/>
              <w:spacing w:after="0" w:line="182" w:lineRule="exact"/>
              <w:rPr>
                <w:sz w:val="20"/>
                <w:szCs w:val="20"/>
                <w:color w:val="auto"/>
              </w:rPr>
            </w:pPr>
            <w:r>
              <w:rPr>
                <w:rFonts w:ascii="Times New Roman" w:cs="Times New Roman" w:eastAsia="Times New Roman" w:hAnsi="Times New Roman"/>
                <w:sz w:val="18"/>
                <w:szCs w:val="18"/>
                <w:color w:val="auto"/>
              </w:rPr>
              <w:t>41485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2025</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4"/>
                <w:szCs w:val="24"/>
                <w:color w:val="auto"/>
              </w:rPr>
            </w:pPr>
          </w:p>
        </w:tc>
        <w:tc>
          <w:tcPr>
            <w:tcW w:w="37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Description of the Registrant’s Securities Registered</w:t>
              </w:r>
            </w:hyperlink>
          </w:p>
        </w:tc>
        <w:tc>
          <w:tcPr>
            <w:tcW w:w="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76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rPr>
              <w:t>001-</w:t>
            </w:r>
          </w:p>
        </w:tc>
        <w:tc>
          <w:tcPr>
            <w:tcW w:w="8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6"/>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under Section 12 of the Securities Exchange Act of</w:t>
              </w:r>
            </w:hyperlink>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rPr>
              <w:t>41485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4"/>
              </w:rPr>
            </w:pPr>
            <w:hyperlink r:id="rId122">
              <w:r>
                <w:rPr>
                  <w:rFonts w:ascii="Times New Roman" w:cs="Times New Roman" w:eastAsia="Times New Roman" w:hAnsi="Times New Roman"/>
                  <w:sz w:val="18"/>
                  <w:szCs w:val="18"/>
                  <w:color w:val="0000EE"/>
                  <w:w w:val="94"/>
                </w:rPr>
                <w:t>1934</w:t>
              </w:r>
            </w:hyperlink>
          </w:p>
        </w:tc>
        <w:tc>
          <w:tcPr>
            <w:tcW w:w="3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w:t>
            </w:r>
          </w:p>
        </w:tc>
        <w:tc>
          <w:tcPr>
            <w:tcW w:w="37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Registration Rights Agreement, dated as of April 4,</w:t>
              </w:r>
            </w:hyperlink>
          </w:p>
        </w:tc>
        <w:tc>
          <w:tcPr>
            <w:tcW w:w="180" w:type="dxa"/>
            <w:vAlign w:val="bottom"/>
            <w:gridSpan w:val="4"/>
          </w:tcPr>
          <w:p>
            <w:pPr>
              <w:spacing w:after="0"/>
              <w:rPr>
                <w:sz w:val="17"/>
                <w:szCs w:val="17"/>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August 3,</w:t>
            </w:r>
          </w:p>
        </w:tc>
      </w:tr>
      <w:tr>
        <w:trPr>
          <w:trHeight w:val="209"/>
        </w:trPr>
        <w:tc>
          <w:tcPr>
            <w:tcW w:w="700" w:type="dxa"/>
            <w:vAlign w:val="bottom"/>
          </w:tcPr>
          <w:p>
            <w:pPr>
              <w:spacing w:after="0"/>
              <w:rPr>
                <w:sz w:val="18"/>
                <w:szCs w:val="18"/>
                <w:color w:val="auto"/>
              </w:rPr>
            </w:pPr>
          </w:p>
        </w:tc>
        <w:tc>
          <w:tcPr>
            <w:tcW w:w="34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2022, by and among Westrock Coffee Holdings,</w:t>
              </w:r>
            </w:hyperlink>
          </w:p>
        </w:tc>
        <w:tc>
          <w:tcPr>
            <w:tcW w:w="440" w:type="dxa"/>
            <w:vAlign w:val="bottom"/>
            <w:gridSpan w:val="14"/>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264464</w:t>
            </w:r>
          </w:p>
        </w:tc>
        <w:tc>
          <w:tcPr>
            <w:tcW w:w="660" w:type="dxa"/>
            <w:vAlign w:val="bottom"/>
          </w:tcPr>
          <w:p>
            <w:pPr>
              <w:spacing w:after="0"/>
              <w:rPr>
                <w:sz w:val="18"/>
                <w:szCs w:val="18"/>
                <w:color w:val="auto"/>
              </w:rPr>
            </w:pPr>
          </w:p>
        </w:tc>
        <w:tc>
          <w:tcPr>
            <w:tcW w:w="11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09"/>
        </w:trPr>
        <w:tc>
          <w:tcPr>
            <w:tcW w:w="700" w:type="dxa"/>
            <w:vAlign w:val="bottom"/>
          </w:tcPr>
          <w:p>
            <w:pPr>
              <w:spacing w:after="0"/>
              <w:rPr>
                <w:sz w:val="18"/>
                <w:szCs w:val="18"/>
                <w:color w:val="auto"/>
              </w:rPr>
            </w:pPr>
          </w:p>
        </w:tc>
        <w:tc>
          <w:tcPr>
            <w:tcW w:w="24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LLC and the other parties thereto</w:t>
              </w:r>
            </w:hyperlink>
          </w:p>
        </w:tc>
        <w:tc>
          <w:tcPr>
            <w:tcW w:w="1520" w:type="dxa"/>
            <w:vAlign w:val="bottom"/>
            <w:gridSpan w:val="23"/>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39"/>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10.2</w:t>
            </w:r>
          </w:p>
        </w:tc>
        <w:tc>
          <w:tcPr>
            <w:tcW w:w="3920" w:type="dxa"/>
            <w:vAlign w:val="bottom"/>
            <w:gridSpan w:val="28"/>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Sponsor Support Agreement, dated as of April 4,</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10.4</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August 3,</w:t>
            </w:r>
          </w:p>
        </w:tc>
      </w:tr>
      <w:tr>
        <w:trPr>
          <w:trHeight w:val="209"/>
        </w:trPr>
        <w:tc>
          <w:tcPr>
            <w:tcW w:w="700" w:type="dxa"/>
            <w:vAlign w:val="bottom"/>
          </w:tcPr>
          <w:p>
            <w:pPr>
              <w:spacing w:after="0"/>
              <w:rPr>
                <w:sz w:val="18"/>
                <w:szCs w:val="18"/>
                <w:color w:val="auto"/>
              </w:rPr>
            </w:pPr>
          </w:p>
        </w:tc>
        <w:tc>
          <w:tcPr>
            <w:tcW w:w="348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2022, by and among Westrock Coffee Holdings,</w:t>
              </w:r>
            </w:hyperlink>
          </w:p>
        </w:tc>
        <w:tc>
          <w:tcPr>
            <w:tcW w:w="40" w:type="dxa"/>
            <w:vAlign w:val="bottom"/>
            <w:tcBorders>
              <w:top w:val="single" w:sz="8" w:color="0000EE"/>
            </w:tcBorders>
          </w:tcPr>
          <w:p>
            <w:pPr>
              <w:spacing w:after="0"/>
              <w:rPr>
                <w:sz w:val="18"/>
                <w:szCs w:val="18"/>
                <w:color w:val="auto"/>
              </w:rPr>
            </w:pPr>
          </w:p>
        </w:tc>
        <w:tc>
          <w:tcPr>
            <w:tcW w:w="400" w:type="dxa"/>
            <w:vAlign w:val="bottom"/>
            <w:gridSpan w:val="13"/>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264464</w:t>
            </w:r>
          </w:p>
        </w:tc>
        <w:tc>
          <w:tcPr>
            <w:tcW w:w="660" w:type="dxa"/>
            <w:vAlign w:val="bottom"/>
          </w:tcPr>
          <w:p>
            <w:pPr>
              <w:spacing w:after="0"/>
              <w:rPr>
                <w:sz w:val="18"/>
                <w:szCs w:val="18"/>
                <w:color w:val="auto"/>
              </w:rPr>
            </w:pPr>
          </w:p>
        </w:tc>
        <w:tc>
          <w:tcPr>
            <w:tcW w:w="11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10"/>
        </w:trPr>
        <w:tc>
          <w:tcPr>
            <w:tcW w:w="700" w:type="dxa"/>
            <w:vAlign w:val="bottom"/>
          </w:tcPr>
          <w:p>
            <w:pPr>
              <w:spacing w:after="0"/>
              <w:rPr>
                <w:sz w:val="18"/>
                <w:szCs w:val="18"/>
                <w:color w:val="auto"/>
              </w:rPr>
            </w:pPr>
          </w:p>
        </w:tc>
        <w:tc>
          <w:tcPr>
            <w:tcW w:w="36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LLC, Riverview Acquisition Corp., and Riverview</w:t>
              </w:r>
            </w:hyperlink>
          </w:p>
        </w:tc>
        <w:tc>
          <w:tcPr>
            <w:tcW w:w="240" w:type="dxa"/>
            <w:vAlign w:val="bottom"/>
            <w:gridSpan w:val="7"/>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9"/>
        </w:trPr>
        <w:tc>
          <w:tcPr>
            <w:tcW w:w="700" w:type="dxa"/>
            <w:vAlign w:val="bottom"/>
          </w:tcPr>
          <w:p>
            <w:pPr>
              <w:spacing w:after="0"/>
              <w:rPr>
                <w:sz w:val="18"/>
                <w:szCs w:val="18"/>
                <w:color w:val="auto"/>
              </w:rPr>
            </w:pPr>
          </w:p>
        </w:tc>
        <w:tc>
          <w:tcPr>
            <w:tcW w:w="16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Sponsor Partners, LLC</w:t>
              </w:r>
            </w:hyperlink>
          </w:p>
        </w:tc>
        <w:tc>
          <w:tcPr>
            <w:tcW w:w="2260" w:type="dxa"/>
            <w:vAlign w:val="bottom"/>
            <w:gridSpan w:val="26"/>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39"/>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10.3#</w:t>
            </w:r>
          </w:p>
        </w:tc>
        <w:tc>
          <w:tcPr>
            <w:tcW w:w="3920" w:type="dxa"/>
            <w:vAlign w:val="bottom"/>
            <w:gridSpan w:val="28"/>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Form of Indemnification Agreement</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10.6</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August 3,</w:t>
            </w:r>
          </w:p>
        </w:tc>
      </w:tr>
      <w:tr>
        <w:trPr>
          <w:trHeight w:val="250"/>
        </w:trPr>
        <w:tc>
          <w:tcPr>
            <w:tcW w:w="700" w:type="dxa"/>
            <w:vAlign w:val="bottom"/>
          </w:tcPr>
          <w:p>
            <w:pPr>
              <w:spacing w:after="0"/>
              <w:rPr>
                <w:sz w:val="21"/>
                <w:szCs w:val="21"/>
                <w:color w:val="auto"/>
              </w:rPr>
            </w:pPr>
          </w:p>
        </w:tc>
        <w:tc>
          <w:tcPr>
            <w:tcW w:w="15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264464</w:t>
            </w:r>
          </w:p>
        </w:tc>
        <w:tc>
          <w:tcPr>
            <w:tcW w:w="660" w:type="dxa"/>
            <w:vAlign w:val="bottom"/>
          </w:tcPr>
          <w:p>
            <w:pPr>
              <w:spacing w:after="0"/>
              <w:rPr>
                <w:sz w:val="21"/>
                <w:szCs w:val="21"/>
                <w:color w:val="auto"/>
              </w:rPr>
            </w:pPr>
          </w:p>
        </w:tc>
        <w:tc>
          <w:tcPr>
            <w:tcW w:w="11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418"/>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10.4</w:t>
            </w:r>
          </w:p>
        </w:tc>
        <w:tc>
          <w:tcPr>
            <w:tcW w:w="3920" w:type="dxa"/>
            <w:vAlign w:val="bottom"/>
            <w:gridSpan w:val="28"/>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Credit Agreement, dated as of August 29, 2022,</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August 29,</w:t>
            </w:r>
          </w:p>
        </w:tc>
      </w:tr>
      <w:tr>
        <w:trPr>
          <w:trHeight w:val="20"/>
        </w:trPr>
        <w:tc>
          <w:tcPr>
            <w:tcW w:w="70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36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among Westrock Beverage Solutions, LLC, as the</w:t>
              </w:r>
            </w:hyperlink>
          </w:p>
        </w:tc>
        <w:tc>
          <w:tcPr>
            <w:tcW w:w="320" w:type="dxa"/>
            <w:vAlign w:val="bottom"/>
            <w:gridSpan w:val="11"/>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660" w:type="dxa"/>
            <w:vAlign w:val="bottom"/>
          </w:tcPr>
          <w:p>
            <w:pPr>
              <w:spacing w:after="0"/>
              <w:rPr>
                <w:sz w:val="18"/>
                <w:szCs w:val="18"/>
                <w:color w:val="auto"/>
              </w:rPr>
            </w:pPr>
          </w:p>
        </w:tc>
        <w:tc>
          <w:tcPr>
            <w:tcW w:w="11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10"/>
        </w:trPr>
        <w:tc>
          <w:tcPr>
            <w:tcW w:w="700" w:type="dxa"/>
            <w:vAlign w:val="bottom"/>
          </w:tcPr>
          <w:p>
            <w:pPr>
              <w:spacing w:after="0"/>
              <w:rPr>
                <w:sz w:val="18"/>
                <w:szCs w:val="18"/>
                <w:color w:val="auto"/>
              </w:rPr>
            </w:pPr>
          </w:p>
        </w:tc>
        <w:tc>
          <w:tcPr>
            <w:tcW w:w="36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8"/>
              </w:rPr>
            </w:pPr>
            <w:hyperlink r:id="rId127">
              <w:r>
                <w:rPr>
                  <w:rFonts w:ascii="Times New Roman" w:cs="Times New Roman" w:eastAsia="Times New Roman" w:hAnsi="Times New Roman"/>
                  <w:sz w:val="18"/>
                  <w:szCs w:val="18"/>
                  <w:color w:val="0000EE"/>
                  <w:w w:val="98"/>
                </w:rPr>
                <w:t>borrower, Westrock Coffee Company, Wells Fargo</w:t>
              </w:r>
            </w:hyperlink>
          </w:p>
        </w:tc>
        <w:tc>
          <w:tcPr>
            <w:tcW w:w="260" w:type="dxa"/>
            <w:vAlign w:val="bottom"/>
            <w:gridSpan w:val="8"/>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9"/>
        </w:trPr>
        <w:tc>
          <w:tcPr>
            <w:tcW w:w="700" w:type="dxa"/>
            <w:vAlign w:val="bottom"/>
          </w:tcPr>
          <w:p>
            <w:pPr>
              <w:spacing w:after="0"/>
              <w:rPr>
                <w:sz w:val="18"/>
                <w:szCs w:val="18"/>
                <w:color w:val="auto"/>
              </w:rPr>
            </w:pPr>
          </w:p>
        </w:tc>
        <w:tc>
          <w:tcPr>
            <w:tcW w:w="38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Bank, N.A., as administrative agent, collateral agent,</w:t>
              </w:r>
            </w:hyperlink>
          </w:p>
        </w:tc>
        <w:tc>
          <w:tcPr>
            <w:tcW w:w="1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700" w:type="dxa"/>
            <w:vAlign w:val="bottom"/>
          </w:tcPr>
          <w:p>
            <w:pPr>
              <w:spacing w:after="0"/>
              <w:rPr>
                <w:sz w:val="18"/>
                <w:szCs w:val="18"/>
                <w:color w:val="auto"/>
              </w:rPr>
            </w:pPr>
          </w:p>
        </w:tc>
        <w:tc>
          <w:tcPr>
            <w:tcW w:w="36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8"/>
              </w:rPr>
            </w:pPr>
            <w:hyperlink r:id="rId127">
              <w:r>
                <w:rPr>
                  <w:rFonts w:ascii="Times New Roman" w:cs="Times New Roman" w:eastAsia="Times New Roman" w:hAnsi="Times New Roman"/>
                  <w:sz w:val="18"/>
                  <w:szCs w:val="18"/>
                  <w:color w:val="0000EE"/>
                  <w:w w:val="98"/>
                </w:rPr>
                <w:t>and swingline lender, Wells Fargo Securities, LLC,</w:t>
              </w:r>
            </w:hyperlink>
          </w:p>
        </w:tc>
        <w:tc>
          <w:tcPr>
            <w:tcW w:w="240" w:type="dxa"/>
            <w:vAlign w:val="bottom"/>
            <w:gridSpan w:val="7"/>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9"/>
        </w:trPr>
        <w:tc>
          <w:tcPr>
            <w:tcW w:w="700" w:type="dxa"/>
            <w:vAlign w:val="bottom"/>
          </w:tcPr>
          <w:p>
            <w:pPr>
              <w:spacing w:after="0"/>
              <w:rPr>
                <w:sz w:val="18"/>
                <w:szCs w:val="18"/>
                <w:color w:val="auto"/>
              </w:rPr>
            </w:pPr>
          </w:p>
        </w:tc>
        <w:tc>
          <w:tcPr>
            <w:tcW w:w="37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as sustainability structuring agent, and each issuing</w:t>
              </w:r>
            </w:hyperlink>
          </w:p>
        </w:tc>
        <w:tc>
          <w:tcPr>
            <w:tcW w:w="220" w:type="dxa"/>
            <w:vAlign w:val="bottom"/>
            <w:gridSpan w:val="6"/>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9"/>
        </w:trPr>
        <w:tc>
          <w:tcPr>
            <w:tcW w:w="700" w:type="dxa"/>
            <w:vAlign w:val="bottom"/>
          </w:tcPr>
          <w:p>
            <w:pPr>
              <w:spacing w:after="0"/>
              <w:rPr>
                <w:sz w:val="18"/>
                <w:szCs w:val="18"/>
                <w:color w:val="auto"/>
              </w:rPr>
            </w:pPr>
          </w:p>
        </w:tc>
        <w:tc>
          <w:tcPr>
            <w:tcW w:w="21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bank and lender party thereto.</w:t>
              </w:r>
            </w:hyperlink>
          </w:p>
        </w:tc>
        <w:tc>
          <w:tcPr>
            <w:tcW w:w="1760" w:type="dxa"/>
            <w:vAlign w:val="bottom"/>
            <w:gridSpan w:val="24"/>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26"/>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10.5</w:t>
            </w:r>
          </w:p>
        </w:tc>
        <w:tc>
          <w:tcPr>
            <w:tcW w:w="29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Incremental Assumption Agreement and</w:t>
              </w:r>
            </w:hyperlink>
          </w:p>
        </w:tc>
        <w:tc>
          <w:tcPr>
            <w:tcW w:w="980" w:type="dxa"/>
            <w:vAlign w:val="bottom"/>
            <w:gridSpan w:val="19"/>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11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February 14,</w:t>
            </w:r>
          </w:p>
        </w:tc>
      </w:tr>
      <w:tr>
        <w:trPr>
          <w:trHeight w:val="210"/>
        </w:trPr>
        <w:tc>
          <w:tcPr>
            <w:tcW w:w="700" w:type="dxa"/>
            <w:vAlign w:val="bottom"/>
          </w:tcPr>
          <w:p>
            <w:pPr>
              <w:spacing w:after="0"/>
              <w:rPr>
                <w:sz w:val="18"/>
                <w:szCs w:val="18"/>
                <w:color w:val="auto"/>
              </w:rPr>
            </w:pPr>
          </w:p>
        </w:tc>
        <w:tc>
          <w:tcPr>
            <w:tcW w:w="36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Amendment No. 1, dated as of February 14, 2023,</w:t>
              </w:r>
            </w:hyperlink>
          </w:p>
        </w:tc>
        <w:tc>
          <w:tcPr>
            <w:tcW w:w="280" w:type="dxa"/>
            <w:vAlign w:val="bottom"/>
            <w:gridSpan w:val="9"/>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660" w:type="dxa"/>
            <w:vAlign w:val="bottom"/>
          </w:tcPr>
          <w:p>
            <w:pPr>
              <w:spacing w:after="0"/>
              <w:rPr>
                <w:sz w:val="18"/>
                <w:szCs w:val="18"/>
                <w:color w:val="auto"/>
              </w:rPr>
            </w:pPr>
          </w:p>
        </w:tc>
        <w:tc>
          <w:tcPr>
            <w:tcW w:w="11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09"/>
        </w:trPr>
        <w:tc>
          <w:tcPr>
            <w:tcW w:w="700" w:type="dxa"/>
            <w:vAlign w:val="bottom"/>
          </w:tcPr>
          <w:p>
            <w:pPr>
              <w:spacing w:after="0"/>
              <w:rPr>
                <w:sz w:val="18"/>
                <w:szCs w:val="18"/>
                <w:color w:val="auto"/>
              </w:rPr>
            </w:pPr>
          </w:p>
        </w:tc>
        <w:tc>
          <w:tcPr>
            <w:tcW w:w="3920" w:type="dxa"/>
            <w:vAlign w:val="bottom"/>
            <w:gridSpan w:val="28"/>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among Westrock Beverage Solutions, LLC, as</w:t>
              </w:r>
            </w:hyperlink>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36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8"/>
              </w:rPr>
            </w:pPr>
            <w:hyperlink r:id="rId128">
              <w:r>
                <w:rPr>
                  <w:rFonts w:ascii="Times New Roman" w:cs="Times New Roman" w:eastAsia="Times New Roman" w:hAnsi="Times New Roman"/>
                  <w:sz w:val="18"/>
                  <w:szCs w:val="18"/>
                  <w:color w:val="0000EE"/>
                  <w:w w:val="98"/>
                </w:rPr>
                <w:t>borrower, Westrock Coffee Company, as holdings,</w:t>
              </w:r>
            </w:hyperlink>
          </w:p>
        </w:tc>
        <w:tc>
          <w:tcPr>
            <w:tcW w:w="280" w:type="dxa"/>
            <w:vAlign w:val="bottom"/>
            <w:gridSpan w:val="9"/>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700" w:type="dxa"/>
            <w:vAlign w:val="bottom"/>
          </w:tcPr>
          <w:p>
            <w:pPr>
              <w:spacing w:after="0"/>
              <w:rPr>
                <w:sz w:val="18"/>
                <w:szCs w:val="18"/>
                <w:color w:val="auto"/>
              </w:rPr>
            </w:pPr>
          </w:p>
        </w:tc>
        <w:tc>
          <w:tcPr>
            <w:tcW w:w="36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the other guarantors party thereto, the Amendment</w:t>
              </w:r>
            </w:hyperlink>
          </w:p>
        </w:tc>
        <w:tc>
          <w:tcPr>
            <w:tcW w:w="260" w:type="dxa"/>
            <w:vAlign w:val="bottom"/>
            <w:gridSpan w:val="8"/>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700" w:type="dxa"/>
            <w:vAlign w:val="bottom"/>
          </w:tcPr>
          <w:p>
            <w:pPr>
              <w:spacing w:after="0"/>
              <w:rPr>
                <w:sz w:val="18"/>
                <w:szCs w:val="18"/>
                <w:color w:val="auto"/>
              </w:rPr>
            </w:pPr>
          </w:p>
        </w:tc>
        <w:tc>
          <w:tcPr>
            <w:tcW w:w="35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No. 1 delayed draw term loan lenders, the lenders</w:t>
              </w:r>
            </w:hyperlink>
          </w:p>
        </w:tc>
        <w:tc>
          <w:tcPr>
            <w:tcW w:w="340" w:type="dxa"/>
            <w:vAlign w:val="bottom"/>
            <w:gridSpan w:val="12"/>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9"/>
        </w:trPr>
        <w:tc>
          <w:tcPr>
            <w:tcW w:w="700" w:type="dxa"/>
            <w:vAlign w:val="bottom"/>
          </w:tcPr>
          <w:p>
            <w:pPr>
              <w:spacing w:after="0"/>
              <w:rPr>
                <w:sz w:val="18"/>
                <w:szCs w:val="18"/>
                <w:color w:val="auto"/>
              </w:rPr>
            </w:pPr>
          </w:p>
        </w:tc>
        <w:tc>
          <w:tcPr>
            <w:tcW w:w="32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r:id="rId128">
              <w:r>
                <w:rPr>
                  <w:rFonts w:ascii="Times New Roman" w:cs="Times New Roman" w:eastAsia="Times New Roman" w:hAnsi="Times New Roman"/>
                  <w:sz w:val="18"/>
                  <w:szCs w:val="18"/>
                  <w:color w:val="0000EE"/>
                  <w:w w:val="98"/>
                </w:rPr>
                <w:t>party thereto and Wells Fargo Bank, N.A., as</w:t>
              </w:r>
            </w:hyperlink>
          </w:p>
        </w:tc>
        <w:tc>
          <w:tcPr>
            <w:tcW w:w="680" w:type="dxa"/>
            <w:vAlign w:val="bottom"/>
            <w:gridSpan w:val="18"/>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700" w:type="dxa"/>
            <w:vAlign w:val="bottom"/>
          </w:tcPr>
          <w:p>
            <w:pPr>
              <w:spacing w:after="0"/>
              <w:rPr>
                <w:sz w:val="18"/>
                <w:szCs w:val="18"/>
                <w:color w:val="auto"/>
              </w:rPr>
            </w:pPr>
          </w:p>
        </w:tc>
        <w:tc>
          <w:tcPr>
            <w:tcW w:w="3920" w:type="dxa"/>
            <w:vAlign w:val="bottom"/>
            <w:gridSpan w:val="28"/>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administrative agent.</w:t>
              </w:r>
            </w:hyperlink>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25"/>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10.6</w:t>
            </w:r>
          </w:p>
        </w:tc>
        <w:tc>
          <w:tcPr>
            <w:tcW w:w="384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Amendment No. 2, dated as of June 30, 2023, among</w:t>
              </w:r>
            </w:hyperlink>
          </w:p>
        </w:tc>
        <w:tc>
          <w:tcPr>
            <w:tcW w:w="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June 30, 2023</w:t>
            </w:r>
          </w:p>
        </w:tc>
      </w:tr>
      <w:tr>
        <w:trPr>
          <w:trHeight w:val="210"/>
        </w:trPr>
        <w:tc>
          <w:tcPr>
            <w:tcW w:w="700" w:type="dxa"/>
            <w:vAlign w:val="bottom"/>
          </w:tcPr>
          <w:p>
            <w:pPr>
              <w:spacing w:after="0"/>
              <w:rPr>
                <w:sz w:val="18"/>
                <w:szCs w:val="18"/>
                <w:color w:val="auto"/>
              </w:rPr>
            </w:pPr>
          </w:p>
        </w:tc>
        <w:tc>
          <w:tcPr>
            <w:tcW w:w="3920" w:type="dxa"/>
            <w:vAlign w:val="bottom"/>
            <w:gridSpan w:val="28"/>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Westrock Beverage Solutions, LLC, as the borrower,</w:t>
              </w:r>
            </w:hyperlink>
          </w:p>
        </w:tc>
        <w:tc>
          <w:tcPr>
            <w:tcW w:w="5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700" w:type="dxa"/>
            <w:vAlign w:val="bottom"/>
          </w:tcPr>
          <w:p>
            <w:pPr>
              <w:spacing w:after="0"/>
              <w:rPr>
                <w:sz w:val="18"/>
                <w:szCs w:val="18"/>
                <w:color w:val="auto"/>
              </w:rPr>
            </w:pPr>
          </w:p>
        </w:tc>
        <w:tc>
          <w:tcPr>
            <w:tcW w:w="3800" w:type="dxa"/>
            <w:vAlign w:val="bottom"/>
            <w:tcBorders>
              <w:top w:val="single" w:sz="8" w:color="0000EE"/>
            </w:tcBorders>
            <w:gridSpan w:val="25"/>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the lenders party thereto and Wells Fargo Bank,</w:t>
              </w:r>
            </w:hyperlink>
          </w:p>
        </w:tc>
        <w:tc>
          <w:tcPr>
            <w:tcW w:w="120" w:type="dxa"/>
            <w:vAlign w:val="bottom"/>
            <w:gridSpan w:val="3"/>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700" w:type="dxa"/>
            <w:vAlign w:val="bottom"/>
          </w:tcPr>
          <w:p>
            <w:pPr>
              <w:spacing w:after="0"/>
              <w:rPr>
                <w:sz w:val="18"/>
                <w:szCs w:val="18"/>
                <w:color w:val="auto"/>
              </w:rPr>
            </w:pPr>
          </w:p>
        </w:tc>
        <w:tc>
          <w:tcPr>
            <w:tcW w:w="3440" w:type="dxa"/>
            <w:vAlign w:val="bottom"/>
            <w:tcBorders>
              <w:top w:val="single" w:sz="8" w:color="0000EE"/>
            </w:tcBorders>
            <w:gridSpan w:val="12"/>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N.A., as administrative agent.</w:t>
              </w:r>
            </w:hyperlink>
          </w:p>
        </w:tc>
        <w:tc>
          <w:tcPr>
            <w:tcW w:w="480" w:type="dxa"/>
            <w:vAlign w:val="bottom"/>
            <w:gridSpan w:val="16"/>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39"/>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10.7</w:t>
            </w:r>
          </w:p>
        </w:tc>
        <w:tc>
          <w:tcPr>
            <w:tcW w:w="36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Amendment No. 3, dated as of February 15, 2024,</w:t>
              </w:r>
            </w:hyperlink>
          </w:p>
        </w:tc>
        <w:tc>
          <w:tcPr>
            <w:tcW w:w="280" w:type="dxa"/>
            <w:vAlign w:val="bottom"/>
            <w:gridSpan w:val="9"/>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11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February 15,</w:t>
            </w:r>
          </w:p>
        </w:tc>
      </w:tr>
      <w:tr>
        <w:trPr>
          <w:trHeight w:val="210"/>
        </w:trPr>
        <w:tc>
          <w:tcPr>
            <w:tcW w:w="700" w:type="dxa"/>
            <w:vAlign w:val="bottom"/>
          </w:tcPr>
          <w:p>
            <w:pPr>
              <w:spacing w:after="0"/>
              <w:rPr>
                <w:sz w:val="18"/>
                <w:szCs w:val="18"/>
                <w:color w:val="auto"/>
              </w:rPr>
            </w:pPr>
          </w:p>
        </w:tc>
        <w:tc>
          <w:tcPr>
            <w:tcW w:w="36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among Westrock Beverage Solutions, LLC, as the</w:t>
              </w:r>
            </w:hyperlink>
          </w:p>
        </w:tc>
        <w:tc>
          <w:tcPr>
            <w:tcW w:w="320" w:type="dxa"/>
            <w:vAlign w:val="bottom"/>
            <w:gridSpan w:val="11"/>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660" w:type="dxa"/>
            <w:vAlign w:val="bottom"/>
          </w:tcPr>
          <w:p>
            <w:pPr>
              <w:spacing w:after="0"/>
              <w:rPr>
                <w:sz w:val="18"/>
                <w:szCs w:val="18"/>
                <w:color w:val="auto"/>
              </w:rPr>
            </w:pPr>
          </w:p>
        </w:tc>
        <w:tc>
          <w:tcPr>
            <w:tcW w:w="11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10"/>
        </w:trPr>
        <w:tc>
          <w:tcPr>
            <w:tcW w:w="700" w:type="dxa"/>
            <w:vAlign w:val="bottom"/>
          </w:tcPr>
          <w:p>
            <w:pPr>
              <w:spacing w:after="0"/>
              <w:rPr>
                <w:sz w:val="18"/>
                <w:szCs w:val="18"/>
                <w:color w:val="auto"/>
              </w:rPr>
            </w:pPr>
          </w:p>
        </w:tc>
        <w:tc>
          <w:tcPr>
            <w:tcW w:w="37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borrower, the lenders party thereto and Wells Fargo</w:t>
              </w:r>
            </w:hyperlink>
          </w:p>
        </w:tc>
        <w:tc>
          <w:tcPr>
            <w:tcW w:w="200" w:type="dxa"/>
            <w:vAlign w:val="bottom"/>
            <w:gridSpan w:val="5"/>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9"/>
        </w:trPr>
        <w:tc>
          <w:tcPr>
            <w:tcW w:w="700" w:type="dxa"/>
            <w:vAlign w:val="bottom"/>
          </w:tcPr>
          <w:p>
            <w:pPr>
              <w:spacing w:after="0"/>
              <w:rPr>
                <w:sz w:val="18"/>
                <w:szCs w:val="18"/>
                <w:color w:val="auto"/>
              </w:rPr>
            </w:pPr>
          </w:p>
        </w:tc>
        <w:tc>
          <w:tcPr>
            <w:tcW w:w="3920" w:type="dxa"/>
            <w:vAlign w:val="bottom"/>
            <w:gridSpan w:val="28"/>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Bank, N.A., as administrative agent</w:t>
              </w:r>
            </w:hyperlink>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2560" w:type="dxa"/>
            <w:vAlign w:val="bottom"/>
            <w:gridSpan w:val="6"/>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39"/>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10.8</w:t>
            </w:r>
          </w:p>
        </w:tc>
        <w:tc>
          <w:tcPr>
            <w:tcW w:w="29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Incremental Assumption Agreement and</w:t>
              </w:r>
            </w:hyperlink>
          </w:p>
        </w:tc>
        <w:tc>
          <w:tcPr>
            <w:tcW w:w="980" w:type="dxa"/>
            <w:vAlign w:val="bottom"/>
            <w:gridSpan w:val="19"/>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January 15,</w:t>
            </w:r>
          </w:p>
        </w:tc>
      </w:tr>
      <w:tr>
        <w:trPr>
          <w:trHeight w:val="196"/>
        </w:trPr>
        <w:tc>
          <w:tcPr>
            <w:tcW w:w="700" w:type="dxa"/>
            <w:vAlign w:val="bottom"/>
          </w:tcPr>
          <w:p>
            <w:pPr>
              <w:spacing w:after="0"/>
              <w:rPr>
                <w:sz w:val="17"/>
                <w:szCs w:val="17"/>
                <w:color w:val="auto"/>
              </w:rPr>
            </w:pPr>
          </w:p>
        </w:tc>
        <w:tc>
          <w:tcPr>
            <w:tcW w:w="3920" w:type="dxa"/>
            <w:vAlign w:val="bottom"/>
            <w:gridSpan w:val="28"/>
          </w:tcPr>
          <w:p>
            <w:pPr>
              <w:spacing w:after="0" w:line="182"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Amendment No. 4, dated as of January 15, 2025,</w:t>
              </w:r>
            </w:hyperlink>
          </w:p>
        </w:tc>
        <w:tc>
          <w:tcPr>
            <w:tcW w:w="560" w:type="dxa"/>
            <w:vAlign w:val="bottom"/>
          </w:tcPr>
          <w:p>
            <w:pPr>
              <w:spacing w:after="0"/>
              <w:rPr>
                <w:sz w:val="17"/>
                <w:szCs w:val="17"/>
                <w:color w:val="auto"/>
              </w:rPr>
            </w:pPr>
          </w:p>
        </w:tc>
        <w:tc>
          <w:tcPr>
            <w:tcW w:w="8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41485</w:t>
            </w:r>
          </w:p>
        </w:tc>
        <w:tc>
          <w:tcPr>
            <w:tcW w:w="660" w:type="dxa"/>
            <w:vAlign w:val="bottom"/>
          </w:tcPr>
          <w:p>
            <w:pPr>
              <w:spacing w:after="0"/>
              <w:rPr>
                <w:sz w:val="17"/>
                <w:szCs w:val="17"/>
                <w:color w:val="auto"/>
              </w:rPr>
            </w:pPr>
          </w:p>
        </w:tc>
        <w:tc>
          <w:tcPr>
            <w:tcW w:w="1180" w:type="dxa"/>
            <w:vAlign w:val="bottom"/>
          </w:tcPr>
          <w:p>
            <w:pPr>
              <w:jc w:val="center"/>
              <w:ind w:left="50"/>
              <w:spacing w:after="0" w:line="182" w:lineRule="exact"/>
              <w:rPr>
                <w:sz w:val="20"/>
                <w:szCs w:val="20"/>
                <w:color w:val="auto"/>
              </w:rPr>
            </w:pPr>
            <w:r>
              <w:rPr>
                <w:rFonts w:ascii="Times New Roman" w:cs="Times New Roman" w:eastAsia="Times New Roman" w:hAnsi="Times New Roman"/>
                <w:sz w:val="18"/>
                <w:szCs w:val="18"/>
                <w:color w:val="auto"/>
                <w:w w:val="99"/>
              </w:rPr>
              <w:t>2025</w:t>
            </w:r>
          </w:p>
        </w:tc>
      </w:tr>
      <w:tr>
        <w:trPr>
          <w:trHeight w:val="20"/>
        </w:trPr>
        <w:tc>
          <w:tcPr>
            <w:tcW w:w="700" w:type="dxa"/>
            <w:vAlign w:val="bottom"/>
          </w:tcPr>
          <w:p>
            <w:pPr>
              <w:spacing w:after="0" w:line="20" w:lineRule="exact"/>
              <w:rPr>
                <w:sz w:val="1"/>
                <w:szCs w:val="1"/>
                <w:color w:val="auto"/>
              </w:rPr>
            </w:pPr>
          </w:p>
        </w:tc>
        <w:tc>
          <w:tcPr>
            <w:tcW w:w="2920" w:type="dxa"/>
            <w:vAlign w:val="bottom"/>
            <w:gridSpan w:val="8"/>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36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among Westrock Beverage Solutions, LLC, as the</w:t>
              </w:r>
            </w:hyperlink>
          </w:p>
        </w:tc>
        <w:tc>
          <w:tcPr>
            <w:tcW w:w="320" w:type="dxa"/>
            <w:vAlign w:val="bottom"/>
            <w:gridSpan w:val="11"/>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6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131">
              <w:r>
                <w:rPr>
                  <w:rFonts w:ascii="Times New Roman" w:cs="Times New Roman" w:eastAsia="Times New Roman" w:hAnsi="Times New Roman"/>
                  <w:sz w:val="18"/>
                  <w:szCs w:val="18"/>
                  <w:color w:val="0000EE"/>
                  <w:w w:val="98"/>
                </w:rPr>
                <w:t>borrower, Westrock Coffee Company, as holdings,</w:t>
              </w:r>
            </w:hyperlink>
          </w:p>
        </w:tc>
        <w:tc>
          <w:tcPr>
            <w:tcW w:w="280" w:type="dxa"/>
            <w:vAlign w:val="bottom"/>
            <w:gridSpan w:val="9"/>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6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the other guarantors party thereto, the incremental</w:t>
              </w:r>
            </w:hyperlink>
          </w:p>
        </w:tc>
        <w:tc>
          <w:tcPr>
            <w:tcW w:w="30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920" w:type="dxa"/>
            <w:vAlign w:val="bottom"/>
            <w:gridSpan w:val="28"/>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revolving facility lender, the lenders and issuing</w:t>
              </w:r>
            </w:hyperlink>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2920" w:type="dxa"/>
            <w:vAlign w:val="bottom"/>
            <w:gridSpan w:val="8"/>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8"/>
              </w:rPr>
            </w:pPr>
            <w:hyperlink r:id="rId131">
              <w:r>
                <w:rPr>
                  <w:rFonts w:ascii="Times New Roman" w:cs="Times New Roman" w:eastAsia="Times New Roman" w:hAnsi="Times New Roman"/>
                  <w:sz w:val="18"/>
                  <w:szCs w:val="18"/>
                  <w:color w:val="0000EE"/>
                  <w:w w:val="98"/>
                </w:rPr>
                <w:t>banks party thereto and Wells Fargo Bank, N.A., as</w:t>
              </w:r>
            </w:hyperlink>
          </w:p>
        </w:tc>
        <w:tc>
          <w:tcPr>
            <w:tcW w:w="22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29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administrative agent and collateral agent</w:t>
              </w:r>
            </w:hyperlink>
          </w:p>
        </w:tc>
        <w:tc>
          <w:tcPr>
            <w:tcW w:w="1000" w:type="dxa"/>
            <w:vAlign w:val="bottom"/>
            <w:gridSpan w:val="20"/>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25"/>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10.9</w:t>
            </w:r>
          </w:p>
        </w:tc>
        <w:tc>
          <w:tcPr>
            <w:tcW w:w="36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Amendment No. 5, dated as of November 4, 2025,</w:t>
              </w:r>
            </w:hyperlink>
          </w:p>
        </w:tc>
        <w:tc>
          <w:tcPr>
            <w:tcW w:w="280" w:type="dxa"/>
            <w:vAlign w:val="bottom"/>
            <w:gridSpan w:val="9"/>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November 6,</w:t>
            </w:r>
          </w:p>
        </w:tc>
      </w:tr>
      <w:tr>
        <w:trPr>
          <w:trHeight w:val="196"/>
        </w:trPr>
        <w:tc>
          <w:tcPr>
            <w:tcW w:w="700" w:type="dxa"/>
            <w:vAlign w:val="bottom"/>
          </w:tcPr>
          <w:p>
            <w:pPr>
              <w:spacing w:after="0"/>
              <w:rPr>
                <w:sz w:val="17"/>
                <w:szCs w:val="17"/>
                <w:color w:val="auto"/>
              </w:rPr>
            </w:pPr>
          </w:p>
        </w:tc>
        <w:tc>
          <w:tcPr>
            <w:tcW w:w="3600" w:type="dxa"/>
            <w:vAlign w:val="bottom"/>
            <w:tcBorders>
              <w:bottom w:val="single" w:sz="8" w:color="0000EE"/>
            </w:tcBorders>
            <w:gridSpan w:val="17"/>
          </w:tcPr>
          <w:p>
            <w:pPr>
              <w:spacing w:after="0" w:line="182"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among Westrock Beverage Solutions, LLC, as the</w:t>
              </w:r>
            </w:hyperlink>
          </w:p>
        </w:tc>
        <w:tc>
          <w:tcPr>
            <w:tcW w:w="320" w:type="dxa"/>
            <w:vAlign w:val="bottom"/>
            <w:gridSpan w:val="11"/>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41485</w:t>
            </w:r>
          </w:p>
        </w:tc>
        <w:tc>
          <w:tcPr>
            <w:tcW w:w="660" w:type="dxa"/>
            <w:vAlign w:val="bottom"/>
          </w:tcPr>
          <w:p>
            <w:pPr>
              <w:spacing w:after="0"/>
              <w:rPr>
                <w:sz w:val="17"/>
                <w:szCs w:val="17"/>
                <w:color w:val="auto"/>
              </w:rPr>
            </w:pPr>
          </w:p>
        </w:tc>
        <w:tc>
          <w:tcPr>
            <w:tcW w:w="1180" w:type="dxa"/>
            <w:vAlign w:val="bottom"/>
          </w:tcPr>
          <w:p>
            <w:pPr>
              <w:jc w:val="center"/>
              <w:ind w:left="50"/>
              <w:spacing w:after="0" w:line="182" w:lineRule="exact"/>
              <w:rPr>
                <w:sz w:val="20"/>
                <w:szCs w:val="20"/>
                <w:color w:val="auto"/>
              </w:rPr>
            </w:pPr>
            <w:r>
              <w:rPr>
                <w:rFonts w:ascii="Times New Roman" w:cs="Times New Roman" w:eastAsia="Times New Roman" w:hAnsi="Times New Roman"/>
                <w:sz w:val="18"/>
                <w:szCs w:val="18"/>
                <w:color w:val="auto"/>
                <w:w w:val="99"/>
              </w:rPr>
              <w:t>2025</w:t>
            </w:r>
          </w:p>
        </w:tc>
      </w:tr>
      <w:tr>
        <w:trPr>
          <w:trHeight w:val="196"/>
        </w:trPr>
        <w:tc>
          <w:tcPr>
            <w:tcW w:w="700" w:type="dxa"/>
            <w:vAlign w:val="bottom"/>
          </w:tcPr>
          <w:p>
            <w:pPr>
              <w:spacing w:after="0"/>
              <w:rPr>
                <w:sz w:val="17"/>
                <w:szCs w:val="17"/>
                <w:color w:val="auto"/>
              </w:rPr>
            </w:pPr>
          </w:p>
        </w:tc>
        <w:tc>
          <w:tcPr>
            <w:tcW w:w="37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borrower, the lenders party thereto and Wells Fargo</w:t>
              </w:r>
            </w:hyperlink>
          </w:p>
        </w:tc>
        <w:tc>
          <w:tcPr>
            <w:tcW w:w="20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920" w:type="dxa"/>
            <w:vAlign w:val="bottom"/>
            <w:gridSpan w:val="28"/>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Bank, N.A., as administrative agent</w:t>
              </w:r>
            </w:hyperlink>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4660" w:type="dxa"/>
            <w:vAlign w:val="bottom"/>
            <w:gridSpan w:val="2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10.10#   </w:t>
            </w:r>
            <w:hyperlink r:id="rId134">
              <w:r>
                <w:rPr>
                  <w:rFonts w:ascii="Times New Roman" w:cs="Times New Roman" w:eastAsia="Times New Roman" w:hAnsi="Times New Roman"/>
                  <w:sz w:val="18"/>
                  <w:szCs w:val="18"/>
                  <w:color w:val="0000EE"/>
                </w:rPr>
                <w:t>Employment Agreement, dated August 26, 2022, by</w:t>
              </w:r>
            </w:hyperlink>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August 29,</w:t>
            </w:r>
          </w:p>
        </w:tc>
      </w:tr>
      <w:tr>
        <w:trPr>
          <w:trHeight w:val="20"/>
        </w:trPr>
        <w:tc>
          <w:tcPr>
            <w:tcW w:w="7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09"/>
        </w:trPr>
        <w:tc>
          <w:tcPr>
            <w:tcW w:w="740" w:type="dxa"/>
            <w:vAlign w:val="bottom"/>
          </w:tcPr>
          <w:p>
            <w:pPr>
              <w:spacing w:after="0"/>
              <w:rPr>
                <w:sz w:val="18"/>
                <w:szCs w:val="18"/>
                <w:color w:val="auto"/>
              </w:rPr>
            </w:pPr>
          </w:p>
        </w:tc>
        <w:tc>
          <w:tcPr>
            <w:tcW w:w="3920" w:type="dxa"/>
            <w:vAlign w:val="bottom"/>
            <w:gridSpan w:val="22"/>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and between Westrock Coffee Company and Scott T.</w:t>
              </w:r>
            </w:hyperlink>
          </w:p>
        </w:tc>
        <w:tc>
          <w:tcPr>
            <w:tcW w:w="5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20" w:type="dxa"/>
            <w:vAlign w:val="bottom"/>
          </w:tcPr>
          <w:p>
            <w:pPr>
              <w:spacing w:after="0"/>
              <w:rPr>
                <w:sz w:val="18"/>
                <w:szCs w:val="18"/>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10"/>
        </w:trPr>
        <w:tc>
          <w:tcPr>
            <w:tcW w:w="740" w:type="dxa"/>
            <w:vAlign w:val="bottom"/>
          </w:tcPr>
          <w:p>
            <w:pPr>
              <w:spacing w:after="0"/>
              <w:rPr>
                <w:sz w:val="18"/>
                <w:szCs w:val="18"/>
                <w:color w:val="auto"/>
              </w:rPr>
            </w:pPr>
          </w:p>
        </w:tc>
        <w:tc>
          <w:tcPr>
            <w:tcW w:w="34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3"/>
              </w:rPr>
            </w:pPr>
            <w:hyperlink r:id="rId134">
              <w:r>
                <w:rPr>
                  <w:rFonts w:ascii="Times New Roman" w:cs="Times New Roman" w:eastAsia="Times New Roman" w:hAnsi="Times New Roman"/>
                  <w:sz w:val="18"/>
                  <w:szCs w:val="18"/>
                  <w:color w:val="0000EE"/>
                  <w:w w:val="93"/>
                </w:rPr>
                <w:t>Ford</w:t>
              </w:r>
            </w:hyperlink>
          </w:p>
        </w:tc>
        <w:tc>
          <w:tcPr>
            <w:tcW w:w="3460" w:type="dxa"/>
            <w:vAlign w:val="bottom"/>
            <w:tcBorders>
              <w:top w:val="single" w:sz="8" w:color="0000EE"/>
            </w:tcBorders>
            <w:gridSpan w:val="18"/>
          </w:tcPr>
          <w:p>
            <w:pPr>
              <w:spacing w:after="0"/>
              <w:rPr>
                <w:sz w:val="18"/>
                <w:szCs w:val="18"/>
                <w:color w:val="auto"/>
              </w:rPr>
            </w:pPr>
          </w:p>
        </w:tc>
        <w:tc>
          <w:tcPr>
            <w:tcW w:w="12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39"/>
        </w:trPr>
        <w:tc>
          <w:tcPr>
            <w:tcW w:w="4660" w:type="dxa"/>
            <w:vAlign w:val="bottom"/>
            <w:gridSpan w:val="2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10.11#   </w:t>
            </w:r>
            <w:hyperlink r:id="rId135">
              <w:r>
                <w:rPr>
                  <w:rFonts w:ascii="Times New Roman" w:cs="Times New Roman" w:eastAsia="Times New Roman" w:hAnsi="Times New Roman"/>
                  <w:sz w:val="18"/>
                  <w:szCs w:val="18"/>
                  <w:color w:val="0000EE"/>
                </w:rPr>
                <w:t>Employment Agreement, dated August 26, 2022, by</w:t>
              </w:r>
            </w:hyperlink>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August 29,</w:t>
            </w:r>
          </w:p>
        </w:tc>
      </w:tr>
      <w:tr>
        <w:trPr>
          <w:trHeight w:val="210"/>
        </w:trPr>
        <w:tc>
          <w:tcPr>
            <w:tcW w:w="740" w:type="dxa"/>
            <w:vAlign w:val="bottom"/>
          </w:tcPr>
          <w:p>
            <w:pPr>
              <w:spacing w:after="0"/>
              <w:rPr>
                <w:sz w:val="18"/>
                <w:szCs w:val="18"/>
                <w:color w:val="auto"/>
              </w:rPr>
            </w:pPr>
          </w:p>
        </w:tc>
        <w:tc>
          <w:tcPr>
            <w:tcW w:w="340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8"/>
              </w:rPr>
            </w:pPr>
            <w:hyperlink r:id="rId135">
              <w:r>
                <w:rPr>
                  <w:rFonts w:ascii="Times New Roman" w:cs="Times New Roman" w:eastAsia="Times New Roman" w:hAnsi="Times New Roman"/>
                  <w:sz w:val="18"/>
                  <w:szCs w:val="18"/>
                  <w:color w:val="0000EE"/>
                  <w:w w:val="98"/>
                </w:rPr>
                <w:t>and between Westrock Coffee Company and T.</w:t>
              </w:r>
            </w:hyperlink>
          </w:p>
        </w:tc>
        <w:tc>
          <w:tcPr>
            <w:tcW w:w="380" w:type="dxa"/>
            <w:vAlign w:val="bottom"/>
            <w:tcBorders>
              <w:top w:val="single" w:sz="8" w:color="0000EE"/>
            </w:tcBorders>
            <w:gridSpan w:val="8"/>
          </w:tcPr>
          <w:p>
            <w:pPr>
              <w:spacing w:after="0"/>
              <w:rPr>
                <w:sz w:val="18"/>
                <w:szCs w:val="18"/>
                <w:color w:val="auto"/>
              </w:rPr>
            </w:pPr>
          </w:p>
        </w:tc>
        <w:tc>
          <w:tcPr>
            <w:tcW w:w="140" w:type="dxa"/>
            <w:vAlign w:val="bottom"/>
            <w:gridSpan w:val="3"/>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20" w:type="dxa"/>
            <w:vAlign w:val="bottom"/>
          </w:tcPr>
          <w:p>
            <w:pPr>
              <w:spacing w:after="0"/>
              <w:rPr>
                <w:sz w:val="18"/>
                <w:szCs w:val="18"/>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09"/>
        </w:trPr>
        <w:tc>
          <w:tcPr>
            <w:tcW w:w="740" w:type="dxa"/>
            <w:vAlign w:val="bottom"/>
          </w:tcPr>
          <w:p>
            <w:pPr>
              <w:spacing w:after="0"/>
              <w:rPr>
                <w:sz w:val="18"/>
                <w:szCs w:val="18"/>
                <w:color w:val="auto"/>
              </w:rPr>
            </w:pPr>
          </w:p>
        </w:tc>
        <w:tc>
          <w:tcPr>
            <w:tcW w:w="14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Christopher Pledger</w:t>
              </w:r>
            </w:hyperlink>
          </w:p>
        </w:tc>
        <w:tc>
          <w:tcPr>
            <w:tcW w:w="2460" w:type="dxa"/>
            <w:vAlign w:val="bottom"/>
            <w:gridSpan w:val="14"/>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39"/>
        </w:trPr>
        <w:tc>
          <w:tcPr>
            <w:tcW w:w="4660" w:type="dxa"/>
            <w:vAlign w:val="bottom"/>
            <w:gridSpan w:val="2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10.12#   </w:t>
            </w:r>
            <w:hyperlink r:id="rId136">
              <w:r>
                <w:rPr>
                  <w:rFonts w:ascii="Times New Roman" w:cs="Times New Roman" w:eastAsia="Times New Roman" w:hAnsi="Times New Roman"/>
                  <w:sz w:val="18"/>
                  <w:szCs w:val="18"/>
                  <w:color w:val="0000EE"/>
                </w:rPr>
                <w:t>Employment Agreement, dated August 26, 2022, by</w:t>
              </w:r>
            </w:hyperlink>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August 29,</w:t>
            </w:r>
          </w:p>
        </w:tc>
      </w:tr>
      <w:tr>
        <w:trPr>
          <w:trHeight w:val="20"/>
        </w:trPr>
        <w:tc>
          <w:tcPr>
            <w:tcW w:w="7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09"/>
        </w:trPr>
        <w:tc>
          <w:tcPr>
            <w:tcW w:w="740" w:type="dxa"/>
            <w:vAlign w:val="bottom"/>
          </w:tcPr>
          <w:p>
            <w:pPr>
              <w:spacing w:after="0"/>
              <w:rPr>
                <w:sz w:val="18"/>
                <w:szCs w:val="18"/>
                <w:color w:val="auto"/>
              </w:rPr>
            </w:pPr>
          </w:p>
        </w:tc>
        <w:tc>
          <w:tcPr>
            <w:tcW w:w="38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8"/>
              </w:rPr>
            </w:pPr>
            <w:hyperlink r:id="rId136">
              <w:r>
                <w:rPr>
                  <w:rFonts w:ascii="Times New Roman" w:cs="Times New Roman" w:eastAsia="Times New Roman" w:hAnsi="Times New Roman"/>
                  <w:sz w:val="18"/>
                  <w:szCs w:val="18"/>
                  <w:color w:val="0000EE"/>
                  <w:w w:val="98"/>
                </w:rPr>
                <w:t>and between Westrock Coffee Company and William</w:t>
              </w:r>
            </w:hyperlink>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20" w:type="dxa"/>
            <w:vAlign w:val="bottom"/>
          </w:tcPr>
          <w:p>
            <w:pPr>
              <w:spacing w:after="0"/>
              <w:rPr>
                <w:sz w:val="18"/>
                <w:szCs w:val="18"/>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10"/>
        </w:trPr>
        <w:tc>
          <w:tcPr>
            <w:tcW w:w="740" w:type="dxa"/>
            <w:vAlign w:val="bottom"/>
          </w:tcPr>
          <w:p>
            <w:pPr>
              <w:spacing w:after="0"/>
              <w:rPr>
                <w:sz w:val="18"/>
                <w:szCs w:val="18"/>
                <w:color w:val="auto"/>
              </w:rPr>
            </w:pPr>
          </w:p>
        </w:tc>
        <w:tc>
          <w:tcPr>
            <w:tcW w:w="5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6"/>
              </w:rPr>
            </w:pPr>
            <w:hyperlink r:id="rId136">
              <w:r>
                <w:rPr>
                  <w:rFonts w:ascii="Times New Roman" w:cs="Times New Roman" w:eastAsia="Times New Roman" w:hAnsi="Times New Roman"/>
                  <w:sz w:val="18"/>
                  <w:szCs w:val="18"/>
                  <w:color w:val="0000EE"/>
                  <w:w w:val="96"/>
                </w:rPr>
                <w:t>A. Ford</w:t>
              </w:r>
            </w:hyperlink>
          </w:p>
        </w:tc>
        <w:tc>
          <w:tcPr>
            <w:tcW w:w="3360" w:type="dxa"/>
            <w:vAlign w:val="bottom"/>
            <w:gridSpan w:val="19"/>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39"/>
        </w:trPr>
        <w:tc>
          <w:tcPr>
            <w:tcW w:w="4660" w:type="dxa"/>
            <w:vAlign w:val="bottom"/>
            <w:gridSpan w:val="2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10.13#   </w:t>
            </w:r>
            <w:hyperlink r:id="rId137">
              <w:r>
                <w:rPr>
                  <w:rFonts w:ascii="Times New Roman" w:cs="Times New Roman" w:eastAsia="Times New Roman" w:hAnsi="Times New Roman"/>
                  <w:sz w:val="18"/>
                  <w:szCs w:val="18"/>
                  <w:color w:val="0000EE"/>
                </w:rPr>
                <w:t>Employment Agreement, dated August 26, 2022, by</w:t>
              </w:r>
            </w:hyperlink>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March 21,</w:t>
            </w:r>
          </w:p>
        </w:tc>
      </w:tr>
      <w:tr>
        <w:trPr>
          <w:trHeight w:val="209"/>
        </w:trPr>
        <w:tc>
          <w:tcPr>
            <w:tcW w:w="740" w:type="dxa"/>
            <w:vAlign w:val="bottom"/>
          </w:tcPr>
          <w:p>
            <w:pPr>
              <w:spacing w:after="0"/>
              <w:rPr>
                <w:sz w:val="18"/>
                <w:szCs w:val="18"/>
                <w:color w:val="auto"/>
              </w:rPr>
            </w:pPr>
          </w:p>
        </w:tc>
        <w:tc>
          <w:tcPr>
            <w:tcW w:w="3740" w:type="dxa"/>
            <w:vAlign w:val="bottom"/>
            <w:tcBorders>
              <w:top w:val="single" w:sz="8" w:color="0000EE"/>
              <w:bottom w:val="single" w:sz="8" w:color="0000EE"/>
            </w:tcBorders>
            <w:gridSpan w:val="18"/>
          </w:tcPr>
          <w:p>
            <w:pPr>
              <w:spacing w:after="0"/>
              <w:rPr>
                <w:rFonts w:ascii="Times New Roman" w:cs="Times New Roman" w:eastAsia="Times New Roman" w:hAnsi="Times New Roman"/>
                <w:sz w:val="18"/>
                <w:szCs w:val="18"/>
                <w:color w:val="0000EE"/>
                <w:w w:val="98"/>
              </w:rPr>
            </w:pPr>
            <w:hyperlink r:id="rId137">
              <w:r>
                <w:rPr>
                  <w:rFonts w:ascii="Times New Roman" w:cs="Times New Roman" w:eastAsia="Times New Roman" w:hAnsi="Times New Roman"/>
                  <w:sz w:val="18"/>
                  <w:szCs w:val="18"/>
                  <w:color w:val="0000EE"/>
                  <w:w w:val="98"/>
                </w:rPr>
                <w:t>and between Westrock Coffee Company and Robert</w:t>
              </w:r>
            </w:hyperlink>
          </w:p>
        </w:tc>
        <w:tc>
          <w:tcPr>
            <w:tcW w:w="40" w:type="dxa"/>
            <w:vAlign w:val="bottom"/>
            <w:tcBorders>
              <w:top w:val="single" w:sz="8" w:color="0000EE"/>
            </w:tcBorders>
          </w:tcPr>
          <w:p>
            <w:pPr>
              <w:spacing w:after="0"/>
              <w:rPr>
                <w:sz w:val="18"/>
                <w:szCs w:val="18"/>
                <w:color w:val="auto"/>
              </w:rPr>
            </w:pPr>
          </w:p>
        </w:tc>
        <w:tc>
          <w:tcPr>
            <w:tcW w:w="140" w:type="dxa"/>
            <w:vAlign w:val="bottom"/>
            <w:gridSpan w:val="3"/>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20" w:type="dxa"/>
            <w:vAlign w:val="bottom"/>
          </w:tcPr>
          <w:p>
            <w:pPr>
              <w:spacing w:after="0"/>
              <w:rPr>
                <w:sz w:val="18"/>
                <w:szCs w:val="18"/>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09"/>
        </w:trPr>
        <w:tc>
          <w:tcPr>
            <w:tcW w:w="740" w:type="dxa"/>
            <w:vAlign w:val="bottom"/>
          </w:tcPr>
          <w:p>
            <w:pPr>
              <w:spacing w:after="0"/>
              <w:rPr>
                <w:sz w:val="18"/>
                <w:szCs w:val="18"/>
                <w:color w:val="auto"/>
              </w:rPr>
            </w:pPr>
          </w:p>
        </w:tc>
        <w:tc>
          <w:tcPr>
            <w:tcW w:w="9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5"/>
              </w:rPr>
            </w:pPr>
            <w:hyperlink r:id="rId137">
              <w:r>
                <w:rPr>
                  <w:rFonts w:ascii="Times New Roman" w:cs="Times New Roman" w:eastAsia="Times New Roman" w:hAnsi="Times New Roman"/>
                  <w:sz w:val="18"/>
                  <w:szCs w:val="18"/>
                  <w:color w:val="0000EE"/>
                  <w:w w:val="95"/>
                </w:rPr>
                <w:t>P. McKinney</w:t>
              </w:r>
            </w:hyperlink>
          </w:p>
        </w:tc>
        <w:tc>
          <w:tcPr>
            <w:tcW w:w="2980" w:type="dxa"/>
            <w:vAlign w:val="bottom"/>
            <w:gridSpan w:val="16"/>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39"/>
        </w:trPr>
        <w:tc>
          <w:tcPr>
            <w:tcW w:w="4660" w:type="dxa"/>
            <w:vAlign w:val="bottom"/>
            <w:gridSpan w:val="2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10.14#   </w:t>
            </w:r>
            <w:hyperlink r:id="rId138">
              <w:r>
                <w:rPr>
                  <w:rFonts w:ascii="Times New Roman" w:cs="Times New Roman" w:eastAsia="Times New Roman" w:hAnsi="Times New Roman"/>
                  <w:sz w:val="18"/>
                  <w:szCs w:val="18"/>
                  <w:color w:val="0000EE"/>
                </w:rPr>
                <w:t>Employment Agreement, dated August 26, 2022, by</w:t>
              </w:r>
            </w:hyperlink>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March 21,</w:t>
            </w:r>
          </w:p>
        </w:tc>
      </w:tr>
      <w:tr>
        <w:trPr>
          <w:trHeight w:val="209"/>
        </w:trPr>
        <w:tc>
          <w:tcPr>
            <w:tcW w:w="740" w:type="dxa"/>
            <w:vAlign w:val="bottom"/>
          </w:tcPr>
          <w:p>
            <w:pPr>
              <w:spacing w:after="0"/>
              <w:rPr>
                <w:sz w:val="18"/>
                <w:szCs w:val="18"/>
                <w:color w:val="auto"/>
              </w:rPr>
            </w:pPr>
          </w:p>
        </w:tc>
        <w:tc>
          <w:tcPr>
            <w:tcW w:w="3780" w:type="dxa"/>
            <w:vAlign w:val="bottom"/>
            <w:tcBorders>
              <w:top w:val="single" w:sz="8" w:color="0000EE"/>
            </w:tcBorders>
            <w:gridSpan w:val="19"/>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and between Westrock Coffee Company and John</w:t>
              </w:r>
            </w:hyperlink>
          </w:p>
        </w:tc>
        <w:tc>
          <w:tcPr>
            <w:tcW w:w="140" w:type="dxa"/>
            <w:vAlign w:val="bottom"/>
            <w:gridSpan w:val="3"/>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20" w:type="dxa"/>
            <w:vAlign w:val="bottom"/>
          </w:tcPr>
          <w:p>
            <w:pPr>
              <w:spacing w:after="0"/>
              <w:rPr>
                <w:sz w:val="18"/>
                <w:szCs w:val="18"/>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10"/>
        </w:trPr>
        <w:tc>
          <w:tcPr>
            <w:tcW w:w="740" w:type="dxa"/>
            <w:vAlign w:val="bottom"/>
          </w:tcPr>
          <w:p>
            <w:pPr>
              <w:spacing w:after="0"/>
              <w:rPr>
                <w:sz w:val="18"/>
                <w:szCs w:val="18"/>
                <w:color w:val="auto"/>
              </w:rPr>
            </w:pPr>
          </w:p>
        </w:tc>
        <w:tc>
          <w:tcPr>
            <w:tcW w:w="358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Blake Schuhmacher</w:t>
              </w:r>
            </w:hyperlink>
          </w:p>
        </w:tc>
        <w:tc>
          <w:tcPr>
            <w:tcW w:w="340" w:type="dxa"/>
            <w:vAlign w:val="bottom"/>
            <w:gridSpan w:val="9"/>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39"/>
        </w:trPr>
        <w:tc>
          <w:tcPr>
            <w:tcW w:w="46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color w:val="0000EE"/>
              </w:rPr>
              <w:t>Employment Agreement, dated August 26, 2022, by</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39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and between Westrock Coffee Company and Samuel</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0"/>
        </w:trPr>
        <w:tc>
          <w:tcPr>
            <w:tcW w:w="740" w:type="dxa"/>
            <w:vAlign w:val="bottom"/>
          </w:tcPr>
          <w:p>
            <w:pPr>
              <w:spacing w:after="0"/>
              <w:rPr>
                <w:sz w:val="18"/>
                <w:szCs w:val="18"/>
                <w:color w:val="auto"/>
              </w:rPr>
            </w:pPr>
          </w:p>
        </w:tc>
        <w:tc>
          <w:tcPr>
            <w:tcW w:w="3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3"/>
              </w:rPr>
              <w:t>Ford</w:t>
            </w:r>
          </w:p>
        </w:tc>
        <w:tc>
          <w:tcPr>
            <w:tcW w:w="3440" w:type="dxa"/>
            <w:vAlign w:val="bottom"/>
            <w:tcBorders>
              <w:top w:val="single" w:sz="8" w:color="0000EE"/>
            </w:tcBorders>
            <w:gridSpan w:val="17"/>
          </w:tcPr>
          <w:p>
            <w:pPr>
              <w:spacing w:after="0"/>
              <w:rPr>
                <w:sz w:val="18"/>
                <w:szCs w:val="18"/>
                <w:color w:val="auto"/>
              </w:rPr>
            </w:pPr>
          </w:p>
        </w:tc>
        <w:tc>
          <w:tcPr>
            <w:tcW w:w="140" w:type="dxa"/>
            <w:vAlign w:val="bottom"/>
            <w:gridSpan w:val="3"/>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39"/>
        </w:trPr>
        <w:tc>
          <w:tcPr>
            <w:tcW w:w="46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color w:val="0000EE"/>
              </w:rPr>
              <w:t>Employment Agreement, dated August 26, 2022, by</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40" w:type="dxa"/>
            <w:vAlign w:val="bottom"/>
          </w:tcPr>
          <w:p>
            <w:pPr>
              <w:spacing w:after="0"/>
              <w:rPr>
                <w:sz w:val="18"/>
                <w:szCs w:val="18"/>
                <w:color w:val="auto"/>
              </w:rPr>
            </w:pPr>
          </w:p>
        </w:tc>
        <w:tc>
          <w:tcPr>
            <w:tcW w:w="362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and between Westrock Coffee Company and Kyle</w:t>
            </w:r>
          </w:p>
        </w:tc>
        <w:tc>
          <w:tcPr>
            <w:tcW w:w="160" w:type="dxa"/>
            <w:vAlign w:val="bottom"/>
            <w:tcBorders>
              <w:top w:val="single" w:sz="8" w:color="0000EE"/>
            </w:tcBorders>
            <w:gridSpan w:val="4"/>
          </w:tcPr>
          <w:p>
            <w:pPr>
              <w:spacing w:after="0"/>
              <w:rPr>
                <w:sz w:val="18"/>
                <w:szCs w:val="18"/>
                <w:color w:val="auto"/>
              </w:rPr>
            </w:pPr>
          </w:p>
        </w:tc>
        <w:tc>
          <w:tcPr>
            <w:tcW w:w="140" w:type="dxa"/>
            <w:vAlign w:val="bottom"/>
            <w:gridSpan w:val="3"/>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0"/>
        </w:trPr>
        <w:tc>
          <w:tcPr>
            <w:tcW w:w="740" w:type="dxa"/>
            <w:vAlign w:val="bottom"/>
          </w:tcPr>
          <w:p>
            <w:pPr>
              <w:spacing w:after="0"/>
              <w:rPr>
                <w:sz w:val="18"/>
                <w:szCs w:val="18"/>
                <w:color w:val="auto"/>
              </w:rPr>
            </w:pPr>
          </w:p>
        </w:tc>
        <w:tc>
          <w:tcPr>
            <w:tcW w:w="39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Newkirk</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39"/>
        </w:trPr>
        <w:tc>
          <w:tcPr>
            <w:tcW w:w="4660" w:type="dxa"/>
            <w:vAlign w:val="bottom"/>
            <w:gridSpan w:val="2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10.17#   </w:t>
            </w:r>
            <w:hyperlink r:id="rId139">
              <w:r>
                <w:rPr>
                  <w:rFonts w:ascii="Times New Roman" w:cs="Times New Roman" w:eastAsia="Times New Roman" w:hAnsi="Times New Roman"/>
                  <w:sz w:val="18"/>
                  <w:szCs w:val="18"/>
                  <w:color w:val="0000EE"/>
                </w:rPr>
                <w:t>Westrock Coffee Company 2022 Equity Incentive</w:t>
              </w:r>
            </w:hyperlink>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August 29,</w:t>
            </w:r>
          </w:p>
        </w:tc>
      </w:tr>
      <w:tr>
        <w:trPr>
          <w:trHeight w:val="210"/>
        </w:trPr>
        <w:tc>
          <w:tcPr>
            <w:tcW w:w="740" w:type="dxa"/>
            <w:vAlign w:val="bottom"/>
          </w:tcPr>
          <w:p>
            <w:pPr>
              <w:spacing w:after="0"/>
              <w:rPr>
                <w:sz w:val="18"/>
                <w:szCs w:val="18"/>
                <w:color w:val="auto"/>
              </w:rPr>
            </w:pPr>
          </w:p>
        </w:tc>
        <w:tc>
          <w:tcPr>
            <w:tcW w:w="32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3"/>
              </w:rPr>
            </w:pPr>
            <w:hyperlink r:id="rId139">
              <w:r>
                <w:rPr>
                  <w:rFonts w:ascii="Times New Roman" w:cs="Times New Roman" w:eastAsia="Times New Roman" w:hAnsi="Times New Roman"/>
                  <w:sz w:val="18"/>
                  <w:szCs w:val="18"/>
                  <w:color w:val="0000EE"/>
                  <w:w w:val="93"/>
                </w:rPr>
                <w:t>Plan</w:t>
              </w:r>
            </w:hyperlink>
          </w:p>
        </w:tc>
        <w:tc>
          <w:tcPr>
            <w:tcW w:w="3280" w:type="dxa"/>
            <w:vAlign w:val="bottom"/>
            <w:tcBorders>
              <w:top w:val="single" w:sz="8" w:color="0000EE"/>
            </w:tcBorders>
            <w:gridSpan w:val="13"/>
          </w:tcPr>
          <w:p>
            <w:pPr>
              <w:spacing w:after="0"/>
              <w:rPr>
                <w:sz w:val="18"/>
                <w:szCs w:val="18"/>
                <w:color w:val="auto"/>
              </w:rPr>
            </w:pPr>
          </w:p>
        </w:tc>
        <w:tc>
          <w:tcPr>
            <w:tcW w:w="320" w:type="dxa"/>
            <w:vAlign w:val="bottom"/>
            <w:gridSpan w:val="8"/>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20" w:type="dxa"/>
            <w:vAlign w:val="bottom"/>
          </w:tcPr>
          <w:p>
            <w:pPr>
              <w:spacing w:after="0"/>
              <w:rPr>
                <w:sz w:val="18"/>
                <w:szCs w:val="18"/>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439"/>
        </w:trPr>
        <w:tc>
          <w:tcPr>
            <w:tcW w:w="4660" w:type="dxa"/>
            <w:vAlign w:val="bottom"/>
            <w:gridSpan w:val="2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10.18#   </w:t>
            </w:r>
            <w:hyperlink r:id="rId140">
              <w:r>
                <w:rPr>
                  <w:rFonts w:ascii="Times New Roman" w:cs="Times New Roman" w:eastAsia="Times New Roman" w:hAnsi="Times New Roman"/>
                  <w:sz w:val="18"/>
                  <w:szCs w:val="18"/>
                  <w:color w:val="0000EE"/>
                </w:rPr>
                <w:t>Form of Restricted Stock Unit Award Agreement</w:t>
              </w:r>
            </w:hyperlink>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November 14,</w:t>
            </w:r>
          </w:p>
        </w:tc>
      </w:tr>
      <w:tr>
        <w:trPr>
          <w:trHeight w:val="250"/>
        </w:trPr>
        <w:tc>
          <w:tcPr>
            <w:tcW w:w="740" w:type="dxa"/>
            <w:vAlign w:val="bottom"/>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98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20" w:type="dxa"/>
            <w:vAlign w:val="bottom"/>
          </w:tcPr>
          <w:p>
            <w:pPr>
              <w:spacing w:after="0"/>
              <w:rPr>
                <w:sz w:val="21"/>
                <w:szCs w:val="21"/>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418"/>
        </w:trPr>
        <w:tc>
          <w:tcPr>
            <w:tcW w:w="4660" w:type="dxa"/>
            <w:vAlign w:val="bottom"/>
            <w:gridSpan w:val="2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10.19#   </w:t>
            </w:r>
            <w:hyperlink r:id="rId141">
              <w:r>
                <w:rPr>
                  <w:rFonts w:ascii="Times New Roman" w:cs="Times New Roman" w:eastAsia="Times New Roman" w:hAnsi="Times New Roman"/>
                  <w:sz w:val="18"/>
                  <w:szCs w:val="18"/>
                  <w:color w:val="0000EE"/>
                </w:rPr>
                <w:t>Form of Restricted Stock Unit Award Agreement</w:t>
              </w:r>
            </w:hyperlink>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May 9, 2024</w:t>
            </w:r>
          </w:p>
        </w:tc>
      </w:tr>
      <w:tr>
        <w:trPr>
          <w:trHeight w:val="250"/>
        </w:trPr>
        <w:tc>
          <w:tcPr>
            <w:tcW w:w="740" w:type="dxa"/>
            <w:vAlign w:val="bottom"/>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98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2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418"/>
        </w:trPr>
        <w:tc>
          <w:tcPr>
            <w:tcW w:w="4660" w:type="dxa"/>
            <w:vAlign w:val="bottom"/>
            <w:gridSpan w:val="2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10.20#   </w:t>
            </w:r>
            <w:hyperlink r:id="rId142">
              <w:r>
                <w:rPr>
                  <w:rFonts w:ascii="Times New Roman" w:cs="Times New Roman" w:eastAsia="Times New Roman" w:hAnsi="Times New Roman"/>
                  <w:sz w:val="18"/>
                  <w:szCs w:val="18"/>
                  <w:color w:val="0000EE"/>
                </w:rPr>
                <w:t>Form of Performance Restricted Stock Unit Award</w:t>
              </w:r>
            </w:hyperlink>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May 8, 2025</w:t>
            </w:r>
          </w:p>
        </w:tc>
      </w:tr>
      <w:tr>
        <w:trPr>
          <w:trHeight w:val="210"/>
        </w:trPr>
        <w:tc>
          <w:tcPr>
            <w:tcW w:w="740" w:type="dxa"/>
            <w:vAlign w:val="bottom"/>
          </w:tcPr>
          <w:p>
            <w:pPr>
              <w:spacing w:after="0"/>
              <w:rPr>
                <w:sz w:val="18"/>
                <w:szCs w:val="18"/>
                <w:color w:val="auto"/>
              </w:rPr>
            </w:pPr>
          </w:p>
        </w:tc>
        <w:tc>
          <w:tcPr>
            <w:tcW w:w="80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7"/>
              </w:rPr>
            </w:pPr>
            <w:hyperlink r:id="rId142">
              <w:r>
                <w:rPr>
                  <w:rFonts w:ascii="Times New Roman" w:cs="Times New Roman" w:eastAsia="Times New Roman" w:hAnsi="Times New Roman"/>
                  <w:sz w:val="18"/>
                  <w:szCs w:val="18"/>
                  <w:color w:val="0000EE"/>
                  <w:w w:val="97"/>
                </w:rPr>
                <w:t>Agreement</w:t>
              </w:r>
            </w:hyperlink>
          </w:p>
        </w:tc>
        <w:tc>
          <w:tcPr>
            <w:tcW w:w="2860" w:type="dxa"/>
            <w:vAlign w:val="bottom"/>
            <w:tcBorders>
              <w:top w:val="single" w:sz="8" w:color="0000EE"/>
            </w:tcBorders>
            <w:gridSpan w:val="12"/>
          </w:tcPr>
          <w:p>
            <w:pPr>
              <w:spacing w:after="0"/>
              <w:rPr>
                <w:sz w:val="18"/>
                <w:szCs w:val="18"/>
                <w:color w:val="auto"/>
              </w:rPr>
            </w:pPr>
          </w:p>
        </w:tc>
        <w:tc>
          <w:tcPr>
            <w:tcW w:w="260" w:type="dxa"/>
            <w:vAlign w:val="bottom"/>
            <w:gridSpan w:val="5"/>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39"/>
        </w:trPr>
        <w:tc>
          <w:tcPr>
            <w:tcW w:w="4660" w:type="dxa"/>
            <w:vAlign w:val="bottom"/>
            <w:gridSpan w:val="2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10.21#   </w:t>
            </w:r>
            <w:hyperlink r:id="rId143">
              <w:r>
                <w:rPr>
                  <w:rFonts w:ascii="Times New Roman" w:cs="Times New Roman" w:eastAsia="Times New Roman" w:hAnsi="Times New Roman"/>
                  <w:sz w:val="18"/>
                  <w:szCs w:val="18"/>
                  <w:color w:val="0000EE"/>
                </w:rPr>
                <w:t>Form of Retention Opportunity Letter</w:t>
              </w:r>
            </w:hyperlink>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May 8, 2025</w:t>
            </w:r>
          </w:p>
        </w:tc>
      </w:tr>
      <w:tr>
        <w:trPr>
          <w:trHeight w:val="250"/>
        </w:trPr>
        <w:tc>
          <w:tcPr>
            <w:tcW w:w="740" w:type="dxa"/>
            <w:vAlign w:val="bottom"/>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98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2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418"/>
        </w:trPr>
        <w:tc>
          <w:tcPr>
            <w:tcW w:w="4660" w:type="dxa"/>
            <w:vAlign w:val="bottom"/>
            <w:gridSpan w:val="2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10.22#   </w:t>
            </w:r>
            <w:hyperlink r:id="rId144">
              <w:r>
                <w:rPr>
                  <w:rFonts w:ascii="Times New Roman" w:cs="Times New Roman" w:eastAsia="Times New Roman" w:hAnsi="Times New Roman"/>
                  <w:sz w:val="18"/>
                  <w:szCs w:val="18"/>
                  <w:color w:val="0000EE"/>
                </w:rPr>
                <w:t>Westrock Coffee Company Annual Cash Incentive</w:t>
              </w:r>
            </w:hyperlink>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August 29,</w:t>
            </w:r>
          </w:p>
        </w:tc>
      </w:tr>
      <w:tr>
        <w:trPr>
          <w:trHeight w:val="210"/>
        </w:trPr>
        <w:tc>
          <w:tcPr>
            <w:tcW w:w="740" w:type="dxa"/>
            <w:vAlign w:val="bottom"/>
          </w:tcPr>
          <w:p>
            <w:pPr>
              <w:spacing w:after="0"/>
              <w:rPr>
                <w:sz w:val="18"/>
                <w:szCs w:val="18"/>
                <w:color w:val="auto"/>
              </w:rPr>
            </w:pPr>
          </w:p>
        </w:tc>
        <w:tc>
          <w:tcPr>
            <w:tcW w:w="32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3"/>
              </w:rPr>
            </w:pPr>
            <w:hyperlink r:id="rId144">
              <w:r>
                <w:rPr>
                  <w:rFonts w:ascii="Times New Roman" w:cs="Times New Roman" w:eastAsia="Times New Roman" w:hAnsi="Times New Roman"/>
                  <w:sz w:val="18"/>
                  <w:szCs w:val="18"/>
                  <w:color w:val="0000EE"/>
                  <w:w w:val="93"/>
                </w:rPr>
                <w:t>Plan</w:t>
              </w:r>
            </w:hyperlink>
          </w:p>
        </w:tc>
        <w:tc>
          <w:tcPr>
            <w:tcW w:w="3320" w:type="dxa"/>
            <w:vAlign w:val="bottom"/>
            <w:tcBorders>
              <w:top w:val="single" w:sz="8" w:color="0000EE"/>
            </w:tcBorders>
            <w:gridSpan w:val="15"/>
          </w:tcPr>
          <w:p>
            <w:pPr>
              <w:spacing w:after="0"/>
              <w:rPr>
                <w:sz w:val="18"/>
                <w:szCs w:val="18"/>
                <w:color w:val="auto"/>
              </w:rPr>
            </w:pPr>
          </w:p>
        </w:tc>
        <w:tc>
          <w:tcPr>
            <w:tcW w:w="280" w:type="dxa"/>
            <w:vAlign w:val="bottom"/>
            <w:gridSpan w:val="6"/>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20" w:type="dxa"/>
            <w:vAlign w:val="bottom"/>
          </w:tcPr>
          <w:p>
            <w:pPr>
              <w:spacing w:after="0"/>
              <w:rPr>
                <w:sz w:val="18"/>
                <w:szCs w:val="18"/>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439"/>
        </w:trPr>
        <w:tc>
          <w:tcPr>
            <w:tcW w:w="4660" w:type="dxa"/>
            <w:vAlign w:val="bottom"/>
            <w:gridSpan w:val="2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10.23#   </w:t>
            </w:r>
            <w:hyperlink r:id="rId145">
              <w:r>
                <w:rPr>
                  <w:rFonts w:ascii="Times New Roman" w:cs="Times New Roman" w:eastAsia="Times New Roman" w:hAnsi="Times New Roman"/>
                  <w:sz w:val="18"/>
                  <w:szCs w:val="18"/>
                  <w:color w:val="0000EE"/>
                </w:rPr>
                <w:t>Amended and Restated Westrock Coffee Company</w:t>
              </w:r>
            </w:hyperlink>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August 29,</w:t>
            </w:r>
          </w:p>
        </w:tc>
      </w:tr>
      <w:tr>
        <w:trPr>
          <w:trHeight w:val="209"/>
        </w:trPr>
        <w:tc>
          <w:tcPr>
            <w:tcW w:w="740" w:type="dxa"/>
            <w:vAlign w:val="bottom"/>
          </w:tcPr>
          <w:p>
            <w:pPr>
              <w:spacing w:after="0"/>
              <w:rPr>
                <w:sz w:val="18"/>
                <w:szCs w:val="18"/>
                <w:color w:val="auto"/>
              </w:rPr>
            </w:pPr>
          </w:p>
        </w:tc>
        <w:tc>
          <w:tcPr>
            <w:tcW w:w="244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2020 Stock Option Incentive Plan</w:t>
              </w:r>
            </w:hyperlink>
          </w:p>
        </w:tc>
        <w:tc>
          <w:tcPr>
            <w:tcW w:w="1220" w:type="dxa"/>
            <w:vAlign w:val="bottom"/>
            <w:tcBorders>
              <w:top w:val="single" w:sz="8" w:color="0000EE"/>
            </w:tcBorders>
            <w:gridSpan w:val="8"/>
          </w:tcPr>
          <w:p>
            <w:pPr>
              <w:spacing w:after="0"/>
              <w:rPr>
                <w:sz w:val="18"/>
                <w:szCs w:val="18"/>
                <w:color w:val="auto"/>
              </w:rPr>
            </w:pPr>
          </w:p>
        </w:tc>
        <w:tc>
          <w:tcPr>
            <w:tcW w:w="260" w:type="dxa"/>
            <w:vAlign w:val="bottom"/>
            <w:gridSpan w:val="5"/>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20" w:type="dxa"/>
            <w:vAlign w:val="bottom"/>
          </w:tcPr>
          <w:p>
            <w:pPr>
              <w:spacing w:after="0"/>
              <w:rPr>
                <w:sz w:val="18"/>
                <w:szCs w:val="18"/>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2022</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10.24#</w:t>
            </w:r>
          </w:p>
        </w:tc>
        <w:tc>
          <w:tcPr>
            <w:tcW w:w="35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Westrock Coffee Holdings, LLC Form of Option</w:t>
              </w:r>
            </w:hyperlink>
          </w:p>
        </w:tc>
        <w:tc>
          <w:tcPr>
            <w:tcW w:w="360" w:type="dxa"/>
            <w:vAlign w:val="bottom"/>
            <w:gridSpan w:val="12"/>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198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August 3,</w:t>
            </w:r>
          </w:p>
        </w:tc>
      </w:tr>
      <w:tr>
        <w:trPr>
          <w:trHeight w:val="209"/>
        </w:trPr>
        <w:tc>
          <w:tcPr>
            <w:tcW w:w="740" w:type="dxa"/>
            <w:vAlign w:val="bottom"/>
          </w:tcPr>
          <w:p>
            <w:pPr>
              <w:spacing w:after="0"/>
              <w:rPr>
                <w:sz w:val="18"/>
                <w:szCs w:val="18"/>
                <w:color w:val="auto"/>
              </w:rPr>
            </w:pPr>
          </w:p>
        </w:tc>
        <w:tc>
          <w:tcPr>
            <w:tcW w:w="1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r:id="rId147">
              <w:r>
                <w:rPr>
                  <w:rFonts w:ascii="Times New Roman" w:cs="Times New Roman" w:eastAsia="Times New Roman" w:hAnsi="Times New Roman"/>
                  <w:sz w:val="18"/>
                  <w:szCs w:val="18"/>
                  <w:color w:val="0000EE"/>
                  <w:w w:val="97"/>
                </w:rPr>
                <w:t>Award Agreement</w:t>
              </w:r>
            </w:hyperlink>
          </w:p>
        </w:tc>
        <w:tc>
          <w:tcPr>
            <w:tcW w:w="2560" w:type="dxa"/>
            <w:vAlign w:val="bottom"/>
            <w:gridSpan w:val="24"/>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264464</w:t>
            </w:r>
          </w:p>
        </w:tc>
        <w:tc>
          <w:tcPr>
            <w:tcW w:w="760" w:type="dxa"/>
            <w:vAlign w:val="bottom"/>
          </w:tcPr>
          <w:p>
            <w:pPr>
              <w:spacing w:after="0"/>
              <w:rPr>
                <w:sz w:val="18"/>
                <w:szCs w:val="18"/>
                <w:color w:val="auto"/>
              </w:rPr>
            </w:pPr>
          </w:p>
        </w:tc>
        <w:tc>
          <w:tcPr>
            <w:tcW w:w="19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10.25#</w:t>
            </w:r>
          </w:p>
        </w:tc>
        <w:tc>
          <w:tcPr>
            <w:tcW w:w="376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Westrock Coffee Holdings, LLC Form of Restricted</w:t>
              </w:r>
            </w:hyperlink>
          </w:p>
        </w:tc>
        <w:tc>
          <w:tcPr>
            <w:tcW w:w="120" w:type="dxa"/>
            <w:vAlign w:val="bottom"/>
            <w:gridSpan w:val="2"/>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10.20</w:t>
            </w:r>
          </w:p>
        </w:tc>
        <w:tc>
          <w:tcPr>
            <w:tcW w:w="198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August 3,</w:t>
            </w:r>
          </w:p>
        </w:tc>
      </w:tr>
      <w:tr>
        <w:trPr>
          <w:trHeight w:val="209"/>
        </w:trPr>
        <w:tc>
          <w:tcPr>
            <w:tcW w:w="740" w:type="dxa"/>
            <w:vAlign w:val="bottom"/>
          </w:tcPr>
          <w:p>
            <w:pPr>
              <w:spacing w:after="0"/>
              <w:rPr>
                <w:sz w:val="18"/>
                <w:szCs w:val="18"/>
                <w:color w:val="auto"/>
              </w:rPr>
            </w:pPr>
          </w:p>
        </w:tc>
        <w:tc>
          <w:tcPr>
            <w:tcW w:w="3880" w:type="dxa"/>
            <w:vAlign w:val="bottom"/>
            <w:gridSpan w:val="26"/>
          </w:tcPr>
          <w:p>
            <w:pPr>
              <w:spacing w:after="0"/>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Unit Award Agreement</w:t>
              </w:r>
            </w:hyperlink>
          </w:p>
        </w:tc>
        <w:tc>
          <w:tcPr>
            <w:tcW w:w="6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264464</w:t>
            </w:r>
          </w:p>
        </w:tc>
        <w:tc>
          <w:tcPr>
            <w:tcW w:w="760" w:type="dxa"/>
            <w:vAlign w:val="bottom"/>
          </w:tcPr>
          <w:p>
            <w:pPr>
              <w:spacing w:after="0"/>
              <w:rPr>
                <w:sz w:val="18"/>
                <w:szCs w:val="18"/>
                <w:color w:val="auto"/>
              </w:rPr>
            </w:pPr>
          </w:p>
        </w:tc>
        <w:tc>
          <w:tcPr>
            <w:tcW w:w="19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0"/>
        </w:trPr>
        <w:tc>
          <w:tcPr>
            <w:tcW w:w="7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10.26#</w:t>
            </w:r>
          </w:p>
        </w:tc>
        <w:tc>
          <w:tcPr>
            <w:tcW w:w="37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8"/>
              </w:rPr>
            </w:pPr>
            <w:hyperlink r:id="rId149">
              <w:r>
                <w:rPr>
                  <w:rFonts w:ascii="Times New Roman" w:cs="Times New Roman" w:eastAsia="Times New Roman" w:hAnsi="Times New Roman"/>
                  <w:sz w:val="18"/>
                  <w:szCs w:val="18"/>
                  <w:color w:val="0000EE"/>
                  <w:w w:val="98"/>
                </w:rPr>
                <w:t>Westrock Coffee Company Deferred Compensation</w:t>
              </w:r>
            </w:hyperlink>
          </w:p>
        </w:tc>
        <w:tc>
          <w:tcPr>
            <w:tcW w:w="160" w:type="dxa"/>
            <w:vAlign w:val="bottom"/>
            <w:gridSpan w:val="4"/>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10.21</w:t>
            </w:r>
          </w:p>
        </w:tc>
        <w:tc>
          <w:tcPr>
            <w:tcW w:w="198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March 12,</w:t>
            </w:r>
          </w:p>
        </w:tc>
      </w:tr>
      <w:tr>
        <w:trPr>
          <w:trHeight w:val="209"/>
        </w:trPr>
        <w:tc>
          <w:tcPr>
            <w:tcW w:w="740" w:type="dxa"/>
            <w:vAlign w:val="bottom"/>
          </w:tcPr>
          <w:p>
            <w:pPr>
              <w:spacing w:after="0"/>
              <w:rPr>
                <w:sz w:val="18"/>
                <w:szCs w:val="18"/>
                <w:color w:val="auto"/>
              </w:rPr>
            </w:pPr>
          </w:p>
        </w:tc>
        <w:tc>
          <w:tcPr>
            <w:tcW w:w="24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Plan for Non-Employee Directors</w:t>
              </w:r>
            </w:hyperlink>
          </w:p>
        </w:tc>
        <w:tc>
          <w:tcPr>
            <w:tcW w:w="1440" w:type="dxa"/>
            <w:vAlign w:val="bottom"/>
            <w:gridSpan w:val="19"/>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60" w:type="dxa"/>
            <w:vAlign w:val="bottom"/>
          </w:tcPr>
          <w:p>
            <w:pPr>
              <w:spacing w:after="0"/>
              <w:rPr>
                <w:sz w:val="18"/>
                <w:szCs w:val="18"/>
                <w:color w:val="auto"/>
              </w:rPr>
            </w:pPr>
          </w:p>
        </w:tc>
        <w:tc>
          <w:tcPr>
            <w:tcW w:w="19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2025</w:t>
            </w: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10.27</w:t>
            </w:r>
          </w:p>
        </w:tc>
        <w:tc>
          <w:tcPr>
            <w:tcW w:w="37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Dealer Manager Agreement, dated as of August 28,</w:t>
              </w:r>
            </w:hyperlink>
          </w:p>
        </w:tc>
        <w:tc>
          <w:tcPr>
            <w:tcW w:w="160" w:type="dxa"/>
            <w:vAlign w:val="bottom"/>
            <w:gridSpan w:val="4"/>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10.20</w:t>
            </w:r>
          </w:p>
        </w:tc>
        <w:tc>
          <w:tcPr>
            <w:tcW w:w="198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8"/>
              </w:rPr>
              <w:t>August 28,</w:t>
            </w:r>
          </w:p>
        </w:tc>
      </w:tr>
      <w:tr>
        <w:trPr>
          <w:trHeight w:val="209"/>
        </w:trPr>
        <w:tc>
          <w:tcPr>
            <w:tcW w:w="740" w:type="dxa"/>
            <w:vAlign w:val="bottom"/>
          </w:tcPr>
          <w:p>
            <w:pPr>
              <w:spacing w:after="0"/>
              <w:rPr>
                <w:sz w:val="18"/>
                <w:szCs w:val="18"/>
                <w:color w:val="auto"/>
              </w:rPr>
            </w:pPr>
          </w:p>
        </w:tc>
        <w:tc>
          <w:tcPr>
            <w:tcW w:w="35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150">
              <w:r>
                <w:rPr>
                  <w:rFonts w:ascii="Times New Roman" w:cs="Times New Roman" w:eastAsia="Times New Roman" w:hAnsi="Times New Roman"/>
                  <w:sz w:val="18"/>
                  <w:szCs w:val="18"/>
                  <w:color w:val="0000EE"/>
                  <w:w w:val="98"/>
                </w:rPr>
                <w:t>2024, by and among Westrock Coffee Company,</w:t>
              </w:r>
            </w:hyperlink>
          </w:p>
        </w:tc>
        <w:tc>
          <w:tcPr>
            <w:tcW w:w="380" w:type="dxa"/>
            <w:vAlign w:val="bottom"/>
            <w:gridSpan w:val="13"/>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281807</w:t>
            </w:r>
          </w:p>
        </w:tc>
        <w:tc>
          <w:tcPr>
            <w:tcW w:w="760" w:type="dxa"/>
            <w:vAlign w:val="bottom"/>
          </w:tcPr>
          <w:p>
            <w:pPr>
              <w:spacing w:after="0"/>
              <w:rPr>
                <w:sz w:val="18"/>
                <w:szCs w:val="18"/>
                <w:color w:val="auto"/>
              </w:rPr>
            </w:pPr>
          </w:p>
        </w:tc>
        <w:tc>
          <w:tcPr>
            <w:tcW w:w="19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10"/>
        </w:trPr>
        <w:tc>
          <w:tcPr>
            <w:tcW w:w="740" w:type="dxa"/>
            <w:vAlign w:val="bottom"/>
          </w:tcPr>
          <w:p>
            <w:pPr>
              <w:spacing w:after="0"/>
              <w:rPr>
                <w:sz w:val="18"/>
                <w:szCs w:val="18"/>
                <w:color w:val="auto"/>
              </w:rPr>
            </w:pPr>
          </w:p>
        </w:tc>
        <w:tc>
          <w:tcPr>
            <w:tcW w:w="378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Stifel, Nicolaus &amp; Company, Incorporated, as dealer</w:t>
              </w:r>
            </w:hyperlink>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09"/>
        </w:trPr>
        <w:tc>
          <w:tcPr>
            <w:tcW w:w="740" w:type="dxa"/>
            <w:vAlign w:val="bottom"/>
          </w:tcPr>
          <w:p>
            <w:pPr>
              <w:spacing w:after="0"/>
              <w:rPr>
                <w:sz w:val="18"/>
                <w:szCs w:val="18"/>
                <w:color w:val="auto"/>
              </w:rPr>
            </w:pPr>
          </w:p>
        </w:tc>
        <w:tc>
          <w:tcPr>
            <w:tcW w:w="62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r:id="rId150">
              <w:r>
                <w:rPr>
                  <w:rFonts w:ascii="Times New Roman" w:cs="Times New Roman" w:eastAsia="Times New Roman" w:hAnsi="Times New Roman"/>
                  <w:sz w:val="18"/>
                  <w:szCs w:val="18"/>
                  <w:color w:val="0000EE"/>
                  <w:w w:val="96"/>
                </w:rPr>
                <w:t>manager</w:t>
              </w:r>
            </w:hyperlink>
          </w:p>
        </w:tc>
        <w:tc>
          <w:tcPr>
            <w:tcW w:w="3260" w:type="dxa"/>
            <w:vAlign w:val="bottom"/>
            <w:gridSpan w:val="25"/>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10.28</w:t>
            </w:r>
          </w:p>
        </w:tc>
        <w:tc>
          <w:tcPr>
            <w:tcW w:w="37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Tender and Support Agreement, dated as of August</w:t>
              </w:r>
            </w:hyperlink>
          </w:p>
        </w:tc>
        <w:tc>
          <w:tcPr>
            <w:tcW w:w="180" w:type="dxa"/>
            <w:vAlign w:val="bottom"/>
            <w:gridSpan w:val="5"/>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10.21</w:t>
            </w:r>
          </w:p>
        </w:tc>
        <w:tc>
          <w:tcPr>
            <w:tcW w:w="198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8"/>
              </w:rPr>
              <w:t>August 28,</w:t>
            </w:r>
          </w:p>
        </w:tc>
      </w:tr>
      <w:tr>
        <w:trPr>
          <w:trHeight w:val="209"/>
        </w:trPr>
        <w:tc>
          <w:tcPr>
            <w:tcW w:w="740" w:type="dxa"/>
            <w:vAlign w:val="bottom"/>
          </w:tcPr>
          <w:p>
            <w:pPr>
              <w:spacing w:after="0"/>
              <w:rPr>
                <w:sz w:val="18"/>
                <w:szCs w:val="18"/>
                <w:color w:val="auto"/>
              </w:rPr>
            </w:pPr>
          </w:p>
        </w:tc>
        <w:tc>
          <w:tcPr>
            <w:tcW w:w="37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28, 2024, by and among Westrock Coffee Company</w:t>
              </w:r>
            </w:hyperlink>
          </w:p>
        </w:tc>
        <w:tc>
          <w:tcPr>
            <w:tcW w:w="140" w:type="dxa"/>
            <w:vAlign w:val="bottom"/>
            <w:gridSpan w:val="3"/>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281807</w:t>
            </w:r>
          </w:p>
        </w:tc>
        <w:tc>
          <w:tcPr>
            <w:tcW w:w="760" w:type="dxa"/>
            <w:vAlign w:val="bottom"/>
          </w:tcPr>
          <w:p>
            <w:pPr>
              <w:spacing w:after="0"/>
              <w:rPr>
                <w:sz w:val="18"/>
                <w:szCs w:val="18"/>
                <w:color w:val="auto"/>
              </w:rPr>
            </w:pPr>
          </w:p>
        </w:tc>
        <w:tc>
          <w:tcPr>
            <w:tcW w:w="19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10"/>
        </w:trPr>
        <w:tc>
          <w:tcPr>
            <w:tcW w:w="740" w:type="dxa"/>
            <w:vAlign w:val="bottom"/>
          </w:tcPr>
          <w:p>
            <w:pPr>
              <w:spacing w:after="0"/>
              <w:rPr>
                <w:sz w:val="18"/>
                <w:szCs w:val="18"/>
                <w:color w:val="auto"/>
              </w:rPr>
            </w:pPr>
          </w:p>
        </w:tc>
        <w:tc>
          <w:tcPr>
            <w:tcW w:w="26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and the warrant holders party thereto</w:t>
              </w:r>
            </w:hyperlink>
          </w:p>
        </w:tc>
        <w:tc>
          <w:tcPr>
            <w:tcW w:w="1220" w:type="dxa"/>
            <w:vAlign w:val="bottom"/>
            <w:gridSpan w:val="18"/>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439"/>
        </w:trPr>
        <w:tc>
          <w:tcPr>
            <w:tcW w:w="7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19</w:t>
            </w:r>
          </w:p>
        </w:tc>
        <w:tc>
          <w:tcPr>
            <w:tcW w:w="3880" w:type="dxa"/>
            <w:vAlign w:val="bottom"/>
            <w:gridSpan w:val="26"/>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Westrock Coffee Company Insider Trading and</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98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March 12,</w:t>
            </w:r>
          </w:p>
        </w:tc>
      </w:tr>
      <w:tr>
        <w:trPr>
          <w:trHeight w:val="210"/>
        </w:trPr>
        <w:tc>
          <w:tcPr>
            <w:tcW w:w="740" w:type="dxa"/>
            <w:vAlign w:val="bottom"/>
          </w:tcPr>
          <w:p>
            <w:pPr>
              <w:spacing w:after="0"/>
              <w:rPr>
                <w:sz w:val="18"/>
                <w:szCs w:val="18"/>
                <w:color w:val="auto"/>
              </w:rPr>
            </w:pPr>
          </w:p>
        </w:tc>
        <w:tc>
          <w:tcPr>
            <w:tcW w:w="340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Information Policy</w:t>
              </w:r>
            </w:hyperlink>
          </w:p>
        </w:tc>
        <w:tc>
          <w:tcPr>
            <w:tcW w:w="480" w:type="dxa"/>
            <w:vAlign w:val="bottom"/>
            <w:gridSpan w:val="15"/>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60" w:type="dxa"/>
            <w:vAlign w:val="bottom"/>
          </w:tcPr>
          <w:p>
            <w:pPr>
              <w:spacing w:after="0"/>
              <w:rPr>
                <w:sz w:val="18"/>
                <w:szCs w:val="18"/>
                <w:color w:val="auto"/>
              </w:rPr>
            </w:pPr>
          </w:p>
        </w:tc>
        <w:tc>
          <w:tcPr>
            <w:tcW w:w="19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2025</w:t>
            </w:r>
          </w:p>
        </w:tc>
      </w:tr>
      <w:tr>
        <w:trPr>
          <w:trHeight w:val="20"/>
        </w:trPr>
        <w:tc>
          <w:tcPr>
            <w:tcW w:w="74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39"/>
        </w:trPr>
        <w:tc>
          <w:tcPr>
            <w:tcW w:w="7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21</w:t>
            </w:r>
          </w:p>
        </w:tc>
        <w:tc>
          <w:tcPr>
            <w:tcW w:w="388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List of Subsidiaries of Westrock Coffee Company</w:t>
            </w: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9"/>
        </w:trPr>
        <w:tc>
          <w:tcPr>
            <w:tcW w:w="7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23</w:t>
            </w:r>
          </w:p>
        </w:tc>
        <w:tc>
          <w:tcPr>
            <w:tcW w:w="358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Consent of PricewaterhouseCoopers LLP,</w:t>
            </w:r>
          </w:p>
        </w:tc>
        <w:tc>
          <w:tcPr>
            <w:tcW w:w="300" w:type="dxa"/>
            <w:vAlign w:val="bottom"/>
            <w:gridSpan w:val="11"/>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4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09"/>
        </w:trPr>
        <w:tc>
          <w:tcPr>
            <w:tcW w:w="740" w:type="dxa"/>
            <w:vAlign w:val="bottom"/>
          </w:tcPr>
          <w:p>
            <w:pPr>
              <w:spacing w:after="0"/>
              <w:rPr>
                <w:sz w:val="18"/>
                <w:szCs w:val="18"/>
                <w:color w:val="auto"/>
              </w:rPr>
            </w:pPr>
          </w:p>
        </w:tc>
        <w:tc>
          <w:tcPr>
            <w:tcW w:w="33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independent registered public accounting firm</w:t>
            </w:r>
          </w:p>
        </w:tc>
        <w:tc>
          <w:tcPr>
            <w:tcW w:w="560" w:type="dxa"/>
            <w:vAlign w:val="bottom"/>
            <w:gridSpan w:val="16"/>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31.1</w:t>
            </w:r>
          </w:p>
        </w:tc>
        <w:tc>
          <w:tcPr>
            <w:tcW w:w="36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Chief Executive Officer—Certification pursuant to</w:t>
            </w:r>
          </w:p>
        </w:tc>
        <w:tc>
          <w:tcPr>
            <w:tcW w:w="200" w:type="dxa"/>
            <w:vAlign w:val="bottom"/>
            <w:gridSpan w:val="6"/>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40" w:type="dxa"/>
            <w:vAlign w:val="bottom"/>
          </w:tcPr>
          <w:p>
            <w:pPr>
              <w:spacing w:after="0"/>
              <w:rPr>
                <w:sz w:val="18"/>
                <w:szCs w:val="18"/>
                <w:color w:val="auto"/>
              </w:rPr>
            </w:pPr>
          </w:p>
        </w:tc>
        <w:tc>
          <w:tcPr>
            <w:tcW w:w="36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Rule 13a-14(a) or Rule 15d-14(a) of the Securities</w:t>
            </w:r>
          </w:p>
        </w:tc>
        <w:tc>
          <w:tcPr>
            <w:tcW w:w="240" w:type="dxa"/>
            <w:vAlign w:val="bottom"/>
            <w:gridSpan w:val="8"/>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09"/>
        </w:trPr>
        <w:tc>
          <w:tcPr>
            <w:tcW w:w="740" w:type="dxa"/>
            <w:vAlign w:val="bottom"/>
          </w:tcPr>
          <w:p>
            <w:pPr>
              <w:spacing w:after="0"/>
              <w:rPr>
                <w:sz w:val="18"/>
                <w:szCs w:val="18"/>
                <w:color w:val="auto"/>
              </w:rPr>
            </w:pPr>
          </w:p>
        </w:tc>
        <w:tc>
          <w:tcPr>
            <w:tcW w:w="33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Exchange Act of 1934, as adopted pursuant to</w:t>
            </w:r>
          </w:p>
        </w:tc>
        <w:tc>
          <w:tcPr>
            <w:tcW w:w="560" w:type="dxa"/>
            <w:vAlign w:val="bottom"/>
            <w:gridSpan w:val="16"/>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0"/>
        </w:trPr>
        <w:tc>
          <w:tcPr>
            <w:tcW w:w="740" w:type="dxa"/>
            <w:vAlign w:val="bottom"/>
          </w:tcPr>
          <w:p>
            <w:pPr>
              <w:spacing w:after="0"/>
              <w:rPr>
                <w:sz w:val="18"/>
                <w:szCs w:val="18"/>
                <w:color w:val="auto"/>
              </w:rPr>
            </w:pPr>
          </w:p>
        </w:tc>
        <w:tc>
          <w:tcPr>
            <w:tcW w:w="34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420" w:type="dxa"/>
            <w:vAlign w:val="bottom"/>
            <w:gridSpan w:val="14"/>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31.2</w:t>
            </w:r>
          </w:p>
        </w:tc>
        <w:tc>
          <w:tcPr>
            <w:tcW w:w="36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Chief Financial Officer—Certification pursuant to</w:t>
            </w:r>
          </w:p>
        </w:tc>
        <w:tc>
          <w:tcPr>
            <w:tcW w:w="260" w:type="dxa"/>
            <w:vAlign w:val="bottom"/>
            <w:gridSpan w:val="9"/>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40" w:type="dxa"/>
            <w:vAlign w:val="bottom"/>
          </w:tcPr>
          <w:p>
            <w:pPr>
              <w:spacing w:after="0"/>
              <w:rPr>
                <w:sz w:val="18"/>
                <w:szCs w:val="18"/>
                <w:color w:val="auto"/>
              </w:rPr>
            </w:pPr>
          </w:p>
        </w:tc>
        <w:tc>
          <w:tcPr>
            <w:tcW w:w="36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Rule 13a-14(a) or Rule 15d-14(a) of the Securities</w:t>
            </w:r>
          </w:p>
        </w:tc>
        <w:tc>
          <w:tcPr>
            <w:tcW w:w="240" w:type="dxa"/>
            <w:vAlign w:val="bottom"/>
            <w:gridSpan w:val="8"/>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0"/>
        </w:trPr>
        <w:tc>
          <w:tcPr>
            <w:tcW w:w="740" w:type="dxa"/>
            <w:vAlign w:val="bottom"/>
          </w:tcPr>
          <w:p>
            <w:pPr>
              <w:spacing w:after="0"/>
              <w:rPr>
                <w:sz w:val="18"/>
                <w:szCs w:val="18"/>
                <w:color w:val="auto"/>
              </w:rPr>
            </w:pPr>
          </w:p>
        </w:tc>
        <w:tc>
          <w:tcPr>
            <w:tcW w:w="33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Exchange Act of 1934, as adopted pursuant to</w:t>
            </w:r>
          </w:p>
        </w:tc>
        <w:tc>
          <w:tcPr>
            <w:tcW w:w="560" w:type="dxa"/>
            <w:vAlign w:val="bottom"/>
            <w:gridSpan w:val="16"/>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0"/>
        </w:trPr>
        <w:tc>
          <w:tcPr>
            <w:tcW w:w="740" w:type="dxa"/>
            <w:vAlign w:val="bottom"/>
          </w:tcPr>
          <w:p>
            <w:pPr>
              <w:spacing w:after="0"/>
              <w:rPr>
                <w:sz w:val="18"/>
                <w:szCs w:val="18"/>
                <w:color w:val="auto"/>
              </w:rPr>
            </w:pPr>
          </w:p>
        </w:tc>
        <w:tc>
          <w:tcPr>
            <w:tcW w:w="34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420" w:type="dxa"/>
            <w:vAlign w:val="bottom"/>
            <w:gridSpan w:val="14"/>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32.1</w:t>
            </w:r>
          </w:p>
        </w:tc>
        <w:tc>
          <w:tcPr>
            <w:tcW w:w="36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Chief Executive Officer—Certification pursuant to</w:t>
            </w:r>
          </w:p>
        </w:tc>
        <w:tc>
          <w:tcPr>
            <w:tcW w:w="200" w:type="dxa"/>
            <w:vAlign w:val="bottom"/>
            <w:gridSpan w:val="6"/>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40" w:type="dxa"/>
            <w:vAlign w:val="bottom"/>
          </w:tcPr>
          <w:p>
            <w:pPr>
              <w:spacing w:after="0"/>
              <w:rPr>
                <w:sz w:val="18"/>
                <w:szCs w:val="18"/>
                <w:color w:val="auto"/>
              </w:rPr>
            </w:pPr>
          </w:p>
        </w:tc>
        <w:tc>
          <w:tcPr>
            <w:tcW w:w="388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Rule13a-14(b) or Rule 15d-14(b) of the Securities</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0" w:type="dxa"/>
            <w:vAlign w:val="bottom"/>
            <w:gridSpan w:val="10"/>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388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Exchange Act of 1934 and 18 U.S.C. Section 1350,</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60" w:type="dxa"/>
            <w:vAlign w:val="bottom"/>
            <w:gridSpan w:val="1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388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as adopted pursuant to Section 906 of the Sarbanes-</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0"/>
        </w:trPr>
        <w:tc>
          <w:tcPr>
            <w:tcW w:w="740" w:type="dxa"/>
            <w:vAlign w:val="bottom"/>
          </w:tcPr>
          <w:p>
            <w:pPr>
              <w:spacing w:after="0"/>
              <w:rPr>
                <w:sz w:val="18"/>
                <w:szCs w:val="18"/>
                <w:color w:val="auto"/>
              </w:rPr>
            </w:pPr>
          </w:p>
        </w:tc>
        <w:tc>
          <w:tcPr>
            <w:tcW w:w="372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rPr>
              <w:t>Oxley Act of 2002.</w:t>
            </w:r>
          </w:p>
        </w:tc>
        <w:tc>
          <w:tcPr>
            <w:tcW w:w="160" w:type="dxa"/>
            <w:vAlign w:val="bottom"/>
            <w:gridSpan w:val="4"/>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60" w:type="dxa"/>
            <w:vAlign w:val="bottom"/>
            <w:gridSpan w:val="1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32.2</w:t>
            </w:r>
          </w:p>
        </w:tc>
        <w:tc>
          <w:tcPr>
            <w:tcW w:w="36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Chief Financial Officer—Certification pursuant to</w:t>
            </w:r>
          </w:p>
        </w:tc>
        <w:tc>
          <w:tcPr>
            <w:tcW w:w="260" w:type="dxa"/>
            <w:vAlign w:val="bottom"/>
            <w:gridSpan w:val="9"/>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40" w:type="dxa"/>
            <w:vAlign w:val="bottom"/>
          </w:tcPr>
          <w:p>
            <w:pPr>
              <w:spacing w:after="0"/>
              <w:rPr>
                <w:sz w:val="18"/>
                <w:szCs w:val="18"/>
                <w:color w:val="auto"/>
              </w:rPr>
            </w:pPr>
          </w:p>
        </w:tc>
        <w:tc>
          <w:tcPr>
            <w:tcW w:w="36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Rule 13a-14(b) or Rule 15d-14(b) of the Securities</w:t>
            </w:r>
          </w:p>
        </w:tc>
        <w:tc>
          <w:tcPr>
            <w:tcW w:w="220" w:type="dxa"/>
            <w:vAlign w:val="bottom"/>
            <w:gridSpan w:val="7"/>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09"/>
        </w:trPr>
        <w:tc>
          <w:tcPr>
            <w:tcW w:w="740" w:type="dxa"/>
            <w:vAlign w:val="bottom"/>
          </w:tcPr>
          <w:p>
            <w:pPr>
              <w:spacing w:after="0"/>
              <w:rPr>
                <w:sz w:val="18"/>
                <w:szCs w:val="18"/>
                <w:color w:val="auto"/>
              </w:rPr>
            </w:pPr>
          </w:p>
        </w:tc>
        <w:tc>
          <w:tcPr>
            <w:tcW w:w="388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Exchange Act of 1934 and 18 U.S.C. Section 1350,</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2000" w:type="dxa"/>
            <w:vAlign w:val="bottom"/>
            <w:gridSpan w:val="6"/>
            <w:shd w:val="clear" w:color="auto" w:fill="0000EE"/>
          </w:tcPr>
          <w:p>
            <w:pPr>
              <w:spacing w:after="0" w:line="20" w:lineRule="exact"/>
              <w:rPr>
                <w:sz w:val="1"/>
                <w:szCs w:val="1"/>
                <w:color w:val="auto"/>
              </w:rPr>
            </w:pPr>
          </w:p>
        </w:tc>
        <w:tc>
          <w:tcPr>
            <w:tcW w:w="1700" w:type="dxa"/>
            <w:vAlign w:val="bottom"/>
            <w:gridSpan w:val="15"/>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388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as adopted pursuant to Section 906 of the Sarbanes-</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09"/>
        </w:trPr>
        <w:tc>
          <w:tcPr>
            <w:tcW w:w="740" w:type="dxa"/>
            <w:vAlign w:val="bottom"/>
          </w:tcPr>
          <w:p>
            <w:pPr>
              <w:spacing w:after="0"/>
              <w:rPr>
                <w:sz w:val="18"/>
                <w:szCs w:val="18"/>
                <w:color w:val="auto"/>
              </w:rPr>
            </w:pPr>
          </w:p>
        </w:tc>
        <w:tc>
          <w:tcPr>
            <w:tcW w:w="372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rPr>
              <w:t>Oxley Act of 2002.</w:t>
            </w:r>
          </w:p>
        </w:tc>
        <w:tc>
          <w:tcPr>
            <w:tcW w:w="160" w:type="dxa"/>
            <w:vAlign w:val="bottom"/>
            <w:gridSpan w:val="4"/>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760" w:type="dxa"/>
            <w:vAlign w:val="bottom"/>
            <w:gridSpan w:val="1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39"/>
        </w:trPr>
        <w:tc>
          <w:tcPr>
            <w:tcW w:w="7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97</w:t>
            </w:r>
          </w:p>
        </w:tc>
        <w:tc>
          <w:tcPr>
            <w:tcW w:w="3880" w:type="dxa"/>
            <w:vAlign w:val="bottom"/>
            <w:gridSpan w:val="26"/>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Westrock Coffee Company Compensation Recovery</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c>
          <w:tcPr>
            <w:tcW w:w="198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March 15,</w:t>
            </w:r>
          </w:p>
        </w:tc>
      </w:tr>
      <w:tr>
        <w:trPr>
          <w:trHeight w:val="196"/>
        </w:trPr>
        <w:tc>
          <w:tcPr>
            <w:tcW w:w="740" w:type="dxa"/>
            <w:vAlign w:val="bottom"/>
          </w:tcPr>
          <w:p>
            <w:pPr>
              <w:spacing w:after="0"/>
              <w:rPr>
                <w:sz w:val="17"/>
                <w:szCs w:val="17"/>
                <w:color w:val="auto"/>
              </w:rPr>
            </w:pPr>
          </w:p>
        </w:tc>
        <w:tc>
          <w:tcPr>
            <w:tcW w:w="3760" w:type="dxa"/>
            <w:vAlign w:val="bottom"/>
            <w:tcBorders>
              <w:top w:val="single" w:sz="8" w:color="0000EE"/>
            </w:tcBorders>
            <w:gridSpan w:val="24"/>
          </w:tcPr>
          <w:p>
            <w:pPr>
              <w:spacing w:after="0" w:line="182"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Policy (“Clawback Policy”)</w:t>
              </w:r>
            </w:hyperlink>
          </w:p>
        </w:tc>
        <w:tc>
          <w:tcPr>
            <w:tcW w:w="12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41485</w:t>
            </w:r>
          </w:p>
        </w:tc>
        <w:tc>
          <w:tcPr>
            <w:tcW w:w="760" w:type="dxa"/>
            <w:vAlign w:val="bottom"/>
          </w:tcPr>
          <w:p>
            <w:pPr>
              <w:spacing w:after="0"/>
              <w:rPr>
                <w:sz w:val="17"/>
                <w:szCs w:val="17"/>
                <w:color w:val="auto"/>
              </w:rPr>
            </w:pPr>
          </w:p>
        </w:tc>
        <w:tc>
          <w:tcPr>
            <w:tcW w:w="1980" w:type="dxa"/>
            <w:vAlign w:val="bottom"/>
          </w:tcPr>
          <w:p>
            <w:pPr>
              <w:jc w:val="center"/>
              <w:ind w:right="730"/>
              <w:spacing w:after="0" w:line="182" w:lineRule="exact"/>
              <w:rPr>
                <w:sz w:val="20"/>
                <w:szCs w:val="20"/>
                <w:color w:val="auto"/>
              </w:rPr>
            </w:pPr>
            <w:r>
              <w:rPr>
                <w:rFonts w:ascii="Times New Roman" w:cs="Times New Roman" w:eastAsia="Times New Roman" w:hAnsi="Times New Roman"/>
                <w:sz w:val="18"/>
                <w:szCs w:val="18"/>
                <w:color w:val="auto"/>
                <w:w w:val="99"/>
              </w:rPr>
              <w:t>2024</w:t>
            </w:r>
          </w:p>
        </w:tc>
      </w:tr>
      <w:tr>
        <w:trPr>
          <w:trHeight w:val="20"/>
        </w:trPr>
        <w:tc>
          <w:tcPr>
            <w:tcW w:w="7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Instance Document - the instance document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 w:type="dxa"/>
            <w:vAlign w:val="bottom"/>
          </w:tcPr>
          <w:p>
            <w:pPr>
              <w:spacing w:after="0"/>
              <w:rPr>
                <w:sz w:val="19"/>
                <w:szCs w:val="19"/>
                <w:color w:val="auto"/>
              </w:rPr>
            </w:pP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does not appear in the Interactive Data File because</w:t>
            </w:r>
          </w:p>
        </w:tc>
        <w:tc>
          <w:tcPr>
            <w:tcW w:w="2140" w:type="dxa"/>
            <w:vAlign w:val="bottom"/>
          </w:tcPr>
          <w:p>
            <w:pPr>
              <w:spacing w:after="0"/>
              <w:rPr>
                <w:sz w:val="19"/>
                <w:szCs w:val="19"/>
                <w:color w:val="auto"/>
              </w:rPr>
            </w:pPr>
          </w:p>
        </w:tc>
      </w:tr>
      <w:tr>
        <w:trPr>
          <w:trHeight w:val="229"/>
        </w:trPr>
        <w:tc>
          <w:tcPr>
            <w:tcW w:w="760" w:type="dxa"/>
            <w:vAlign w:val="bottom"/>
          </w:tcPr>
          <w:p>
            <w:pPr>
              <w:spacing w:after="0"/>
              <w:rPr>
                <w:sz w:val="19"/>
                <w:szCs w:val="19"/>
                <w:color w:val="auto"/>
              </w:rPr>
            </w:pP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its XBRL tags are embedded within the Inline XBRL</w:t>
            </w:r>
          </w:p>
        </w:tc>
        <w:tc>
          <w:tcPr>
            <w:tcW w:w="2140" w:type="dxa"/>
            <w:vAlign w:val="bottom"/>
          </w:tcPr>
          <w:p>
            <w:pPr>
              <w:spacing w:after="0"/>
              <w:rPr>
                <w:sz w:val="19"/>
                <w:szCs w:val="19"/>
                <w:color w:val="auto"/>
              </w:rPr>
            </w:pPr>
          </w:p>
        </w:tc>
      </w:tr>
      <w:tr>
        <w:trPr>
          <w:trHeight w:val="234"/>
        </w:trPr>
        <w:tc>
          <w:tcPr>
            <w:tcW w:w="760" w:type="dxa"/>
            <w:vAlign w:val="bottom"/>
          </w:tcPr>
          <w:p>
            <w:pPr>
              <w:spacing w:after="0"/>
              <w:rPr>
                <w:sz w:val="20"/>
                <w:szCs w:val="20"/>
                <w:color w:val="auto"/>
              </w:rPr>
            </w:pP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document.</w:t>
            </w:r>
          </w:p>
        </w:tc>
        <w:tc>
          <w:tcPr>
            <w:tcW w:w="2140" w:type="dxa"/>
            <w:vAlign w:val="bottom"/>
          </w:tcPr>
          <w:p>
            <w:pPr>
              <w:spacing w:after="0"/>
              <w:rPr>
                <w:sz w:val="20"/>
                <w:szCs w:val="20"/>
                <w:color w:val="auto"/>
              </w:rPr>
            </w:pPr>
          </w:p>
        </w:tc>
      </w:tr>
      <w:tr>
        <w:trPr>
          <w:trHeight w:val="459"/>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101.DEF</w:t>
            </w: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Definition Linkbase Document.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left="920" w:right="4279" w:hanging="635"/>
        <w:spacing w:after="0" w:line="276" w:lineRule="auto"/>
        <w:tabs>
          <w:tab w:leader="none" w:pos="9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181"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left="360" w:hanging="310"/>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141414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ind w:left="60"/>
        <w:spacing w:after="0"/>
        <w:tabs>
          <w:tab w:leader="none" w:pos="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Designates management contract or compensatory plan or arrangement.</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w:t>
      </w:r>
      <w:r>
        <w:rPr>
          <w:rFonts w:ascii="Times New Roman" w:cs="Times New Roman" w:eastAsia="Times New Roman" w:hAnsi="Times New Roman"/>
          <w:sz w:val="18"/>
          <w:szCs w:val="18"/>
          <w:b w:val="1"/>
          <w:bCs w:val="1"/>
          <w:i w:val="1"/>
          <w:iCs w:val="1"/>
          <w:color w:val="auto"/>
        </w:rPr>
        <w:t>Form 10-K Summary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02"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3"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3020" w:type="dxa"/>
            <w:vAlign w:val="bottom"/>
          </w:tcPr>
          <w:p>
            <w:pPr>
              <w:spacing w:after="0"/>
              <w:rPr>
                <w:sz w:val="19"/>
                <w:szCs w:val="19"/>
                <w:color w:val="auto"/>
              </w:rPr>
            </w:pPr>
          </w:p>
        </w:tc>
        <w:tc>
          <w:tcPr>
            <w:tcW w:w="586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Westrock Coffee Company</w:t>
            </w: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10, 2026</w:t>
            </w:r>
          </w:p>
        </w:tc>
        <w:tc>
          <w:tcPr>
            <w:tcW w:w="20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 T. Christopher Pledger</w:t>
            </w:r>
          </w:p>
        </w:tc>
      </w:tr>
      <w:tr>
        <w:trPr>
          <w:trHeight w:val="191"/>
        </w:trPr>
        <w:tc>
          <w:tcPr>
            <w:tcW w:w="3020" w:type="dxa"/>
            <w:vAlign w:val="bottom"/>
          </w:tcPr>
          <w:p>
            <w:pPr>
              <w:spacing w:after="0"/>
              <w:rPr>
                <w:sz w:val="16"/>
                <w:szCs w:val="16"/>
                <w:color w:val="auto"/>
              </w:rPr>
            </w:pPr>
          </w:p>
        </w:tc>
        <w:tc>
          <w:tcPr>
            <w:tcW w:w="2020" w:type="dxa"/>
            <w:vAlign w:val="bottom"/>
          </w:tcPr>
          <w:p>
            <w:pPr>
              <w:ind w:left="14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 Christopher Pledger</w:t>
            </w:r>
          </w:p>
        </w:tc>
      </w:tr>
      <w:tr>
        <w:trPr>
          <w:trHeight w:val="216"/>
        </w:trPr>
        <w:tc>
          <w:tcPr>
            <w:tcW w:w="3020" w:type="dxa"/>
            <w:vAlign w:val="bottom"/>
          </w:tcPr>
          <w:p>
            <w:pPr>
              <w:spacing w:after="0"/>
              <w:rPr>
                <w:sz w:val="18"/>
                <w:szCs w:val="18"/>
                <w:color w:val="auto"/>
              </w:rPr>
            </w:pPr>
          </w:p>
        </w:tc>
        <w:tc>
          <w:tcPr>
            <w:tcW w:w="20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Administrative</w:t>
            </w:r>
          </w:p>
        </w:tc>
      </w:tr>
      <w:tr>
        <w:trPr>
          <w:trHeight w:val="216"/>
        </w:trPr>
        <w:tc>
          <w:tcPr>
            <w:tcW w:w="3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234"/>
        </w:trPr>
        <w:tc>
          <w:tcPr>
            <w:tcW w:w="30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35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10, 2026</w:t>
            </w:r>
          </w:p>
        </w:tc>
        <w:tc>
          <w:tcPr>
            <w:tcW w:w="20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 Blake Schuhmacher</w:t>
            </w:r>
          </w:p>
        </w:tc>
      </w:tr>
      <w:tr>
        <w:trPr>
          <w:trHeight w:val="191"/>
        </w:trPr>
        <w:tc>
          <w:tcPr>
            <w:tcW w:w="3020" w:type="dxa"/>
            <w:vAlign w:val="bottom"/>
          </w:tcPr>
          <w:p>
            <w:pPr>
              <w:spacing w:after="0"/>
              <w:rPr>
                <w:sz w:val="16"/>
                <w:szCs w:val="16"/>
                <w:color w:val="auto"/>
              </w:rPr>
            </w:pPr>
          </w:p>
        </w:tc>
        <w:tc>
          <w:tcPr>
            <w:tcW w:w="2020" w:type="dxa"/>
            <w:vAlign w:val="bottom"/>
          </w:tcPr>
          <w:p>
            <w:pPr>
              <w:ind w:left="14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Blake Schuhmacher</w:t>
            </w:r>
          </w:p>
        </w:tc>
      </w:tr>
      <w:tr>
        <w:trPr>
          <w:trHeight w:val="216"/>
        </w:trPr>
        <w:tc>
          <w:tcPr>
            <w:tcW w:w="3020" w:type="dxa"/>
            <w:vAlign w:val="bottom"/>
          </w:tcPr>
          <w:p>
            <w:pPr>
              <w:spacing w:after="0"/>
              <w:rPr>
                <w:sz w:val="18"/>
                <w:szCs w:val="18"/>
                <w:color w:val="auto"/>
              </w:rPr>
            </w:pPr>
          </w:p>
        </w:tc>
        <w:tc>
          <w:tcPr>
            <w:tcW w:w="20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34"/>
        </w:trPr>
        <w:tc>
          <w:tcPr>
            <w:tcW w:w="30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117"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5"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32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0" w:type="dxa"/>
            <w:vAlign w:val="bottom"/>
          </w:tcPr>
          <w:p>
            <w:pPr>
              <w:ind w:left="21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80" w:type="dxa"/>
            <w:vAlign w:val="bottom"/>
          </w:tcPr>
          <w:p>
            <w:pPr>
              <w:jc w:val="center"/>
              <w:ind w:left="332"/>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T. Ford</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58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Scott T. Ford</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58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 Christopher Pledger</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 and Chief Administrative Officer</w:t>
            </w:r>
          </w:p>
        </w:tc>
        <w:tc>
          <w:tcPr>
            <w:tcW w:w="158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 Christopher Pledger</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158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Blake Schuhmacher</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58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Blake Schuhmacher</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158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Joe T. Ford</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of the Board, Director</w:t>
            </w:r>
          </w:p>
        </w:tc>
        <w:tc>
          <w:tcPr>
            <w:tcW w:w="158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Joe T. Ford</w:t>
            </w:r>
          </w:p>
        </w:tc>
        <w:tc>
          <w:tcPr>
            <w:tcW w:w="46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 Patrick Kruczek</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 Patrick Kruczek</w:t>
            </w:r>
          </w:p>
        </w:tc>
        <w:tc>
          <w:tcPr>
            <w:tcW w:w="46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Hugh McColl, III</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Hugh McColl, III</w:t>
            </w:r>
          </w:p>
        </w:tc>
        <w:tc>
          <w:tcPr>
            <w:tcW w:w="46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Edmunds</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184"/>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Mark Edmunds</w:t>
            </w:r>
          </w:p>
        </w:tc>
        <w:tc>
          <w:tcPr>
            <w:tcW w:w="46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96"/>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Leslie Starr</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184"/>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Leslie Starr</w:t>
            </w:r>
          </w:p>
        </w:tc>
        <w:tc>
          <w:tcPr>
            <w:tcW w:w="46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96"/>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/s/Oluwatoyin Umesiri</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184"/>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Oluwatoyin Umesiri</w:t>
            </w:r>
          </w:p>
        </w:tc>
        <w:tc>
          <w:tcPr>
            <w:tcW w:w="46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96"/>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/s/Jeffrey H. Fox</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184"/>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Jeffrey H. Fox</w:t>
            </w:r>
          </w:p>
        </w:tc>
        <w:tc>
          <w:tcPr>
            <w:tcW w:w="46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96"/>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Kenneth M. Parent</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184"/>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Kenneth M. Parent</w:t>
            </w:r>
          </w:p>
        </w:tc>
        <w:tc>
          <w:tcPr>
            <w:tcW w:w="4600" w:type="dxa"/>
            <w:vAlign w:val="bottom"/>
          </w:tcPr>
          <w:p>
            <w:pPr>
              <w:spacing w:after="0"/>
              <w:rPr>
                <w:sz w:val="15"/>
                <w:szCs w:val="15"/>
                <w:color w:val="auto"/>
              </w:rPr>
            </w:pPr>
          </w:p>
        </w:tc>
        <w:tc>
          <w:tcPr>
            <w:tcW w:w="1580" w:type="dxa"/>
            <w:vAlign w:val="bottom"/>
          </w:tcPr>
          <w:p>
            <w:pPr>
              <w:spacing w:after="0"/>
              <w:rPr>
                <w:sz w:val="15"/>
                <w:szCs w:val="15"/>
                <w:color w:val="auto"/>
              </w:rPr>
            </w:pPr>
          </w:p>
        </w:tc>
      </w:tr>
    </w:tbl>
    <w:p>
      <w:pPr>
        <w:spacing w:after="0" w:line="200" w:lineRule="exact"/>
        <w:rPr>
          <w:sz w:val="20"/>
          <w:szCs w:val="20"/>
          <w:color w:val="auto"/>
        </w:rPr>
      </w:pPr>
    </w:p>
    <w:p>
      <w:pPr>
        <w:spacing w:after="0" w:line="307"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w:t>
      </w: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 except par value)</w:t>
            </w:r>
          </w:p>
        </w:tc>
        <w:tc>
          <w:tcPr>
            <w:tcW w:w="144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December 31, 2025</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December 31, 2024</w:t>
            </w:r>
          </w:p>
        </w:tc>
      </w:tr>
      <w:tr>
        <w:trPr>
          <w:trHeight w:val="209"/>
        </w:trPr>
        <w:tc>
          <w:tcPr>
            <w:tcW w:w="6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Pr>
          <w:p>
            <w:pPr>
              <w:spacing w:after="0"/>
              <w:rPr>
                <w:sz w:val="18"/>
                <w:szCs w:val="18"/>
                <w:color w:val="auto"/>
              </w:rPr>
            </w:pP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0"/>
        </w:trPr>
        <w:tc>
          <w:tcPr>
            <w:tcW w:w="6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6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w:t>
            </w:r>
          </w:p>
        </w:tc>
      </w:tr>
      <w:tr>
        <w:trPr>
          <w:trHeight w:val="21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 consolidated subsidiaries</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335,238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439,135</w:t>
            </w:r>
          </w:p>
        </w:tc>
      </w:tr>
      <w:tr>
        <w:trPr>
          <w:trHeight w:val="250"/>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373,990</w:t>
            </w: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444,393</w:t>
            </w:r>
          </w:p>
        </w:tc>
      </w:tr>
      <w:tr>
        <w:trPr>
          <w:trHeight w:val="196"/>
        </w:trPr>
        <w:tc>
          <w:tcPr>
            <w:tcW w:w="6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4"/>
        </w:trPr>
        <w:tc>
          <w:tcPr>
            <w:tcW w:w="61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CONVERTIBLE PREFERRED SHARES AND</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8"/>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r>
      <w:tr>
        <w:trPr>
          <w:trHeight w:val="216"/>
        </w:trPr>
        <w:tc>
          <w:tcPr>
            <w:tcW w:w="6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Related party payables</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6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r>
      <w:tr>
        <w:trPr>
          <w:trHeight w:val="216"/>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21,871</w:t>
            </w:r>
          </w:p>
        </w:tc>
      </w:tr>
      <w:tr>
        <w:trPr>
          <w:trHeight w:val="216"/>
        </w:trPr>
        <w:tc>
          <w:tcPr>
            <w:tcW w:w="6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Convertible notes payable - related party, net</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60,839</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49,706</w:t>
            </w:r>
          </w:p>
        </w:tc>
      </w:tr>
      <w:tr>
        <w:trPr>
          <w:trHeight w:val="210"/>
        </w:trPr>
        <w:tc>
          <w:tcPr>
            <w:tcW w:w="6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102,355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73,061</w:t>
            </w:r>
          </w:p>
        </w:tc>
      </w:tr>
      <w:tr>
        <w:trPr>
          <w:trHeight w:val="216"/>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8"/>
        </w:trPr>
        <w:tc>
          <w:tcPr>
            <w:tcW w:w="61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w w:val="99"/>
              </w:rPr>
              <w:t>Series A Convertible Preferred Shares, $0.01 par value, 24,000 shares authorized,</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23,511 shares and 23,511 shares issued and outstanding at December 31, 2025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4"/>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December 31, 2024, respectively, $11.50 liquidation value</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273,503</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273,850</w:t>
            </w:r>
          </w:p>
        </w:tc>
      </w:tr>
      <w:tr>
        <w:trPr>
          <w:trHeight w:val="216"/>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98"/>
        </w:trPr>
        <w:tc>
          <w:tcPr>
            <w:tcW w:w="612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Preferred stock, $0.01 par value, 26,000 shares authorized, no shares issued and</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outstanding</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1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$0.01 par value, 300,000 shares authorized, 96,866 shares and</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94,221 shares issued and outstanding at December 31, 2025 and December 31,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4"/>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 respectively</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544,567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519,878</w:t>
            </w:r>
          </w:p>
        </w:tc>
      </w:tr>
      <w:tr>
        <w:trPr>
          <w:trHeight w:val="21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(534,370)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(442,922)</w:t>
            </w: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(13,034)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19,584</w:t>
            </w:r>
          </w:p>
        </w:tc>
      </w:tr>
      <w:tr>
        <w:trPr>
          <w:trHeight w:val="210"/>
        </w:trPr>
        <w:tc>
          <w:tcPr>
            <w:tcW w:w="61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97,482</w:t>
            </w:r>
          </w:p>
        </w:tc>
      </w:tr>
      <w:tr>
        <w:trPr>
          <w:trHeight w:val="216"/>
        </w:trPr>
        <w:tc>
          <w:tcPr>
            <w:tcW w:w="6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10"/>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Convertible Preferred Shares and Shareholders'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373,990</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444,393</w:t>
            </w: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except per share data)</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vMerge w:val="continue"/>
          </w:tcPr>
          <w:p>
            <w:pPr>
              <w:spacing w:after="0"/>
              <w:rPr>
                <w:sz w:val="12"/>
                <w:szCs w:val="12"/>
                <w:color w:val="auto"/>
              </w:rPr>
            </w:pPr>
          </w:p>
        </w:tc>
        <w:tc>
          <w:tcPr>
            <w:tcW w:w="38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36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360" w:type="dxa"/>
            <w:vAlign w:val="bottom"/>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sales</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14,817</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9,108</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(9,108)</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(earnings) from consolidated subsidiaries</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70,275</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69,973</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39,006</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(89,115)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(37,883)</w:t>
            </w:r>
          </w:p>
        </w:tc>
        <w:tc>
          <w:tcPr>
            <w:tcW w:w="0" w:type="dxa"/>
            <w:vAlign w:val="bottom"/>
          </w:tcPr>
          <w:p>
            <w:pPr>
              <w:spacing w:after="0"/>
              <w:rPr>
                <w:sz w:val="1"/>
                <w:szCs w:val="1"/>
                <w:color w:val="auto"/>
              </w:rPr>
            </w:pPr>
          </w:p>
        </w:tc>
      </w:tr>
      <w:tr>
        <w:trPr>
          <w:trHeight w:val="216"/>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shareholders</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(90,445)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(34,582)</w:t>
            </w:r>
          </w:p>
        </w:tc>
        <w:tc>
          <w:tcPr>
            <w:tcW w:w="0" w:type="dxa"/>
            <w:vAlign w:val="bottom"/>
          </w:tcPr>
          <w:p>
            <w:pPr>
              <w:spacing w:after="0"/>
              <w:rPr>
                <w:sz w:val="1"/>
                <w:szCs w:val="1"/>
                <w:color w:val="auto"/>
              </w:rPr>
            </w:pPr>
          </w:p>
        </w:tc>
      </w:tr>
      <w:tr>
        <w:trPr>
          <w:trHeight w:val="20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common shareholders</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(123,719)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(64,183)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(24,822)</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4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000" w:type="dxa"/>
            <w:vAlign w:val="bottom"/>
            <w:tcBorders>
              <w:bottom w:val="single" w:sz="8" w:color="auto"/>
            </w:tcBorders>
          </w:tcPr>
          <w:p>
            <w:pPr>
              <w:spacing w:after="0"/>
              <w:rPr>
                <w:sz w:val="14"/>
                <w:szCs w:val="14"/>
                <w:color w:val="auto"/>
              </w:rPr>
            </w:pPr>
          </w:p>
        </w:tc>
      </w:tr>
      <w:tr>
        <w:trPr>
          <w:trHeight w:val="142"/>
        </w:trPr>
        <w:tc>
          <w:tcPr>
            <w:tcW w:w="450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(Thousands)</w:t>
            </w:r>
          </w:p>
        </w:tc>
        <w:tc>
          <w:tcPr>
            <w:tcW w:w="1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980" w:type="dxa"/>
            <w:vAlign w:val="bottom"/>
          </w:tcPr>
          <w:p>
            <w:pPr>
              <w:jc w:val="right"/>
              <w:ind w:right="413"/>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12"/>
                <w:szCs w:val="12"/>
                <w:color w:val="auto"/>
              </w:rPr>
            </w:pPr>
          </w:p>
        </w:tc>
        <w:tc>
          <w:tcPr>
            <w:tcW w:w="440" w:type="dxa"/>
            <w:vAlign w:val="bottom"/>
            <w:gridSpan w:val="2"/>
          </w:tcPr>
          <w:p>
            <w:pPr>
              <w:jc w:val="right"/>
              <w:ind w:right="244"/>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2"/>
                <w:szCs w:val="12"/>
                <w:color w:val="auto"/>
              </w:rPr>
            </w:pPr>
          </w:p>
        </w:tc>
        <w:tc>
          <w:tcPr>
            <w:tcW w:w="440" w:type="dxa"/>
            <w:vAlign w:val="bottom"/>
            <w:gridSpan w:val="2"/>
          </w:tcPr>
          <w:p>
            <w:pPr>
              <w:jc w:val="right"/>
              <w:ind w:right="233"/>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r>
      <w:tr>
        <w:trPr>
          <w:trHeight w:val="142"/>
        </w:trPr>
        <w:tc>
          <w:tcPr>
            <w:tcW w:w="45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r>
      <w:tr>
        <w:trPr>
          <w:trHeight w:val="148"/>
        </w:trPr>
        <w:tc>
          <w:tcPr>
            <w:tcW w:w="45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460" w:type="dxa"/>
            <w:vAlign w:val="bottom"/>
            <w:gridSpan w:val="2"/>
          </w:tcPr>
          <w:p>
            <w:pPr>
              <w:jc w:val="right"/>
              <w:ind w:right="16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(142,673)</w:t>
            </w:r>
          </w:p>
        </w:tc>
        <w:tc>
          <w:tcPr>
            <w:tcW w:w="440" w:type="dxa"/>
            <w:vAlign w:val="bottom"/>
            <w:gridSpan w:val="2"/>
          </w:tcPr>
          <w:p>
            <w:pPr>
              <w:jc w:val="right"/>
              <w:ind w:right="16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(63,720)</w:t>
            </w:r>
          </w:p>
        </w:tc>
        <w:tc>
          <w:tcPr>
            <w:tcW w:w="44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(22,981)</w:t>
            </w:r>
          </w:p>
        </w:tc>
      </w:tr>
      <w:tr>
        <w:trPr>
          <w:trHeight w:val="14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8"/>
        </w:trPr>
        <w:tc>
          <w:tcPr>
            <w:tcW w:w="45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Proceeds from convertible notes payable</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from convertible notes payable - related party</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45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Payment of convertible notes payable issuance costs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(1,175)</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(511)</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Payment of common equity issuance costs</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(181)</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r>
      <w:tr>
        <w:trPr>
          <w:trHeight w:val="149"/>
        </w:trPr>
        <w:tc>
          <w:tcPr>
            <w:tcW w:w="45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Proceeds from common equity issuance</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12,097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118,767</w:t>
            </w:r>
          </w:p>
        </w:tc>
      </w:tr>
      <w:tr>
        <w:trPr>
          <w:trHeight w:val="148"/>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Payment of taxes for net share settlement of equity awards</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(2,098)</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(2,122)</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(2,977)</w:t>
            </w:r>
          </w:p>
        </w:tc>
      </w:tr>
      <w:tr>
        <w:trPr>
          <w:trHeight w:val="148"/>
        </w:trPr>
        <w:tc>
          <w:tcPr>
            <w:tcW w:w="45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w:t>
            </w:r>
          </w:p>
        </w:tc>
      </w:tr>
      <w:tr>
        <w:trPr>
          <w:trHeight w:val="148"/>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from exercise of Public Warrants</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2,632</w:t>
            </w:r>
          </w:p>
        </w:tc>
      </w:tr>
      <w:tr>
        <w:trPr>
          <w:trHeight w:val="148"/>
        </w:trPr>
        <w:tc>
          <w:tcPr>
            <w:tcW w:w="45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Intercompany transactions, net</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103,896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(6,144)</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(95,317)</w:t>
            </w:r>
          </w:p>
        </w:tc>
      </w:tr>
      <w:tr>
        <w:trPr>
          <w:trHeight w:val="142"/>
        </w:trPr>
        <w:tc>
          <w:tcPr>
            <w:tcW w:w="4500" w:type="dxa"/>
            <w:vAlign w:val="bottom"/>
            <w:tcBorders>
              <w:top w:val="single" w:sz="8" w:color="CCEEFF"/>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3"/>
                <w:szCs w:val="13"/>
                <w:color w:val="auto"/>
              </w:rPr>
              <w:t>Net cash provided by financing activities</w:t>
            </w: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142,539</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63,860</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22,953</w:t>
            </w:r>
          </w:p>
        </w:tc>
      </w:tr>
      <w:tr>
        <w:trPr>
          <w:trHeight w:val="148"/>
        </w:trPr>
        <w:tc>
          <w:tcPr>
            <w:tcW w:w="4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increase (decrease) in cash and cash equivalents and restricted cash</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(134)</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48"/>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and restricted cash at beginning of period</w:t>
            </w:r>
          </w:p>
        </w:tc>
        <w:tc>
          <w:tcPr>
            <w:tcW w:w="1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42"/>
        </w:trPr>
        <w:tc>
          <w:tcPr>
            <w:tcW w:w="450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and cash equivalents and restricted cash at end of period</w:t>
            </w:r>
          </w:p>
        </w:tc>
        <w:tc>
          <w:tcPr>
            <w:tcW w:w="180" w:type="dxa"/>
            <w:vAlign w:val="bottom"/>
          </w:tcPr>
          <w:p>
            <w:pPr>
              <w:spacing w:after="0"/>
              <w:rPr>
                <w:sz w:val="12"/>
                <w:szCs w:val="12"/>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189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49</w:t>
            </w:r>
          </w:p>
        </w:tc>
      </w:tr>
      <w:tr>
        <w:trPr>
          <w:trHeight w:val="20"/>
        </w:trPr>
        <w:tc>
          <w:tcPr>
            <w:tcW w:w="4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Parent Company Only Condensed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The condensed financial statements of Westrock Coffee Company (the “Registrant”) have been prepared in accordance with Rule 12-04, Schedule I of Regulation S-X, as the restricted assets of the subsidiaries of Westrock, as defined in Rule 4-08(e)(3) of Regulation S-X, exceed 25% of the consolidated net assets of the Company.</w:t>
      </w:r>
    </w:p>
    <w:p>
      <w:pPr>
        <w:spacing w:after="0" w:line="176"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The condensed financial statements of Westrock Coffee Company have been prepared using the same accounting principles and policies described in Note 3, Summary of Significant Accounting Policies, of Part II, Item 8 Financial Statements and Supplementary Data of this Annual Report on Form 10-K, with the only exception being that the parent company accounts for its subsidiaries using the equity method of accounting. The parent company condensed financial information should be read in conjunction with the Company’s consolidated financial statements and the accompanying notes thereto included in Part II, Item 8 of this Annual Report on Form 10-K.</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Debt Restrictions</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Pursuant to the terms of the Credit Agreement, Westrock Beverage Solutions, LLC has restrictions on its ability to (i) declare or pay dividends or make any other distribution whether in cash, property, securities or a combination thereof or (ii) directly or indirectly redeem, purchase, retire or otherwise acquire for value any of Westrock Beverage Solutions, LLC’s equity interests or set aside any amount for such purpose, other than through the issuance of qualified equity interests, as defined in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2"/>
          <w:szCs w:val="22"/>
          <w:b w:val="1"/>
          <w:bCs w:val="1"/>
          <w:color w:val="auto"/>
        </w:rPr>
        <w:t>Exhibit 10.15</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AGREEMENT</w:t>
      </w:r>
    </w:p>
    <w:p>
      <w:pPr>
        <w:spacing w:after="0" w:line="3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THIS EMPLOYMENT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and entered into, as of August __, 2022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by and between Westrock Coffee Company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Samuel Ford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and together with the Company,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Executive desire to enter into this Agreement to set forth the terms of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 to the Company.</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NOW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THEREFORE</w:t>
      </w:r>
      <w:r>
        <w:rPr>
          <w:rFonts w:ascii="Times New Roman" w:cs="Times New Roman" w:eastAsia="Times New Roman" w:hAnsi="Times New Roman"/>
          <w:sz w:val="22"/>
          <w:szCs w:val="22"/>
          <w:color w:val="auto"/>
        </w:rPr>
        <w:t>, in consideration of the foregoing, the mutual promises contained herein and other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valuable consideration, the receipt and sufficiency of which are acknowledged, the Parties agree as follows:</w:t>
      </w:r>
    </w:p>
    <w:p>
      <w:pPr>
        <w:spacing w:after="0" w:line="150" w:lineRule="exact"/>
        <w:rPr>
          <w:sz w:val="20"/>
          <w:szCs w:val="20"/>
          <w:color w:val="auto"/>
        </w:rPr>
      </w:pPr>
    </w:p>
    <w:p>
      <w:pPr>
        <w:jc w:val="both"/>
        <w:ind w:firstLine="1304"/>
        <w:spacing w:after="0" w:line="234" w:lineRule="auto"/>
        <w:tabs>
          <w:tab w:leader="none" w:pos="194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Employment Period</w:t>
      </w:r>
      <w:r>
        <w:rPr>
          <w:rFonts w:ascii="Times New Roman" w:cs="Times New Roman" w:eastAsia="Times New Roman" w:hAnsi="Times New Roman"/>
          <w:sz w:val="22"/>
          <w:szCs w:val="22"/>
          <w:color w:val="auto"/>
        </w:rPr>
        <w:t>. The Company agrees to employ Executive, and Executive agrees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serve the Company and its Affiliates (as defined below), subject to the terms and conditions of this Agreement, for the period commencing on the Effective Date and ending on the third anniversary of the Effective Date (the “</w:t>
      </w:r>
      <w:r>
        <w:rPr>
          <w:rFonts w:ascii="Times New Roman" w:cs="Times New Roman" w:eastAsia="Times New Roman" w:hAnsi="Times New Roman"/>
          <w:sz w:val="22"/>
          <w:szCs w:val="22"/>
          <w:b w:val="1"/>
          <w:bCs w:val="1"/>
          <w:color w:val="auto"/>
        </w:rPr>
        <w:t>Employment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commencing on the first anniversary of the Effective Date, and on each annual anniversary thereafter (such date and each annual anniversary thereof shall be hereinafter referred to as the “</w:t>
      </w:r>
      <w:r>
        <w:rPr>
          <w:rFonts w:ascii="Times New Roman" w:cs="Times New Roman" w:eastAsia="Times New Roman" w:hAnsi="Times New Roman"/>
          <w:sz w:val="22"/>
          <w:szCs w:val="22"/>
          <w:b w:val="1"/>
          <w:bCs w:val="1"/>
          <w:color w:val="auto"/>
        </w:rPr>
        <w:t>Renewal Date</w:t>
      </w:r>
      <w:r>
        <w:rPr>
          <w:rFonts w:ascii="Times New Roman" w:cs="Times New Roman" w:eastAsia="Times New Roman" w:hAnsi="Times New Roman"/>
          <w:sz w:val="22"/>
          <w:szCs w:val="22"/>
          <w:color w:val="auto"/>
        </w:rPr>
        <w:t>”), unless previously terminated, the Employment Period shall be automatically extended so as to terminate five years from such Renewal Date, unless at least 180 days prior to the Renewal Date either the Company or Executive shall give notice to the other party that the Employment Period shall not be so extended (a “</w:t>
      </w:r>
      <w:r>
        <w:rPr>
          <w:rFonts w:ascii="Times New Roman" w:cs="Times New Roman" w:eastAsia="Times New Roman" w:hAnsi="Times New Roman"/>
          <w:sz w:val="22"/>
          <w:szCs w:val="22"/>
          <w:b w:val="1"/>
          <w:bCs w:val="1"/>
          <w:color w:val="auto"/>
        </w:rPr>
        <w:t>Notice of Non-Renewal</w:t>
      </w:r>
      <w:r>
        <w:rPr>
          <w:rFonts w:ascii="Times New Roman" w:cs="Times New Roman" w:eastAsia="Times New Roman" w:hAnsi="Times New Roman"/>
          <w:sz w:val="22"/>
          <w:szCs w:val="22"/>
          <w:color w:val="auto"/>
        </w:rPr>
        <w:t>”). For purposes of this Agreement, the term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an entity controlled by, controlling or under common control with the Company.</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Position and Duties; Location; Standard of Services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304"/>
        <w:spacing w:after="0" w:line="238" w:lineRule="auto"/>
        <w:tabs>
          <w:tab w:leader="none" w:pos="194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Position and Duties</w:t>
      </w:r>
      <w:r>
        <w:rPr>
          <w:rFonts w:ascii="Times New Roman" w:cs="Times New Roman" w:eastAsia="Times New Roman" w:hAnsi="Times New Roman"/>
          <w:sz w:val="22"/>
          <w:szCs w:val="22"/>
          <w:color w:val="auto"/>
        </w:rPr>
        <w:t>. During the Employment Period, Executive shall serve as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Vice President of the Company and shall perform customary and appropriate duties as may be reasonably assigned to Executive from time to time by the Board of Directors of the Company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or the Chief Executive Officer of the Company (the “</w:t>
      </w:r>
      <w:r>
        <w:rPr>
          <w:rFonts w:ascii="Times New Roman" w:cs="Times New Roman" w:eastAsia="Times New Roman" w:hAnsi="Times New Roman"/>
          <w:sz w:val="22"/>
          <w:szCs w:val="22"/>
          <w:b w:val="1"/>
          <w:bCs w:val="1"/>
          <w:color w:val="auto"/>
        </w:rPr>
        <w:t>CEO</w:t>
      </w:r>
      <w:r>
        <w:rPr>
          <w:rFonts w:ascii="Times New Roman" w:cs="Times New Roman" w:eastAsia="Times New Roman" w:hAnsi="Times New Roman"/>
          <w:sz w:val="22"/>
          <w:szCs w:val="22"/>
          <w:color w:val="auto"/>
        </w:rPr>
        <w:t>”). Executive shall have such responsibilities, power and authority as those normally associated with such position in public companies of a similar stature.</w:t>
      </w:r>
    </w:p>
    <w:p>
      <w:pPr>
        <w:spacing w:after="0" w:line="176"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4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Location</w:t>
      </w:r>
      <w:r>
        <w:rPr>
          <w:rFonts w:ascii="Times New Roman" w:cs="Times New Roman" w:eastAsia="Times New Roman" w:hAnsi="Times New Roman"/>
          <w:sz w:val="22"/>
          <w:szCs w:val="22"/>
          <w:color w:val="auto"/>
        </w:rPr>
        <w:t>. During the Employment Period, Executive’s principal place of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the Company’s headquarters in Little Rock, Arkansas, subject to reasonable business travel at the Company’s request.</w:t>
      </w:r>
    </w:p>
    <w:p>
      <w:pPr>
        <w:spacing w:after="0" w:line="16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4"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Standard of Services</w:t>
      </w:r>
      <w:r>
        <w:rPr>
          <w:rFonts w:ascii="Times New Roman" w:cs="Times New Roman" w:eastAsia="Times New Roman" w:hAnsi="Times New Roman"/>
          <w:sz w:val="21"/>
          <w:szCs w:val="21"/>
          <w:color w:val="auto"/>
        </w:rPr>
        <w:t>. During the Employment Period, Executive agrees to devote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Executive’s full business attention and time to the business and affairs of the Company and its Affiliates and to use Executive’s reasonable best efforts to perform faithfully and efficiently such responsibilities. During the Employment Period, Executive may serve on corporate, civic, charitable or other boards or committees, deliver lectures, fulfill speaking engagements, publish, teach at educational institutions, manage or advise with respect to investments or provide advice to other companies that do not compete and are not reasonably expected to compete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1050290</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4" w:right="999" w:bottom="1440" w:gutter="0" w:footer="0" w:header="0"/>
        </w:sectPr>
      </w:pPr>
    </w:p>
    <w:bookmarkStart w:id="113" w:name="page114"/>
    <w:bookmarkEnd w:id="113"/>
    <w:p>
      <w:pPr>
        <w:ind w:right="20"/>
        <w:spacing w:after="0" w:line="258" w:lineRule="auto"/>
        <w:rPr>
          <w:sz w:val="20"/>
          <w:szCs w:val="20"/>
          <w:color w:val="auto"/>
        </w:rPr>
      </w:pPr>
      <w:r>
        <w:rPr>
          <w:rFonts w:ascii="Times New Roman" w:cs="Times New Roman" w:eastAsia="Times New Roman" w:hAnsi="Times New Roman"/>
          <w:sz w:val="22"/>
          <w:szCs w:val="22"/>
          <w:color w:val="auto"/>
        </w:rPr>
        <w:t>with the Company in the future, in each case, so long as such activities do not materially interfere with the performance of Executive’s responsibilities in accordance with this Agreement.</w:t>
      </w:r>
    </w:p>
    <w:p>
      <w:pPr>
        <w:spacing w:after="0" w:line="154" w:lineRule="exact"/>
        <w:rPr>
          <w:sz w:val="20"/>
          <w:szCs w:val="20"/>
          <w:color w:val="auto"/>
        </w:rPr>
      </w:pPr>
    </w:p>
    <w:p>
      <w:pPr>
        <w:ind w:left="1960" w:hanging="656"/>
        <w:spacing w:after="0"/>
        <w:tabs>
          <w:tab w:leader="none" w:pos="19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Compensation and Employee Benefits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304"/>
        <w:spacing w:after="0" w:line="237" w:lineRule="auto"/>
        <w:tabs>
          <w:tab w:leader="none" w:pos="194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Annual Base Salary</w:t>
      </w:r>
      <w:r>
        <w:rPr>
          <w:rFonts w:ascii="Times New Roman" w:cs="Times New Roman" w:eastAsia="Times New Roman" w:hAnsi="Times New Roman"/>
          <w:sz w:val="22"/>
          <w:szCs w:val="22"/>
          <w:color w:val="auto"/>
        </w:rPr>
        <w:t>. During the Employment Period, Executive shall receive an annual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base salary (the “</w:t>
      </w:r>
      <w:r>
        <w:rPr>
          <w:rFonts w:ascii="Times New Roman" w:cs="Times New Roman" w:eastAsia="Times New Roman" w:hAnsi="Times New Roman"/>
          <w:sz w:val="22"/>
          <w:szCs w:val="22"/>
          <w:b w:val="1"/>
          <w:bCs w:val="1"/>
          <w:color w:val="auto"/>
        </w:rPr>
        <w:t>Annual Base Salary</w:t>
      </w:r>
      <w:r>
        <w:rPr>
          <w:rFonts w:ascii="Times New Roman" w:cs="Times New Roman" w:eastAsia="Times New Roman" w:hAnsi="Times New Roman"/>
          <w:sz w:val="22"/>
          <w:szCs w:val="22"/>
          <w:color w:val="auto"/>
        </w:rPr>
        <w:t>”) of no less than $330,000, payable in accordance with the Company’s regular payroll practices. The Annual Base Salary shall be reviewed at least annually by the Board or an appropriate committee thereof (the Board or such committee,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for possible increase, as determined in the discretion of the Committee. The term “Annual Base Salary” as used in this Agreement shall refer to the Annual Base Salary as it may be so adjusted from time to time.</w:t>
      </w:r>
    </w:p>
    <w:p>
      <w:pPr>
        <w:spacing w:after="0" w:line="175" w:lineRule="exact"/>
        <w:rPr>
          <w:rFonts w:ascii="Times New Roman" w:cs="Times New Roman" w:eastAsia="Times New Roman" w:hAnsi="Times New Roman"/>
          <w:sz w:val="22"/>
          <w:szCs w:val="22"/>
          <w:color w:val="auto"/>
        </w:rPr>
      </w:pPr>
    </w:p>
    <w:p>
      <w:pPr>
        <w:jc w:val="both"/>
        <w:ind w:firstLine="1304"/>
        <w:spacing w:after="0" w:line="241" w:lineRule="auto"/>
        <w:tabs>
          <w:tab w:leader="none" w:pos="194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Annual Bonus</w:t>
      </w:r>
      <w:r>
        <w:rPr>
          <w:rFonts w:ascii="Times New Roman" w:cs="Times New Roman" w:eastAsia="Times New Roman" w:hAnsi="Times New Roman"/>
          <w:sz w:val="22"/>
          <w:szCs w:val="22"/>
          <w:color w:val="auto"/>
        </w:rPr>
        <w:t>. During the Employment Period, Executive shall have the opportunity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earn, for each fiscal year of the Company, an annual bonus (the “</w:t>
      </w:r>
      <w:r>
        <w:rPr>
          <w:rFonts w:ascii="Times New Roman" w:cs="Times New Roman" w:eastAsia="Times New Roman" w:hAnsi="Times New Roman"/>
          <w:sz w:val="22"/>
          <w:szCs w:val="22"/>
          <w:b w:val="1"/>
          <w:bCs w:val="1"/>
          <w:color w:val="auto"/>
        </w:rPr>
        <w:t>Annual Bonus</w:t>
      </w:r>
      <w:r>
        <w:rPr>
          <w:rFonts w:ascii="Times New Roman" w:cs="Times New Roman" w:eastAsia="Times New Roman" w:hAnsi="Times New Roman"/>
          <w:sz w:val="22"/>
          <w:szCs w:val="22"/>
          <w:color w:val="auto"/>
        </w:rPr>
        <w:t>”) pursuant to the terms of an annual incentive plan for senior executives of the Company, as in effect from time to time. Executive’s target Annual Bonus opportunity shall be 80% of the Annual Base Salary.</w:t>
      </w:r>
    </w:p>
    <w:p>
      <w:pPr>
        <w:spacing w:after="0" w:line="171" w:lineRule="exact"/>
        <w:rPr>
          <w:rFonts w:ascii="Times New Roman" w:cs="Times New Roman" w:eastAsia="Times New Roman" w:hAnsi="Times New Roman"/>
          <w:sz w:val="22"/>
          <w:szCs w:val="22"/>
          <w:color w:val="auto"/>
        </w:rPr>
      </w:pPr>
    </w:p>
    <w:p>
      <w:pPr>
        <w:ind w:firstLine="1304"/>
        <w:spacing w:after="0" w:line="262" w:lineRule="auto"/>
        <w:tabs>
          <w:tab w:leader="none" w:pos="194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Equity Incentives</w:t>
      </w:r>
      <w:r>
        <w:rPr>
          <w:rFonts w:ascii="Times New Roman" w:cs="Times New Roman" w:eastAsia="Times New Roman" w:hAnsi="Times New Roman"/>
          <w:sz w:val="22"/>
          <w:szCs w:val="22"/>
          <w:color w:val="auto"/>
        </w:rPr>
        <w:t>. Executive shall be eligible to participate in the Company’s equity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incentive plan, as in effect from time to time.</w:t>
      </w:r>
    </w:p>
    <w:p>
      <w:pPr>
        <w:spacing w:after="0" w:line="149"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Other Employee Benefit Plans</w:t>
      </w:r>
      <w:r>
        <w:rPr>
          <w:rFonts w:ascii="Times New Roman" w:cs="Times New Roman" w:eastAsia="Times New Roman" w:hAnsi="Times New Roman"/>
          <w:sz w:val="22"/>
          <w:szCs w:val="22"/>
          <w:color w:val="auto"/>
        </w:rPr>
        <w:t>. During the Employment Period, Executive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entitled to participate in the employee benefit plans, practices, policies and programs, as in effect from time to time, that are generally applicable to other senior executives of the Company (including retirement, deferred compensation and health and welfare benefits) on the same terms as are applicable to other senior executives of the Company.</w:t>
      </w:r>
    </w:p>
    <w:p>
      <w:pPr>
        <w:spacing w:after="0" w:line="176"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4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Business Expenses</w:t>
      </w:r>
      <w:r>
        <w:rPr>
          <w:rFonts w:ascii="Times New Roman" w:cs="Times New Roman" w:eastAsia="Times New Roman" w:hAnsi="Times New Roman"/>
          <w:sz w:val="22"/>
          <w:szCs w:val="22"/>
          <w:color w:val="auto"/>
        </w:rPr>
        <w:t>. Executive shall be entitled to receive prompt reimbursement for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expenses (including travel, entertainment, professional dues and subscriptions) incurred by Executive, in accordance with the Company’s policies as in effect from time to time.</w:t>
      </w:r>
    </w:p>
    <w:p>
      <w:pPr>
        <w:spacing w:after="0" w:line="167" w:lineRule="exact"/>
        <w:rPr>
          <w:sz w:val="20"/>
          <w:szCs w:val="20"/>
          <w:color w:val="auto"/>
        </w:rPr>
      </w:pPr>
    </w:p>
    <w:p>
      <w:pPr>
        <w:ind w:left="1960" w:hanging="656"/>
        <w:spacing w:after="0"/>
        <w:tabs>
          <w:tab w:leader="none" w:pos="19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of Employment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304"/>
        <w:spacing w:after="0" w:line="234" w:lineRule="auto"/>
        <w:tabs>
          <w:tab w:leader="none" w:pos="194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Death or Disability</w:t>
      </w:r>
      <w:r>
        <w:rPr>
          <w:rFonts w:ascii="Times New Roman" w:cs="Times New Roman" w:eastAsia="Times New Roman" w:hAnsi="Times New Roman"/>
          <w:sz w:val="22"/>
          <w:szCs w:val="22"/>
          <w:color w:val="auto"/>
        </w:rPr>
        <w:t>. Executive’s employment shall terminate automatically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death during the Employment Period. If the Board determines in good faith that the Disability of Executive has occurred during the Employment Period (pursuant to the definition of Disability set forth below), it may provide Executive with written notice in accordance with Section 11(b) of its intention to terminate Executive’s employment. In such event, Executive’s employment with the Company and its Affiliates shall terminate effective on the 30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day after Executive’s receipt of such notice (the “</w:t>
      </w:r>
      <w:r>
        <w:rPr>
          <w:rFonts w:ascii="Times New Roman" w:cs="Times New Roman" w:eastAsia="Times New Roman" w:hAnsi="Times New Roman"/>
          <w:sz w:val="22"/>
          <w:szCs w:val="22"/>
          <w:b w:val="1"/>
          <w:bCs w:val="1"/>
          <w:color w:val="auto"/>
        </w:rPr>
        <w:t>Disability Effective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within the 30 days after such receipt, Executive shall not have returned to full-time performance of Executive’s duties. For purposes of this Agreement,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mean the absence of Executive from Executive’s duties with the Company on a full-time basis for 120 consecutive days, or for 180 days (which need not be consecutive) within a 365-day period, as a result of incapacity due to mental or physical illness.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14" w:name="page115"/>
    <w:bookmarkEnd w:id="114"/>
    <w:p>
      <w:pPr>
        <w:ind w:firstLine="1304"/>
        <w:spacing w:after="0" w:line="262" w:lineRule="auto"/>
        <w:tabs>
          <w:tab w:leader="none" w:pos="194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With or Without Cause</w:t>
      </w:r>
      <w:r>
        <w:rPr>
          <w:rFonts w:ascii="Times New Roman" w:cs="Times New Roman" w:eastAsia="Times New Roman" w:hAnsi="Times New Roman"/>
          <w:sz w:val="22"/>
          <w:szCs w:val="22"/>
          <w:color w:val="auto"/>
        </w:rPr>
        <w:t>. The Company may terminate Executive’s employment during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Employment Period either with or without Cause. For purposes of this Agreement,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mean:</w:t>
      </w:r>
    </w:p>
    <w:p>
      <w:pPr>
        <w:spacing w:after="0" w:line="153"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willful failure to substantially perform Executive’s duties;</w:t>
      </w:r>
    </w:p>
    <w:p>
      <w:pPr>
        <w:spacing w:after="0" w:line="20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 of fraud, misappropriation, dishonesty, malfeasance or embezzlement by</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in connection with the performance of Executive’s duties to the Company;</w:t>
      </w:r>
    </w:p>
    <w:p>
      <w:pPr>
        <w:spacing w:after="0" w:line="182"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material violation of any policies of the Company or any restrictive covenants applicable to Executive; or</w:t>
      </w:r>
    </w:p>
    <w:p>
      <w:pPr>
        <w:spacing w:after="0" w:line="154"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Executive’s conviction of, or entering a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a felony.</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For purposes of this provision, no act or failure to act, on the part of Executive, shall be considered “willful” unless it is done, or omitted to be done, by Executive in bad faith or without reasonable belief that Executive’s action or omission was in the best interests of the Company and its Affiliates. If an action or omission constituting Cause is curable, Executive may be terminated as a result thereof only if Executive has not cured such action or omission within 30 days following written notice thereof from the Company. Further, Executive shall not be deemed to be discharged for Cause unless and until there is delivered to Executive a copy of a resolution duly adopted by the affirmative vote of three-quarters of the Board, at a meeting called and duly held for such purpose (after reasonable notice is provided to Executive and Executive is given an opportunity, together with counsel for Executive, to be heard before the Board), finding in good faith that Executive is guilty of the conduct set forth above and specifying the particulars thereof in detail. Any such determination shall be made by the Board (or equivalent governing body) of the ultimate parent entity of the Company or its successor and shall be subject to </w:t>
      </w:r>
      <w:r>
        <w:rPr>
          <w:rFonts w:ascii="Times New Roman" w:cs="Times New Roman" w:eastAsia="Times New Roman" w:hAnsi="Times New Roman"/>
          <w:sz w:val="22"/>
          <w:szCs w:val="22"/>
          <w:i w:val="1"/>
          <w:iCs w:val="1"/>
          <w:color w:val="auto"/>
        </w:rPr>
        <w:t>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novo </w:t>
      </w:r>
      <w:r>
        <w:rPr>
          <w:rFonts w:ascii="Times New Roman" w:cs="Times New Roman" w:eastAsia="Times New Roman" w:hAnsi="Times New Roman"/>
          <w:sz w:val="22"/>
          <w:szCs w:val="22"/>
          <w:color w:val="auto"/>
        </w:rPr>
        <w:t>review by a court of law pursuant to the dispute provisions of Section 11(a).</w:t>
      </w:r>
    </w:p>
    <w:p>
      <w:pPr>
        <w:spacing w:after="0" w:line="181" w:lineRule="exact"/>
        <w:rPr>
          <w:sz w:val="20"/>
          <w:szCs w:val="20"/>
          <w:color w:val="auto"/>
        </w:rPr>
      </w:pPr>
    </w:p>
    <w:p>
      <w:pPr>
        <w:jc w:val="both"/>
        <w:ind w:firstLine="1304"/>
        <w:spacing w:after="0" w:line="241" w:lineRule="auto"/>
        <w:tabs>
          <w:tab w:leader="none" w:pos="194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With or Without Good Reason</w:t>
      </w:r>
      <w:r>
        <w:rPr>
          <w:rFonts w:ascii="Times New Roman" w:cs="Times New Roman" w:eastAsia="Times New Roman" w:hAnsi="Times New Roman"/>
          <w:sz w:val="22"/>
          <w:szCs w:val="22"/>
          <w:color w:val="auto"/>
        </w:rPr>
        <w:t>. Executive’s employment may be terminated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either with or without Good Reason. For purposes of this Agreement,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shall mean Executive’s voluntary resignation after any of the following actions are taken by the Company or any of its Affiliates without Executive’s written consent:</w:t>
      </w:r>
    </w:p>
    <w:p>
      <w:pPr>
        <w:spacing w:after="0" w:line="175"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Executive’s title, authority, duties or responsibilities;</w:t>
      </w:r>
    </w:p>
    <w:p>
      <w:pPr>
        <w:spacing w:after="0" w:line="20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reduction in the Annual Base Salary or target Annual Bonus opportunity;</w:t>
      </w:r>
    </w:p>
    <w:p>
      <w:pPr>
        <w:spacing w:after="0" w:line="217" w:lineRule="exact"/>
        <w:rPr>
          <w:rFonts w:ascii="Times New Roman" w:cs="Times New Roman" w:eastAsia="Times New Roman" w:hAnsi="Times New Roman"/>
          <w:sz w:val="21"/>
          <w:szCs w:val="21"/>
          <w:color w:val="auto"/>
        </w:rPr>
      </w:pPr>
    </w:p>
    <w:p>
      <w:pPr>
        <w:ind w:right="20" w:firstLine="1952"/>
        <w:spacing w:after="0" w:line="258" w:lineRule="auto"/>
        <w:tabs>
          <w:tab w:leader="none" w:pos="2592"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relocation of Executive’s primary place of employment by more than 25 miles from Executive’s primary place of employment as set forth in this Agreement; or</w:t>
      </w:r>
    </w:p>
    <w:p>
      <w:pPr>
        <w:spacing w:after="0" w:line="158"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violation of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15" w:name="page116"/>
    <w:bookmarkEnd w:id="115"/>
    <w:p>
      <w:pPr>
        <w:jc w:val="both"/>
        <w:spacing w:after="0" w:line="247" w:lineRule="auto"/>
        <w:rPr>
          <w:sz w:val="20"/>
          <w:szCs w:val="20"/>
          <w:color w:val="auto"/>
        </w:rPr>
      </w:pPr>
      <w:r>
        <w:rPr>
          <w:rFonts w:ascii="Times New Roman" w:cs="Times New Roman" w:eastAsia="Times New Roman" w:hAnsi="Times New Roman"/>
          <w:sz w:val="21"/>
          <w:szCs w:val="21"/>
          <w:color w:val="auto"/>
        </w:rPr>
        <w:t>In order to invoke a termination for Good Reason, Executive shall provide written notice to the Company of the existence of one or more of the conditions giving rise to Good Reason within 90 days following Executive’s knowledge of the initial existence of such condition or conditions, and the Company shall have 30 days following receipt of such written notice (the “</w:t>
      </w:r>
      <w:r>
        <w:rPr>
          <w:rFonts w:ascii="Times New Roman" w:cs="Times New Roman" w:eastAsia="Times New Roman" w:hAnsi="Times New Roman"/>
          <w:sz w:val="21"/>
          <w:szCs w:val="21"/>
          <w:b w:val="1"/>
          <w:bCs w:val="1"/>
          <w:color w:val="auto"/>
        </w:rPr>
        <w:t>Cure Period</w:t>
      </w:r>
      <w:r>
        <w:rPr>
          <w:rFonts w:ascii="Times New Roman" w:cs="Times New Roman" w:eastAsia="Times New Roman" w:hAnsi="Times New Roman"/>
          <w:sz w:val="21"/>
          <w:szCs w:val="21"/>
          <w:color w:val="auto"/>
        </w:rPr>
        <w:t>”) during which it may remedy the condition. In the event that the Company fails to remedy the condition constituting Good Reason during the Cure Period, Executive must terminate employment, if at all, within 90 days following the Cure Period in order for such termination to constitute a termination for Good Reason. Executive’s mental or physical incapacity following the occurrence of an event described above shall not affect Executive’s ability to terminate employment for Good Reason.</w:t>
      </w:r>
    </w:p>
    <w:p>
      <w:pPr>
        <w:spacing w:after="0" w:line="168" w:lineRule="exact"/>
        <w:rPr>
          <w:sz w:val="20"/>
          <w:szCs w:val="20"/>
          <w:color w:val="auto"/>
        </w:rPr>
      </w:pPr>
    </w:p>
    <w:p>
      <w:pPr>
        <w:jc w:val="both"/>
        <w:ind w:firstLine="1304"/>
        <w:spacing w:after="0" w:line="241" w:lineRule="auto"/>
        <w:tabs>
          <w:tab w:leader="none" w:pos="1944"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Retirement</w:t>
      </w:r>
      <w:r>
        <w:rPr>
          <w:rFonts w:ascii="Times New Roman" w:cs="Times New Roman" w:eastAsia="Times New Roman" w:hAnsi="Times New Roman"/>
          <w:sz w:val="22"/>
          <w:szCs w:val="22"/>
          <w:color w:val="auto"/>
        </w:rPr>
        <w:t>. Executive’s employment may be terminated by Executive due to Retirement.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xml:space="preserve">” shall mean Executive’s voluntary resignation at a time when the sum of Executive’s age and years of service equal at least 70,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Executive has attained at least age 55 with at least 10 years of service with the Company or any predecessor or successor entity.</w:t>
      </w:r>
    </w:p>
    <w:p>
      <w:pPr>
        <w:spacing w:after="0" w:line="171"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44"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 of Termination</w:t>
      </w:r>
      <w:r>
        <w:rPr>
          <w:rFonts w:ascii="Times New Roman" w:cs="Times New Roman" w:eastAsia="Times New Roman" w:hAnsi="Times New Roman"/>
          <w:sz w:val="22"/>
          <w:szCs w:val="22"/>
          <w:color w:val="auto"/>
        </w:rPr>
        <w:t>. Any termination of Executive’s employment by the Company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without Cause, or by Executive with or without Good Reason or due to Retirement, shall be communicated by Notice of Termination to the other party hereto given in accordance with Section 11(b). For purposes of this Agreement, a “</w:t>
      </w:r>
      <w:r>
        <w:rPr>
          <w:rFonts w:ascii="Times New Roman" w:cs="Times New Roman" w:eastAsia="Times New Roman" w:hAnsi="Times New Roman"/>
          <w:sz w:val="22"/>
          <w:szCs w:val="22"/>
          <w:b w:val="1"/>
          <w:bCs w:val="1"/>
          <w:color w:val="auto"/>
        </w:rPr>
        <w:t>Notice of Termination</w:t>
      </w:r>
      <w:r>
        <w:rPr>
          <w:rFonts w:ascii="Times New Roman" w:cs="Times New Roman" w:eastAsia="Times New Roman" w:hAnsi="Times New Roman"/>
          <w:sz w:val="22"/>
          <w:szCs w:val="22"/>
          <w:color w:val="auto"/>
        </w:rPr>
        <w:t>” means a written notice that (i) indicates the specific termination provision in this Agreement relied upon, (ii) to the extent applicable, sets forth in reasonable detail the facts and circumstances claimed to provide a basis for termination of Executive’s employment under the provision so indicated and (iii) specifies the Date of Termination (as defined below), which date shall be not more than 30 days after the delivery of such notice.</w:t>
      </w:r>
    </w:p>
    <w:p>
      <w:pPr>
        <w:spacing w:after="0" w:line="178"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44"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Date of Termination</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Date of Termination</w:t>
      </w:r>
      <w:r>
        <w:rPr>
          <w:rFonts w:ascii="Times New Roman" w:cs="Times New Roman" w:eastAsia="Times New Roman" w:hAnsi="Times New Roman"/>
          <w:sz w:val="21"/>
          <w:szCs w:val="21"/>
          <w:color w:val="auto"/>
        </w:rPr>
        <w:t>” means (i) if Executive’s employment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terminated by the Company with Cause, or by Executive with Good Reason, the date of receipt of the Notice of Termination or any later date specified therein within 30 days following such notice, (ii) if Executive’s employment is terminated by the Company without Cause, or by Executive without Good Reason (including due to Retirement), the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xml:space="preserve"> day following receipt of the Notice of Termination or any later date specified therein or</w:t>
      </w:r>
    </w:p>
    <w:p>
      <w:pPr>
        <w:ind w:firstLine="8"/>
        <w:spacing w:after="0" w:line="237" w:lineRule="auto"/>
        <w:tabs>
          <w:tab w:leader="none" w:pos="3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Executive’s employment is terminated by reason of death or Disability, the Date of Termination shall be the date of death of Executive or the Disability Effective Date, as the case may be.</w:t>
      </w:r>
    </w:p>
    <w:p>
      <w:pPr>
        <w:spacing w:after="0" w:line="174" w:lineRule="exact"/>
        <w:rPr>
          <w:sz w:val="20"/>
          <w:szCs w:val="20"/>
          <w:color w:val="auto"/>
        </w:rPr>
      </w:pPr>
    </w:p>
    <w:p>
      <w:pPr>
        <w:ind w:left="1960" w:hanging="656"/>
        <w:spacing w:after="0"/>
        <w:tabs>
          <w:tab w:leader="none" w:pos="19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Obligations of the Company upon Termination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304"/>
        <w:spacing w:after="0" w:line="238" w:lineRule="auto"/>
        <w:tabs>
          <w:tab w:leader="none" w:pos="194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Good Reason; Other Than for Cause, Death or Disability</w:t>
      </w:r>
      <w:r>
        <w:rPr>
          <w:rFonts w:ascii="Times New Roman" w:cs="Times New Roman" w:eastAsia="Times New Roman" w:hAnsi="Times New Roman"/>
          <w:sz w:val="22"/>
          <w:szCs w:val="22"/>
          <w:color w:val="auto"/>
        </w:rPr>
        <w:t>. If, during the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Period, the Company terminates Executive’s employment other than for Cause, death or Disability, or Executive terminates employment for Good Reason, then, in each case, subject to Executive’s execution within 50 days following the Date of Termination, and non-revocation, of a release of claims in the form attached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the Company and its Affiliates shall pay to Executive the following:</w:t>
      </w:r>
    </w:p>
    <w:p>
      <w:pPr>
        <w:spacing w:after="0" w:line="180"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 the portion of the Annual Base Salary due for the period through the Date of Termination to the extent not theretofore paid, (B) any accrued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16" w:name="page117"/>
    <w:bookmarkEnd w:id="116"/>
    <w:p>
      <w:pPr>
        <w:jc w:val="both"/>
        <w:spacing w:after="0" w:line="255" w:lineRule="auto"/>
        <w:rPr>
          <w:sz w:val="20"/>
          <w:szCs w:val="20"/>
          <w:color w:val="auto"/>
        </w:rPr>
      </w:pPr>
      <w:r>
        <w:rPr>
          <w:rFonts w:ascii="Times New Roman" w:cs="Times New Roman" w:eastAsia="Times New Roman" w:hAnsi="Times New Roman"/>
          <w:sz w:val="21"/>
          <w:szCs w:val="21"/>
          <w:color w:val="auto"/>
        </w:rPr>
        <w:t>unpaid vacation and (C) Executive’s business expenses that have not been reimbursed by the Company as of the Date of Termination that were incurred by Executive on or prior to the Date of Termination (the sum of the amounts described in clauses (A), (B) and (C) shall be hereinafter referred to as the “</w:t>
      </w:r>
      <w:r>
        <w:rPr>
          <w:rFonts w:ascii="Times New Roman" w:cs="Times New Roman" w:eastAsia="Times New Roman" w:hAnsi="Times New Roman"/>
          <w:sz w:val="21"/>
          <w:szCs w:val="21"/>
          <w:b w:val="1"/>
          <w:bCs w:val="1"/>
          <w:color w:val="auto"/>
        </w:rPr>
        <w:t>Accrued Obligations</w:t>
      </w:r>
      <w:r>
        <w:rPr>
          <w:rFonts w:ascii="Times New Roman" w:cs="Times New Roman" w:eastAsia="Times New Roman" w:hAnsi="Times New Roman"/>
          <w:sz w:val="21"/>
          <w:szCs w:val="21"/>
          <w:color w:val="auto"/>
        </w:rPr>
        <w:t>”), which Accrued Obligations shall be paid in a lump sum in cash within 60 days following the Date of Termination;</w:t>
      </w:r>
    </w:p>
    <w:p>
      <w:pPr>
        <w:spacing w:after="0" w:line="162" w:lineRule="exact"/>
        <w:rPr>
          <w:sz w:val="20"/>
          <w:szCs w:val="20"/>
          <w:color w:val="auto"/>
        </w:rPr>
      </w:pPr>
    </w:p>
    <w:p>
      <w:pPr>
        <w:jc w:val="both"/>
        <w:ind w:firstLine="1952"/>
        <w:spacing w:after="0" w:line="239" w:lineRule="auto"/>
        <w:tabs>
          <w:tab w:leader="none" w:pos="259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unpaid Annual Bonus earned by Executive in respect of the fiscal year of the Company that was completed on or prior to the Date of Termination (the “</w:t>
      </w:r>
      <w:r>
        <w:rPr>
          <w:rFonts w:ascii="Times New Roman" w:cs="Times New Roman" w:eastAsia="Times New Roman" w:hAnsi="Times New Roman"/>
          <w:sz w:val="22"/>
          <w:szCs w:val="22"/>
          <w:b w:val="1"/>
          <w:bCs w:val="1"/>
          <w:color w:val="auto"/>
        </w:rPr>
        <w:t>Unpaid Annual Bonus</w:t>
      </w:r>
      <w:r>
        <w:rPr>
          <w:rFonts w:ascii="Times New Roman" w:cs="Times New Roman" w:eastAsia="Times New Roman" w:hAnsi="Times New Roman"/>
          <w:sz w:val="22"/>
          <w:szCs w:val="22"/>
          <w:color w:val="auto"/>
        </w:rPr>
        <w:t>”), which Unpaid Annual Bonus shall be paid in a lump sum in cash no later than March 15 following the year in which it was earned;</w:t>
      </w:r>
    </w:p>
    <w:p>
      <w:pPr>
        <w:spacing w:after="0" w:line="180" w:lineRule="exact"/>
        <w:rPr>
          <w:rFonts w:ascii="Times New Roman" w:cs="Times New Roman" w:eastAsia="Times New Roman" w:hAnsi="Times New Roman"/>
          <w:sz w:val="22"/>
          <w:szCs w:val="22"/>
          <w:color w:val="auto"/>
        </w:rPr>
      </w:pPr>
    </w:p>
    <w:p>
      <w:pPr>
        <w:jc w:val="both"/>
        <w:ind w:firstLine="1952"/>
        <w:spacing w:after="0" w:line="234" w:lineRule="auto"/>
        <w:tabs>
          <w:tab w:leader="none" w:pos="259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prorated Annual Bonus in respect of the fiscal year of the Company in which the Date of Termination occurs, with such amount to equal the product of (A) the target Annual Bonus opportunity for the fiscal year in which the Date of Termination occurs, and (B) a fraction, (I) the numerator of which is the number of days in the fiscal year of the Company in which the Date of Termination occurs through the Date of Termination, and (II) the denominator of which is 365 (the “</w:t>
      </w:r>
      <w:r>
        <w:rPr>
          <w:rFonts w:ascii="Times New Roman" w:cs="Times New Roman" w:eastAsia="Times New Roman" w:hAnsi="Times New Roman"/>
          <w:sz w:val="22"/>
          <w:szCs w:val="22"/>
          <w:b w:val="1"/>
          <w:bCs w:val="1"/>
          <w:color w:val="auto"/>
        </w:rPr>
        <w:t>Prorated Annual Bonus</w:t>
      </w:r>
      <w:r>
        <w:rPr>
          <w:rFonts w:ascii="Times New Roman" w:cs="Times New Roman" w:eastAsia="Times New Roman" w:hAnsi="Times New Roman"/>
          <w:sz w:val="22"/>
          <w:szCs w:val="22"/>
          <w:color w:val="auto"/>
        </w:rPr>
        <w:t xml:space="preserve">”), which Prorated Annual Bonus shall be paid in a lump sum in cash on the first regularly scheduled payroll date following the effective date of the Release,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period for consideration and revocation of the Release spans two calendar years, then the payment shall be made no sooner than the first regularly scheduled payroll date in the second calendar year;</w:t>
      </w:r>
    </w:p>
    <w:p>
      <w:pPr>
        <w:spacing w:after="0" w:line="183" w:lineRule="exact"/>
        <w:rPr>
          <w:rFonts w:ascii="Times New Roman" w:cs="Times New Roman" w:eastAsia="Times New Roman" w:hAnsi="Times New Roman"/>
          <w:sz w:val="22"/>
          <w:szCs w:val="22"/>
          <w:color w:val="auto"/>
        </w:rPr>
      </w:pPr>
    </w:p>
    <w:p>
      <w:pPr>
        <w:jc w:val="both"/>
        <w:ind w:firstLine="1952"/>
        <w:spacing w:after="0" w:line="236" w:lineRule="auto"/>
        <w:tabs>
          <w:tab w:leader="none" w:pos="259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the product of (A) the Severance Multiple (as defined below) </w:t>
      </w:r>
      <w:r>
        <w:rPr>
          <w:rFonts w:ascii="Times New Roman" w:cs="Times New Roman" w:eastAsia="Times New Roman" w:hAnsi="Times New Roman"/>
          <w:sz w:val="22"/>
          <w:szCs w:val="22"/>
          <w:i w:val="1"/>
          <w:iCs w:val="1"/>
          <w:color w:val="auto"/>
        </w:rPr>
        <w:t xml:space="preserve">multiplied by </w:t>
      </w:r>
      <w:r>
        <w:rPr>
          <w:rFonts w:ascii="Times New Roman" w:cs="Times New Roman" w:eastAsia="Times New Roman" w:hAnsi="Times New Roman"/>
          <w:sz w:val="22"/>
          <w:szCs w:val="22"/>
          <w:color w:val="auto"/>
        </w:rPr>
        <w:t>(B) the sum of (x) the Annual Base Salary and (y) the target Annual Bonus opportunity as in effect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for the fiscal year of the Company in which the Date of Termination occurs, which amount shall be paid in a lump sum in cash on the first regularly scheduled payroll date following the effective date of the Release,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period for consideration and revocation of the Release spans two calendar years, then the payment shall be made no sooner than the first regularly scheduled payroll date in the second calendar year;</w:t>
      </w:r>
    </w:p>
    <w:p>
      <w:pPr>
        <w:spacing w:after="0" w:line="181" w:lineRule="exact"/>
        <w:rPr>
          <w:rFonts w:ascii="Times New Roman" w:cs="Times New Roman" w:eastAsia="Times New Roman" w:hAnsi="Times New Roman"/>
          <w:sz w:val="22"/>
          <w:szCs w:val="22"/>
          <w:color w:val="auto"/>
        </w:rPr>
      </w:pPr>
    </w:p>
    <w:p>
      <w:pPr>
        <w:jc w:val="both"/>
        <w:ind w:firstLine="1952"/>
        <w:spacing w:after="0" w:line="236" w:lineRule="auto"/>
        <w:tabs>
          <w:tab w:leader="none" w:pos="259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cash payment equal to 125% of the full amount of premiums for health insurance coverage for a number of years following the Date of Termination equal to the Severance Multiple, determined based on the level of coverage for Executive and Executive’s dependents as of the Date of Termination, which shall be paid on the first regularly scheduled payroll date following the effective date of the Release,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period for consideration and revocation of the Release spans two calendar years, then the payment shall be made no sooner than the first regularly scheduled payroll date in the second calendar year; and</w:t>
      </w:r>
    </w:p>
    <w:p>
      <w:pPr>
        <w:spacing w:after="0" w:line="181" w:lineRule="exact"/>
        <w:rPr>
          <w:rFonts w:ascii="Times New Roman" w:cs="Times New Roman" w:eastAsia="Times New Roman" w:hAnsi="Times New Roman"/>
          <w:sz w:val="22"/>
          <w:szCs w:val="22"/>
          <w:color w:val="auto"/>
        </w:rPr>
      </w:pPr>
    </w:p>
    <w:p>
      <w:pPr>
        <w:jc w:val="both"/>
        <w:ind w:firstLine="1952"/>
        <w:spacing w:after="0" w:line="238" w:lineRule="auto"/>
        <w:tabs>
          <w:tab w:leader="none" w:pos="259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theretofore paid or provided, the Company and its Affiliates shall timely pay or provide to Executive, in accordance with the terms of the applicable plan, program, policy, practice or contract, any other amounts or benefits required to be paid or provided, or that Executive is eligible to receive under any plan, program, policy, practice or contract of the Company or its Affiliates, through the Date of Termination (such other amounts and benefits shall be hereinafter referred to as the “</w:t>
      </w:r>
      <w:r>
        <w:rPr>
          <w:rFonts w:ascii="Times New Roman" w:cs="Times New Roman" w:eastAsia="Times New Roman" w:hAnsi="Times New Roman"/>
          <w:sz w:val="22"/>
          <w:szCs w:val="22"/>
          <w:b w:val="1"/>
          <w:bCs w:val="1"/>
          <w:color w:val="auto"/>
        </w:rPr>
        <w:t>Other Benefits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color w:val="auto"/>
        </w:rPr>
        <w:t>Severance Multiple</w:t>
      </w:r>
      <w:r>
        <w:rPr>
          <w:rFonts w:ascii="Times New Roman" w:cs="Times New Roman" w:eastAsia="Times New Roman" w:hAnsi="Times New Roman"/>
          <w:sz w:val="22"/>
          <w:szCs w:val="22"/>
          <w:color w:val="auto"/>
        </w:rPr>
        <w:t>” shall mean one, unless a termination contemplated by this Section 5(a) occurs within one year following a Change in Control (as defined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17" w:name="page118"/>
    <w:bookmarkEnd w:id="117"/>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 the Westrock Coffee Company 2022 Equity Incentive Plan, as in effect on the Effective Date), in which case it shall mean two.</w:t>
      </w:r>
    </w:p>
    <w:p>
      <w:pPr>
        <w:spacing w:after="0" w:line="1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the avoidance of doubt, if applicable, any amount payable pursuant to this Section 5(a) shall be determined without regard to any reduction in compensation that resulted in Executive’s termination of employment for Good Reason. If Executive does not execute the Release within 50 days following the Date of Termination, or if Executive revokes the Release, Executive shall only be entitled to the Accrued Obligations and the Other Benefits. Other than as set forth in this Section 5(a), in the event of a termination of Executive’s employment by the Company without Cause (other than due to death or Disability) or by Executive for Good Reason, the Company and its Affiliates shall have no further obligation to Executive under this Agreement.</w:t>
      </w:r>
    </w:p>
    <w:p>
      <w:pPr>
        <w:spacing w:after="0" w:line="179" w:lineRule="exact"/>
        <w:rPr>
          <w:sz w:val="20"/>
          <w:szCs w:val="20"/>
          <w:color w:val="auto"/>
        </w:rPr>
      </w:pPr>
    </w:p>
    <w:p>
      <w:pPr>
        <w:jc w:val="both"/>
        <w:ind w:firstLine="1304"/>
        <w:spacing w:after="0" w:line="236" w:lineRule="auto"/>
        <w:tabs>
          <w:tab w:leader="none" w:pos="194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Death; Disability; Retirement</w:t>
      </w:r>
      <w:r>
        <w:rPr>
          <w:rFonts w:ascii="Times New Roman" w:cs="Times New Roman" w:eastAsia="Times New Roman" w:hAnsi="Times New Roman"/>
          <w:sz w:val="22"/>
          <w:szCs w:val="22"/>
          <w:color w:val="auto"/>
        </w:rPr>
        <w:t>. If Executive’s employment is terminated by reason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death, Disability or Retirement during the Employment Period, this Agreement shall terminate without further obligations to Executive, other than for payment of the Accrued Obligations, the Unpaid Annual Bonus and the Prorated Annual Bonus and the timely payment or provision of the Other Benefits. The Accrued Obligations, the Unpaid Annual Bonus and the Prorated Annual Bonus shall be paid to Executive’s estate (in the event of Executive’s death) or Executive or Executive’s legal representative (in the event of Disability), as applicable, on the same schedule as contemplated by Sections 5(a)(i)-(iii).</w:t>
      </w:r>
    </w:p>
    <w:p>
      <w:pPr>
        <w:spacing w:after="0" w:line="175" w:lineRule="exact"/>
        <w:rPr>
          <w:rFonts w:ascii="Times New Roman" w:cs="Times New Roman" w:eastAsia="Times New Roman" w:hAnsi="Times New Roman"/>
          <w:sz w:val="22"/>
          <w:szCs w:val="22"/>
          <w:color w:val="auto"/>
        </w:rPr>
      </w:pPr>
    </w:p>
    <w:p>
      <w:pPr>
        <w:jc w:val="both"/>
        <w:ind w:firstLine="1304"/>
        <w:spacing w:after="0" w:line="237" w:lineRule="auto"/>
        <w:tabs>
          <w:tab w:leader="none" w:pos="194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Other Termination</w:t>
      </w:r>
      <w:r>
        <w:rPr>
          <w:rFonts w:ascii="Times New Roman" w:cs="Times New Roman" w:eastAsia="Times New Roman" w:hAnsi="Times New Roman"/>
          <w:sz w:val="22"/>
          <w:szCs w:val="22"/>
          <w:color w:val="auto"/>
        </w:rPr>
        <w:t>. If Executive’s employment is terminated during the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for a reason other than those governed by Section 5(a) or (b) (including upon the expiration of the Employment Period following a Notice of Non-Renewal when Executive is not Retirement-eligible), this Agreement shall terminate without further obligations to Executive, other than for payment of the Accrued Obligations and Unpaid Annual Bonus on the same schedule as contemplated by Sections 5(a)(i)-(ii) and the timely payment or provision of the Other Benefits.</w:t>
      </w:r>
    </w:p>
    <w:p>
      <w:pPr>
        <w:spacing w:after="0" w:line="175" w:lineRule="exact"/>
        <w:rPr>
          <w:rFonts w:ascii="Times New Roman" w:cs="Times New Roman" w:eastAsia="Times New Roman" w:hAnsi="Times New Roman"/>
          <w:sz w:val="22"/>
          <w:szCs w:val="22"/>
          <w:color w:val="auto"/>
        </w:rPr>
      </w:pPr>
    </w:p>
    <w:p>
      <w:pPr>
        <w:jc w:val="both"/>
        <w:ind w:firstLine="1304"/>
        <w:spacing w:after="0" w:line="241" w:lineRule="auto"/>
        <w:tabs>
          <w:tab w:leader="none" w:pos="194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Full Settlement</w:t>
      </w:r>
      <w:r>
        <w:rPr>
          <w:rFonts w:ascii="Times New Roman" w:cs="Times New Roman" w:eastAsia="Times New Roman" w:hAnsi="Times New Roman"/>
          <w:sz w:val="22"/>
          <w:szCs w:val="22"/>
          <w:color w:val="auto"/>
        </w:rPr>
        <w:t>. The payments and benefits provided under this Section 5 shall be in full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satisfaction of the obligations of the Company and its Affiliates to Executive under this Agreement and any other plan, agreement, policy or arrangement of the Company and its Affiliates upon Executive’s termination of employment.</w:t>
      </w:r>
    </w:p>
    <w:p>
      <w:pPr>
        <w:spacing w:after="0" w:line="172" w:lineRule="exact"/>
        <w:rPr>
          <w:sz w:val="20"/>
          <w:szCs w:val="20"/>
          <w:color w:val="auto"/>
        </w:rPr>
      </w:pPr>
    </w:p>
    <w:p>
      <w:pPr>
        <w:jc w:val="both"/>
        <w:ind w:firstLine="1304"/>
        <w:spacing w:after="0" w:line="246" w:lineRule="auto"/>
        <w:tabs>
          <w:tab w:leader="none" w:pos="194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Mitigation</w:t>
      </w:r>
      <w:r>
        <w:rPr>
          <w:rFonts w:ascii="Times New Roman" w:cs="Times New Roman" w:eastAsia="Times New Roman" w:hAnsi="Times New Roman"/>
          <w:sz w:val="22"/>
          <w:szCs w:val="22"/>
          <w:color w:val="auto"/>
        </w:rPr>
        <w:t>. In no event shall Executive be obligated to seek other employment or take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other action by way of mitigation of any amounts payable to Executive under Section 5 and such amounts shall not be reduced whether or not Executive obtains other employment.</w:t>
      </w:r>
    </w:p>
    <w:p>
      <w:pPr>
        <w:spacing w:after="0" w:line="16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304"/>
        <w:spacing w:after="0" w:line="236" w:lineRule="auto"/>
        <w:tabs>
          <w:tab w:leader="none" w:pos="19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Confidential Information</w:t>
      </w:r>
      <w:r>
        <w:rPr>
          <w:rFonts w:ascii="Times New Roman" w:cs="Times New Roman" w:eastAsia="Times New Roman" w:hAnsi="Times New Roman"/>
          <w:sz w:val="22"/>
          <w:szCs w:val="22"/>
          <w:color w:val="auto"/>
        </w:rPr>
        <w:t>. Executive shall hold in a fiduciary capacity for the benefit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all secret or confidential information, knowledge or data relating to the Company or its Affiliates, and their respective businesses, which shall have been obtained by Executive during Executive’s employment by the Company or any of its Affiliates and which shall not be or become public knowledge (other than by acts by Executive or representatives of Executive in violation of this Agreement) (collectively, “</w:t>
      </w:r>
      <w:r>
        <w:rPr>
          <w:rFonts w:ascii="Times New Roman" w:cs="Times New Roman" w:eastAsia="Times New Roman" w:hAnsi="Times New Roman"/>
          <w:sz w:val="22"/>
          <w:szCs w:val="22"/>
          <w:b w:val="1"/>
          <w:bCs w:val="1"/>
          <w:color w:val="auto"/>
        </w:rPr>
        <w:t>Confidential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After termination of Executive’s employment with the Company, Executive shall not, without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18" w:name="page119"/>
    <w:bookmarkEnd w:id="118"/>
    <w:p>
      <w:pPr>
        <w:jc w:val="both"/>
        <w:spacing w:after="0" w:line="235" w:lineRule="auto"/>
        <w:rPr>
          <w:sz w:val="20"/>
          <w:szCs w:val="20"/>
          <w:color w:val="auto"/>
        </w:rPr>
      </w:pPr>
      <w:r>
        <w:rPr>
          <w:rFonts w:ascii="Times New Roman" w:cs="Times New Roman" w:eastAsia="Times New Roman" w:hAnsi="Times New Roman"/>
          <w:sz w:val="22"/>
          <w:szCs w:val="22"/>
          <w:color w:val="auto"/>
        </w:rPr>
        <w:t>written consent of the Company or as may otherwise be required by law or legal process, communicate or divulge any such Confidential Information to anyone other than the Company and those designated by it. Notwithstanding the foregoing, “Confidential Information” shall not include (i) information that at the time of disclosure is already known to the receiving party without any restriction on its disclosure; (ii) information that is or subsequently comes into the possession of the receiving party from a third party without violation of any contractual or legal obligation; (iii) information that is independently developed by the receiving party without the use of Confidential Information or breach of this Agreement; and (iv) information that is otherwise required to be disclosed under applicable laws, regulations or judicial or regulatory process.</w:t>
      </w:r>
    </w:p>
    <w:p>
      <w:pPr>
        <w:spacing w:after="0" w:line="174" w:lineRule="exact"/>
        <w:rPr>
          <w:sz w:val="20"/>
          <w:szCs w:val="20"/>
          <w:color w:val="auto"/>
        </w:rPr>
      </w:pPr>
    </w:p>
    <w:p>
      <w:pPr>
        <w:jc w:val="both"/>
        <w:ind w:firstLine="1304"/>
        <w:spacing w:after="0" w:line="233" w:lineRule="auto"/>
        <w:tabs>
          <w:tab w:leader="none" w:pos="194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Inventions and Patents</w:t>
      </w:r>
      <w:r>
        <w:rPr>
          <w:rFonts w:ascii="Times New Roman" w:cs="Times New Roman" w:eastAsia="Times New Roman" w:hAnsi="Times New Roman"/>
          <w:sz w:val="22"/>
          <w:szCs w:val="22"/>
          <w:color w:val="auto"/>
        </w:rPr>
        <w:t>. Executive agrees that all inventions, innovations, improvements,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developments, methods, designs, analyses, drawings, reports and all similar or related information that relate to the actual or anticipated business, research and development or existing or future products or services of the Company or any of its Affiliates, and that are conceived, developed or made by Executive during Executive’s employment with the Company or any of its Affiliates (“</w:t>
      </w:r>
      <w:r>
        <w:rPr>
          <w:rFonts w:ascii="Times New Roman" w:cs="Times New Roman" w:eastAsia="Times New Roman" w:hAnsi="Times New Roman"/>
          <w:sz w:val="22"/>
          <w:szCs w:val="22"/>
          <w:b w:val="1"/>
          <w:bCs w:val="1"/>
          <w:color w:val="auto"/>
        </w:rPr>
        <w:t>Work Product</w:t>
      </w:r>
      <w:r>
        <w:rPr>
          <w:rFonts w:ascii="Times New Roman" w:cs="Times New Roman" w:eastAsia="Times New Roman" w:hAnsi="Times New Roman"/>
          <w:sz w:val="22"/>
          <w:szCs w:val="22"/>
          <w:color w:val="auto"/>
        </w:rPr>
        <w:t>”) belong to the Company and its Affiliates. Executive shall promptly disclose such Work Product to the Company and its Affiliates and perform all actions reasonably requested by the Company and its Affiliates (whether during or after the Employment Period) to establish and confirm such ownership (including assignments, consents, powers of attorney and other instruments). To the fullest extent permitted by applicable law, all intellectual property (including patents, trademarks and copyrights) that are made, developed or acquired by Executive in the course of Executive’s employment with the Company or any of its Affiliates shall be and remain the absolute property of the Company and its Affiliates, and Executive shall assist the Company and its Affiliates in perfecting and defending their rights to such intellectual property.</w:t>
      </w:r>
    </w:p>
    <w:p>
      <w:pPr>
        <w:spacing w:after="0" w:line="182" w:lineRule="exact"/>
        <w:rPr>
          <w:rFonts w:ascii="Times New Roman" w:cs="Times New Roman" w:eastAsia="Times New Roman" w:hAnsi="Times New Roman"/>
          <w:sz w:val="22"/>
          <w:szCs w:val="22"/>
          <w:color w:val="auto"/>
        </w:rPr>
      </w:pPr>
    </w:p>
    <w:p>
      <w:pPr>
        <w:jc w:val="both"/>
        <w:ind w:firstLine="1304"/>
        <w:spacing w:after="0" w:line="233" w:lineRule="auto"/>
        <w:tabs>
          <w:tab w:leader="none" w:pos="194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Nonsolicitation</w:t>
      </w:r>
      <w:r>
        <w:rPr>
          <w:rFonts w:ascii="Times New Roman" w:cs="Times New Roman" w:eastAsia="Times New Roman" w:hAnsi="Times New Roman"/>
          <w:sz w:val="22"/>
          <w:szCs w:val="22"/>
          <w:color w:val="auto"/>
        </w:rPr>
        <w:t>. During the period commencing on the Effective Date and ending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first anniversary of the Date of Termination (the “</w:t>
      </w:r>
      <w:r>
        <w:rPr>
          <w:rFonts w:ascii="Times New Roman" w:cs="Times New Roman" w:eastAsia="Times New Roman" w:hAnsi="Times New Roman"/>
          <w:sz w:val="22"/>
          <w:szCs w:val="22"/>
          <w:b w:val="1"/>
          <w:bCs w:val="1"/>
          <w:color w:val="auto"/>
        </w:rPr>
        <w:t>Restricted Period</w:t>
      </w:r>
      <w:r>
        <w:rPr>
          <w:rFonts w:ascii="Times New Roman" w:cs="Times New Roman" w:eastAsia="Times New Roman" w:hAnsi="Times New Roman"/>
          <w:sz w:val="22"/>
          <w:szCs w:val="22"/>
          <w:color w:val="auto"/>
        </w:rPr>
        <w:t>”), Executive shall not directly or indirectly, except in the good faith performance of Executive’s duties to the Company: (i) induce or attempt to induce any employee or independent contractor of the Company or any of its Affiliates to leave the Company or such Affiliate, or in any way interfere with the relationship between the Company or any such Affiliate, on the one hand, and any employee or independent contractor thereof, on the other hand; (ii) hire any person who was an employee or independent contractor of the Company or any of its Affiliates until 12 months after such individual’s relationship with the Company or such Affiliate has been terminated; or (iii) induce or attempt to induce any customer (whether former or current), supplier, licensee or other business relation of the Company or any of its Affiliates to cease doing business with the Company or such Affiliate, or in any way interfere with the relationship between any such customer, supplier, licensee or business relation, on the one hand, and the Company or any of its Affiliates, on the other hand. Notwithstanding the foregoing, nothing in this Section 7(c) shall prohibit any advertisement or general solicitation (or hiring as a result thereof) that is not specifically targeted at Company’s or its Affiliates’ employees.</w:t>
      </w:r>
    </w:p>
    <w:p>
      <w:pPr>
        <w:spacing w:after="0" w:line="179" w:lineRule="exact"/>
        <w:rPr>
          <w:rFonts w:ascii="Times New Roman" w:cs="Times New Roman" w:eastAsia="Times New Roman" w:hAnsi="Times New Roman"/>
          <w:sz w:val="22"/>
          <w:szCs w:val="22"/>
          <w:color w:val="auto"/>
        </w:rPr>
      </w:pPr>
    </w:p>
    <w:p>
      <w:pPr>
        <w:jc w:val="both"/>
        <w:ind w:firstLine="1304"/>
        <w:spacing w:after="0" w:line="241" w:lineRule="auto"/>
        <w:tabs>
          <w:tab w:leader="none" w:pos="194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Noncompetition</w:t>
      </w:r>
      <w:r>
        <w:rPr>
          <w:rFonts w:ascii="Times New Roman" w:cs="Times New Roman" w:eastAsia="Times New Roman" w:hAnsi="Times New Roman"/>
          <w:sz w:val="22"/>
          <w:szCs w:val="22"/>
          <w:color w:val="auto"/>
        </w:rPr>
        <w:t>. Executive acknowledges that, in the course of Executive’s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Company, Executive has become familiar, or shall become familiar, with the Company’s and its Affiliates’ trade secrets and with other Confidential Information concerning the Company, its Affiliates and their respective predecessors, and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19" w:name="page120"/>
    <w:bookmarkEnd w:id="119"/>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Executive’s services have been and shall be of special, unique and extraordinary value to the Company and its Affiliates. Therefore, Executive agrees that, during the Restricted Period, Executive shall not, directly or indirectly, own, manage, operate, control, be employed by (whether as an employee, consultant, independent contractor or otherwise, and whether or not for compensation) or render services to any person, firm, corporation or other entity, in whatever form, engaged in any business of the same type as any business in which the Company or any of its Affiliates is engaged on the Date of Termination or in which they have proposed, on or prior to such date, to be engaged in on or after such date and in which Executive has been involved to any extent (other than </w:t>
      </w:r>
      <w:r>
        <w:rPr>
          <w:rFonts w:ascii="Times New Roman" w:cs="Times New Roman" w:eastAsia="Times New Roman" w:hAnsi="Times New Roman"/>
          <w:sz w:val="21"/>
          <w:szCs w:val="21"/>
          <w:i w:val="1"/>
          <w:iCs w:val="1"/>
          <w:color w:val="auto"/>
        </w:rPr>
        <w:t>de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minimis </w:t>
      </w:r>
      <w:r>
        <w:rPr>
          <w:rFonts w:ascii="Times New Roman" w:cs="Times New Roman" w:eastAsia="Times New Roman" w:hAnsi="Times New Roman"/>
          <w:sz w:val="21"/>
          <w:szCs w:val="21"/>
          <w:color w:val="auto"/>
        </w:rPr>
        <w:t>activities) at any time during the one-year period ending with the Date of Termination, in any locale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country in which the Company or any of its Affiliates conducts business. Nothing herein shall prohibit Executive from being a passive owner of not more than 4.9% of the outstanding equity interest in any entity which is publicly traded, so long as Executive has no active participation in the business of such entity.</w:t>
      </w:r>
    </w:p>
    <w:p>
      <w:pPr>
        <w:spacing w:after="0" w:line="173" w:lineRule="exact"/>
        <w:rPr>
          <w:sz w:val="20"/>
          <w:szCs w:val="20"/>
          <w:color w:val="auto"/>
        </w:rPr>
      </w:pPr>
    </w:p>
    <w:p>
      <w:pPr>
        <w:jc w:val="both"/>
        <w:ind w:firstLine="1304"/>
        <w:spacing w:after="0" w:line="247" w:lineRule="auto"/>
        <w:tabs>
          <w:tab w:leader="none" w:pos="1944"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Nondisparagement</w:t>
      </w:r>
      <w:r>
        <w:rPr>
          <w:rFonts w:ascii="Times New Roman" w:cs="Times New Roman" w:eastAsia="Times New Roman" w:hAnsi="Times New Roman"/>
          <w:sz w:val="21"/>
          <w:szCs w:val="21"/>
          <w:color w:val="auto"/>
        </w:rPr>
        <w:t>. From and following the Effective Date: (i) Executive shall not make,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either directly or by or through another person, any oral or written negative, disparaging or adverse statements or representations of or concerning the Company or any of its Affiliates, any of their clients or businesses or any of their current or former directors, officers or employees; and (ii) the Company and its Affiliates shall not make, either directly or by or through another person, any oral or written negative, disparaging or adverse statements or representations of or concerning Executive;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subject to Section 7(a), nothing herein shall prohibit either party from disclosing truthful information if legally required (whether by oral questions, interrogatories, requests for information or documents, subpoena, civil investigative demand or similar process).</w:t>
      </w:r>
    </w:p>
    <w:p>
      <w:pPr>
        <w:spacing w:after="0" w:line="171" w:lineRule="exact"/>
        <w:rPr>
          <w:rFonts w:ascii="Times New Roman" w:cs="Times New Roman" w:eastAsia="Times New Roman" w:hAnsi="Times New Roman"/>
          <w:sz w:val="21"/>
          <w:szCs w:val="21"/>
          <w:color w:val="auto"/>
        </w:rPr>
      </w:pPr>
    </w:p>
    <w:p>
      <w:pPr>
        <w:jc w:val="both"/>
        <w:ind w:firstLine="1304"/>
        <w:spacing w:after="0" w:line="234" w:lineRule="auto"/>
        <w:tabs>
          <w:tab w:leader="none" w:pos="194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Return of Property</w:t>
      </w:r>
      <w:r>
        <w:rPr>
          <w:rFonts w:ascii="Times New Roman" w:cs="Times New Roman" w:eastAsia="Times New Roman" w:hAnsi="Times New Roman"/>
          <w:sz w:val="22"/>
          <w:szCs w:val="22"/>
          <w:color w:val="auto"/>
        </w:rPr>
        <w:t>. Executive acknowledges that all documents, records, files, lists,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equipment, computer, software or other property (including intellectual property) relating to the businesses of the Company or any of its Affiliates, in whatever form (including electronic), and all copies thereof, that have been or are received or created by Executive while an employee of the Company or any of its Affiliates are and shall remain the property of the Company and its Affiliates, and Executive shall immediately return such property to the Company upon the Date of Termination and, in any event, at the Company’s request. Executive further agrees that any property situated on the premises of, and owned by, the Company or any of its Affiliates, including disks and other storage media, filing cabinets or other work areas, is subject to inspection by personnel of the Company and its Affiliates at any time with or without notice. Notwithstanding the foregoing, Executive may retain Executive’s personal contacts and personal compensation data.</w:t>
      </w:r>
    </w:p>
    <w:p>
      <w:pPr>
        <w:spacing w:after="0" w:line="179"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44"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Trade Secrets; Whistleblower Rights</w:t>
      </w:r>
      <w:r>
        <w:rPr>
          <w:rFonts w:ascii="Times New Roman" w:cs="Times New Roman" w:eastAsia="Times New Roman" w:hAnsi="Times New Roman"/>
          <w:sz w:val="21"/>
          <w:szCs w:val="21"/>
          <w:color w:val="auto"/>
        </w:rPr>
        <w:t>. The Company hereby informs Executive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notwithstanding any provision of this Agreement to the contrary, an individual may not be held criminally or civilly liable under any federal or state trade secret law for the disclosure of a trade secret that (i) is made in confidence to a federal, state, or local government official, either directly or indirectly, or to an attorney, and solely for the purpose of reporting or investigating a suspected violation of law, or (ii) is made in a complaint or other document that is filed under seal in a lawsuit or other proceeding. Further, an individual who files a lawsuit for retaliation by an employer for reporting a suspected violation of law may disclose the employer’s trade secrets to the attorney and use the trade secret information in the court proceeding if the individual files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0" w:name="page121"/>
    <w:bookmarkEnd w:id="120"/>
    <w:p>
      <w:pPr>
        <w:jc w:val="both"/>
        <w:spacing w:after="0" w:line="238" w:lineRule="auto"/>
        <w:rPr>
          <w:sz w:val="20"/>
          <w:szCs w:val="20"/>
          <w:color w:val="auto"/>
        </w:rPr>
      </w:pPr>
      <w:r>
        <w:rPr>
          <w:rFonts w:ascii="Times New Roman" w:cs="Times New Roman" w:eastAsia="Times New Roman" w:hAnsi="Times New Roman"/>
          <w:sz w:val="22"/>
          <w:szCs w:val="22"/>
          <w:color w:val="auto"/>
        </w:rPr>
        <w:t>document containing the trade secret under seal and does not disclose the trade secret, except pursuant to court order. In addition, notwithstanding anything in this Agreement to the contrary, nothing in this Agreement shall impair Executive’s rights under the whistleblower provisions of any applicable federal law or regulation or, for the avoidance of doubt, limit Executive’s right to receive an award for information provided to any government authority under such law or regulation.</w:t>
      </w:r>
    </w:p>
    <w:p>
      <w:pPr>
        <w:spacing w:after="0" w:line="173" w:lineRule="exact"/>
        <w:rPr>
          <w:sz w:val="20"/>
          <w:szCs w:val="20"/>
          <w:color w:val="auto"/>
        </w:rPr>
      </w:pPr>
    </w:p>
    <w:p>
      <w:pPr>
        <w:ind w:left="1960" w:hanging="656"/>
        <w:spacing w:after="0"/>
        <w:tabs>
          <w:tab w:leader="none" w:pos="19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Executive Covenants Generally</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firstLine="1952"/>
        <w:spacing w:after="0" w:line="235" w:lineRule="auto"/>
        <w:tabs>
          <w:tab w:leader="none" w:pos="2592"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covenants as set forth in this Section 7 are from time to time referred to herein as the “</w:t>
      </w:r>
      <w:r>
        <w:rPr>
          <w:rFonts w:ascii="Times New Roman" w:cs="Times New Roman" w:eastAsia="Times New Roman" w:hAnsi="Times New Roman"/>
          <w:sz w:val="22"/>
          <w:szCs w:val="22"/>
          <w:b w:val="1"/>
          <w:bCs w:val="1"/>
          <w:color w:val="auto"/>
        </w:rPr>
        <w:t>Executive Covenants</w:t>
      </w:r>
      <w:r>
        <w:rPr>
          <w:rFonts w:ascii="Times New Roman" w:cs="Times New Roman" w:eastAsia="Times New Roman" w:hAnsi="Times New Roman"/>
          <w:sz w:val="22"/>
          <w:szCs w:val="22"/>
          <w:color w:val="auto"/>
        </w:rPr>
        <w:t xml:space="preserve">.” If any Executive Covenant is finally held to be invalid, illegal or unenforceable (whether in whole or in part), such Executive Covenant shall be deemed modified to the extent, but only to the extent, of such invalidity, illegality or unenforceability and the remaining Executive Covenants shall not be affected thereby;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any Executive Covenant is finally held to be invalid, illegal or unenforceable because it exceeds the maximum scope determined to be acceptable to permit such provision to be enforceable, such Executive Covenant shall be deemed to be modified to the minimum extent necessary to modify such scope in order to make such provision enforceable hereunder.</w:t>
      </w:r>
    </w:p>
    <w:p>
      <w:pPr>
        <w:spacing w:after="0" w:line="178" w:lineRule="exact"/>
        <w:rPr>
          <w:rFonts w:ascii="Times New Roman" w:cs="Times New Roman" w:eastAsia="Times New Roman" w:hAnsi="Times New Roman"/>
          <w:sz w:val="22"/>
          <w:szCs w:val="22"/>
          <w:color w:val="auto"/>
        </w:rPr>
      </w:pPr>
    </w:p>
    <w:p>
      <w:pPr>
        <w:jc w:val="both"/>
        <w:ind w:firstLine="1952"/>
        <w:spacing w:after="0" w:line="238" w:lineRule="auto"/>
        <w:tabs>
          <w:tab w:leader="none" w:pos="2592"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the Company and its Affiliates have (A) expended and shall continue to expend substantial amounts of time, money and effort to develop business strategies, employee, customer and other relationships and goodwill to build an effective organization, and (B) a legitimate business interest in and right to protect their Confidential Information, goodwill and employee, customer and other relationships.</w:t>
      </w:r>
    </w:p>
    <w:p>
      <w:pPr>
        <w:spacing w:after="0" w:line="176" w:lineRule="exact"/>
        <w:rPr>
          <w:rFonts w:ascii="Times New Roman" w:cs="Times New Roman" w:eastAsia="Times New Roman" w:hAnsi="Times New Roman"/>
          <w:sz w:val="22"/>
          <w:szCs w:val="22"/>
          <w:color w:val="auto"/>
        </w:rPr>
      </w:pPr>
    </w:p>
    <w:p>
      <w:pPr>
        <w:jc w:val="both"/>
        <w:ind w:firstLine="1952"/>
        <w:spacing w:after="0" w:line="239" w:lineRule="auto"/>
        <w:tabs>
          <w:tab w:leader="none" w:pos="2592"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understands that the Executive Covenants may limit Executive’s ability to earn a livelihood in a business similar to the business of the Company, and Executive represents that Executive’s experience and capabilities are such that Executive has other opportunities to earn a livelihood and adequate means of support for Executive and Executive’s dependents.</w:t>
      </w:r>
    </w:p>
    <w:p>
      <w:pPr>
        <w:spacing w:after="0" w:line="180" w:lineRule="exact"/>
        <w:rPr>
          <w:rFonts w:ascii="Times New Roman" w:cs="Times New Roman" w:eastAsia="Times New Roman" w:hAnsi="Times New Roman"/>
          <w:sz w:val="22"/>
          <w:szCs w:val="22"/>
          <w:color w:val="auto"/>
        </w:rPr>
      </w:pPr>
    </w:p>
    <w:p>
      <w:pPr>
        <w:ind w:right="20" w:firstLine="1952"/>
        <w:spacing w:after="0" w:line="258" w:lineRule="auto"/>
        <w:tabs>
          <w:tab w:leader="none" w:pos="2592"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termination of (A) Executive’s employment, (B) the Employment Period or (C) this Agreement shall have no effect on the continuing operation of this Section 7.</w:t>
      </w:r>
    </w:p>
    <w:p>
      <w:pPr>
        <w:spacing w:after="0" w:line="158" w:lineRule="exact"/>
        <w:rPr>
          <w:rFonts w:ascii="Times New Roman" w:cs="Times New Roman" w:eastAsia="Times New Roman" w:hAnsi="Times New Roman"/>
          <w:sz w:val="22"/>
          <w:szCs w:val="22"/>
          <w:color w:val="auto"/>
        </w:rPr>
      </w:pPr>
    </w:p>
    <w:p>
      <w:pPr>
        <w:jc w:val="both"/>
        <w:ind w:firstLine="1952"/>
        <w:spacing w:after="0" w:line="233" w:lineRule="auto"/>
        <w:tabs>
          <w:tab w:leader="none" w:pos="2592"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the Company would be irreparably injured by a violation of this Section 7 and that it is impossible to measure in money the damages that shall accrue to the Company by reason of a failure by Executive to perform any of Executive’s obligations under this Section 7. Accordingly, if the Company institutes any action or proceeding to enforce any of the provisions of this Section 7, to the extent permitted by applicable law, Executive hereby waives the claim or defense that the Company has an adequate remedy at law, and Executive shall not urge in any such action or proceeding the defense that any such remedy exists at law. Furthermore, in addition to other remedies that may be available, the Company shall be entitled (without the necessity of showing economic loss or other actual damage) to specific performance and other injunctive relief, without the requirement to post bond, in any court of competent jurisdiction for any actual or threatened breach of any of the covenants set forth in this Section 7. The Restricted Period shall be tolled during (and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1" w:name="page122"/>
    <w:bookmarkEnd w:id="121"/>
    <w:p>
      <w:pPr>
        <w:spacing w:after="0" w:line="258" w:lineRule="auto"/>
        <w:rPr>
          <w:sz w:val="20"/>
          <w:szCs w:val="20"/>
          <w:color w:val="auto"/>
        </w:rPr>
      </w:pPr>
      <w:r>
        <w:rPr>
          <w:rFonts w:ascii="Times New Roman" w:cs="Times New Roman" w:eastAsia="Times New Roman" w:hAnsi="Times New Roman"/>
          <w:sz w:val="22"/>
          <w:szCs w:val="22"/>
          <w:color w:val="auto"/>
        </w:rPr>
        <w:t>deemed automatically extended by) any period during which Executive is in violation of the provisions of Section 7(c) or (d), as applicable.</w:t>
      </w:r>
    </w:p>
    <w:p>
      <w:pPr>
        <w:spacing w:after="0" w:line="154" w:lineRule="exact"/>
        <w:rPr>
          <w:sz w:val="20"/>
          <w:szCs w:val="20"/>
          <w:color w:val="auto"/>
        </w:rPr>
      </w:pPr>
    </w:p>
    <w:p>
      <w:pPr>
        <w:ind w:left="1960" w:hanging="656"/>
        <w:spacing w:after="0"/>
        <w:tabs>
          <w:tab w:leader="none" w:pos="19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Treatment of Certain Payments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304"/>
        <w:spacing w:after="0" w:line="233" w:lineRule="auto"/>
        <w:tabs>
          <w:tab w:leader="none" w:pos="194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payments or benefits under this Agreement or otherwise, either alone or together with other payments or benefits that Executive receives or is entitled to receive from the Company or any of its Affiliates (“</w:t>
      </w:r>
      <w:r>
        <w:rPr>
          <w:rFonts w:ascii="Times New Roman" w:cs="Times New Roman" w:eastAsia="Times New Roman" w:hAnsi="Times New Roman"/>
          <w:sz w:val="22"/>
          <w:szCs w:val="22"/>
          <w:b w:val="1"/>
          <w:bCs w:val="1"/>
          <w:color w:val="auto"/>
        </w:rPr>
        <w:t>Payments</w:t>
      </w:r>
      <w:r>
        <w:rPr>
          <w:rFonts w:ascii="Times New Roman" w:cs="Times New Roman" w:eastAsia="Times New Roman" w:hAnsi="Times New Roman"/>
          <w:sz w:val="22"/>
          <w:szCs w:val="22"/>
          <w:color w:val="auto"/>
        </w:rPr>
        <w:t>”) would subject Executive to the excise tax under Section 4999 of the Code, the Accounting Firm (as defined below) shall determine whether to reduce any of the Payments paid or payable pursuant to this Agreement (the “</w:t>
      </w:r>
      <w:r>
        <w:rPr>
          <w:rFonts w:ascii="Times New Roman" w:cs="Times New Roman" w:eastAsia="Times New Roman" w:hAnsi="Times New Roman"/>
          <w:sz w:val="22"/>
          <w:szCs w:val="22"/>
          <w:b w:val="1"/>
          <w:bCs w:val="1"/>
          <w:color w:val="auto"/>
        </w:rPr>
        <w:t>Agreement Payments</w:t>
      </w:r>
      <w:r>
        <w:rPr>
          <w:rFonts w:ascii="Times New Roman" w:cs="Times New Roman" w:eastAsia="Times New Roman" w:hAnsi="Times New Roman"/>
          <w:sz w:val="22"/>
          <w:szCs w:val="22"/>
          <w:color w:val="auto"/>
        </w:rPr>
        <w:t>”) so that the Parachute Value (as defined below) of all Payments, in the aggregate, equals the Safe Harbor Amount (as defined below). The Agreement Payments shall be so reduced only if the Accounting Firm determines that Executive would have a greater Net After-Tax Receipt (as defined below) of aggregate Payments if the Agreement Payments were so reduced. If the Accounting Firm determines that Executive would not have a greater Net After-Tax Receipt (as defined below) of aggregate Payments if the Agreement Payments were so reduced, Executive shall receive all Agreement Payments to which Executive is entitled hereunder.</w:t>
      </w:r>
    </w:p>
    <w:p>
      <w:pPr>
        <w:spacing w:after="0" w:line="187"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Accounting Firm determines that aggregate Agreement Payments should be reduced so that the Parachute Value of all Payments, in the aggregate, equals the Safe Harbor Amount, the Company shall promptly give Executive notice to that effect and a copy of the detailed calculation thereof. All determinations made by the Accounting Firm under this Section 8 shall be binding upon the Company and its Affiliates and Executive and shall be made as soon as reasonably practicable and in no event later than 15 days following the Date of Termination. For purposes of reducing the Agreement Payments so that the Parachute Value of all Payments, in the aggregate, equals the Safe Harbor Amount, only amounts payable under this Agreement (and no other Payments) shall be reduced. The reduction of the amounts payable hereunder, if applicable, shall be made by reducing the payments and benefits under the following sections in the following order: (i) cash payments that may not be valued under Treas. Reg. § 1.280G-1, Q&amp;A-24(c) (“</w:t>
      </w:r>
      <w:r>
        <w:rPr>
          <w:rFonts w:ascii="Times New Roman" w:cs="Times New Roman" w:eastAsia="Times New Roman" w:hAnsi="Times New Roman"/>
          <w:sz w:val="21"/>
          <w:szCs w:val="21"/>
          <w:b w:val="1"/>
          <w:bCs w:val="1"/>
          <w:color w:val="auto"/>
        </w:rPr>
        <w:t>24(c)</w:t>
      </w:r>
      <w:r>
        <w:rPr>
          <w:rFonts w:ascii="Times New Roman" w:cs="Times New Roman" w:eastAsia="Times New Roman" w:hAnsi="Times New Roman"/>
          <w:sz w:val="21"/>
          <w:szCs w:val="21"/>
          <w:color w:val="auto"/>
        </w:rPr>
        <w:t>”); (ii) equity-based payments that may not be valued under 24(c); (iii) cash payments that may be valued under 24(c); (iv) equity-based payments that may be valued under 24(c); and (v) other types of benefits. With respect to each category of the foregoing, such reduction shall occur first with respect to amounts that are not “deferred compensation” within the meaning of Section 409A of the Code and next with respect to payments that are deferred compensation, in each case, beginning with payments or benefits that are to be paid the farthest in time from the determination of the Accounting Firm. All reasonable fees and expenses of the Accounting Firm shall be borne solely by the Company.</w:t>
      </w:r>
    </w:p>
    <w:p>
      <w:pPr>
        <w:spacing w:after="0" w:line="175" w:lineRule="exact"/>
        <w:rPr>
          <w:rFonts w:ascii="Times New Roman" w:cs="Times New Roman" w:eastAsia="Times New Roman" w:hAnsi="Times New Roman"/>
          <w:sz w:val="21"/>
          <w:szCs w:val="21"/>
          <w:color w:val="auto"/>
        </w:rPr>
      </w:pPr>
    </w:p>
    <w:p>
      <w:pPr>
        <w:jc w:val="both"/>
        <w:ind w:firstLine="1304"/>
        <w:spacing w:after="0" w:line="235" w:lineRule="auto"/>
        <w:tabs>
          <w:tab w:leader="none" w:pos="194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result of the uncertainty in the application of Section 4999 of the Code at the time of the initial determination by the Accounting Firm hereunder, it is possible that amounts shall have been paid or distributed by the Company to or for the benefit of Executive pursuant to this Agreement that should not have been so paid or distributed (each, an “</w:t>
      </w:r>
      <w:r>
        <w:rPr>
          <w:rFonts w:ascii="Times New Roman" w:cs="Times New Roman" w:eastAsia="Times New Roman" w:hAnsi="Times New Roman"/>
          <w:sz w:val="22"/>
          <w:szCs w:val="22"/>
          <w:b w:val="1"/>
          <w:bCs w:val="1"/>
          <w:color w:val="auto"/>
        </w:rPr>
        <w:t>Overpayment</w:t>
      </w:r>
      <w:r>
        <w:rPr>
          <w:rFonts w:ascii="Times New Roman" w:cs="Times New Roman" w:eastAsia="Times New Roman" w:hAnsi="Times New Roman"/>
          <w:sz w:val="22"/>
          <w:szCs w:val="22"/>
          <w:color w:val="auto"/>
        </w:rPr>
        <w:t>”) or that additional amounts that shall have not been paid or distributed by the Company to or for the benefit of Executive pursuant to this Agreement could have been so paid or distributed (each, an “</w:t>
      </w:r>
      <w:r>
        <w:rPr>
          <w:rFonts w:ascii="Times New Roman" w:cs="Times New Roman" w:eastAsia="Times New Roman" w:hAnsi="Times New Roman"/>
          <w:sz w:val="22"/>
          <w:szCs w:val="22"/>
          <w:b w:val="1"/>
          <w:bCs w:val="1"/>
          <w:color w:val="auto"/>
        </w:rPr>
        <w:t>Underpayment</w:t>
      </w:r>
      <w:r>
        <w:rPr>
          <w:rFonts w:ascii="Times New Roman" w:cs="Times New Roman" w:eastAsia="Times New Roman" w:hAnsi="Times New Roman"/>
          <w:sz w:val="22"/>
          <w:szCs w:val="22"/>
          <w:color w:val="auto"/>
        </w:rPr>
        <w:t>”), in each case, consistent with the calculation of the Reduced Amount hereunder. In the event that the Accounting Firm, based upon the assertion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2" w:name="page123"/>
    <w:bookmarkEnd w:id="122"/>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deficiency by the Internal Revenue Service against the Company or Executive that the Accounting Firm believes has a high probability of success determines that an Overpayment has been made, any such Overpayment paid or distributed by the Company to or for the benefit of Executive shall be repaid by Executive to the Company (as applicable) together with interest at the applicable federal rate provided for in Section 7872(f)(2) of the Code;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repayment shall be required if and to the extent such deemed repayment would not either reduce the amount on which Executive is subject to tax under Section 1 and Section 4999 of the Code or generate a refund of such taxes. In the event that the Accounting Firm, based upon controlling precedent or substantial authority, determines that an Underpayment has occurred, any such Underpayment shall be promptly paid by the Company to or for the benefit of Executive together with interest at the applicable federal rate provided for in Section 7872(f)(2) of the Code.</w:t>
      </w:r>
    </w:p>
    <w:p>
      <w:pPr>
        <w:spacing w:after="0" w:line="179" w:lineRule="exact"/>
        <w:rPr>
          <w:sz w:val="20"/>
          <w:szCs w:val="20"/>
          <w:color w:val="auto"/>
        </w:rPr>
      </w:pPr>
    </w:p>
    <w:p>
      <w:pPr>
        <w:jc w:val="both"/>
        <w:ind w:firstLine="1304"/>
        <w:spacing w:after="0" w:line="246" w:lineRule="auto"/>
        <w:tabs>
          <w:tab w:leader="none" w:pos="1944"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requested by Executive, the Company shall cooperate with Executive in good faith in valuing, and the Accounting Firm shall take into account the value of, services provided or to be provided by Executive (including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Q&amp;A-44 of the final regulations under Section 280G of the Code and/or exempt from the definition of the term “parachute payment” within the meaning of Q&amp;A-2(a) of the final regulations under Section 280G of the Code in accordance with Q&amp;A-5(a) of the final regulations under Section 280G of the Code.</w:t>
      </w:r>
    </w:p>
    <w:p>
      <w:pPr>
        <w:spacing w:after="0" w:line="175"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terms shall have the following meanings for purposes of this Section 8:</w:t>
      </w:r>
    </w:p>
    <w:p>
      <w:pPr>
        <w:spacing w:after="0" w:line="202" w:lineRule="exact"/>
        <w:rPr>
          <w:rFonts w:ascii="Times New Roman" w:cs="Times New Roman" w:eastAsia="Times New Roman" w:hAnsi="Times New Roman"/>
          <w:sz w:val="22"/>
          <w:szCs w:val="22"/>
          <w:color w:val="auto"/>
        </w:rPr>
      </w:pPr>
    </w:p>
    <w:p>
      <w:pPr>
        <w:jc w:val="both"/>
        <w:ind w:firstLine="1952"/>
        <w:spacing w:after="0" w:line="237" w:lineRule="auto"/>
        <w:tabs>
          <w:tab w:leader="none" w:pos="2592"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Accounting Firm</w:t>
      </w:r>
      <w:r>
        <w:rPr>
          <w:rFonts w:ascii="Times New Roman" w:cs="Times New Roman" w:eastAsia="Times New Roman" w:hAnsi="Times New Roman"/>
          <w:sz w:val="22"/>
          <w:szCs w:val="22"/>
          <w:color w:val="auto"/>
        </w:rPr>
        <w:t>” shall mean a nationally recognized certified public accounting firm or other professional organization that is recognized as an expert in determinations and calculations for purposes of Section 280G of the Code that is selected by the Company prior to the transaction resulting in the application (or potential application) of Section 280G of the Code for purposes of making the applicable determinations hereunder, which firm shall not, without Executive’s consent, be a firm serving as accountant or auditor for the person effecting such transaction.</w:t>
      </w:r>
    </w:p>
    <w:p>
      <w:pPr>
        <w:spacing w:after="0" w:line="175" w:lineRule="exact"/>
        <w:rPr>
          <w:rFonts w:ascii="Times New Roman" w:cs="Times New Roman" w:eastAsia="Times New Roman" w:hAnsi="Times New Roman"/>
          <w:sz w:val="22"/>
          <w:szCs w:val="22"/>
          <w:color w:val="auto"/>
        </w:rPr>
      </w:pPr>
    </w:p>
    <w:p>
      <w:pPr>
        <w:jc w:val="both"/>
        <w:ind w:firstLine="1952"/>
        <w:spacing w:after="0" w:line="237" w:lineRule="auto"/>
        <w:tabs>
          <w:tab w:leader="none" w:pos="2592"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After-Tax Receipt</w:t>
      </w:r>
      <w:r>
        <w:rPr>
          <w:rFonts w:ascii="Times New Roman" w:cs="Times New Roman" w:eastAsia="Times New Roman" w:hAnsi="Times New Roman"/>
          <w:sz w:val="22"/>
          <w:szCs w:val="22"/>
          <w:color w:val="auto"/>
        </w:rPr>
        <w:t>” shall mean the present value (as determined in accordance with Sections 280G(b)(2)(A)(ii) and 280G(d)(4) of the Code) of a Payment net of all taxes imposed on Executive with respect thereto under Sections 1 and 4999 of the Code and under applicable state and local laws, determined by applying the highest marginal rate under Section 1 of the Code and under state and local laws which applied to Executive’s taxable income for the immediately preceding taxable year, or such other rate(s) as the Accounting Firm determines to be likely to apply to Executive in the relevant tax year(s).</w:t>
      </w:r>
    </w:p>
    <w:p>
      <w:pPr>
        <w:spacing w:after="0" w:line="175" w:lineRule="exact"/>
        <w:rPr>
          <w:rFonts w:ascii="Times New Roman" w:cs="Times New Roman" w:eastAsia="Times New Roman" w:hAnsi="Times New Roman"/>
          <w:sz w:val="22"/>
          <w:szCs w:val="22"/>
          <w:color w:val="auto"/>
        </w:rPr>
      </w:pPr>
    </w:p>
    <w:p>
      <w:pPr>
        <w:jc w:val="both"/>
        <w:ind w:right="20" w:firstLine="1952"/>
        <w:spacing w:after="0" w:line="246" w:lineRule="auto"/>
        <w:tabs>
          <w:tab w:leader="none" w:pos="2592"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Parachute Value</w:t>
      </w:r>
      <w:r>
        <w:rPr>
          <w:rFonts w:ascii="Times New Roman" w:cs="Times New Roman" w:eastAsia="Times New Roman" w:hAnsi="Times New Roman"/>
          <w:sz w:val="22"/>
          <w:szCs w:val="22"/>
          <w:color w:val="auto"/>
        </w:rPr>
        <w:t>” of a Payment shall mean the present value as of the date of the change of control for purposes of Section 280G of the Code of the portion of such Payment that constitutes a “parachute payment” under Section 280G(b)(2) of the Code,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3" w:name="page124"/>
    <w:bookmarkEnd w:id="123"/>
    <w:p>
      <w:pPr>
        <w:ind w:right="20"/>
        <w:spacing w:after="0" w:line="258" w:lineRule="auto"/>
        <w:rPr>
          <w:sz w:val="20"/>
          <w:szCs w:val="20"/>
          <w:color w:val="auto"/>
        </w:rPr>
      </w:pPr>
      <w:r>
        <w:rPr>
          <w:rFonts w:ascii="Times New Roman" w:cs="Times New Roman" w:eastAsia="Times New Roman" w:hAnsi="Times New Roman"/>
          <w:sz w:val="22"/>
          <w:szCs w:val="22"/>
          <w:color w:val="auto"/>
        </w:rPr>
        <w:t>determined by the Accounting Firm for purposes of determining whether and to what extent the excise tax under Section 4999 of the Code shall apply to such Payment.</w:t>
      </w:r>
    </w:p>
    <w:p>
      <w:pPr>
        <w:spacing w:after="0" w:line="154" w:lineRule="exact"/>
        <w:rPr>
          <w:sz w:val="20"/>
          <w:szCs w:val="20"/>
          <w:color w:val="auto"/>
        </w:rPr>
      </w:pPr>
    </w:p>
    <w:p>
      <w:pPr>
        <w:ind w:firstLine="1952"/>
        <w:spacing w:after="0" w:line="262" w:lineRule="auto"/>
        <w:tabs>
          <w:tab w:leader="none" w:pos="2592"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Safe Harbor Amount</w:t>
      </w:r>
      <w:r>
        <w:rPr>
          <w:rFonts w:ascii="Times New Roman" w:cs="Times New Roman" w:eastAsia="Times New Roman" w:hAnsi="Times New Roman"/>
          <w:sz w:val="22"/>
          <w:szCs w:val="22"/>
          <w:color w:val="auto"/>
        </w:rPr>
        <w:t>” shall mean 2.99 times Executive’s “base amount,” within the meaning of Section 280G(b)(3) of the Code.</w:t>
      </w:r>
    </w:p>
    <w:p>
      <w:pPr>
        <w:spacing w:after="0" w:line="149"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4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w:t>
      </w:r>
      <w:r>
        <w:rPr>
          <w:rFonts w:ascii="Times New Roman" w:cs="Times New Roman" w:eastAsia="Times New Roman" w:hAnsi="Times New Roman"/>
          <w:sz w:val="22"/>
          <w:szCs w:val="22"/>
          <w:color w:val="auto"/>
        </w:rPr>
        <w:t>. This Agreement is personal to Executive and without the prior written consent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Company shall not be assignable by Executive otherwise than by will or the laws of descent and distribution. This Agreement shall inure to the benefit of and be enforceable by Executive’s legal representatives. This Agreement shall inure to the benefit of and be binding upon the Company and its respective successors and assigns. As used in this Agreement, “Company” shall mean the Company as hereinbefore defined and any successor to its businesses and/or assets as aforesaid which assumes and agrees to perform this Agreement by operation of law, or otherwise.</w:t>
      </w:r>
    </w:p>
    <w:p>
      <w:pPr>
        <w:spacing w:after="0" w:line="175" w:lineRule="exact"/>
        <w:rPr>
          <w:rFonts w:ascii="Times New Roman" w:cs="Times New Roman" w:eastAsia="Times New Roman" w:hAnsi="Times New Roman"/>
          <w:sz w:val="22"/>
          <w:szCs w:val="22"/>
          <w:color w:val="auto"/>
        </w:rPr>
      </w:pPr>
    </w:p>
    <w:p>
      <w:pPr>
        <w:jc w:val="both"/>
        <w:ind w:firstLine="1304"/>
        <w:spacing w:after="0" w:line="233" w:lineRule="auto"/>
        <w:tabs>
          <w:tab w:leader="none" w:pos="194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color w:val="auto"/>
        </w:rPr>
        <w:t>. The Company shall indemnify Executive and hold him harmless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fullest extent permitted by the laws of the State of Delaware against and in respect of any and all actions, suits, proceedings, claims, demands, judgments, costs, expenses, losses and damages resulting from Executive’s good-faith performance of Executive’s duties and obligations with the Company and its Affiliates. The Company shall cover Executive under directors’ and officers’ liability insurance both during and, while potential liability exists, after employment in the same amount and to the same extent as the Company covers its other officers and directors. These obligations shall survive the termination of Executive’s employment with the Company and its Affiliates. If any proceeding is brought or threatened against Executive in respect of which indemnity may be sought against the Company or its Affiliates pursuant to the foregoing, Executive shall notify the Company promptly in writing of the institution of such proceeding and the Company and its Affiliates shall assume the defense thereof and the employment of counsel and payment of all fees and expenses;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 conflict of interest exists between the Company or the applicable Affiliate and Executive such that it is not legally practicable for the Company or the applicable Affiliate to assume Executive’s defense, Executive shall be entitled to retain separate counsel, and the Company or the applicable Affiliate shall assume payment of all reasonable fees and expenses of such counsel.</w:t>
      </w:r>
    </w:p>
    <w:p>
      <w:pPr>
        <w:spacing w:after="0" w:line="17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304"/>
        <w:spacing w:after="0" w:line="234" w:lineRule="auto"/>
        <w:tabs>
          <w:tab w:leader="none" w:pos="194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 and Dispute Resolution</w:t>
      </w:r>
      <w:r>
        <w:rPr>
          <w:rFonts w:ascii="Times New Roman" w:cs="Times New Roman" w:eastAsia="Times New Roman" w:hAnsi="Times New Roman"/>
          <w:sz w:val="22"/>
          <w:szCs w:val="22"/>
          <w:color w:val="auto"/>
        </w:rPr>
        <w:t>. This Agreement shall be governed by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construed in accordance with the laws of the State of Arkansas, without reference to principles of conflict of 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rights to indemnification shall be governed by and in accordance with the laws of the State of Delaware. The Parties irrevocably submit to the jurisdiction of any state or federal court sitting in or for Little Rock, Arkansas with respect to any dispute arising out of or relating to this Agreement or the Release, and each party irrevocably agrees that all claims in respect of such dispute or proceeding shall be heard and determined in such courts. The Parties hereby irrevocably waive, to the fullest extent permitted by law, any objection that they may now or hereafter have to the venue of any dispute arising out of or relating to this Agreement or the transactions contemplated hereby brought in such court or any defense of inconvenient forum for the maintenance of such dispute or proceeding. Each party agrees that a judgment in any such dispute may be enforced in other jurisdictions by suit on the judgment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4" w:name="page125"/>
    <w:bookmarkEnd w:id="124"/>
    <w:p>
      <w:pPr>
        <w:jc w:val="both"/>
        <w:spacing w:after="0" w:line="236" w:lineRule="auto"/>
        <w:rPr>
          <w:sz w:val="20"/>
          <w:szCs w:val="20"/>
          <w:color w:val="auto"/>
        </w:rPr>
      </w:pPr>
      <w:r>
        <w:rPr>
          <w:rFonts w:ascii="Times New Roman" w:cs="Times New Roman" w:eastAsia="Times New Roman" w:hAnsi="Times New Roman"/>
          <w:sz w:val="22"/>
          <w:szCs w:val="22"/>
          <w:color w:val="auto"/>
        </w:rPr>
        <w:t>any other manner provided by law. THE PARTIES HEREBY WAIVE A TRIAL BY JURY IN ANY ACTION, PROCEEDING, CLAIM OR COUNTER CLAIM BROUGHT OR ASSERTED BY EITHER OF THE PARTIES HERETO AGAINST THE OTHER ON ANY MATTERS WHATSOEVER ARISING OUT OF OR IN ANY WAY RELATED TO THIS AGREEMENT. The Company shall reimburse Executive for all reasonable legal fees and expenses incurred by Executive in seeking to obtain or enforce any right or benefit provided under this Agreement.</w:t>
      </w:r>
    </w:p>
    <w:p>
      <w:pPr>
        <w:spacing w:after="0" w:line="177" w:lineRule="exact"/>
        <w:rPr>
          <w:sz w:val="20"/>
          <w:szCs w:val="20"/>
          <w:color w:val="auto"/>
        </w:rPr>
      </w:pPr>
    </w:p>
    <w:p>
      <w:pPr>
        <w:jc w:val="both"/>
        <w:ind w:firstLine="1304"/>
        <w:spacing w:after="0" w:line="246" w:lineRule="auto"/>
        <w:tabs>
          <w:tab w:leader="none" w:pos="194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All notices and other communications hereunder shall be in writing and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given by hand delivery to the other party or by registered or certified mail, return receipt requested, postage prepaid, addressed as follows: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If to Executive</w:t>
      </w:r>
      <w:r>
        <w:rPr>
          <w:rFonts w:ascii="Times New Roman" w:cs="Times New Roman" w:eastAsia="Times New Roman" w:hAnsi="Times New Roman"/>
          <w:sz w:val="22"/>
          <w:szCs w:val="22"/>
          <w:color w:val="auto"/>
        </w:rPr>
        <w:t>: To the most recent address on file with the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If to the Company</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Westrock Coffee Company</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100 River Bluff Drive, Suite 210</w:t>
      </w:r>
    </w:p>
    <w:p>
      <w:pPr>
        <w:ind w:left="1300"/>
        <w:spacing w:after="0" w:line="230" w:lineRule="auto"/>
        <w:rPr>
          <w:sz w:val="20"/>
          <w:szCs w:val="20"/>
          <w:color w:val="auto"/>
        </w:rPr>
      </w:pPr>
      <w:r>
        <w:rPr>
          <w:rFonts w:ascii="Times New Roman" w:cs="Times New Roman" w:eastAsia="Times New Roman" w:hAnsi="Times New Roman"/>
          <w:sz w:val="22"/>
          <w:szCs w:val="22"/>
          <w:color w:val="auto"/>
        </w:rPr>
        <w:t>Little Rock, AR 72202</w:t>
      </w:r>
    </w:p>
    <w:p>
      <w:pPr>
        <w:ind w:left="1300"/>
        <w:spacing w:after="0" w:line="231" w:lineRule="auto"/>
        <w:rPr>
          <w:sz w:val="20"/>
          <w:szCs w:val="20"/>
          <w:color w:val="auto"/>
        </w:rPr>
      </w:pPr>
      <w:r>
        <w:rPr>
          <w:rFonts w:ascii="Times New Roman" w:cs="Times New Roman" w:eastAsia="Times New Roman" w:hAnsi="Times New Roman"/>
          <w:sz w:val="22"/>
          <w:szCs w:val="22"/>
          <w:color w:val="auto"/>
        </w:rPr>
        <w:t>Attn: Chief Legal Officer</w:t>
      </w:r>
    </w:p>
    <w:p>
      <w:pPr>
        <w:ind w:left="1300"/>
        <w:spacing w:after="0" w:line="230" w:lineRule="auto"/>
        <w:rPr>
          <w:sz w:val="20"/>
          <w:szCs w:val="20"/>
          <w:color w:val="auto"/>
        </w:rPr>
      </w:pPr>
      <w:r>
        <w:rPr>
          <w:rFonts w:ascii="Times New Roman" w:cs="Times New Roman" w:eastAsia="Times New Roman" w:hAnsi="Times New Roman"/>
          <w:sz w:val="22"/>
          <w:szCs w:val="22"/>
          <w:color w:val="auto"/>
        </w:rPr>
        <w:t>Email: mckinneyb@westrockcoffee.com</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Phone: 704-782-3121</w:t>
      </w: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or to such other address as either party shall have furnished to the other in writing in accordance herewith. Notice and communications shall be effective when actually received by the addressee.</w:t>
      </w:r>
    </w:p>
    <w:p>
      <w:pPr>
        <w:spacing w:after="0" w:line="154" w:lineRule="exact"/>
        <w:rPr>
          <w:sz w:val="20"/>
          <w:szCs w:val="20"/>
          <w:color w:val="auto"/>
        </w:rPr>
      </w:pPr>
    </w:p>
    <w:p>
      <w:pPr>
        <w:jc w:val="both"/>
        <w:ind w:firstLine="1304"/>
        <w:spacing w:after="0" w:line="235" w:lineRule="auto"/>
        <w:tabs>
          <w:tab w:leader="none" w:pos="194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Acknowledgements</w:t>
      </w:r>
      <w:r>
        <w:rPr>
          <w:rFonts w:ascii="Times New Roman" w:cs="Times New Roman" w:eastAsia="Times New Roman" w:hAnsi="Times New Roman"/>
          <w:sz w:val="22"/>
          <w:szCs w:val="22"/>
          <w:color w:val="auto"/>
        </w:rPr>
        <w:t>. Prior to execution of this Agreement, Executive was advised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of Executive’s right to seek independent advice from an attorney of Executive’s own selection regarding this Agreement. Executive acknowledges that Executive has entered into this Agreement knowingly and voluntarily and with full knowledge and understanding of the provisions of this Agreement after being given the opportunity to consult with counsel. Executive further represents that, in entering into this Agreement, Executive is not relying on any statements or representations made by any of the directors, officers, employees or agents of the Company that are not expressly set forth herein, and that Executive is relying only upon Executive’s own judgment and any advice provided by Executive’s attorney.</w:t>
      </w:r>
    </w:p>
    <w:p>
      <w:pPr>
        <w:spacing w:after="0" w:line="178"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Invalidity</w:t>
      </w:r>
      <w:r>
        <w:rPr>
          <w:rFonts w:ascii="Times New Roman" w:cs="Times New Roman" w:eastAsia="Times New Roman" w:hAnsi="Times New Roman"/>
          <w:sz w:val="22"/>
          <w:szCs w:val="22"/>
          <w:color w:val="auto"/>
        </w:rPr>
        <w:t>. If any term or provision of this Agreement or the application thereof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or circumstance shall to any extent be invalid or unenforceable, the remainder of this Agreement or the application of such term or provision to persons or circumstances other than those to which it is invalid or unenforceable shall not be affected thereby, and each term and provision of this Agreement shall be valid and be enforced to the fullest extent permitted by law.</w:t>
      </w:r>
    </w:p>
    <w:p>
      <w:pPr>
        <w:spacing w:after="0" w:line="176"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4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Survivability</w:t>
      </w:r>
      <w:r>
        <w:rPr>
          <w:rFonts w:ascii="Times New Roman" w:cs="Times New Roman" w:eastAsia="Times New Roman" w:hAnsi="Times New Roman"/>
          <w:sz w:val="22"/>
          <w:szCs w:val="22"/>
          <w:color w:val="auto"/>
        </w:rPr>
        <w:t>. The provisions of this Agreement that by their terms call for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subsequent to the termination of either Executive’s employment or this Agreement (including the terms of Sections 5, 7, 8 and 10) shall so survive such termination.</w:t>
      </w:r>
    </w:p>
    <w:p>
      <w:pPr>
        <w:spacing w:after="0" w:line="167" w:lineRule="exact"/>
        <w:rPr>
          <w:rFonts w:ascii="Times New Roman" w:cs="Times New Roman" w:eastAsia="Times New Roman" w:hAnsi="Times New Roman"/>
          <w:sz w:val="22"/>
          <w:szCs w:val="22"/>
          <w:color w:val="auto"/>
        </w:rPr>
      </w:pPr>
    </w:p>
    <w:p>
      <w:pPr>
        <w:ind w:firstLine="1304"/>
        <w:spacing w:after="0" w:line="262" w:lineRule="auto"/>
        <w:tabs>
          <w:tab w:leader="none" w:pos="194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Headings; Construction</w:t>
      </w:r>
      <w:r>
        <w:rPr>
          <w:rFonts w:ascii="Times New Roman" w:cs="Times New Roman" w:eastAsia="Times New Roman" w:hAnsi="Times New Roman"/>
          <w:sz w:val="22"/>
          <w:szCs w:val="22"/>
          <w:color w:val="auto"/>
        </w:rPr>
        <w:t>. The section headings used in this Agreement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included solely for convenience and shall not affect, or be used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5" w:name="page126"/>
    <w:bookmarkEnd w:id="125"/>
    <w:p>
      <w:pPr>
        <w:spacing w:after="0" w:line="258" w:lineRule="auto"/>
        <w:rPr>
          <w:sz w:val="20"/>
          <w:szCs w:val="20"/>
          <w:color w:val="auto"/>
        </w:rPr>
      </w:pPr>
      <w:r>
        <w:rPr>
          <w:rFonts w:ascii="Times New Roman" w:cs="Times New Roman" w:eastAsia="Times New Roman" w:hAnsi="Times New Roman"/>
          <w:sz w:val="22"/>
          <w:szCs w:val="22"/>
          <w:color w:val="auto"/>
        </w:rPr>
        <w:t>the interpretation hereof. For purposes of this Agreement, the term “including” shall mean “including, without limitation.”</w:t>
      </w:r>
    </w:p>
    <w:p>
      <w:pPr>
        <w:spacing w:after="0" w:line="154" w:lineRule="exact"/>
        <w:rPr>
          <w:sz w:val="20"/>
          <w:szCs w:val="20"/>
          <w:color w:val="auto"/>
        </w:rPr>
      </w:pPr>
    </w:p>
    <w:p>
      <w:pPr>
        <w:ind w:firstLine="1304"/>
        <w:spacing w:after="0" w:line="262" w:lineRule="auto"/>
        <w:tabs>
          <w:tab w:leader="none" w:pos="194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several counterparts, each of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deemed to be an original but all of which together shall constitute one and the same instrument.</w:t>
      </w:r>
    </w:p>
    <w:p>
      <w:pPr>
        <w:spacing w:after="0" w:line="149"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4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Tax Withholding</w:t>
      </w:r>
      <w:r>
        <w:rPr>
          <w:rFonts w:ascii="Times New Roman" w:cs="Times New Roman" w:eastAsia="Times New Roman" w:hAnsi="Times New Roman"/>
          <w:sz w:val="22"/>
          <w:szCs w:val="22"/>
          <w:color w:val="auto"/>
        </w:rPr>
        <w:t>. The Company may withhold from any amounts payable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such Federal, state, local or foreign taxes as shall be required to be withheld pursuant to any applicable law or regulation.</w:t>
      </w:r>
    </w:p>
    <w:p>
      <w:pPr>
        <w:spacing w:after="0" w:line="16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952"/>
        <w:spacing w:after="0" w:line="233" w:lineRule="auto"/>
        <w:tabs>
          <w:tab w:leader="none" w:pos="2592"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General</w:t>
      </w:r>
      <w:r>
        <w:rPr>
          <w:rFonts w:ascii="Times New Roman" w:cs="Times New Roman" w:eastAsia="Times New Roman" w:hAnsi="Times New Roman"/>
          <w:sz w:val="22"/>
          <w:szCs w:val="22"/>
          <w:color w:val="auto"/>
        </w:rPr>
        <w:t>. It is intended that payments and benefits made or provided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not result in penalty taxes or accelerated taxation pursuant to Section 409A of the Code. Any payments that qualify for the “short-term deferral” exception, the separation pay exception or another exception under Section 409A of the Code shall be paid under the applicable exception. For purposes of the limitations on nonqualified deferred compensation under Section 409A of the Code, each payment of compensation under this Agreement shall be treated as a separate payment of compensation. All payments to be made upon a termination of employment under this Agreement may only be made upon a “separation from service” under Section 409A of the Code to the extent necessary in order to avoid the imposition of penalty taxes on Executive pursuant to Section 409A of the Code. In no event may Executive, directly or indirectly, designate the calendar year of any payment under this Agreement, and to the extent required by Section 409A of the Code, any payment that may be paid in more than one taxable year (depending on the time that Executive executes the Release) shall be paid in the later taxable year.</w:t>
      </w:r>
    </w:p>
    <w:p>
      <w:pPr>
        <w:spacing w:after="0" w:line="184" w:lineRule="exact"/>
        <w:rPr>
          <w:rFonts w:ascii="Times New Roman" w:cs="Times New Roman" w:eastAsia="Times New Roman" w:hAnsi="Times New Roman"/>
          <w:sz w:val="22"/>
          <w:szCs w:val="22"/>
          <w:color w:val="auto"/>
        </w:rPr>
      </w:pPr>
    </w:p>
    <w:p>
      <w:pPr>
        <w:jc w:val="both"/>
        <w:ind w:firstLine="1952"/>
        <w:spacing w:after="0" w:line="234" w:lineRule="auto"/>
        <w:tabs>
          <w:tab w:leader="none" w:pos="2592"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Reimbursements and In-Kind Benefits</w:t>
      </w:r>
      <w:r>
        <w:rPr>
          <w:rFonts w:ascii="Times New Roman" w:cs="Times New Roman" w:eastAsia="Times New Roman" w:hAnsi="Times New Roman"/>
          <w:sz w:val="22"/>
          <w:szCs w:val="22"/>
          <w:color w:val="auto"/>
        </w:rPr>
        <w:t>. Notwithstanding anything to the contrary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this Agreement, all reimbursements and in-kind benefits provided under this Agreement that are subject to Section 409A of the Code shall be made in accordance with the requirements of Section 409A of the Code, including, where applicable, the requirement that (A) any reimbursement is for expenses incurred during Executive’s lifetime (or during a shorter period of time specified in this Agreement); (B) the amount of expenses eligible for reimbursement, or in-kind benefits provided, during a calendar year may not affect the expenses eligible for reimbursement, or in-kind benefits to be provided, in any other calendar year; (C) the reimbursement of an eligible expense shall be made no later than the last day of the calendar year following the year in which the expense is incurred; and (D) the right to reimbursement or in-kind benefits is not subject to liquidation or exchange for another benefit.</w:t>
      </w:r>
    </w:p>
    <w:p>
      <w:pPr>
        <w:spacing w:after="0" w:line="179" w:lineRule="exact"/>
        <w:rPr>
          <w:rFonts w:ascii="Times New Roman" w:cs="Times New Roman" w:eastAsia="Times New Roman" w:hAnsi="Times New Roman"/>
          <w:sz w:val="22"/>
          <w:szCs w:val="22"/>
          <w:color w:val="auto"/>
        </w:rPr>
      </w:pPr>
    </w:p>
    <w:p>
      <w:pPr>
        <w:jc w:val="both"/>
        <w:ind w:firstLine="1952"/>
        <w:spacing w:after="0" w:line="237" w:lineRule="auto"/>
        <w:tabs>
          <w:tab w:leader="none" w:pos="2592"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Delay of Payments</w:t>
      </w:r>
      <w:r>
        <w:rPr>
          <w:rFonts w:ascii="Times New Roman" w:cs="Times New Roman" w:eastAsia="Times New Roman" w:hAnsi="Times New Roman"/>
          <w:sz w:val="22"/>
          <w:szCs w:val="22"/>
          <w:color w:val="auto"/>
        </w:rPr>
        <w:t>. Notwithstanding any other provision of this Agreement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contrary, if Executive is considered a “specified employee” for purposes of Section 409A of the Code (as determined in accordance with the methodology established by the Company and its Affiliates as in effect on the Termination Date), any payment that constitutes nonqualified deferred compensation within the meaning of Section 409A of the Code that is otherwise due to Executive under this Agreement during the six-month period immediately following Executive’s separation from service (as determined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6" w:name="page127"/>
    <w:bookmarkEnd w:id="126"/>
    <w:p>
      <w:pPr>
        <w:jc w:val="both"/>
        <w:spacing w:after="0" w:line="249" w:lineRule="auto"/>
        <w:rPr>
          <w:sz w:val="20"/>
          <w:szCs w:val="20"/>
          <w:color w:val="auto"/>
        </w:rPr>
      </w:pPr>
      <w:r>
        <w:rPr>
          <w:rFonts w:ascii="Times New Roman" w:cs="Times New Roman" w:eastAsia="Times New Roman" w:hAnsi="Times New Roman"/>
          <w:sz w:val="21"/>
          <w:szCs w:val="21"/>
          <w:color w:val="auto"/>
        </w:rPr>
        <w:t>Section 409A of the Code) on account of Executive’s separation from service shall be accumulated and paid to Executive on the first business day of the seventh month following Executive’s separation from service (the “</w:t>
      </w:r>
      <w:r>
        <w:rPr>
          <w:rFonts w:ascii="Times New Roman" w:cs="Times New Roman" w:eastAsia="Times New Roman" w:hAnsi="Times New Roman"/>
          <w:sz w:val="21"/>
          <w:szCs w:val="21"/>
          <w:b w:val="1"/>
          <w:bCs w:val="1"/>
          <w:color w:val="auto"/>
        </w:rPr>
        <w:t>Delayed Payment Date</w:t>
      </w:r>
      <w:r>
        <w:rPr>
          <w:rFonts w:ascii="Times New Roman" w:cs="Times New Roman" w:eastAsia="Times New Roman" w:hAnsi="Times New Roman"/>
          <w:sz w:val="21"/>
          <w:szCs w:val="21"/>
          <w:color w:val="auto"/>
        </w:rPr>
        <w:t>”), to the extent necessary to prevent the imposition of tax penalties on Executive under Section 409A of the Code. If Executive dies during the postponement period, the amounts and entitlements delayed on account of Section 409A of the Code shall be paid to the personal representative of Executive’s estate on the first to occur of the Delayed Payment Date or 30 calendar days after the date of Executive’s death.</w:t>
      </w:r>
    </w:p>
    <w:p>
      <w:pPr>
        <w:spacing w:after="0" w:line="167" w:lineRule="exact"/>
        <w:rPr>
          <w:sz w:val="20"/>
          <w:szCs w:val="20"/>
          <w:color w:val="auto"/>
        </w:rPr>
      </w:pPr>
    </w:p>
    <w:p>
      <w:pPr>
        <w:jc w:val="both"/>
        <w:ind w:firstLine="1304"/>
        <w:spacing w:after="0" w:line="236" w:lineRule="auto"/>
        <w:tabs>
          <w:tab w:leader="none" w:pos="194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color w:val="auto"/>
        </w:rPr>
        <w:t>. No provision of this Agreement shall be modified or amended except by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instrument in writing duly executed by the Parties hereto. No custom, act, payment, favor or indulgence shall be deemed a waiver by the Company of any of Executive’s obligations hereunder or release Executive therefrom. No waiver by any party of any breach by the other party of any term or provision hereof shall be deemed to be an assent or waiver by any party to or of any succeeding breach of the same or any other term or provision. This Agreement is personal to and shall not be assignable by any party, but shall inure to the benefit of the Parties hereto and their respective heirs, beneficiaries, successors and assigns.</w:t>
      </w:r>
    </w:p>
    <w:p>
      <w:pPr>
        <w:spacing w:after="0" w:line="175"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4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Agreement constitutes the entire agreement of the Parties hereto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respect of the terms and conditions of Executive’s employment with the Company and its Affiliates, including Executive’s severance entitlements, and, as of the Effective Date, supersedes and cancels in their entirety all prior understandings, agreements and commitments, whether written or oral, relating to the terms and conditions of employment between Executive, on the one hand, and the Company or its Affiliates, on the other hand. For the avoidance of doubt, this Agreement does not limit the terms of any benefit plans (including equity award agreements) of the Company or its Affiliates that are applicable Executive, except to the extent that the terms of this Agreement are more favorable to Executive.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7" w:name="page128"/>
    <w:bookmarkEnd w:id="127"/>
    <w:p>
      <w:pPr>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each of Executive and the Company have caused this Agreement to be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and delivered, effective as of the Effective Date.</w:t>
      </w:r>
    </w:p>
    <w:p>
      <w:pPr>
        <w:spacing w:after="0" w:line="17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9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Samuel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-151130</wp:posOffset>
            </wp:positionV>
            <wp:extent cx="31375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WESTROCK COFFEE COMPANY</w:t>
      </w:r>
    </w:p>
    <w:p>
      <w:pPr>
        <w:spacing w:after="0" w:line="23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10795</wp:posOffset>
            </wp:positionV>
            <wp:extent cx="28803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8">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T. Christopher Pledger</w:t>
      </w:r>
    </w:p>
    <w:p>
      <w:pPr>
        <w:spacing w:after="0" w:line="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Employment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GENERAL RELEASE OF CLAIMS</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THIS GENERAL RELEASE OF CLAIMS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is executed by Samuel Ford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date set forth on the signature page hereto. For purposes of this Release, reference is made to the Employment Agreement between Westrock Coffee Company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and Executive, dated as of [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 2022 (the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 Terms that are capitalized but not defined herein shall have the meanings set forth in the Employment Agreement.</w:t>
      </w:r>
    </w:p>
    <w:p>
      <w:pPr>
        <w:spacing w:after="0" w:line="177"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General Release and Waiver of Claims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Release</w:t>
      </w:r>
      <w:r>
        <w:rPr>
          <w:rFonts w:ascii="Times New Roman" w:cs="Times New Roman" w:eastAsia="Times New Roman" w:hAnsi="Times New Roman"/>
          <w:sz w:val="21"/>
          <w:szCs w:val="21"/>
          <w:color w:val="auto"/>
        </w:rPr>
        <w:t>. In consideration of the payments and benefits afforded under the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and after consultation with counsel, Executive and each of Executive’s respective heirs, executors, administrators, representatives, agents, successors and assigns (collectively, the “</w:t>
      </w:r>
      <w:r>
        <w:rPr>
          <w:rFonts w:ascii="Times New Roman" w:cs="Times New Roman" w:eastAsia="Times New Roman" w:hAnsi="Times New Roman"/>
          <w:sz w:val="21"/>
          <w:szCs w:val="21"/>
          <w:b w:val="1"/>
          <w:bCs w:val="1"/>
          <w:color w:val="auto"/>
        </w:rPr>
        <w:t>Releasors</w:t>
      </w:r>
      <w:r>
        <w:rPr>
          <w:rFonts w:ascii="Times New Roman" w:cs="Times New Roman" w:eastAsia="Times New Roman" w:hAnsi="Times New Roman"/>
          <w:sz w:val="21"/>
          <w:szCs w:val="21"/>
          <w:color w:val="auto"/>
        </w:rPr>
        <w:t>”) hereby irrevocably and unconditionally release and forever discharge the Company and its Affiliates and each of its officers, employees, directors and agents (“</w:t>
      </w:r>
      <w:r>
        <w:rPr>
          <w:rFonts w:ascii="Times New Roman" w:cs="Times New Roman" w:eastAsia="Times New Roman" w:hAnsi="Times New Roman"/>
          <w:sz w:val="21"/>
          <w:szCs w:val="21"/>
          <w:b w:val="1"/>
          <w:bCs w:val="1"/>
          <w:color w:val="auto"/>
        </w:rPr>
        <w:t>Releasees</w:t>
      </w:r>
      <w:r>
        <w:rPr>
          <w:rFonts w:ascii="Times New Roman" w:cs="Times New Roman" w:eastAsia="Times New Roman" w:hAnsi="Times New Roman"/>
          <w:sz w:val="21"/>
          <w:szCs w:val="21"/>
          <w:color w:val="auto"/>
        </w:rPr>
        <w:t>”) from any and all claims, actions, causes of action, rights, judgments, obligations, damages, demands, accountings or liabilities of whatever kind or character (collectively, “</w:t>
      </w:r>
      <w:r>
        <w:rPr>
          <w:rFonts w:ascii="Times New Roman" w:cs="Times New Roman" w:eastAsia="Times New Roman" w:hAnsi="Times New Roman"/>
          <w:sz w:val="21"/>
          <w:szCs w:val="21"/>
          <w:b w:val="1"/>
          <w:bCs w:val="1"/>
          <w:color w:val="auto"/>
        </w:rPr>
        <w:t>Claims</w:t>
      </w:r>
      <w:r>
        <w:rPr>
          <w:rFonts w:ascii="Times New Roman" w:cs="Times New Roman" w:eastAsia="Times New Roman" w:hAnsi="Times New Roman"/>
          <w:sz w:val="21"/>
          <w:szCs w:val="21"/>
          <w:color w:val="auto"/>
        </w:rPr>
        <w:t>”) that the Releasors may have arising out of Executive’s employment relationship with and service as an employee, officer or director of the Company and its Affiliates, and the termination of any such relationship or service, in each case up to and including the date Executive executes this Release. Executive acknowledges that the foregoing sentence includes Claims arising under Federal, state or local laws, statutes, orders or regulations that relate to the employment relationship or prohibiting employment discrimination, including Claims under Title VII of the Civil Rights Act of 1964; The Civil Rights Act of 1991; Sections 1981 through 1988 of Title 42 of the United States Code; the Employee Retirement Income Security Act of 1974; the Immigration Reform and Control Act; the Sarbanes-Oxley Act of 2002; the Americans with Disabilities Act of 1990; the Family and Medical Leave Act; the Equal Pay Act; the Fair Credit Reporting Act; Occupational Safety and Health Act; the federal Fair Labor Standards Act; and any other federal, state or local civil, human rights, bias, whistleblower, discrimination, retaliation, compensation, employment, labor or other local, state or federal law, regulation or ordinance.</w:t>
      </w:r>
    </w:p>
    <w:p>
      <w:pPr>
        <w:spacing w:after="0" w:line="173" w:lineRule="exact"/>
        <w:rPr>
          <w:rFonts w:ascii="Times New Roman" w:cs="Times New Roman" w:eastAsia="Times New Roman" w:hAnsi="Times New Roman"/>
          <w:sz w:val="21"/>
          <w:szCs w:val="21"/>
          <w:color w:val="auto"/>
        </w:rPr>
      </w:pPr>
    </w:p>
    <w:p>
      <w:pPr>
        <w:jc w:val="both"/>
        <w:ind w:firstLine="1304"/>
        <w:spacing w:after="0" w:line="233" w:lineRule="auto"/>
        <w:tabs>
          <w:tab w:leader="none" w:pos="194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Exceptions to Release</w:t>
      </w:r>
      <w:r>
        <w:rPr>
          <w:rFonts w:ascii="Times New Roman" w:cs="Times New Roman" w:eastAsia="Times New Roman" w:hAnsi="Times New Roman"/>
          <w:sz w:val="22"/>
          <w:szCs w:val="22"/>
          <w:color w:val="auto"/>
        </w:rPr>
        <w:t>. Notwithstanding anything contained herein to the contrary,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Release specifically excludes and shall not affect: (i) the obligations of the Company or its Affiliates set forth in the Employment Agreement and to be performed after the date hereof, including without limitation under in Sections 5, 8 and 10 thereof, or under any other benefit plan, agreement, arrangement or policy of the Company or its Affiliates that is applicable to Executive and that, in each case, by its terms, contains obligations that are to be performed after the date hereof by the Company or its Affiliates; (ii) any indemnification or similar rights Executive has as a current or former officer, director, employee or agent of the Company or its Affiliates, including, without limitation, any and all rights thereto under applicable law, the certificate of incorporation, bylaws or other governance documents or such entities, or any rights with respect to coverage under any directors’ and officers’ insurance policies and/or indemnification agreements; (iii) any Claim the Releasors may have as the holder or beneficial owners of securities of the Company or its Affiliates or other rights relating to securities or equity awards in respect of the common stock of the Company or its Affiliates; (iv) rights to accrued but unpaid salary, paid time off, vacation or other compensation due through the date of termination of employment; (v) any unreimbursed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1059815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9" w:name="page130"/>
    <w:bookmarkEnd w:id="129"/>
    <w:p>
      <w:pPr>
        <w:jc w:val="both"/>
        <w:spacing w:after="0" w:line="239" w:lineRule="auto"/>
        <w:rPr>
          <w:sz w:val="20"/>
          <w:szCs w:val="20"/>
          <w:color w:val="auto"/>
        </w:rPr>
      </w:pPr>
      <w:r>
        <w:rPr>
          <w:rFonts w:ascii="Times New Roman" w:cs="Times New Roman" w:eastAsia="Times New Roman" w:hAnsi="Times New Roman"/>
          <w:sz w:val="22"/>
          <w:szCs w:val="22"/>
          <w:color w:val="auto"/>
        </w:rPr>
        <w:t>business expenses; (vi) benefits or the right to seek benefits under applicable workers’ compensation and/or unemployment compensation statutes; and (vii) any Claims that may arise in the future from events or actions occurring after the date Executive executes this Release or that Executive may not by law release through an agreement such as this.</w:t>
      </w:r>
    </w:p>
    <w:p>
      <w:pPr>
        <w:spacing w:after="0" w:line="176" w:lineRule="exact"/>
        <w:rPr>
          <w:sz w:val="20"/>
          <w:szCs w:val="20"/>
          <w:color w:val="auto"/>
        </w:rPr>
      </w:pPr>
    </w:p>
    <w:p>
      <w:pPr>
        <w:jc w:val="both"/>
        <w:ind w:firstLine="1304"/>
        <w:spacing w:after="0" w:line="233" w:lineRule="auto"/>
        <w:tabs>
          <w:tab w:leader="none" w:pos="1944"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Specific Release of ADEA Claims</w:t>
      </w:r>
      <w:r>
        <w:rPr>
          <w:rFonts w:ascii="Times New Roman" w:cs="Times New Roman" w:eastAsia="Times New Roman" w:hAnsi="Times New Roman"/>
          <w:sz w:val="22"/>
          <w:szCs w:val="22"/>
          <w:color w:val="auto"/>
        </w:rPr>
        <w:t>. In further consideration of the payments and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to Executive under the Employment Agreement, the Releasors hereby unconditionally release and forever discharge the Releasees from any and all Claims that the Releasors may have as of the date Employee signs this Release arising under the Federal Age Discrimination in Employment Act of 1967, as amended, and the applicable rules and regulations promulgated thereunder (“</w:t>
      </w:r>
      <w:r>
        <w:rPr>
          <w:rFonts w:ascii="Times New Roman" w:cs="Times New Roman" w:eastAsia="Times New Roman" w:hAnsi="Times New Roman"/>
          <w:sz w:val="22"/>
          <w:szCs w:val="22"/>
          <w:b w:val="1"/>
          <w:bCs w:val="1"/>
          <w:color w:val="auto"/>
        </w:rPr>
        <w:t>ADEA</w:t>
      </w:r>
      <w:r>
        <w:rPr>
          <w:rFonts w:ascii="Times New Roman" w:cs="Times New Roman" w:eastAsia="Times New Roman" w:hAnsi="Times New Roman"/>
          <w:sz w:val="22"/>
          <w:szCs w:val="22"/>
          <w:color w:val="auto"/>
        </w:rPr>
        <w:t xml:space="preserve">”). By signing this Release, Executive hereby acknowledges and confirms the following: (i) Executive was advised by the Company in connection with Executive’s termination of employment to consult with an attorney of Executive’s choice prior to signing this Release and to have such attorney explain to Executive the terms of this Release, including, without limitation, the terms relating to Executive’s release of claims arising under ADEA, and Executive has in fact consulted with an attorney; (ii) Executive was given a period of not fewer than </w:t>
      </w:r>
      <w:r>
        <w:rPr>
          <w:rFonts w:ascii="Times New Roman" w:cs="Times New Roman" w:eastAsia="Times New Roman" w:hAnsi="Times New Roman"/>
          <w:sz w:val="22"/>
          <w:szCs w:val="22"/>
          <w:b w:val="1"/>
          <w:bCs w:val="1"/>
          <w:color w:val="auto"/>
        </w:rPr>
        <w:t>[twenty-one (21)] [forty-five (45)]</w:t>
      </w:r>
      <w:r>
        <w:rPr>
          <w:rFonts w:ascii="Times New Roman" w:cs="Times New Roman" w:eastAsia="Times New Roman" w:hAnsi="Times New Roman"/>
          <w:sz w:val="22"/>
          <w:szCs w:val="22"/>
          <w:color w:val="auto"/>
        </w:rPr>
        <w:t xml:space="preserve"> calendar days to consider the terms of this Release and to consult with an attorney of Executive’s choosing with respect thereto; and (iii) Executive knowingly and voluntarily accepts the terms of this Release. Executive also understands that Executive has seven (7) calendar days following the date on which Executive signs this Release within which to revoke the release contained in this Section 1(c), by providing the Company a written notice of Executive’s revocation of the release and waiver contained in this Section 1(c).</w:t>
      </w:r>
    </w:p>
    <w:p>
      <w:pPr>
        <w:spacing w:after="0" w:line="177" w:lineRule="exact"/>
        <w:rPr>
          <w:rFonts w:ascii="Times New Roman" w:cs="Times New Roman" w:eastAsia="Times New Roman" w:hAnsi="Times New Roman"/>
          <w:sz w:val="22"/>
          <w:szCs w:val="22"/>
          <w:color w:val="auto"/>
        </w:rPr>
      </w:pPr>
    </w:p>
    <w:p>
      <w:pPr>
        <w:ind w:firstLine="1304"/>
        <w:spacing w:after="0" w:line="262" w:lineRule="auto"/>
        <w:tabs>
          <w:tab w:leader="none" w:pos="1944"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Assignment</w:t>
      </w:r>
      <w:r>
        <w:rPr>
          <w:rFonts w:ascii="Times New Roman" w:cs="Times New Roman" w:eastAsia="Times New Roman" w:hAnsi="Times New Roman"/>
          <w:sz w:val="22"/>
          <w:szCs w:val="22"/>
          <w:color w:val="auto"/>
        </w:rPr>
        <w:t>. Executive represents and warrants that Executive has not assigned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Claims being released under this Release.</w:t>
      </w:r>
    </w:p>
    <w:p>
      <w:pPr>
        <w:spacing w:after="0" w:line="149" w:lineRule="exact"/>
        <w:rPr>
          <w:rFonts w:ascii="Times New Roman" w:cs="Times New Roman" w:eastAsia="Times New Roman" w:hAnsi="Times New Roman"/>
          <w:sz w:val="22"/>
          <w:szCs w:val="22"/>
          <w:color w:val="auto"/>
        </w:rPr>
      </w:pPr>
    </w:p>
    <w:p>
      <w:pPr>
        <w:jc w:val="both"/>
        <w:ind w:firstLine="332"/>
        <w:spacing w:after="0" w:line="233" w:lineRule="auto"/>
        <w:tabs>
          <w:tab w:leader="none" w:pos="64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Proceedings</w:t>
      </w:r>
      <w:r>
        <w:rPr>
          <w:rFonts w:ascii="Times New Roman" w:cs="Times New Roman" w:eastAsia="Times New Roman" w:hAnsi="Times New Roman"/>
          <w:sz w:val="22"/>
          <w:szCs w:val="22"/>
          <w:color w:val="auto"/>
        </w:rPr>
        <w:t>. Executive has not filed, and agrees not to initiate or cause to be initiated on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behalf, any complaint, charge, claim or proceeding against the Releasees with respect to any Claims released under Section 1(a) or (c) before any local, state or federal agency, court or other body (each, individually, a “</w:t>
      </w:r>
      <w:r>
        <w:rPr>
          <w:rFonts w:ascii="Times New Roman" w:cs="Times New Roman" w:eastAsia="Times New Roman" w:hAnsi="Times New Roman"/>
          <w:sz w:val="22"/>
          <w:szCs w:val="22"/>
          <w:b w:val="1"/>
          <w:bCs w:val="1"/>
          <w:color w:val="auto"/>
        </w:rPr>
        <w:t>Proceeding</w:t>
      </w:r>
      <w:r>
        <w:rPr>
          <w:rFonts w:ascii="Times New Roman" w:cs="Times New Roman" w:eastAsia="Times New Roman" w:hAnsi="Times New Roman"/>
          <w:sz w:val="22"/>
          <w:szCs w:val="22"/>
          <w:color w:val="auto"/>
        </w:rPr>
        <w:t xml:space="preserve">”), and agrees not to participate voluntarily in any Proceeding involving such Claims;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and subject to the immediately following sentence, nothing set forth here in intended to or shall interfere with Executive’s right to participate in a Proceeding with any appropriate federal, state, or local government agency enforcing discrimination laws, nor shall this Release prohibit Executive from cooperating with any such agency in its investigation. Executive waives any right Executive may have to benefit in any manner from any relief (whether monetary or otherwise) arising out of any Proceeding involving such Claims,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any legally protected whistleblower rights (including under Rule 21F under the Exchange Act). For the avoidance of doubt, the term Proceeding shall not include any complaint, charge, claim or proceeding with respect to the obligations of the Company to Executive under the Employment Agreement or in respect of any other matter described in Section 1(b), and Executive retains all of Executive’s rights in connection with the same.</w:t>
      </w:r>
    </w:p>
    <w:p>
      <w:pPr>
        <w:spacing w:after="0" w:line="179" w:lineRule="exact"/>
        <w:rPr>
          <w:rFonts w:ascii="Times New Roman" w:cs="Times New Roman" w:eastAsia="Times New Roman" w:hAnsi="Times New Roman"/>
          <w:sz w:val="22"/>
          <w:szCs w:val="22"/>
          <w:color w:val="auto"/>
        </w:rPr>
      </w:pPr>
    </w:p>
    <w:p>
      <w:pPr>
        <w:ind w:firstLine="332"/>
        <w:spacing w:after="0" w:line="262" w:lineRule="auto"/>
        <w:tabs>
          <w:tab w:leader="none" w:pos="64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 Clause</w:t>
      </w:r>
      <w:r>
        <w:rPr>
          <w:rFonts w:ascii="Times New Roman" w:cs="Times New Roman" w:eastAsia="Times New Roman" w:hAnsi="Times New Roman"/>
          <w:sz w:val="22"/>
          <w:szCs w:val="22"/>
          <w:color w:val="auto"/>
        </w:rPr>
        <w:t>. In the event any provision or part of this Release is found to be invalid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unenforceable, only that particular provision or part so found, and not the entire Release, shall be inoperative.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0" w:name="page131"/>
    <w:bookmarkEnd w:id="130"/>
    <w:p>
      <w:pPr>
        <w:ind w:firstLine="332"/>
        <w:spacing w:after="0" w:line="262" w:lineRule="auto"/>
        <w:tabs>
          <w:tab w:leader="none" w:pos="64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Admission</w:t>
      </w:r>
      <w:r>
        <w:rPr>
          <w:rFonts w:ascii="Times New Roman" w:cs="Times New Roman" w:eastAsia="Times New Roman" w:hAnsi="Times New Roman"/>
          <w:sz w:val="22"/>
          <w:szCs w:val="22"/>
          <w:color w:val="auto"/>
        </w:rPr>
        <w:t>. Nothing contained in this Release shall be deemed or construed as an admission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wrongdoing or liability on the part of the Releasees.</w:t>
      </w:r>
    </w:p>
    <w:p>
      <w:pPr>
        <w:spacing w:after="0" w:line="149" w:lineRule="exact"/>
        <w:rPr>
          <w:rFonts w:ascii="Times New Roman" w:cs="Times New Roman" w:eastAsia="Times New Roman" w:hAnsi="Times New Roman"/>
          <w:sz w:val="22"/>
          <w:szCs w:val="22"/>
          <w:color w:val="auto"/>
        </w:rPr>
      </w:pPr>
    </w:p>
    <w:p>
      <w:pPr>
        <w:jc w:val="both"/>
        <w:ind w:firstLine="332"/>
        <w:spacing w:after="0" w:line="241" w:lineRule="auto"/>
        <w:tabs>
          <w:tab w:leader="none" w:pos="64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 and Venue</w:t>
      </w:r>
      <w:r>
        <w:rPr>
          <w:rFonts w:ascii="Times New Roman" w:cs="Times New Roman" w:eastAsia="Times New Roman" w:hAnsi="Times New Roman"/>
          <w:sz w:val="22"/>
          <w:szCs w:val="22"/>
          <w:color w:val="auto"/>
        </w:rPr>
        <w:t>. All matters affecting this Release, including the validity thereof, are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governed by, and interpreted and construed in accordance with, the laws of the State of Arkansas applicable to contracts executed in and to be performed in that State,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rights to indemnification shall be governed by and in accordance with the laws of the State of Delaware.</w:t>
      </w:r>
    </w:p>
    <w:p>
      <w:pPr>
        <w:spacing w:after="0" w:line="171" w:lineRule="exact"/>
        <w:rPr>
          <w:rFonts w:ascii="Times New Roman" w:cs="Times New Roman" w:eastAsia="Times New Roman" w:hAnsi="Times New Roman"/>
          <w:sz w:val="22"/>
          <w:szCs w:val="22"/>
          <w:color w:val="auto"/>
        </w:rPr>
      </w:pPr>
    </w:p>
    <w:p>
      <w:pPr>
        <w:ind w:firstLine="332"/>
        <w:spacing w:after="0" w:line="262" w:lineRule="auto"/>
        <w:tabs>
          <w:tab w:leader="none" w:pos="64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Release may be executed in counterparts and each counterpart shall be deemed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w:t>
      </w:r>
    </w:p>
    <w:p>
      <w:pPr>
        <w:spacing w:after="0" w:line="149" w:lineRule="exact"/>
        <w:rPr>
          <w:rFonts w:ascii="Times New Roman" w:cs="Times New Roman" w:eastAsia="Times New Roman" w:hAnsi="Times New Roman"/>
          <w:sz w:val="22"/>
          <w:szCs w:val="22"/>
          <w:color w:val="auto"/>
        </w:rPr>
      </w:pPr>
    </w:p>
    <w:p>
      <w:pPr>
        <w:jc w:val="both"/>
        <w:ind w:firstLine="332"/>
        <w:spacing w:after="0" w:line="241" w:lineRule="auto"/>
        <w:tabs>
          <w:tab w:leader="none" w:pos="64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All notices, requests, demands or other communications under this Release shall be in writing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shall be deemed to have been duly given when delivered in person or deposited in the United States mail, postage prepaid, by registered or certified mail, return receipt requested, to the party to whom such notice is being given as follows:</w:t>
      </w:r>
    </w:p>
    <w:p>
      <w:pPr>
        <w:sectPr>
          <w:pgSz w:w="11900" w:h="16838" w:orient="portrait"/>
          <w:cols w:equalWidth="0" w:num="1">
            <w:col w:w="9920"/>
          </w:cols>
          <w:pgMar w:left="980" w:top="864" w:right="999" w:bottom="1440" w:gutter="0" w:footer="0" w:header="0"/>
        </w:sectPr>
      </w:pP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As to Employee: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Executive’s last address on the books and records of the Company</w:t>
      </w:r>
    </w:p>
    <w:p>
      <w:pPr>
        <w:spacing w:after="0" w:line="200" w:lineRule="exact"/>
        <w:rPr>
          <w:sz w:val="20"/>
          <w:szCs w:val="20"/>
          <w:color w:val="auto"/>
        </w:rPr>
      </w:pPr>
    </w:p>
    <w:p>
      <w:pPr>
        <w:sectPr>
          <w:pgSz w:w="11900" w:h="16838" w:orient="portrait"/>
          <w:cols w:equalWidth="0" w:num="2">
            <w:col w:w="3180" w:space="720"/>
            <w:col w:w="6020"/>
          </w:cols>
          <w:pgMar w:left="980" w:top="864" w:right="999" w:bottom="1440" w:gutter="0" w:footer="0" w:header="0"/>
          <w:type w:val="continuous"/>
        </w:sectPr>
      </w:pPr>
    </w:p>
    <w:p>
      <w:pPr>
        <w:spacing w:after="0" w:line="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As to the Company:</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[ADDRESS AS OF DATE OF RELEASE]</w:t>
      </w:r>
    </w:p>
    <w:p>
      <w:pPr>
        <w:spacing w:after="0" w:line="200" w:lineRule="exact"/>
        <w:rPr>
          <w:sz w:val="20"/>
          <w:szCs w:val="20"/>
          <w:color w:val="auto"/>
        </w:rPr>
      </w:pPr>
    </w:p>
    <w:p>
      <w:pPr>
        <w:sectPr>
          <w:pgSz w:w="11900" w:h="16838" w:orient="portrait"/>
          <w:cols w:equalWidth="0" w:num="2">
            <w:col w:w="3180" w:space="720"/>
            <w:col w:w="6020"/>
          </w:cols>
          <w:pgMar w:left="980" w:top="864" w:right="999" w:bottom="1440" w:gutter="0" w:footer="0" w:header="0"/>
          <w:type w:val="continuous"/>
        </w:sectPr>
      </w:pPr>
    </w:p>
    <w:p>
      <w:pPr>
        <w:spacing w:after="0" w:line="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Any party may change Executive’s address or the name of the person to whose attention the notice or other communication shall be directed from time to time by serving notice thereof upon the other party as provided herein.</w:t>
      </w:r>
    </w:p>
    <w:p>
      <w:pPr>
        <w:spacing w:after="0" w:line="16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EXECUTIVE ACKNOWLEDGES THAT EXECUTIVE HAS READ THIS RELEASE AND THAT EXECUTIVE FULLY KNOWS, UNDERSTANDS AND APPRECIATES ITS CONTENTS, AND THAT EXECUTIVE HEREBY EXECUTES THE SAME AND MAKES THIS RELEASE AND THE RELEASE PROVIDED FOR HEREIN VOLUNTARILY AND OF EXECUTIVE’S OWN FREE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Executive has executed this Release on the date set forth below.</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Samuel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-151130</wp:posOffset>
            </wp:positionV>
            <wp:extent cx="31457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as of:</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64" w:right="1440"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2"/>
          <w:szCs w:val="22"/>
          <w:b w:val="1"/>
          <w:bCs w:val="1"/>
          <w:color w:val="auto"/>
        </w:rPr>
        <w:t>Exhibit 10.16</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AGREEMENT</w:t>
      </w:r>
    </w:p>
    <w:p>
      <w:pPr>
        <w:spacing w:after="0" w:line="3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THIS EMPLOYMENT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and entered into, as of August __, 2022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by and between Westrock Coffee Company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Kyle Newkirk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and together with the Company,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Executive desire to enter into this Agreement to set forth the terms of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 to the Company.</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NOW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THEREFORE</w:t>
      </w:r>
      <w:r>
        <w:rPr>
          <w:rFonts w:ascii="Times New Roman" w:cs="Times New Roman" w:eastAsia="Times New Roman" w:hAnsi="Times New Roman"/>
          <w:sz w:val="22"/>
          <w:szCs w:val="22"/>
          <w:color w:val="auto"/>
        </w:rPr>
        <w:t>, in consideration of the foregoing, the mutual promises contained herein and other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valuable consideration, the receipt and sufficiency of which are acknowledged, the Parties agree as follows:</w:t>
      </w:r>
    </w:p>
    <w:p>
      <w:pPr>
        <w:spacing w:after="0" w:line="150" w:lineRule="exact"/>
        <w:rPr>
          <w:sz w:val="20"/>
          <w:szCs w:val="20"/>
          <w:color w:val="auto"/>
        </w:rPr>
      </w:pPr>
    </w:p>
    <w:p>
      <w:pPr>
        <w:jc w:val="both"/>
        <w:ind w:firstLine="1304"/>
        <w:spacing w:after="0" w:line="234" w:lineRule="auto"/>
        <w:tabs>
          <w:tab w:leader="none" w:pos="194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Employment Period</w:t>
      </w:r>
      <w:r>
        <w:rPr>
          <w:rFonts w:ascii="Times New Roman" w:cs="Times New Roman" w:eastAsia="Times New Roman" w:hAnsi="Times New Roman"/>
          <w:sz w:val="22"/>
          <w:szCs w:val="22"/>
          <w:color w:val="auto"/>
        </w:rPr>
        <w:t>. The Company agrees to employ Executive, and Executive agrees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serve the Company and its Affiliates (as defined below), subject to the terms and conditions of this Agreement, for the period commencing on the Effective Date and ending on the third anniversary of the Effective Date (the “</w:t>
      </w:r>
      <w:r>
        <w:rPr>
          <w:rFonts w:ascii="Times New Roman" w:cs="Times New Roman" w:eastAsia="Times New Roman" w:hAnsi="Times New Roman"/>
          <w:sz w:val="22"/>
          <w:szCs w:val="22"/>
          <w:b w:val="1"/>
          <w:bCs w:val="1"/>
          <w:color w:val="auto"/>
        </w:rPr>
        <w:t>Employment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commencing on the first anniversary of the Effective Date, and on each annual anniversary thereafter (such date and each annual anniversary thereof shall be hereinafter referred to as the “</w:t>
      </w:r>
      <w:r>
        <w:rPr>
          <w:rFonts w:ascii="Times New Roman" w:cs="Times New Roman" w:eastAsia="Times New Roman" w:hAnsi="Times New Roman"/>
          <w:sz w:val="22"/>
          <w:szCs w:val="22"/>
          <w:b w:val="1"/>
          <w:bCs w:val="1"/>
          <w:color w:val="auto"/>
        </w:rPr>
        <w:t>Renewal Date</w:t>
      </w:r>
      <w:r>
        <w:rPr>
          <w:rFonts w:ascii="Times New Roman" w:cs="Times New Roman" w:eastAsia="Times New Roman" w:hAnsi="Times New Roman"/>
          <w:sz w:val="22"/>
          <w:szCs w:val="22"/>
          <w:color w:val="auto"/>
        </w:rPr>
        <w:t>”), unless previously terminated, the Employment Period shall be automatically extended so as to terminate five years from such Renewal Date, unless at least 180 days prior to the Renewal Date either the Company or Executive shall give notice to the other party that the Employment Period shall not be so extended (a “</w:t>
      </w:r>
      <w:r>
        <w:rPr>
          <w:rFonts w:ascii="Times New Roman" w:cs="Times New Roman" w:eastAsia="Times New Roman" w:hAnsi="Times New Roman"/>
          <w:sz w:val="22"/>
          <w:szCs w:val="22"/>
          <w:b w:val="1"/>
          <w:bCs w:val="1"/>
          <w:color w:val="auto"/>
        </w:rPr>
        <w:t>Notice of Non-Renewal</w:t>
      </w:r>
      <w:r>
        <w:rPr>
          <w:rFonts w:ascii="Times New Roman" w:cs="Times New Roman" w:eastAsia="Times New Roman" w:hAnsi="Times New Roman"/>
          <w:sz w:val="22"/>
          <w:szCs w:val="22"/>
          <w:color w:val="auto"/>
        </w:rPr>
        <w:t>”). For purposes of this Agreement, the term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an entity controlled by, controlling or under common control with the Company.</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Position and Duties; Location; Standard of Services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304"/>
        <w:spacing w:after="0" w:line="238" w:lineRule="auto"/>
        <w:tabs>
          <w:tab w:leader="none" w:pos="194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Position and Duties</w:t>
      </w:r>
      <w:r>
        <w:rPr>
          <w:rFonts w:ascii="Times New Roman" w:cs="Times New Roman" w:eastAsia="Times New Roman" w:hAnsi="Times New Roman"/>
          <w:sz w:val="22"/>
          <w:szCs w:val="22"/>
          <w:color w:val="auto"/>
        </w:rPr>
        <w:t>. During the Employment Period, Executive shall serve as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Vice President of the Company and shall perform customary and appropriate duties as may be reasonably assigned to Executive from time to time by the Board of Directors of the Company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or the Chief Executive Officer of the Company (the “</w:t>
      </w:r>
      <w:r>
        <w:rPr>
          <w:rFonts w:ascii="Times New Roman" w:cs="Times New Roman" w:eastAsia="Times New Roman" w:hAnsi="Times New Roman"/>
          <w:sz w:val="22"/>
          <w:szCs w:val="22"/>
          <w:b w:val="1"/>
          <w:bCs w:val="1"/>
          <w:color w:val="auto"/>
        </w:rPr>
        <w:t>CEO</w:t>
      </w:r>
      <w:r>
        <w:rPr>
          <w:rFonts w:ascii="Times New Roman" w:cs="Times New Roman" w:eastAsia="Times New Roman" w:hAnsi="Times New Roman"/>
          <w:sz w:val="22"/>
          <w:szCs w:val="22"/>
          <w:color w:val="auto"/>
        </w:rPr>
        <w:t>”). Executive shall have such responsibilities, power and authority as those normally associated with such position in public companies of a similar stature.</w:t>
      </w:r>
    </w:p>
    <w:p>
      <w:pPr>
        <w:spacing w:after="0" w:line="176"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4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Location</w:t>
      </w:r>
      <w:r>
        <w:rPr>
          <w:rFonts w:ascii="Times New Roman" w:cs="Times New Roman" w:eastAsia="Times New Roman" w:hAnsi="Times New Roman"/>
          <w:sz w:val="22"/>
          <w:szCs w:val="22"/>
          <w:color w:val="auto"/>
        </w:rPr>
        <w:t>. During the Employment Period, Executive’s principal place of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the Company’s headquarters in Little Rock, Arkansas, subject to reasonable business travel at the Company’s request.</w:t>
      </w:r>
    </w:p>
    <w:p>
      <w:pPr>
        <w:spacing w:after="0" w:line="16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4"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Standard of Services</w:t>
      </w:r>
      <w:r>
        <w:rPr>
          <w:rFonts w:ascii="Times New Roman" w:cs="Times New Roman" w:eastAsia="Times New Roman" w:hAnsi="Times New Roman"/>
          <w:sz w:val="21"/>
          <w:szCs w:val="21"/>
          <w:color w:val="auto"/>
        </w:rPr>
        <w:t>. During the Employment Period, Executive agrees to devote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Executive’s full business attention and time to the business and affairs of the Company and its Affiliates and to use Executive’s reasonable best efforts to perform faithfully and efficiently such responsibilities. During the Employment Period, Executive may serve on corporate, civic, charitable or other boards or committees, deliver lectures, fulfill speaking engagements, publish, teach at educational institutions, manage or advise with respect to investments or provide advice to other companies that do not compete and are not reasonably expected to compete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758825</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4" w:right="999" w:bottom="1440" w:gutter="0" w:footer="0" w:header="0"/>
        </w:sectPr>
      </w:pPr>
    </w:p>
    <w:bookmarkStart w:id="133" w:name="page134"/>
    <w:bookmarkEnd w:id="133"/>
    <w:p>
      <w:pPr>
        <w:ind w:right="20"/>
        <w:spacing w:after="0" w:line="258" w:lineRule="auto"/>
        <w:rPr>
          <w:sz w:val="20"/>
          <w:szCs w:val="20"/>
          <w:color w:val="auto"/>
        </w:rPr>
      </w:pPr>
      <w:r>
        <w:rPr>
          <w:rFonts w:ascii="Times New Roman" w:cs="Times New Roman" w:eastAsia="Times New Roman" w:hAnsi="Times New Roman"/>
          <w:sz w:val="22"/>
          <w:szCs w:val="22"/>
          <w:color w:val="auto"/>
        </w:rPr>
        <w:t>with the Company in the future, in each case, so long as such activities do not materially interfere with the performance of Executive’s responsibilities in accordance with this Agreement.</w:t>
      </w:r>
    </w:p>
    <w:p>
      <w:pPr>
        <w:spacing w:after="0" w:line="154" w:lineRule="exact"/>
        <w:rPr>
          <w:sz w:val="20"/>
          <w:szCs w:val="20"/>
          <w:color w:val="auto"/>
        </w:rPr>
      </w:pPr>
    </w:p>
    <w:p>
      <w:pPr>
        <w:ind w:left="1960" w:hanging="656"/>
        <w:spacing w:after="0"/>
        <w:tabs>
          <w:tab w:leader="none" w:pos="19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Compensation and Employee Benefits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304"/>
        <w:spacing w:after="0" w:line="237" w:lineRule="auto"/>
        <w:tabs>
          <w:tab w:leader="none" w:pos="194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Annual Base Salary</w:t>
      </w:r>
      <w:r>
        <w:rPr>
          <w:rFonts w:ascii="Times New Roman" w:cs="Times New Roman" w:eastAsia="Times New Roman" w:hAnsi="Times New Roman"/>
          <w:sz w:val="22"/>
          <w:szCs w:val="22"/>
          <w:color w:val="auto"/>
        </w:rPr>
        <w:t>. During the Employment Period, Executive shall receive an annual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base salary (the “</w:t>
      </w:r>
      <w:r>
        <w:rPr>
          <w:rFonts w:ascii="Times New Roman" w:cs="Times New Roman" w:eastAsia="Times New Roman" w:hAnsi="Times New Roman"/>
          <w:sz w:val="22"/>
          <w:szCs w:val="22"/>
          <w:b w:val="1"/>
          <w:bCs w:val="1"/>
          <w:color w:val="auto"/>
        </w:rPr>
        <w:t>Annual Base Salary</w:t>
      </w:r>
      <w:r>
        <w:rPr>
          <w:rFonts w:ascii="Times New Roman" w:cs="Times New Roman" w:eastAsia="Times New Roman" w:hAnsi="Times New Roman"/>
          <w:sz w:val="22"/>
          <w:szCs w:val="22"/>
          <w:color w:val="auto"/>
        </w:rPr>
        <w:t>”) of no less than $330,000, payable in accordance with the Company’s regular payroll practices. The Annual Base Salary shall be reviewed at least annually by the Board or an appropriate committee thereof (the Board or such committee,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for possible increase, as determined in the discretion of the Committee. The term “Annual Base Salary” as used in this Agreement shall refer to the Annual Base Salary as it may be so adjusted from time to time.</w:t>
      </w:r>
    </w:p>
    <w:p>
      <w:pPr>
        <w:spacing w:after="0" w:line="175" w:lineRule="exact"/>
        <w:rPr>
          <w:rFonts w:ascii="Times New Roman" w:cs="Times New Roman" w:eastAsia="Times New Roman" w:hAnsi="Times New Roman"/>
          <w:sz w:val="22"/>
          <w:szCs w:val="22"/>
          <w:color w:val="auto"/>
        </w:rPr>
      </w:pPr>
    </w:p>
    <w:p>
      <w:pPr>
        <w:jc w:val="both"/>
        <w:ind w:firstLine="1304"/>
        <w:spacing w:after="0" w:line="241" w:lineRule="auto"/>
        <w:tabs>
          <w:tab w:leader="none" w:pos="194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Annual Bonus</w:t>
      </w:r>
      <w:r>
        <w:rPr>
          <w:rFonts w:ascii="Times New Roman" w:cs="Times New Roman" w:eastAsia="Times New Roman" w:hAnsi="Times New Roman"/>
          <w:sz w:val="22"/>
          <w:szCs w:val="22"/>
          <w:color w:val="auto"/>
        </w:rPr>
        <w:t>. During the Employment Period, Executive shall have the opportunity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earn, for each fiscal year of the Company, an annual bonus (the “</w:t>
      </w:r>
      <w:r>
        <w:rPr>
          <w:rFonts w:ascii="Times New Roman" w:cs="Times New Roman" w:eastAsia="Times New Roman" w:hAnsi="Times New Roman"/>
          <w:sz w:val="22"/>
          <w:szCs w:val="22"/>
          <w:b w:val="1"/>
          <w:bCs w:val="1"/>
          <w:color w:val="auto"/>
        </w:rPr>
        <w:t>Annual Bonus</w:t>
      </w:r>
      <w:r>
        <w:rPr>
          <w:rFonts w:ascii="Times New Roman" w:cs="Times New Roman" w:eastAsia="Times New Roman" w:hAnsi="Times New Roman"/>
          <w:sz w:val="22"/>
          <w:szCs w:val="22"/>
          <w:color w:val="auto"/>
        </w:rPr>
        <w:t>”) pursuant to the terms of an annual incentive plan for senior executives of the Company, as in effect from time to time. Executive’s target Annual Bonus opportunity shall be 80% of the Annual Base Salary.</w:t>
      </w:r>
    </w:p>
    <w:p>
      <w:pPr>
        <w:spacing w:after="0" w:line="171" w:lineRule="exact"/>
        <w:rPr>
          <w:rFonts w:ascii="Times New Roman" w:cs="Times New Roman" w:eastAsia="Times New Roman" w:hAnsi="Times New Roman"/>
          <w:sz w:val="22"/>
          <w:szCs w:val="22"/>
          <w:color w:val="auto"/>
        </w:rPr>
      </w:pPr>
    </w:p>
    <w:p>
      <w:pPr>
        <w:ind w:firstLine="1304"/>
        <w:spacing w:after="0" w:line="262" w:lineRule="auto"/>
        <w:tabs>
          <w:tab w:leader="none" w:pos="194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Equity Incentives</w:t>
      </w:r>
      <w:r>
        <w:rPr>
          <w:rFonts w:ascii="Times New Roman" w:cs="Times New Roman" w:eastAsia="Times New Roman" w:hAnsi="Times New Roman"/>
          <w:sz w:val="22"/>
          <w:szCs w:val="22"/>
          <w:color w:val="auto"/>
        </w:rPr>
        <w:t>. Executive shall be eligible to participate in the Company’s equity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incentive plan, as in effect from time to time.</w:t>
      </w:r>
    </w:p>
    <w:p>
      <w:pPr>
        <w:spacing w:after="0" w:line="149"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Other Employee Benefit Plans</w:t>
      </w:r>
      <w:r>
        <w:rPr>
          <w:rFonts w:ascii="Times New Roman" w:cs="Times New Roman" w:eastAsia="Times New Roman" w:hAnsi="Times New Roman"/>
          <w:sz w:val="22"/>
          <w:szCs w:val="22"/>
          <w:color w:val="auto"/>
        </w:rPr>
        <w:t>. During the Employment Period, Executive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entitled to participate in the employee benefit plans, practices, policies and programs, as in effect from time to time, that are generally applicable to other senior executives of the Company (including retirement, deferred compensation and health and welfare benefits) on the same terms as are applicable to other senior executives of the Company.</w:t>
      </w:r>
    </w:p>
    <w:p>
      <w:pPr>
        <w:spacing w:after="0" w:line="176"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4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Business Expenses</w:t>
      </w:r>
      <w:r>
        <w:rPr>
          <w:rFonts w:ascii="Times New Roman" w:cs="Times New Roman" w:eastAsia="Times New Roman" w:hAnsi="Times New Roman"/>
          <w:sz w:val="22"/>
          <w:szCs w:val="22"/>
          <w:color w:val="auto"/>
        </w:rPr>
        <w:t>. Executive shall be entitled to receive prompt reimbursement for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expenses (including travel, entertainment, professional dues and subscriptions) incurred by Executive, in accordance with the Company’s policies as in effect from time to time.</w:t>
      </w:r>
    </w:p>
    <w:p>
      <w:pPr>
        <w:spacing w:after="0" w:line="167" w:lineRule="exact"/>
        <w:rPr>
          <w:sz w:val="20"/>
          <w:szCs w:val="20"/>
          <w:color w:val="auto"/>
        </w:rPr>
      </w:pPr>
    </w:p>
    <w:p>
      <w:pPr>
        <w:ind w:left="1960" w:hanging="656"/>
        <w:spacing w:after="0"/>
        <w:tabs>
          <w:tab w:leader="none" w:pos="19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of Employment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304"/>
        <w:spacing w:after="0" w:line="234" w:lineRule="auto"/>
        <w:tabs>
          <w:tab w:leader="none" w:pos="194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Death or Disability</w:t>
      </w:r>
      <w:r>
        <w:rPr>
          <w:rFonts w:ascii="Times New Roman" w:cs="Times New Roman" w:eastAsia="Times New Roman" w:hAnsi="Times New Roman"/>
          <w:sz w:val="22"/>
          <w:szCs w:val="22"/>
          <w:color w:val="auto"/>
        </w:rPr>
        <w:t>. Executive’s employment shall terminate automatically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death during the Employment Period. If the Board determines in good faith that the Disability of Executive has occurred during the Employment Period (pursuant to the definition of Disability set forth below), it may provide Executive with written notice in accordance with Section 11(b) of its intention to terminate Executive’s employment. In such event, Executive’s employment with the Company and its Affiliates shall terminate effective on the 30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day after Executive’s receipt of such notice (the “</w:t>
      </w:r>
      <w:r>
        <w:rPr>
          <w:rFonts w:ascii="Times New Roman" w:cs="Times New Roman" w:eastAsia="Times New Roman" w:hAnsi="Times New Roman"/>
          <w:sz w:val="22"/>
          <w:szCs w:val="22"/>
          <w:b w:val="1"/>
          <w:bCs w:val="1"/>
          <w:color w:val="auto"/>
        </w:rPr>
        <w:t>Disability Effective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within the 30 days after such receipt, Executive shall not have returned to full-time performance of Executive’s duties. For purposes of this Agreement,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mean the absence of Executive from Executive’s duties with the Company on a full-time basis for 120 consecutive days, or for 180 days (which need not be consecutive) within a 365-day period, as a result of incapacity due to mental or physical illness.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4" w:name="page135"/>
    <w:bookmarkEnd w:id="134"/>
    <w:p>
      <w:pPr>
        <w:ind w:firstLine="1304"/>
        <w:spacing w:after="0" w:line="262" w:lineRule="auto"/>
        <w:tabs>
          <w:tab w:leader="none" w:pos="194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With or Without Cause</w:t>
      </w:r>
      <w:r>
        <w:rPr>
          <w:rFonts w:ascii="Times New Roman" w:cs="Times New Roman" w:eastAsia="Times New Roman" w:hAnsi="Times New Roman"/>
          <w:sz w:val="22"/>
          <w:szCs w:val="22"/>
          <w:color w:val="auto"/>
        </w:rPr>
        <w:t>. The Company may terminate Executive’s employment during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Employment Period either with or without Cause. For purposes of this Agreement,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mean:</w:t>
      </w:r>
    </w:p>
    <w:p>
      <w:pPr>
        <w:spacing w:after="0" w:line="153"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willful failure to substantially perform Executive’s duties;</w:t>
      </w:r>
    </w:p>
    <w:p>
      <w:pPr>
        <w:spacing w:after="0" w:line="20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 of fraud, misappropriation, dishonesty, malfeasance or embezzlement by</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in connection with the performance of Executive’s duties to the Company;</w:t>
      </w:r>
    </w:p>
    <w:p>
      <w:pPr>
        <w:spacing w:after="0" w:line="182"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material violation of any policies of the Company or any restrictive covenants applicable to Executive; or</w:t>
      </w:r>
    </w:p>
    <w:p>
      <w:pPr>
        <w:spacing w:after="0" w:line="154"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Executive’s conviction of, or entering a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a felony.</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For purposes of this provision, no act or failure to act, on the part of Executive, shall be considered “willful” unless it is done, or omitted to be done, by Executive in bad faith or without reasonable belief that Executive’s action or omission was in the best interests of the Company and its Affiliates. If an action or omission constituting Cause is curable, Executive may be terminated as a result thereof only if Executive has not cured such action or omission within 30 days following written notice thereof from the Company. Further, Executive shall not be deemed to be discharged for Cause unless and until there is delivered to Executive a copy of a resolution duly adopted by the affirmative vote of three-quarters of the Board, at a meeting called and duly held for such purpose (after reasonable notice is provided to Executive and Executive is given an opportunity, together with counsel for Executive, to be heard before the Board), finding in good faith that Executive is guilty of the conduct set forth above and specifying the particulars thereof in detail. Any such determination shall be made by the Board (or equivalent governing body) of the ultimate parent entity of the Company or its successor and shall be subject to </w:t>
      </w:r>
      <w:r>
        <w:rPr>
          <w:rFonts w:ascii="Times New Roman" w:cs="Times New Roman" w:eastAsia="Times New Roman" w:hAnsi="Times New Roman"/>
          <w:sz w:val="22"/>
          <w:szCs w:val="22"/>
          <w:i w:val="1"/>
          <w:iCs w:val="1"/>
          <w:color w:val="auto"/>
        </w:rPr>
        <w:t>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novo </w:t>
      </w:r>
      <w:r>
        <w:rPr>
          <w:rFonts w:ascii="Times New Roman" w:cs="Times New Roman" w:eastAsia="Times New Roman" w:hAnsi="Times New Roman"/>
          <w:sz w:val="22"/>
          <w:szCs w:val="22"/>
          <w:color w:val="auto"/>
        </w:rPr>
        <w:t>review by a court of law pursuant to the dispute provisions of Section 11(a).</w:t>
      </w:r>
    </w:p>
    <w:p>
      <w:pPr>
        <w:spacing w:after="0" w:line="181" w:lineRule="exact"/>
        <w:rPr>
          <w:sz w:val="20"/>
          <w:szCs w:val="20"/>
          <w:color w:val="auto"/>
        </w:rPr>
      </w:pPr>
    </w:p>
    <w:p>
      <w:pPr>
        <w:jc w:val="both"/>
        <w:ind w:firstLine="1304"/>
        <w:spacing w:after="0" w:line="241" w:lineRule="auto"/>
        <w:tabs>
          <w:tab w:leader="none" w:pos="194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With or Without Good Reason</w:t>
      </w:r>
      <w:r>
        <w:rPr>
          <w:rFonts w:ascii="Times New Roman" w:cs="Times New Roman" w:eastAsia="Times New Roman" w:hAnsi="Times New Roman"/>
          <w:sz w:val="22"/>
          <w:szCs w:val="22"/>
          <w:color w:val="auto"/>
        </w:rPr>
        <w:t>. Executive’s employment may be terminated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either with or without Good Reason. For purposes of this Agreement,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shall mean Executive’s voluntary resignation after any of the following actions are taken by the Company or any of its Affiliates without Executive’s written consent:</w:t>
      </w:r>
    </w:p>
    <w:p>
      <w:pPr>
        <w:spacing w:after="0" w:line="175"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Executive’s title, authority, duties or responsibilities;</w:t>
      </w:r>
    </w:p>
    <w:p>
      <w:pPr>
        <w:spacing w:after="0" w:line="20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reduction in the Annual Base Salary or target Annual Bonus opportunity;</w:t>
      </w:r>
    </w:p>
    <w:p>
      <w:pPr>
        <w:spacing w:after="0" w:line="217" w:lineRule="exact"/>
        <w:rPr>
          <w:rFonts w:ascii="Times New Roman" w:cs="Times New Roman" w:eastAsia="Times New Roman" w:hAnsi="Times New Roman"/>
          <w:sz w:val="21"/>
          <w:szCs w:val="21"/>
          <w:color w:val="auto"/>
        </w:rPr>
      </w:pPr>
    </w:p>
    <w:p>
      <w:pPr>
        <w:ind w:right="20" w:firstLine="1952"/>
        <w:spacing w:after="0" w:line="258" w:lineRule="auto"/>
        <w:tabs>
          <w:tab w:leader="none" w:pos="2592"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relocation of Executive’s primary place of employment by more than 25 miles from Executive’s primary place of employment as set forth in this Agreement; or</w:t>
      </w:r>
    </w:p>
    <w:p>
      <w:pPr>
        <w:spacing w:after="0" w:line="158"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violation of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35" w:name="page136"/>
    <w:bookmarkEnd w:id="135"/>
    <w:p>
      <w:pPr>
        <w:jc w:val="both"/>
        <w:spacing w:after="0" w:line="247" w:lineRule="auto"/>
        <w:rPr>
          <w:sz w:val="20"/>
          <w:szCs w:val="20"/>
          <w:color w:val="auto"/>
        </w:rPr>
      </w:pPr>
      <w:r>
        <w:rPr>
          <w:rFonts w:ascii="Times New Roman" w:cs="Times New Roman" w:eastAsia="Times New Roman" w:hAnsi="Times New Roman"/>
          <w:sz w:val="21"/>
          <w:szCs w:val="21"/>
          <w:color w:val="auto"/>
        </w:rPr>
        <w:t>In order to invoke a termination for Good Reason, Executive shall provide written notice to the Company of the existence of one or more of the conditions giving rise to Good Reason within 90 days following Executive’s knowledge of the initial existence of such condition or conditions, and the Company shall have 30 days following receipt of such written notice (the “</w:t>
      </w:r>
      <w:r>
        <w:rPr>
          <w:rFonts w:ascii="Times New Roman" w:cs="Times New Roman" w:eastAsia="Times New Roman" w:hAnsi="Times New Roman"/>
          <w:sz w:val="21"/>
          <w:szCs w:val="21"/>
          <w:b w:val="1"/>
          <w:bCs w:val="1"/>
          <w:color w:val="auto"/>
        </w:rPr>
        <w:t>Cure Period</w:t>
      </w:r>
      <w:r>
        <w:rPr>
          <w:rFonts w:ascii="Times New Roman" w:cs="Times New Roman" w:eastAsia="Times New Roman" w:hAnsi="Times New Roman"/>
          <w:sz w:val="21"/>
          <w:szCs w:val="21"/>
          <w:color w:val="auto"/>
        </w:rPr>
        <w:t>”) during which it may remedy the condition. In the event that the Company fails to remedy the condition constituting Good Reason during the Cure Period, Executive must terminate employment, if at all, within 90 days following the Cure Period in order for such termination to constitute a termination for Good Reason. Executive’s mental or physical incapacity following the occurrence of an event described above shall not affect Executive’s ability to terminate employment for Good Reason.</w:t>
      </w:r>
    </w:p>
    <w:p>
      <w:pPr>
        <w:spacing w:after="0" w:line="168" w:lineRule="exact"/>
        <w:rPr>
          <w:sz w:val="20"/>
          <w:szCs w:val="20"/>
          <w:color w:val="auto"/>
        </w:rPr>
      </w:pPr>
    </w:p>
    <w:p>
      <w:pPr>
        <w:jc w:val="both"/>
        <w:ind w:firstLine="1304"/>
        <w:spacing w:after="0" w:line="241" w:lineRule="auto"/>
        <w:tabs>
          <w:tab w:leader="none" w:pos="1944"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Retirement</w:t>
      </w:r>
      <w:r>
        <w:rPr>
          <w:rFonts w:ascii="Times New Roman" w:cs="Times New Roman" w:eastAsia="Times New Roman" w:hAnsi="Times New Roman"/>
          <w:sz w:val="22"/>
          <w:szCs w:val="22"/>
          <w:color w:val="auto"/>
        </w:rPr>
        <w:t>. Executive’s employment may be terminated by Executive due to Retirement.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xml:space="preserve">” shall mean Executive’s voluntary resignation at a time when the sum of Executive’s age and years of service equal at least 70,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Executive has attained at least age 55 with at least 10 years of service with the Company or any predecessor or successor entity.</w:t>
      </w:r>
    </w:p>
    <w:p>
      <w:pPr>
        <w:spacing w:after="0" w:line="171"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44"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 of Termination</w:t>
      </w:r>
      <w:r>
        <w:rPr>
          <w:rFonts w:ascii="Times New Roman" w:cs="Times New Roman" w:eastAsia="Times New Roman" w:hAnsi="Times New Roman"/>
          <w:sz w:val="22"/>
          <w:szCs w:val="22"/>
          <w:color w:val="auto"/>
        </w:rPr>
        <w:t>. Any termination of Executive’s employment by the Company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without Cause, or by Executive with or without Good Reason or due to Retirement, shall be communicated by Notice of Termination to the other party hereto given in accordance with Section 11(b). For purposes of this Agreement, a “</w:t>
      </w:r>
      <w:r>
        <w:rPr>
          <w:rFonts w:ascii="Times New Roman" w:cs="Times New Roman" w:eastAsia="Times New Roman" w:hAnsi="Times New Roman"/>
          <w:sz w:val="22"/>
          <w:szCs w:val="22"/>
          <w:b w:val="1"/>
          <w:bCs w:val="1"/>
          <w:color w:val="auto"/>
        </w:rPr>
        <w:t>Notice of Termination</w:t>
      </w:r>
      <w:r>
        <w:rPr>
          <w:rFonts w:ascii="Times New Roman" w:cs="Times New Roman" w:eastAsia="Times New Roman" w:hAnsi="Times New Roman"/>
          <w:sz w:val="22"/>
          <w:szCs w:val="22"/>
          <w:color w:val="auto"/>
        </w:rPr>
        <w:t>” means a written notice that (i) indicates the specific termination provision in this Agreement relied upon, (ii) to the extent applicable, sets forth in reasonable detail the facts and circumstances claimed to provide a basis for termination of Executive’s employment under the provision so indicated and (iii) specifies the Date of Termination (as defined below), which date shall be not more than 30 days after the delivery of such notice.</w:t>
      </w:r>
    </w:p>
    <w:p>
      <w:pPr>
        <w:spacing w:after="0" w:line="178"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44"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Date of Termination</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Date of Termination</w:t>
      </w:r>
      <w:r>
        <w:rPr>
          <w:rFonts w:ascii="Times New Roman" w:cs="Times New Roman" w:eastAsia="Times New Roman" w:hAnsi="Times New Roman"/>
          <w:sz w:val="21"/>
          <w:szCs w:val="21"/>
          <w:color w:val="auto"/>
        </w:rPr>
        <w:t>” means (i) if Executive’s employment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terminated by the Company with Cause, or by Executive with Good Reason, the date of receipt of the Notice of Termination or any later date specified therein within 30 days following such notice, (ii) if Executive’s employment is terminated by the Company without Cause, or by Executive without Good Reason (including due to Retirement), the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xml:space="preserve"> day following receipt of the Notice of Termination or any later date specified therein or</w:t>
      </w:r>
    </w:p>
    <w:p>
      <w:pPr>
        <w:ind w:firstLine="8"/>
        <w:spacing w:after="0" w:line="237" w:lineRule="auto"/>
        <w:tabs>
          <w:tab w:leader="none" w:pos="3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Executive’s employment is terminated by reason of death or Disability, the Date of Termination shall be the date of death of Executive or the Disability Effective Date, as the case may be.</w:t>
      </w:r>
    </w:p>
    <w:p>
      <w:pPr>
        <w:spacing w:after="0" w:line="174" w:lineRule="exact"/>
        <w:rPr>
          <w:sz w:val="20"/>
          <w:szCs w:val="20"/>
          <w:color w:val="auto"/>
        </w:rPr>
      </w:pPr>
    </w:p>
    <w:p>
      <w:pPr>
        <w:ind w:left="1960" w:hanging="656"/>
        <w:spacing w:after="0"/>
        <w:tabs>
          <w:tab w:leader="none" w:pos="19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Obligations of the Company upon Termination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304"/>
        <w:spacing w:after="0" w:line="238" w:lineRule="auto"/>
        <w:tabs>
          <w:tab w:leader="none" w:pos="194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Good Reason; Other Than for Cause, Death or Disability</w:t>
      </w:r>
      <w:r>
        <w:rPr>
          <w:rFonts w:ascii="Times New Roman" w:cs="Times New Roman" w:eastAsia="Times New Roman" w:hAnsi="Times New Roman"/>
          <w:sz w:val="22"/>
          <w:szCs w:val="22"/>
          <w:color w:val="auto"/>
        </w:rPr>
        <w:t>. If, during the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Period, the Company terminates Executive’s employment other than for Cause, death or Disability, or Executive terminates employment for Good Reason, then, in each case, subject to Executive’s execution within 50 days following the Date of Termination, and non-revocation, of a release of claims in the form attached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the Company and its Affiliates shall pay to Executive the following:</w:t>
      </w:r>
    </w:p>
    <w:p>
      <w:pPr>
        <w:spacing w:after="0" w:line="180"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 the portion of the Annual Base Salary due for the period through the Date of Termination to the extent not theretofore paid, (B) any accrued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6" w:name="page137"/>
    <w:bookmarkEnd w:id="136"/>
    <w:p>
      <w:pPr>
        <w:jc w:val="both"/>
        <w:spacing w:after="0" w:line="255" w:lineRule="auto"/>
        <w:rPr>
          <w:sz w:val="20"/>
          <w:szCs w:val="20"/>
          <w:color w:val="auto"/>
        </w:rPr>
      </w:pPr>
      <w:r>
        <w:rPr>
          <w:rFonts w:ascii="Times New Roman" w:cs="Times New Roman" w:eastAsia="Times New Roman" w:hAnsi="Times New Roman"/>
          <w:sz w:val="21"/>
          <w:szCs w:val="21"/>
          <w:color w:val="auto"/>
        </w:rPr>
        <w:t>unpaid vacation and (C) Executive’s business expenses that have not been reimbursed by the Company as of the Date of Termination that were incurred by Executive on or prior to the Date of Termination (the sum of the amounts described in clauses (A), (B) and (C) shall be hereinafter referred to as the “</w:t>
      </w:r>
      <w:r>
        <w:rPr>
          <w:rFonts w:ascii="Times New Roman" w:cs="Times New Roman" w:eastAsia="Times New Roman" w:hAnsi="Times New Roman"/>
          <w:sz w:val="21"/>
          <w:szCs w:val="21"/>
          <w:b w:val="1"/>
          <w:bCs w:val="1"/>
          <w:color w:val="auto"/>
        </w:rPr>
        <w:t>Accrued Obligations</w:t>
      </w:r>
      <w:r>
        <w:rPr>
          <w:rFonts w:ascii="Times New Roman" w:cs="Times New Roman" w:eastAsia="Times New Roman" w:hAnsi="Times New Roman"/>
          <w:sz w:val="21"/>
          <w:szCs w:val="21"/>
          <w:color w:val="auto"/>
        </w:rPr>
        <w:t>”), which Accrued Obligations shall be paid in a lump sum in cash within 60 days following the Date of Termination;</w:t>
      </w:r>
    </w:p>
    <w:p>
      <w:pPr>
        <w:spacing w:after="0" w:line="162" w:lineRule="exact"/>
        <w:rPr>
          <w:sz w:val="20"/>
          <w:szCs w:val="20"/>
          <w:color w:val="auto"/>
        </w:rPr>
      </w:pPr>
    </w:p>
    <w:p>
      <w:pPr>
        <w:jc w:val="both"/>
        <w:ind w:firstLine="1952"/>
        <w:spacing w:after="0" w:line="239" w:lineRule="auto"/>
        <w:tabs>
          <w:tab w:leader="none" w:pos="259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unpaid Annual Bonus earned by Executive in respect of the fiscal year of the Company that was completed on or prior to the Date of Termination (the “</w:t>
      </w:r>
      <w:r>
        <w:rPr>
          <w:rFonts w:ascii="Times New Roman" w:cs="Times New Roman" w:eastAsia="Times New Roman" w:hAnsi="Times New Roman"/>
          <w:sz w:val="22"/>
          <w:szCs w:val="22"/>
          <w:b w:val="1"/>
          <w:bCs w:val="1"/>
          <w:color w:val="auto"/>
        </w:rPr>
        <w:t>Unpaid Annual Bonus</w:t>
      </w:r>
      <w:r>
        <w:rPr>
          <w:rFonts w:ascii="Times New Roman" w:cs="Times New Roman" w:eastAsia="Times New Roman" w:hAnsi="Times New Roman"/>
          <w:sz w:val="22"/>
          <w:szCs w:val="22"/>
          <w:color w:val="auto"/>
        </w:rPr>
        <w:t>”), which Unpaid Annual Bonus shall be paid in a lump sum in cash no later than March 15 following the year in which it was earned;</w:t>
      </w:r>
    </w:p>
    <w:p>
      <w:pPr>
        <w:spacing w:after="0" w:line="180" w:lineRule="exact"/>
        <w:rPr>
          <w:rFonts w:ascii="Times New Roman" w:cs="Times New Roman" w:eastAsia="Times New Roman" w:hAnsi="Times New Roman"/>
          <w:sz w:val="22"/>
          <w:szCs w:val="22"/>
          <w:color w:val="auto"/>
        </w:rPr>
      </w:pPr>
    </w:p>
    <w:p>
      <w:pPr>
        <w:jc w:val="both"/>
        <w:ind w:firstLine="1952"/>
        <w:spacing w:after="0" w:line="234" w:lineRule="auto"/>
        <w:tabs>
          <w:tab w:leader="none" w:pos="259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prorated Annual Bonus in respect of the fiscal year of the Company in which the Date of Termination occurs, with such amount to equal the product of (A) the target Annual Bonus opportunity for the fiscal year in which the Date of Termination occurs, and (B) a fraction, (I) the numerator of which is the number of days in the fiscal year of the Company in which the Date of Termination occurs through the Date of Termination, and (II) the denominator of which is 365 (the “</w:t>
      </w:r>
      <w:r>
        <w:rPr>
          <w:rFonts w:ascii="Times New Roman" w:cs="Times New Roman" w:eastAsia="Times New Roman" w:hAnsi="Times New Roman"/>
          <w:sz w:val="22"/>
          <w:szCs w:val="22"/>
          <w:b w:val="1"/>
          <w:bCs w:val="1"/>
          <w:color w:val="auto"/>
        </w:rPr>
        <w:t>Prorated Annual Bonus</w:t>
      </w:r>
      <w:r>
        <w:rPr>
          <w:rFonts w:ascii="Times New Roman" w:cs="Times New Roman" w:eastAsia="Times New Roman" w:hAnsi="Times New Roman"/>
          <w:sz w:val="22"/>
          <w:szCs w:val="22"/>
          <w:color w:val="auto"/>
        </w:rPr>
        <w:t xml:space="preserve">”), which Prorated Annual Bonus shall be paid in a lump sum in cash on the first regularly scheduled payroll date following the effective date of the Release,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period for consideration and revocation of the Release spans two calendar years, then the payment shall be made no sooner than the first regularly scheduled payroll date in the second calendar year;</w:t>
      </w:r>
    </w:p>
    <w:p>
      <w:pPr>
        <w:spacing w:after="0" w:line="183" w:lineRule="exact"/>
        <w:rPr>
          <w:rFonts w:ascii="Times New Roman" w:cs="Times New Roman" w:eastAsia="Times New Roman" w:hAnsi="Times New Roman"/>
          <w:sz w:val="22"/>
          <w:szCs w:val="22"/>
          <w:color w:val="auto"/>
        </w:rPr>
      </w:pPr>
    </w:p>
    <w:p>
      <w:pPr>
        <w:jc w:val="both"/>
        <w:ind w:firstLine="1952"/>
        <w:spacing w:after="0" w:line="236" w:lineRule="auto"/>
        <w:tabs>
          <w:tab w:leader="none" w:pos="259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the product of (A) the Severance Multiple (as defined below) </w:t>
      </w:r>
      <w:r>
        <w:rPr>
          <w:rFonts w:ascii="Times New Roman" w:cs="Times New Roman" w:eastAsia="Times New Roman" w:hAnsi="Times New Roman"/>
          <w:sz w:val="22"/>
          <w:szCs w:val="22"/>
          <w:i w:val="1"/>
          <w:iCs w:val="1"/>
          <w:color w:val="auto"/>
        </w:rPr>
        <w:t xml:space="preserve">multiplied by </w:t>
      </w:r>
      <w:r>
        <w:rPr>
          <w:rFonts w:ascii="Times New Roman" w:cs="Times New Roman" w:eastAsia="Times New Roman" w:hAnsi="Times New Roman"/>
          <w:sz w:val="22"/>
          <w:szCs w:val="22"/>
          <w:color w:val="auto"/>
        </w:rPr>
        <w:t>(B) the sum of (x) the Annual Base Salary and (y) the target Annual Bonus opportunity as in effect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for the fiscal year of the Company in which the Date of Termination occurs, which amount shall be paid in a lump sum in cash on the first regularly scheduled payroll date following the effective date of the Release,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period for consideration and revocation of the Release spans two calendar years, then the payment shall be made no sooner than the first regularly scheduled payroll date in the second calendar year;</w:t>
      </w:r>
    </w:p>
    <w:p>
      <w:pPr>
        <w:spacing w:after="0" w:line="181" w:lineRule="exact"/>
        <w:rPr>
          <w:rFonts w:ascii="Times New Roman" w:cs="Times New Roman" w:eastAsia="Times New Roman" w:hAnsi="Times New Roman"/>
          <w:sz w:val="22"/>
          <w:szCs w:val="22"/>
          <w:color w:val="auto"/>
        </w:rPr>
      </w:pPr>
    </w:p>
    <w:p>
      <w:pPr>
        <w:jc w:val="both"/>
        <w:ind w:firstLine="1952"/>
        <w:spacing w:after="0" w:line="236" w:lineRule="auto"/>
        <w:tabs>
          <w:tab w:leader="none" w:pos="259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cash payment equal to 125% of the full amount of premiums for health insurance coverage for a number of years following the Date of Termination equal to the Severance Multiple, determined based on the level of coverage for Executive and Executive’s dependents as of the Date of Termination, which shall be paid on the first regularly scheduled payroll date following the effective date of the Release,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period for consideration and revocation of the Release spans two calendar years, then the payment shall be made no sooner than the first regularly scheduled payroll date in the second calendar year; and</w:t>
      </w:r>
    </w:p>
    <w:p>
      <w:pPr>
        <w:spacing w:after="0" w:line="181" w:lineRule="exact"/>
        <w:rPr>
          <w:rFonts w:ascii="Times New Roman" w:cs="Times New Roman" w:eastAsia="Times New Roman" w:hAnsi="Times New Roman"/>
          <w:sz w:val="22"/>
          <w:szCs w:val="22"/>
          <w:color w:val="auto"/>
        </w:rPr>
      </w:pPr>
    </w:p>
    <w:p>
      <w:pPr>
        <w:jc w:val="both"/>
        <w:ind w:firstLine="1952"/>
        <w:spacing w:after="0" w:line="238" w:lineRule="auto"/>
        <w:tabs>
          <w:tab w:leader="none" w:pos="259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theretofore paid or provided, the Company and its Affiliates shall timely pay or provide to Executive, in accordance with the terms of the applicable plan, program, policy, practice or contract, any other amounts or benefits required to be paid or provided, or that Executive is eligible to receive under any plan, program, policy, practice or contract of the Company or its Affiliates, through the Date of Termination (such other amounts and benefits shall be hereinafter referred to as the “</w:t>
      </w:r>
      <w:r>
        <w:rPr>
          <w:rFonts w:ascii="Times New Roman" w:cs="Times New Roman" w:eastAsia="Times New Roman" w:hAnsi="Times New Roman"/>
          <w:sz w:val="22"/>
          <w:szCs w:val="22"/>
          <w:b w:val="1"/>
          <w:bCs w:val="1"/>
          <w:color w:val="auto"/>
        </w:rPr>
        <w:t>Other Benefits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color w:val="auto"/>
        </w:rPr>
        <w:t>Severance Multiple</w:t>
      </w:r>
      <w:r>
        <w:rPr>
          <w:rFonts w:ascii="Times New Roman" w:cs="Times New Roman" w:eastAsia="Times New Roman" w:hAnsi="Times New Roman"/>
          <w:sz w:val="22"/>
          <w:szCs w:val="22"/>
          <w:color w:val="auto"/>
        </w:rPr>
        <w:t>” shall mean one, unless a termination contemplated by this Section 5(a) occurs within one year following a Change in Control (as defined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7" w:name="page138"/>
    <w:bookmarkEnd w:id="137"/>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 the Westrock Coffee Company 2022 Equity Incentive Plan, as in effect on the Effective Date), in which case it shall mean two.</w:t>
      </w:r>
    </w:p>
    <w:p>
      <w:pPr>
        <w:spacing w:after="0" w:line="1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the avoidance of doubt, if applicable, any amount payable pursuant to this Section 5(a) shall be determined without regard to any reduction in compensation that resulted in Executive’s termination of employment for Good Reason. If Executive does not execute the Release within 50 days following the Date of Termination, or if Executive revokes the Release, Executive shall only be entitled to the Accrued Obligations and the Other Benefits. Other than as set forth in this Section 5(a), in the event of a termination of Executive’s employment by the Company without Cause (other than due to death or Disability) or by Executive for Good Reason, the Company and its Affiliates shall have no further obligation to Executive under this Agreement.</w:t>
      </w:r>
    </w:p>
    <w:p>
      <w:pPr>
        <w:spacing w:after="0" w:line="179" w:lineRule="exact"/>
        <w:rPr>
          <w:sz w:val="20"/>
          <w:szCs w:val="20"/>
          <w:color w:val="auto"/>
        </w:rPr>
      </w:pPr>
    </w:p>
    <w:p>
      <w:pPr>
        <w:jc w:val="both"/>
        <w:ind w:firstLine="1304"/>
        <w:spacing w:after="0" w:line="236" w:lineRule="auto"/>
        <w:tabs>
          <w:tab w:leader="none" w:pos="194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Death; Disability; Retirement</w:t>
      </w:r>
      <w:r>
        <w:rPr>
          <w:rFonts w:ascii="Times New Roman" w:cs="Times New Roman" w:eastAsia="Times New Roman" w:hAnsi="Times New Roman"/>
          <w:sz w:val="22"/>
          <w:szCs w:val="22"/>
          <w:color w:val="auto"/>
        </w:rPr>
        <w:t>. If Executive’s employment is terminated by reason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death, Disability or Retirement during the Employment Period, this Agreement shall terminate without further obligations to Executive, other than for payment of the Accrued Obligations, the Unpaid Annual Bonus and the Prorated Annual Bonus and the timely payment or provision of the Other Benefits. The Accrued Obligations, the Unpaid Annual Bonus and the Prorated Annual Bonus shall be paid to Executive’s estate (in the event of Executive’s death) or Executive or Executive’s legal representative (in the event of Disability), as applicable, on the same schedule as contemplated by Sections 5(a)(i)-(iii).</w:t>
      </w:r>
    </w:p>
    <w:p>
      <w:pPr>
        <w:spacing w:after="0" w:line="175" w:lineRule="exact"/>
        <w:rPr>
          <w:rFonts w:ascii="Times New Roman" w:cs="Times New Roman" w:eastAsia="Times New Roman" w:hAnsi="Times New Roman"/>
          <w:sz w:val="22"/>
          <w:szCs w:val="22"/>
          <w:color w:val="auto"/>
        </w:rPr>
      </w:pPr>
    </w:p>
    <w:p>
      <w:pPr>
        <w:jc w:val="both"/>
        <w:ind w:firstLine="1304"/>
        <w:spacing w:after="0" w:line="237" w:lineRule="auto"/>
        <w:tabs>
          <w:tab w:leader="none" w:pos="194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Other Termination</w:t>
      </w:r>
      <w:r>
        <w:rPr>
          <w:rFonts w:ascii="Times New Roman" w:cs="Times New Roman" w:eastAsia="Times New Roman" w:hAnsi="Times New Roman"/>
          <w:sz w:val="22"/>
          <w:szCs w:val="22"/>
          <w:color w:val="auto"/>
        </w:rPr>
        <w:t>. If Executive’s employment is terminated during the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for a reason other than those governed by Section 5(a) or (b) (including upon the expiration of the Employment Period following a Notice of Non-Renewal when Executive is not Retirement-eligible), this Agreement shall terminate without further obligations to Executive, other than for payment of the Accrued Obligations and Unpaid Annual Bonus on the same schedule as contemplated by Sections 5(a)(i)-(ii) and the timely payment or provision of the Other Benefits.</w:t>
      </w:r>
    </w:p>
    <w:p>
      <w:pPr>
        <w:spacing w:after="0" w:line="175" w:lineRule="exact"/>
        <w:rPr>
          <w:rFonts w:ascii="Times New Roman" w:cs="Times New Roman" w:eastAsia="Times New Roman" w:hAnsi="Times New Roman"/>
          <w:sz w:val="22"/>
          <w:szCs w:val="22"/>
          <w:color w:val="auto"/>
        </w:rPr>
      </w:pPr>
    </w:p>
    <w:p>
      <w:pPr>
        <w:jc w:val="both"/>
        <w:ind w:firstLine="1304"/>
        <w:spacing w:after="0" w:line="241" w:lineRule="auto"/>
        <w:tabs>
          <w:tab w:leader="none" w:pos="194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Full Settlement</w:t>
      </w:r>
      <w:r>
        <w:rPr>
          <w:rFonts w:ascii="Times New Roman" w:cs="Times New Roman" w:eastAsia="Times New Roman" w:hAnsi="Times New Roman"/>
          <w:sz w:val="22"/>
          <w:szCs w:val="22"/>
          <w:color w:val="auto"/>
        </w:rPr>
        <w:t>. The payments and benefits provided under this Section 5 shall be in full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satisfaction of the obligations of the Company and its Affiliates to Executive under this Agreement and any other plan, agreement, policy or arrangement of the Company and its Affiliates upon Executive’s termination of employment.</w:t>
      </w:r>
    </w:p>
    <w:p>
      <w:pPr>
        <w:spacing w:after="0" w:line="172" w:lineRule="exact"/>
        <w:rPr>
          <w:sz w:val="20"/>
          <w:szCs w:val="20"/>
          <w:color w:val="auto"/>
        </w:rPr>
      </w:pPr>
    </w:p>
    <w:p>
      <w:pPr>
        <w:jc w:val="both"/>
        <w:ind w:firstLine="1304"/>
        <w:spacing w:after="0" w:line="246" w:lineRule="auto"/>
        <w:tabs>
          <w:tab w:leader="none" w:pos="194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Mitigation</w:t>
      </w:r>
      <w:r>
        <w:rPr>
          <w:rFonts w:ascii="Times New Roman" w:cs="Times New Roman" w:eastAsia="Times New Roman" w:hAnsi="Times New Roman"/>
          <w:sz w:val="22"/>
          <w:szCs w:val="22"/>
          <w:color w:val="auto"/>
        </w:rPr>
        <w:t>. In no event shall Executive be obligated to seek other employment or take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other action by way of mitigation of any amounts payable to Executive under Section 5 and such amounts shall not be reduced whether or not Executive obtains other employment.</w:t>
      </w:r>
    </w:p>
    <w:p>
      <w:pPr>
        <w:spacing w:after="0" w:line="16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304"/>
        <w:spacing w:after="0" w:line="236" w:lineRule="auto"/>
        <w:tabs>
          <w:tab w:leader="none" w:pos="194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Confidential Information</w:t>
      </w:r>
      <w:r>
        <w:rPr>
          <w:rFonts w:ascii="Times New Roman" w:cs="Times New Roman" w:eastAsia="Times New Roman" w:hAnsi="Times New Roman"/>
          <w:sz w:val="22"/>
          <w:szCs w:val="22"/>
          <w:color w:val="auto"/>
        </w:rPr>
        <w:t>. Executive shall hold in a fiduciary capacity for the benefit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all secret or confidential information, knowledge or data relating to the Company or its Affiliates, and their respective businesses, which shall have been obtained by Executive during Executive’s employment by the Company or any of its Affiliates and which shall not be or become public knowledge (other than by acts by Executive or representatives of Executive in violation of this Agreement) (collectively, “</w:t>
      </w:r>
      <w:r>
        <w:rPr>
          <w:rFonts w:ascii="Times New Roman" w:cs="Times New Roman" w:eastAsia="Times New Roman" w:hAnsi="Times New Roman"/>
          <w:sz w:val="22"/>
          <w:szCs w:val="22"/>
          <w:b w:val="1"/>
          <w:bCs w:val="1"/>
          <w:color w:val="auto"/>
        </w:rPr>
        <w:t>Confidential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After termination of Executive’s employment with the Company, Executive shall not, without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8" w:name="page139"/>
    <w:bookmarkEnd w:id="138"/>
    <w:p>
      <w:pPr>
        <w:jc w:val="both"/>
        <w:spacing w:after="0" w:line="235" w:lineRule="auto"/>
        <w:rPr>
          <w:sz w:val="20"/>
          <w:szCs w:val="20"/>
          <w:color w:val="auto"/>
        </w:rPr>
      </w:pPr>
      <w:r>
        <w:rPr>
          <w:rFonts w:ascii="Times New Roman" w:cs="Times New Roman" w:eastAsia="Times New Roman" w:hAnsi="Times New Roman"/>
          <w:sz w:val="22"/>
          <w:szCs w:val="22"/>
          <w:color w:val="auto"/>
        </w:rPr>
        <w:t>written consent of the Company or as may otherwise be required by law or legal process, communicate or divulge any such Confidential Information to anyone other than the Company and those designated by it. Notwithstanding the foregoing, “Confidential Information” shall not include (i) information that at the time of disclosure is already known to the receiving party without any restriction on its disclosure; (ii) information that is or subsequently comes into the possession of the receiving party from a third party without violation of any contractual or legal obligation; (iii) information that is independently developed by the receiving party without the use of Confidential Information or breach of this Agreement; and (iv) information that is otherwise required to be disclosed under applicable laws, regulations or judicial or regulatory process.</w:t>
      </w:r>
    </w:p>
    <w:p>
      <w:pPr>
        <w:spacing w:after="0" w:line="174" w:lineRule="exact"/>
        <w:rPr>
          <w:sz w:val="20"/>
          <w:szCs w:val="20"/>
          <w:color w:val="auto"/>
        </w:rPr>
      </w:pPr>
    </w:p>
    <w:p>
      <w:pPr>
        <w:jc w:val="both"/>
        <w:ind w:firstLine="1304"/>
        <w:spacing w:after="0" w:line="233" w:lineRule="auto"/>
        <w:tabs>
          <w:tab w:leader="none" w:pos="194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Inventions and Patents</w:t>
      </w:r>
      <w:r>
        <w:rPr>
          <w:rFonts w:ascii="Times New Roman" w:cs="Times New Roman" w:eastAsia="Times New Roman" w:hAnsi="Times New Roman"/>
          <w:sz w:val="22"/>
          <w:szCs w:val="22"/>
          <w:color w:val="auto"/>
        </w:rPr>
        <w:t>. Executive agrees that all inventions, innovations, improvements,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developments, methods, designs, analyses, drawings, reports and all similar or related information that relate to the actual or anticipated business, research and development or existing or future products or services of the Company or any of its Affiliates, and that are conceived, developed or made by Executive during Executive’s employment with the Company or any of its Affiliates (“</w:t>
      </w:r>
      <w:r>
        <w:rPr>
          <w:rFonts w:ascii="Times New Roman" w:cs="Times New Roman" w:eastAsia="Times New Roman" w:hAnsi="Times New Roman"/>
          <w:sz w:val="22"/>
          <w:szCs w:val="22"/>
          <w:b w:val="1"/>
          <w:bCs w:val="1"/>
          <w:color w:val="auto"/>
        </w:rPr>
        <w:t>Work Product</w:t>
      </w:r>
      <w:r>
        <w:rPr>
          <w:rFonts w:ascii="Times New Roman" w:cs="Times New Roman" w:eastAsia="Times New Roman" w:hAnsi="Times New Roman"/>
          <w:sz w:val="22"/>
          <w:szCs w:val="22"/>
          <w:color w:val="auto"/>
        </w:rPr>
        <w:t>”) belong to the Company and its Affiliates. Executive shall promptly disclose such Work Product to the Company and its Affiliates and perform all actions reasonably requested by the Company and its Affiliates (whether during or after the Employment Period) to establish and confirm such ownership (including assignments, consents, powers of attorney and other instruments). To the fullest extent permitted by applicable law, all intellectual property (including patents, trademarks and copyrights) that are made, developed or acquired by Executive in the course of Executive’s employment with the Company or any of its Affiliates shall be and remain the absolute property of the Company and its Affiliates, and Executive shall assist the Company and its Affiliates in perfecting and defending their rights to such intellectual property.</w:t>
      </w:r>
    </w:p>
    <w:p>
      <w:pPr>
        <w:spacing w:after="0" w:line="182" w:lineRule="exact"/>
        <w:rPr>
          <w:rFonts w:ascii="Times New Roman" w:cs="Times New Roman" w:eastAsia="Times New Roman" w:hAnsi="Times New Roman"/>
          <w:sz w:val="22"/>
          <w:szCs w:val="22"/>
          <w:color w:val="auto"/>
        </w:rPr>
      </w:pPr>
    </w:p>
    <w:p>
      <w:pPr>
        <w:jc w:val="both"/>
        <w:ind w:firstLine="1304"/>
        <w:spacing w:after="0" w:line="233" w:lineRule="auto"/>
        <w:tabs>
          <w:tab w:leader="none" w:pos="194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Nonsolicitation</w:t>
      </w:r>
      <w:r>
        <w:rPr>
          <w:rFonts w:ascii="Times New Roman" w:cs="Times New Roman" w:eastAsia="Times New Roman" w:hAnsi="Times New Roman"/>
          <w:sz w:val="22"/>
          <w:szCs w:val="22"/>
          <w:color w:val="auto"/>
        </w:rPr>
        <w:t>. During the period commencing on the Effective Date and ending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first anniversary of the Date of Termination (the “</w:t>
      </w:r>
      <w:r>
        <w:rPr>
          <w:rFonts w:ascii="Times New Roman" w:cs="Times New Roman" w:eastAsia="Times New Roman" w:hAnsi="Times New Roman"/>
          <w:sz w:val="22"/>
          <w:szCs w:val="22"/>
          <w:b w:val="1"/>
          <w:bCs w:val="1"/>
          <w:color w:val="auto"/>
        </w:rPr>
        <w:t>Restricted Period</w:t>
      </w:r>
      <w:r>
        <w:rPr>
          <w:rFonts w:ascii="Times New Roman" w:cs="Times New Roman" w:eastAsia="Times New Roman" w:hAnsi="Times New Roman"/>
          <w:sz w:val="22"/>
          <w:szCs w:val="22"/>
          <w:color w:val="auto"/>
        </w:rPr>
        <w:t>”), Executive shall not directly or indirectly, except in the good faith performance of Executive’s duties to the Company: (i) induce or attempt to induce any employee or independent contractor of the Company or any of its Affiliates to leave the Company or such Affiliate, or in any way interfere with the relationship between the Company or any such Affiliate, on the one hand, and any employee or independent contractor thereof, on the other hand; (ii) hire any person who was an employee or independent contractor of the Company or any of its Affiliates until 12 months after such individual’s relationship with the Company or such Affiliate has been terminated; or (iii) induce or attempt to induce any customer (whether former or current), supplier, licensee or other business relation of the Company or any of its Affiliates to cease doing business with the Company or such Affiliate, or in any way interfere with the relationship between any such customer, supplier, licensee or business relation, on the one hand, and the Company or any of its Affiliates, on the other hand. Notwithstanding the foregoing, nothing in this Section 7(c) shall prohibit any advertisement or general solicitation (or hiring as a result thereof) that is not specifically targeted at Company’s or its Affiliates’ employees.</w:t>
      </w:r>
    </w:p>
    <w:p>
      <w:pPr>
        <w:spacing w:after="0" w:line="179" w:lineRule="exact"/>
        <w:rPr>
          <w:rFonts w:ascii="Times New Roman" w:cs="Times New Roman" w:eastAsia="Times New Roman" w:hAnsi="Times New Roman"/>
          <w:sz w:val="22"/>
          <w:szCs w:val="22"/>
          <w:color w:val="auto"/>
        </w:rPr>
      </w:pPr>
    </w:p>
    <w:p>
      <w:pPr>
        <w:jc w:val="both"/>
        <w:ind w:firstLine="1304"/>
        <w:spacing w:after="0" w:line="241" w:lineRule="auto"/>
        <w:tabs>
          <w:tab w:leader="none" w:pos="194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Noncompetition</w:t>
      </w:r>
      <w:r>
        <w:rPr>
          <w:rFonts w:ascii="Times New Roman" w:cs="Times New Roman" w:eastAsia="Times New Roman" w:hAnsi="Times New Roman"/>
          <w:sz w:val="22"/>
          <w:szCs w:val="22"/>
          <w:color w:val="auto"/>
        </w:rPr>
        <w:t>. Executive acknowledges that, in the course of Executive’s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Company, Executive has become familiar, or shall become familiar, with the Company’s and its Affiliates’ trade secrets and with other Confidential Information concerning the Company, its Affiliates and their respective predecessors, and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9" w:name="page140"/>
    <w:bookmarkEnd w:id="139"/>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Executive’s services have been and shall be of special, unique and extraordinary value to the Company and its Affiliates. Therefore, Executive agrees that, during the Restricted Period, Executive shall not, directly or indirectly, own, manage, operate, control, be employed by (whether as an employee, consultant, independent contractor or otherwise, and whether or not for compensation) or render services to any person, firm, corporation or other entity, in whatever form, engaged in any business of the same type as any business in which the Company or any of its Affiliates is engaged on the Date of Termination or in which they have proposed, on or prior to such date, to be engaged in on or after such date and in which Executive has been involved to any extent (other than </w:t>
      </w:r>
      <w:r>
        <w:rPr>
          <w:rFonts w:ascii="Times New Roman" w:cs="Times New Roman" w:eastAsia="Times New Roman" w:hAnsi="Times New Roman"/>
          <w:sz w:val="21"/>
          <w:szCs w:val="21"/>
          <w:i w:val="1"/>
          <w:iCs w:val="1"/>
          <w:color w:val="auto"/>
        </w:rPr>
        <w:t>de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minimis </w:t>
      </w:r>
      <w:r>
        <w:rPr>
          <w:rFonts w:ascii="Times New Roman" w:cs="Times New Roman" w:eastAsia="Times New Roman" w:hAnsi="Times New Roman"/>
          <w:sz w:val="21"/>
          <w:szCs w:val="21"/>
          <w:color w:val="auto"/>
        </w:rPr>
        <w:t>activities) at any time during the one-year period ending with the Date of Termination, in any locale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country in which the Company or any of its Affiliates conducts business. Nothing herein shall prohibit Executive from being a passive owner of not more than 4.9% of the outstanding equity interest in any entity which is publicly traded, so long as Executive has no active participation in the business of such entity.</w:t>
      </w:r>
    </w:p>
    <w:p>
      <w:pPr>
        <w:spacing w:after="0" w:line="173" w:lineRule="exact"/>
        <w:rPr>
          <w:sz w:val="20"/>
          <w:szCs w:val="20"/>
          <w:color w:val="auto"/>
        </w:rPr>
      </w:pPr>
    </w:p>
    <w:p>
      <w:pPr>
        <w:jc w:val="both"/>
        <w:ind w:firstLine="1304"/>
        <w:spacing w:after="0" w:line="247" w:lineRule="auto"/>
        <w:tabs>
          <w:tab w:leader="none" w:pos="1944"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Nondisparagement</w:t>
      </w:r>
      <w:r>
        <w:rPr>
          <w:rFonts w:ascii="Times New Roman" w:cs="Times New Roman" w:eastAsia="Times New Roman" w:hAnsi="Times New Roman"/>
          <w:sz w:val="21"/>
          <w:szCs w:val="21"/>
          <w:color w:val="auto"/>
        </w:rPr>
        <w:t>. From and following the Effective Date: (i) Executive shall not make,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either directly or by or through another person, any oral or written negative, disparaging or adverse statements or representations of or concerning the Company or any of its Affiliates, any of their clients or businesses or any of their current or former directors, officers or employees; and (ii) the Company and its Affiliates shall not make, either directly or by or through another person, any oral or written negative, disparaging or adverse statements or representations of or concerning Executive;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subject to Section 7(a), nothing herein shall prohibit either party from disclosing truthful information if legally required (whether by oral questions, interrogatories, requests for information or documents, subpoena, civil investigative demand or similar process).</w:t>
      </w:r>
    </w:p>
    <w:p>
      <w:pPr>
        <w:spacing w:after="0" w:line="171" w:lineRule="exact"/>
        <w:rPr>
          <w:rFonts w:ascii="Times New Roman" w:cs="Times New Roman" w:eastAsia="Times New Roman" w:hAnsi="Times New Roman"/>
          <w:sz w:val="21"/>
          <w:szCs w:val="21"/>
          <w:color w:val="auto"/>
        </w:rPr>
      </w:pPr>
    </w:p>
    <w:p>
      <w:pPr>
        <w:jc w:val="both"/>
        <w:ind w:firstLine="1304"/>
        <w:spacing w:after="0" w:line="234" w:lineRule="auto"/>
        <w:tabs>
          <w:tab w:leader="none" w:pos="194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Return of Property</w:t>
      </w:r>
      <w:r>
        <w:rPr>
          <w:rFonts w:ascii="Times New Roman" w:cs="Times New Roman" w:eastAsia="Times New Roman" w:hAnsi="Times New Roman"/>
          <w:sz w:val="22"/>
          <w:szCs w:val="22"/>
          <w:color w:val="auto"/>
        </w:rPr>
        <w:t>. Executive acknowledges that all documents, records, files, lists,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equipment, computer, software or other property (including intellectual property) relating to the businesses of the Company or any of its Affiliates, in whatever form (including electronic), and all copies thereof, that have been or are received or created by Executive while an employee of the Company or any of its Affiliates are and shall remain the property of the Company and its Affiliates, and Executive shall immediately return such property to the Company upon the Date of Termination and, in any event, at the Company’s request. Executive further agrees that any property situated on the premises of, and owned by, the Company or any of its Affiliates, including disks and other storage media, filing cabinets or other work areas, is subject to inspection by personnel of the Company and its Affiliates at any time with or without notice. Notwithstanding the foregoing, Executive may retain Executive’s personal contacts and personal compensation data.</w:t>
      </w:r>
    </w:p>
    <w:p>
      <w:pPr>
        <w:spacing w:after="0" w:line="179"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44"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Trade Secrets; Whistleblower Rights</w:t>
      </w:r>
      <w:r>
        <w:rPr>
          <w:rFonts w:ascii="Times New Roman" w:cs="Times New Roman" w:eastAsia="Times New Roman" w:hAnsi="Times New Roman"/>
          <w:sz w:val="21"/>
          <w:szCs w:val="21"/>
          <w:color w:val="auto"/>
        </w:rPr>
        <w:t>. The Company hereby informs Executive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notwithstanding any provision of this Agreement to the contrary, an individual may not be held criminally or civilly liable under any federal or state trade secret law for the disclosure of a trade secret that (i) is made in confidence to a federal, state, or local government official, either directly or indirectly, or to an attorney, and solely for the purpose of reporting or investigating a suspected violation of law, or (ii) is made in a complaint or other document that is filed under seal in a lawsuit or other proceeding. Further, an individual who files a lawsuit for retaliation by an employer for reporting a suspected violation of law may disclose the employer’s trade secrets to the attorney and use the trade secret information in the court proceeding if the individual files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0" w:name="page141"/>
    <w:bookmarkEnd w:id="140"/>
    <w:p>
      <w:pPr>
        <w:jc w:val="both"/>
        <w:spacing w:after="0" w:line="238" w:lineRule="auto"/>
        <w:rPr>
          <w:sz w:val="20"/>
          <w:szCs w:val="20"/>
          <w:color w:val="auto"/>
        </w:rPr>
      </w:pPr>
      <w:r>
        <w:rPr>
          <w:rFonts w:ascii="Times New Roman" w:cs="Times New Roman" w:eastAsia="Times New Roman" w:hAnsi="Times New Roman"/>
          <w:sz w:val="22"/>
          <w:szCs w:val="22"/>
          <w:color w:val="auto"/>
        </w:rPr>
        <w:t>document containing the trade secret under seal and does not disclose the trade secret, except pursuant to court order. In addition, notwithstanding anything in this Agreement to the contrary, nothing in this Agreement shall impair Executive’s rights under the whistleblower provisions of any applicable federal law or regulation or, for the avoidance of doubt, limit Executive’s right to receive an award for information provided to any government authority under such law or regulation.</w:t>
      </w:r>
    </w:p>
    <w:p>
      <w:pPr>
        <w:spacing w:after="0" w:line="173" w:lineRule="exact"/>
        <w:rPr>
          <w:sz w:val="20"/>
          <w:szCs w:val="20"/>
          <w:color w:val="auto"/>
        </w:rPr>
      </w:pPr>
    </w:p>
    <w:p>
      <w:pPr>
        <w:ind w:left="1960" w:hanging="656"/>
        <w:spacing w:after="0"/>
        <w:tabs>
          <w:tab w:leader="none" w:pos="196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Executive Covenants Generally</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firstLine="1952"/>
        <w:spacing w:after="0" w:line="235" w:lineRule="auto"/>
        <w:tabs>
          <w:tab w:leader="none" w:pos="2592"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covenants as set forth in this Section 7 are from time to time referred to herein as the “</w:t>
      </w:r>
      <w:r>
        <w:rPr>
          <w:rFonts w:ascii="Times New Roman" w:cs="Times New Roman" w:eastAsia="Times New Roman" w:hAnsi="Times New Roman"/>
          <w:sz w:val="22"/>
          <w:szCs w:val="22"/>
          <w:b w:val="1"/>
          <w:bCs w:val="1"/>
          <w:color w:val="auto"/>
        </w:rPr>
        <w:t>Executive Covenants</w:t>
      </w:r>
      <w:r>
        <w:rPr>
          <w:rFonts w:ascii="Times New Roman" w:cs="Times New Roman" w:eastAsia="Times New Roman" w:hAnsi="Times New Roman"/>
          <w:sz w:val="22"/>
          <w:szCs w:val="22"/>
          <w:color w:val="auto"/>
        </w:rPr>
        <w:t xml:space="preserve">.” If any Executive Covenant is finally held to be invalid, illegal or unenforceable (whether in whole or in part), such Executive Covenant shall be deemed modified to the extent, but only to the extent, of such invalidity, illegality or unenforceability and the remaining Executive Covenants shall not be affected thereby;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any Executive Covenant is finally held to be invalid, illegal or unenforceable because it exceeds the maximum scope determined to be acceptable to permit such provision to be enforceable, such Executive Covenant shall be deemed to be modified to the minimum extent necessary to modify such scope in order to make such provision enforceable hereunder.</w:t>
      </w:r>
    </w:p>
    <w:p>
      <w:pPr>
        <w:spacing w:after="0" w:line="178" w:lineRule="exact"/>
        <w:rPr>
          <w:rFonts w:ascii="Times New Roman" w:cs="Times New Roman" w:eastAsia="Times New Roman" w:hAnsi="Times New Roman"/>
          <w:sz w:val="22"/>
          <w:szCs w:val="22"/>
          <w:color w:val="auto"/>
        </w:rPr>
      </w:pPr>
    </w:p>
    <w:p>
      <w:pPr>
        <w:jc w:val="both"/>
        <w:ind w:firstLine="1952"/>
        <w:spacing w:after="0" w:line="238" w:lineRule="auto"/>
        <w:tabs>
          <w:tab w:leader="none" w:pos="2592"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the Company and its Affiliates have (A) expended and shall continue to expend substantial amounts of time, money and effort to develop business strategies, employee, customer and other relationships and goodwill to build an effective organization, and (B) a legitimate business interest in and right to protect their Confidential Information, goodwill and employee, customer and other relationships.</w:t>
      </w:r>
    </w:p>
    <w:p>
      <w:pPr>
        <w:spacing w:after="0" w:line="176" w:lineRule="exact"/>
        <w:rPr>
          <w:rFonts w:ascii="Times New Roman" w:cs="Times New Roman" w:eastAsia="Times New Roman" w:hAnsi="Times New Roman"/>
          <w:sz w:val="22"/>
          <w:szCs w:val="22"/>
          <w:color w:val="auto"/>
        </w:rPr>
      </w:pPr>
    </w:p>
    <w:p>
      <w:pPr>
        <w:jc w:val="both"/>
        <w:ind w:firstLine="1952"/>
        <w:spacing w:after="0" w:line="239" w:lineRule="auto"/>
        <w:tabs>
          <w:tab w:leader="none" w:pos="2592"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understands that the Executive Covenants may limit Executive’s ability to earn a livelihood in a business similar to the business of the Company, and Executive represents that Executive’s experience and capabilities are such that Executive has other opportunities to earn a livelihood and adequate means of support for Executive and Executive’s dependents.</w:t>
      </w:r>
    </w:p>
    <w:p>
      <w:pPr>
        <w:spacing w:after="0" w:line="180" w:lineRule="exact"/>
        <w:rPr>
          <w:rFonts w:ascii="Times New Roman" w:cs="Times New Roman" w:eastAsia="Times New Roman" w:hAnsi="Times New Roman"/>
          <w:sz w:val="22"/>
          <w:szCs w:val="22"/>
          <w:color w:val="auto"/>
        </w:rPr>
      </w:pPr>
    </w:p>
    <w:p>
      <w:pPr>
        <w:ind w:right="20" w:firstLine="1952"/>
        <w:spacing w:after="0" w:line="258" w:lineRule="auto"/>
        <w:tabs>
          <w:tab w:leader="none" w:pos="2592"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termination of (A) Executive’s employment, (B) the Employment Period or (C) this Agreement shall have no effect on the continuing operation of this Section 7.</w:t>
      </w:r>
    </w:p>
    <w:p>
      <w:pPr>
        <w:spacing w:after="0" w:line="158" w:lineRule="exact"/>
        <w:rPr>
          <w:rFonts w:ascii="Times New Roman" w:cs="Times New Roman" w:eastAsia="Times New Roman" w:hAnsi="Times New Roman"/>
          <w:sz w:val="22"/>
          <w:szCs w:val="22"/>
          <w:color w:val="auto"/>
        </w:rPr>
      </w:pPr>
    </w:p>
    <w:p>
      <w:pPr>
        <w:jc w:val="both"/>
        <w:ind w:firstLine="1952"/>
        <w:spacing w:after="0" w:line="233" w:lineRule="auto"/>
        <w:tabs>
          <w:tab w:leader="none" w:pos="2592"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the Company would be irreparably injured by a violation of this Section 7 and that it is impossible to measure in money the damages that shall accrue to the Company by reason of a failure by Executive to perform any of Executive’s obligations under this Section 7. Accordingly, if the Company institutes any action or proceeding to enforce any of the provisions of this Section 7, to the extent permitted by applicable law, Executive hereby waives the claim or defense that the Company has an adequate remedy at law, and Executive shall not urge in any such action or proceeding the defense that any such remedy exists at law. Furthermore, in addition to other remedies that may be available, the Company shall be entitled (without the necessity of showing economic loss or other actual damage) to specific performance and other injunctive relief, without the requirement to post bond, in any court of competent jurisdiction for any actual or threatened breach of any of the covenants set forth in this Section 7. The Restricted Period shall be tolled during (and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1" w:name="page142"/>
    <w:bookmarkEnd w:id="141"/>
    <w:p>
      <w:pPr>
        <w:spacing w:after="0" w:line="258" w:lineRule="auto"/>
        <w:rPr>
          <w:sz w:val="20"/>
          <w:szCs w:val="20"/>
          <w:color w:val="auto"/>
        </w:rPr>
      </w:pPr>
      <w:r>
        <w:rPr>
          <w:rFonts w:ascii="Times New Roman" w:cs="Times New Roman" w:eastAsia="Times New Roman" w:hAnsi="Times New Roman"/>
          <w:sz w:val="22"/>
          <w:szCs w:val="22"/>
          <w:color w:val="auto"/>
        </w:rPr>
        <w:t>deemed automatically extended by) any period during which Executive is in violation of the provisions of Section 7(c) or (d), as applicable.</w:t>
      </w:r>
    </w:p>
    <w:p>
      <w:pPr>
        <w:spacing w:after="0" w:line="154" w:lineRule="exact"/>
        <w:rPr>
          <w:sz w:val="20"/>
          <w:szCs w:val="20"/>
          <w:color w:val="auto"/>
        </w:rPr>
      </w:pPr>
    </w:p>
    <w:p>
      <w:pPr>
        <w:ind w:left="1960" w:hanging="656"/>
        <w:spacing w:after="0"/>
        <w:tabs>
          <w:tab w:leader="none" w:pos="19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Treatment of Certain Payments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304"/>
        <w:spacing w:after="0" w:line="233" w:lineRule="auto"/>
        <w:tabs>
          <w:tab w:leader="none" w:pos="194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payments or benefits under this Agreement or otherwise, either alone or together with other payments or benefits that Executive receives or is entitled to receive from the Company or any of its Affiliates (“</w:t>
      </w:r>
      <w:r>
        <w:rPr>
          <w:rFonts w:ascii="Times New Roman" w:cs="Times New Roman" w:eastAsia="Times New Roman" w:hAnsi="Times New Roman"/>
          <w:sz w:val="22"/>
          <w:szCs w:val="22"/>
          <w:b w:val="1"/>
          <w:bCs w:val="1"/>
          <w:color w:val="auto"/>
        </w:rPr>
        <w:t>Payments</w:t>
      </w:r>
      <w:r>
        <w:rPr>
          <w:rFonts w:ascii="Times New Roman" w:cs="Times New Roman" w:eastAsia="Times New Roman" w:hAnsi="Times New Roman"/>
          <w:sz w:val="22"/>
          <w:szCs w:val="22"/>
          <w:color w:val="auto"/>
        </w:rPr>
        <w:t>”) would subject Executive to the excise tax under Section 4999 of the Code, the Accounting Firm (as defined below) shall determine whether to reduce any of the Payments paid or payable pursuant to this Agreement (the “</w:t>
      </w:r>
      <w:r>
        <w:rPr>
          <w:rFonts w:ascii="Times New Roman" w:cs="Times New Roman" w:eastAsia="Times New Roman" w:hAnsi="Times New Roman"/>
          <w:sz w:val="22"/>
          <w:szCs w:val="22"/>
          <w:b w:val="1"/>
          <w:bCs w:val="1"/>
          <w:color w:val="auto"/>
        </w:rPr>
        <w:t>Agreement Payments</w:t>
      </w:r>
      <w:r>
        <w:rPr>
          <w:rFonts w:ascii="Times New Roman" w:cs="Times New Roman" w:eastAsia="Times New Roman" w:hAnsi="Times New Roman"/>
          <w:sz w:val="22"/>
          <w:szCs w:val="22"/>
          <w:color w:val="auto"/>
        </w:rPr>
        <w:t>”) so that the Parachute Value (as defined below) of all Payments, in the aggregate, equals the Safe Harbor Amount (as defined below). The Agreement Payments shall be so reduced only if the Accounting Firm determines that Executive would have a greater Net After-Tax Receipt (as defined below) of aggregate Payments if the Agreement Payments were so reduced. If the Accounting Firm determines that Executive would not have a greater Net After-Tax Receipt (as defined below) of aggregate Payments if the Agreement Payments were so reduced, Executive shall receive all Agreement Payments to which Executive is entitled hereunder.</w:t>
      </w:r>
    </w:p>
    <w:p>
      <w:pPr>
        <w:spacing w:after="0" w:line="187"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Accounting Firm determines that aggregate Agreement Payments should be reduced so that the Parachute Value of all Payments, in the aggregate, equals the Safe Harbor Amount, the Company shall promptly give Executive notice to that effect and a copy of the detailed calculation thereof. All determinations made by the Accounting Firm under this Section 8 shall be binding upon the Company and its Affiliates and Executive and shall be made as soon as reasonably practicable and in no event later than 15 days following the Date of Termination. For purposes of reducing the Agreement Payments so that the Parachute Value of all Payments, in the aggregate, equals the Safe Harbor Amount, only amounts payable under this Agreement (and no other Payments) shall be reduced. The reduction of the amounts payable hereunder, if applicable, shall be made by reducing the payments and benefits under the following sections in the following order: (i) cash payments that may not be valued under Treas. Reg. § 1.280G-1, Q&amp;A-24(c) (“</w:t>
      </w:r>
      <w:r>
        <w:rPr>
          <w:rFonts w:ascii="Times New Roman" w:cs="Times New Roman" w:eastAsia="Times New Roman" w:hAnsi="Times New Roman"/>
          <w:sz w:val="21"/>
          <w:szCs w:val="21"/>
          <w:b w:val="1"/>
          <w:bCs w:val="1"/>
          <w:color w:val="auto"/>
        </w:rPr>
        <w:t>24(c)</w:t>
      </w:r>
      <w:r>
        <w:rPr>
          <w:rFonts w:ascii="Times New Roman" w:cs="Times New Roman" w:eastAsia="Times New Roman" w:hAnsi="Times New Roman"/>
          <w:sz w:val="21"/>
          <w:szCs w:val="21"/>
          <w:color w:val="auto"/>
        </w:rPr>
        <w:t>”); (ii) equity-based payments that may not be valued under 24(c); (iii) cash payments that may be valued under 24(c); (iv) equity-based payments that may be valued under 24(c); and (v) other types of benefits. With respect to each category of the foregoing, such reduction shall occur first with respect to amounts that are not “deferred compensation” within the meaning of Section 409A of the Code and next with respect to payments that are deferred compensation, in each case, beginning with payments or benefits that are to be paid the farthest in time from the determination of the Accounting Firm. All reasonable fees and expenses of the Accounting Firm shall be borne solely by the Company.</w:t>
      </w:r>
    </w:p>
    <w:p>
      <w:pPr>
        <w:spacing w:after="0" w:line="175" w:lineRule="exact"/>
        <w:rPr>
          <w:rFonts w:ascii="Times New Roman" w:cs="Times New Roman" w:eastAsia="Times New Roman" w:hAnsi="Times New Roman"/>
          <w:sz w:val="21"/>
          <w:szCs w:val="21"/>
          <w:color w:val="auto"/>
        </w:rPr>
      </w:pPr>
    </w:p>
    <w:p>
      <w:pPr>
        <w:jc w:val="both"/>
        <w:ind w:firstLine="1304"/>
        <w:spacing w:after="0" w:line="235" w:lineRule="auto"/>
        <w:tabs>
          <w:tab w:leader="none" w:pos="194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result of the uncertainty in the application of Section 4999 of the Code at the time of the initial determination by the Accounting Firm hereunder, it is possible that amounts shall have been paid or distributed by the Company to or for the benefit of Executive pursuant to this Agreement that should not have been so paid or distributed (each, an “</w:t>
      </w:r>
      <w:r>
        <w:rPr>
          <w:rFonts w:ascii="Times New Roman" w:cs="Times New Roman" w:eastAsia="Times New Roman" w:hAnsi="Times New Roman"/>
          <w:sz w:val="22"/>
          <w:szCs w:val="22"/>
          <w:b w:val="1"/>
          <w:bCs w:val="1"/>
          <w:color w:val="auto"/>
        </w:rPr>
        <w:t>Overpayment</w:t>
      </w:r>
      <w:r>
        <w:rPr>
          <w:rFonts w:ascii="Times New Roman" w:cs="Times New Roman" w:eastAsia="Times New Roman" w:hAnsi="Times New Roman"/>
          <w:sz w:val="22"/>
          <w:szCs w:val="22"/>
          <w:color w:val="auto"/>
        </w:rPr>
        <w:t>”) or that additional amounts that shall have not been paid or distributed by the Company to or for the benefit of Executive pursuant to this Agreement could have been so paid or distributed (each, an “</w:t>
      </w:r>
      <w:r>
        <w:rPr>
          <w:rFonts w:ascii="Times New Roman" w:cs="Times New Roman" w:eastAsia="Times New Roman" w:hAnsi="Times New Roman"/>
          <w:sz w:val="22"/>
          <w:szCs w:val="22"/>
          <w:b w:val="1"/>
          <w:bCs w:val="1"/>
          <w:color w:val="auto"/>
        </w:rPr>
        <w:t>Underpayment</w:t>
      </w:r>
      <w:r>
        <w:rPr>
          <w:rFonts w:ascii="Times New Roman" w:cs="Times New Roman" w:eastAsia="Times New Roman" w:hAnsi="Times New Roman"/>
          <w:sz w:val="22"/>
          <w:szCs w:val="22"/>
          <w:color w:val="auto"/>
        </w:rPr>
        <w:t>”), in each case, consistent with the calculation of the Reduced Amount hereunder. In the event that the Accounting Firm, based upon the assertion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2" w:name="page143"/>
    <w:bookmarkEnd w:id="142"/>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deficiency by the Internal Revenue Service against the Company or Executive that the Accounting Firm believes has a high probability of success determines that an Overpayment has been made, any such Overpayment paid or distributed by the Company to or for the benefit of Executive shall be repaid by Executive to the Company (as applicable) together with interest at the applicable federal rate provided for in Section 7872(f)(2) of the Code;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repayment shall be required if and to the extent such deemed repayment would not either reduce the amount on which Executive is subject to tax under Section 1 and Section 4999 of the Code or generate a refund of such taxes. In the event that the Accounting Firm, based upon controlling precedent or substantial authority, determines that an Underpayment has occurred, any such Underpayment shall be promptly paid by the Company to or for the benefit of Executive together with interest at the applicable federal rate provided for in Section 7872(f)(2) of the Code.</w:t>
      </w:r>
    </w:p>
    <w:p>
      <w:pPr>
        <w:spacing w:after="0" w:line="179" w:lineRule="exact"/>
        <w:rPr>
          <w:sz w:val="20"/>
          <w:szCs w:val="20"/>
          <w:color w:val="auto"/>
        </w:rPr>
      </w:pPr>
    </w:p>
    <w:p>
      <w:pPr>
        <w:jc w:val="both"/>
        <w:ind w:firstLine="1304"/>
        <w:spacing w:after="0" w:line="246" w:lineRule="auto"/>
        <w:tabs>
          <w:tab w:leader="none" w:pos="1944"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requested by Executive, the Company shall cooperate with Executive in good faith in valuing, and the Accounting Firm shall take into account the value of, services provided or to be provided by Executive (including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Q&amp;A-44 of the final regulations under Section 280G of the Code and/or exempt from the definition of the term “parachute payment” within the meaning of Q&amp;A-2(a) of the final regulations under Section 280G of the Code in accordance with Q&amp;A-5(a) of the final regulations under Section 280G of the Code.</w:t>
      </w:r>
    </w:p>
    <w:p>
      <w:pPr>
        <w:spacing w:after="0" w:line="175"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terms shall have the following meanings for purposes of this Section 8:</w:t>
      </w:r>
    </w:p>
    <w:p>
      <w:pPr>
        <w:spacing w:after="0" w:line="202" w:lineRule="exact"/>
        <w:rPr>
          <w:rFonts w:ascii="Times New Roman" w:cs="Times New Roman" w:eastAsia="Times New Roman" w:hAnsi="Times New Roman"/>
          <w:sz w:val="22"/>
          <w:szCs w:val="22"/>
          <w:color w:val="auto"/>
        </w:rPr>
      </w:pPr>
    </w:p>
    <w:p>
      <w:pPr>
        <w:jc w:val="both"/>
        <w:ind w:firstLine="1952"/>
        <w:spacing w:after="0" w:line="237" w:lineRule="auto"/>
        <w:tabs>
          <w:tab w:leader="none" w:pos="2592"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Accounting Firm</w:t>
      </w:r>
      <w:r>
        <w:rPr>
          <w:rFonts w:ascii="Times New Roman" w:cs="Times New Roman" w:eastAsia="Times New Roman" w:hAnsi="Times New Roman"/>
          <w:sz w:val="22"/>
          <w:szCs w:val="22"/>
          <w:color w:val="auto"/>
        </w:rPr>
        <w:t>” shall mean a nationally recognized certified public accounting firm or other professional organization that is recognized as an expert in determinations and calculations for purposes of Section 280G of the Code that is selected by the Company prior to the transaction resulting in the application (or potential application) of Section 280G of the Code for purposes of making the applicable determinations hereunder, which firm shall not, without Executive’s consent, be a firm serving as accountant or auditor for the person effecting such transaction.</w:t>
      </w:r>
    </w:p>
    <w:p>
      <w:pPr>
        <w:spacing w:after="0" w:line="175" w:lineRule="exact"/>
        <w:rPr>
          <w:rFonts w:ascii="Times New Roman" w:cs="Times New Roman" w:eastAsia="Times New Roman" w:hAnsi="Times New Roman"/>
          <w:sz w:val="22"/>
          <w:szCs w:val="22"/>
          <w:color w:val="auto"/>
        </w:rPr>
      </w:pPr>
    </w:p>
    <w:p>
      <w:pPr>
        <w:jc w:val="both"/>
        <w:ind w:firstLine="1952"/>
        <w:spacing w:after="0" w:line="237" w:lineRule="auto"/>
        <w:tabs>
          <w:tab w:leader="none" w:pos="2592"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After-Tax Receipt</w:t>
      </w:r>
      <w:r>
        <w:rPr>
          <w:rFonts w:ascii="Times New Roman" w:cs="Times New Roman" w:eastAsia="Times New Roman" w:hAnsi="Times New Roman"/>
          <w:sz w:val="22"/>
          <w:szCs w:val="22"/>
          <w:color w:val="auto"/>
        </w:rPr>
        <w:t>” shall mean the present value (as determined in accordance with Sections 280G(b)(2)(A)(ii) and 280G(d)(4) of the Code) of a Payment net of all taxes imposed on Executive with respect thereto under Sections 1 and 4999 of the Code and under applicable state and local laws, determined by applying the highest marginal rate under Section 1 of the Code and under state and local laws which applied to Executive’s taxable income for the immediately preceding taxable year, or such other rate(s) as the Accounting Firm determines to be likely to apply to Executive in the relevant tax year(s).</w:t>
      </w:r>
    </w:p>
    <w:p>
      <w:pPr>
        <w:spacing w:after="0" w:line="175" w:lineRule="exact"/>
        <w:rPr>
          <w:rFonts w:ascii="Times New Roman" w:cs="Times New Roman" w:eastAsia="Times New Roman" w:hAnsi="Times New Roman"/>
          <w:sz w:val="22"/>
          <w:szCs w:val="22"/>
          <w:color w:val="auto"/>
        </w:rPr>
      </w:pPr>
    </w:p>
    <w:p>
      <w:pPr>
        <w:jc w:val="both"/>
        <w:ind w:right="20" w:firstLine="1952"/>
        <w:spacing w:after="0" w:line="246" w:lineRule="auto"/>
        <w:tabs>
          <w:tab w:leader="none" w:pos="2592"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Parachute Value</w:t>
      </w:r>
      <w:r>
        <w:rPr>
          <w:rFonts w:ascii="Times New Roman" w:cs="Times New Roman" w:eastAsia="Times New Roman" w:hAnsi="Times New Roman"/>
          <w:sz w:val="22"/>
          <w:szCs w:val="22"/>
          <w:color w:val="auto"/>
        </w:rPr>
        <w:t>” of a Payment shall mean the present value as of the date of the change of control for purposes of Section 280G of the Code of the portion of such Payment that constitutes a “parachute payment” under Section 280G(b)(2) of the Code,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3" w:name="page144"/>
    <w:bookmarkEnd w:id="143"/>
    <w:p>
      <w:pPr>
        <w:ind w:left="180"/>
        <w:spacing w:after="0" w:line="258" w:lineRule="auto"/>
        <w:rPr>
          <w:sz w:val="20"/>
          <w:szCs w:val="20"/>
          <w:color w:val="auto"/>
        </w:rPr>
      </w:pPr>
      <w:r>
        <w:rPr>
          <w:rFonts w:ascii="Times New Roman" w:cs="Times New Roman" w:eastAsia="Times New Roman" w:hAnsi="Times New Roman"/>
          <w:sz w:val="22"/>
          <w:szCs w:val="22"/>
          <w:color w:val="auto"/>
        </w:rPr>
        <w:t>determined by the Accounting Firm for purposes of determining whether and to what extent the excise tax under Section 4999 of the Code shall apply to such Payment.</w:t>
      </w:r>
    </w:p>
    <w:p>
      <w:pPr>
        <w:spacing w:after="0" w:line="154" w:lineRule="exact"/>
        <w:rPr>
          <w:sz w:val="20"/>
          <w:szCs w:val="20"/>
          <w:color w:val="auto"/>
        </w:rPr>
      </w:pPr>
    </w:p>
    <w:p>
      <w:pPr>
        <w:ind w:firstLine="1952"/>
        <w:spacing w:after="0" w:line="262" w:lineRule="auto"/>
        <w:tabs>
          <w:tab w:leader="none" w:pos="2592"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Safe Harbor Amount</w:t>
      </w:r>
      <w:r>
        <w:rPr>
          <w:rFonts w:ascii="Times New Roman" w:cs="Times New Roman" w:eastAsia="Times New Roman" w:hAnsi="Times New Roman"/>
          <w:sz w:val="22"/>
          <w:szCs w:val="22"/>
          <w:color w:val="auto"/>
        </w:rPr>
        <w:t>” shall mean 2.99 times Executive’s “base amount,” within the meaning of Section 280G(b)(3) of the Code.</w:t>
      </w:r>
    </w:p>
    <w:p>
      <w:pPr>
        <w:spacing w:after="0" w:line="149"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4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w:t>
      </w:r>
      <w:r>
        <w:rPr>
          <w:rFonts w:ascii="Times New Roman" w:cs="Times New Roman" w:eastAsia="Times New Roman" w:hAnsi="Times New Roman"/>
          <w:sz w:val="22"/>
          <w:szCs w:val="22"/>
          <w:color w:val="auto"/>
        </w:rPr>
        <w:t>. This Agreement is personal to Executive and without the prior written consent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Company shall not be assignable by Executive otherwise than by will or the laws of descent and distribution. This Agreement shall inure to the benefit of and be enforceable by Executive’s legal representatives. This Agreement shall inure to the benefit of and be binding upon the Company and its respective successors and assigns. As used in this Agreement, “Company” shall mean the Company as hereinbefore defined and any successor to its businesses and/or assets as aforesaid which assumes and agrees to perform this Agreement by operation of law, or otherwise.</w:t>
      </w:r>
    </w:p>
    <w:p>
      <w:pPr>
        <w:spacing w:after="0" w:line="175" w:lineRule="exact"/>
        <w:rPr>
          <w:rFonts w:ascii="Times New Roman" w:cs="Times New Roman" w:eastAsia="Times New Roman" w:hAnsi="Times New Roman"/>
          <w:sz w:val="22"/>
          <w:szCs w:val="22"/>
          <w:color w:val="auto"/>
        </w:rPr>
      </w:pPr>
    </w:p>
    <w:p>
      <w:pPr>
        <w:jc w:val="both"/>
        <w:ind w:firstLine="1304"/>
        <w:spacing w:after="0" w:line="233" w:lineRule="auto"/>
        <w:tabs>
          <w:tab w:leader="none" w:pos="194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color w:val="auto"/>
        </w:rPr>
        <w:t>. The Company shall indemnify Executive and hold him harmless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fullest extent permitted by the laws of the State of Delaware against and in respect of any and all actions, suits, proceedings, claims, demands, judgments, costs, expenses, losses and damages resulting from Executive’s good-faith performance of Executive’s duties and obligations with the Company and its Affiliates. The Company shall cover Executive under directors’ and officers’ liability insurance both during and, while potential liability exists, after employment in the same amount and to the same extent as the Company covers its other officers and directors. These obligations shall survive the termination of Executive’s employment with the Company and its Affiliates. If any proceeding is brought or threatened against Executive in respect of which indemnity may be sought against the Company or its Affiliates pursuant to the foregoing, Executive shall notify the Company promptly in writing of the institution of such proceeding and the Company and its Affiliates shall assume the defense thereof and the employment of counsel and payment of all fees and expenses;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 conflict of interest exists between the Company or the applicable Affiliate and Executive such that it is not legally practicable for the Company or the applicable Affiliate to assume Executive’s defense, Executive shall be entitled to retain separate counsel, and the Company or the applicable Affiliate shall assume payment of all reasonable fees and expenses of such counsel.</w:t>
      </w:r>
    </w:p>
    <w:p>
      <w:pPr>
        <w:spacing w:after="0" w:line="17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304"/>
        <w:spacing w:after="0" w:line="234" w:lineRule="auto"/>
        <w:tabs>
          <w:tab w:leader="none" w:pos="194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 and Dispute Resolution</w:t>
      </w:r>
      <w:r>
        <w:rPr>
          <w:rFonts w:ascii="Times New Roman" w:cs="Times New Roman" w:eastAsia="Times New Roman" w:hAnsi="Times New Roman"/>
          <w:sz w:val="22"/>
          <w:szCs w:val="22"/>
          <w:color w:val="auto"/>
        </w:rPr>
        <w:t>. This Agreement shall be governed by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construed in accordance with the laws of the State of Arkansas, without reference to principles of conflict of 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rights to indemnification shall be governed by and in accordance with the laws of the State of Delaware. The Parties irrevocably submit to the jurisdiction of any state or federal court sitting in or for Little Rock, Arkansas with respect to any dispute arising out of or relating to this Agreement or the Release, and each party irrevocably agrees that all claims in respect of such dispute or proceeding shall be heard and determined in such courts. The Parties hereby irrevocably waive, to the fullest extent permitted by law, any objection that they may now or hereafter have to the venue of any dispute arising out of or relating to this Agreement or the transactions contemplated hereby brought in such court or any defense of inconvenient forum for the maintenance of such dispute or proceeding. Each party agrees that a judgment in any such dispute may be enforced in other jurisdictions by suit on the judgment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4" w:name="page145"/>
    <w:bookmarkEnd w:id="144"/>
    <w:p>
      <w:pPr>
        <w:jc w:val="both"/>
        <w:spacing w:after="0" w:line="236" w:lineRule="auto"/>
        <w:rPr>
          <w:sz w:val="20"/>
          <w:szCs w:val="20"/>
          <w:color w:val="auto"/>
        </w:rPr>
      </w:pPr>
      <w:r>
        <w:rPr>
          <w:rFonts w:ascii="Times New Roman" w:cs="Times New Roman" w:eastAsia="Times New Roman" w:hAnsi="Times New Roman"/>
          <w:sz w:val="22"/>
          <w:szCs w:val="22"/>
          <w:color w:val="auto"/>
        </w:rPr>
        <w:t>any other manner provided by law. THE PARTIES HEREBY WAIVE A TRIAL BY JURY IN ANY ACTION, PROCEEDING, CLAIM OR COUNTER CLAIM BROUGHT OR ASSERTED BY EITHER OF THE PARTIES HERETO AGAINST THE OTHER ON ANY MATTERS WHATSOEVER ARISING OUT OF OR IN ANY WAY RELATED TO THIS AGREEMENT. The Company shall reimburse Executive for all reasonable legal fees and expenses incurred by Executive in seeking to obtain or enforce any right or benefit provided under this Agreement.</w:t>
      </w:r>
    </w:p>
    <w:p>
      <w:pPr>
        <w:spacing w:after="0" w:line="177" w:lineRule="exact"/>
        <w:rPr>
          <w:sz w:val="20"/>
          <w:szCs w:val="20"/>
          <w:color w:val="auto"/>
        </w:rPr>
      </w:pPr>
    </w:p>
    <w:p>
      <w:pPr>
        <w:jc w:val="both"/>
        <w:ind w:firstLine="1304"/>
        <w:spacing w:after="0" w:line="246" w:lineRule="auto"/>
        <w:tabs>
          <w:tab w:leader="none" w:pos="194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All notices and other communications hereunder shall be in writing and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given by hand delivery to the other party or by registered or certified mail, return receipt requested, postage prepaid, addressed as follows: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If to Executive</w:t>
      </w:r>
      <w:r>
        <w:rPr>
          <w:rFonts w:ascii="Times New Roman" w:cs="Times New Roman" w:eastAsia="Times New Roman" w:hAnsi="Times New Roman"/>
          <w:sz w:val="22"/>
          <w:szCs w:val="22"/>
          <w:color w:val="auto"/>
        </w:rPr>
        <w:t>: To the most recent address on file with the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If to the Company</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Westrock Coffee Company</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100 River Bluff Drive, Suite 210</w:t>
      </w:r>
    </w:p>
    <w:p>
      <w:pPr>
        <w:ind w:left="1300"/>
        <w:spacing w:after="0" w:line="230" w:lineRule="auto"/>
        <w:rPr>
          <w:sz w:val="20"/>
          <w:szCs w:val="20"/>
          <w:color w:val="auto"/>
        </w:rPr>
      </w:pPr>
      <w:r>
        <w:rPr>
          <w:rFonts w:ascii="Times New Roman" w:cs="Times New Roman" w:eastAsia="Times New Roman" w:hAnsi="Times New Roman"/>
          <w:sz w:val="22"/>
          <w:szCs w:val="22"/>
          <w:color w:val="auto"/>
        </w:rPr>
        <w:t>Little Rock, AR 72202</w:t>
      </w:r>
    </w:p>
    <w:p>
      <w:pPr>
        <w:ind w:left="1300"/>
        <w:spacing w:after="0" w:line="231" w:lineRule="auto"/>
        <w:rPr>
          <w:sz w:val="20"/>
          <w:szCs w:val="20"/>
          <w:color w:val="auto"/>
        </w:rPr>
      </w:pPr>
      <w:r>
        <w:rPr>
          <w:rFonts w:ascii="Times New Roman" w:cs="Times New Roman" w:eastAsia="Times New Roman" w:hAnsi="Times New Roman"/>
          <w:sz w:val="22"/>
          <w:szCs w:val="22"/>
          <w:color w:val="auto"/>
        </w:rPr>
        <w:t>Attn: Chief Legal Officer</w:t>
      </w:r>
    </w:p>
    <w:p>
      <w:pPr>
        <w:ind w:left="1300"/>
        <w:spacing w:after="0" w:line="230" w:lineRule="auto"/>
        <w:rPr>
          <w:sz w:val="20"/>
          <w:szCs w:val="20"/>
          <w:color w:val="auto"/>
        </w:rPr>
      </w:pPr>
      <w:r>
        <w:rPr>
          <w:rFonts w:ascii="Times New Roman" w:cs="Times New Roman" w:eastAsia="Times New Roman" w:hAnsi="Times New Roman"/>
          <w:sz w:val="22"/>
          <w:szCs w:val="22"/>
          <w:color w:val="auto"/>
        </w:rPr>
        <w:t>Email: mckinneyb@westrockcoffee.com</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Phone: 704-782-3121</w:t>
      </w: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or to such other address as either party shall have furnished to the other in writing in accordance herewith. Notice and communications shall be effective when actually received by the addressee.</w:t>
      </w:r>
    </w:p>
    <w:p>
      <w:pPr>
        <w:spacing w:after="0" w:line="154" w:lineRule="exact"/>
        <w:rPr>
          <w:sz w:val="20"/>
          <w:szCs w:val="20"/>
          <w:color w:val="auto"/>
        </w:rPr>
      </w:pPr>
    </w:p>
    <w:p>
      <w:pPr>
        <w:jc w:val="both"/>
        <w:ind w:firstLine="1304"/>
        <w:spacing w:after="0" w:line="235" w:lineRule="auto"/>
        <w:tabs>
          <w:tab w:leader="none" w:pos="194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Acknowledgements</w:t>
      </w:r>
      <w:r>
        <w:rPr>
          <w:rFonts w:ascii="Times New Roman" w:cs="Times New Roman" w:eastAsia="Times New Roman" w:hAnsi="Times New Roman"/>
          <w:sz w:val="22"/>
          <w:szCs w:val="22"/>
          <w:color w:val="auto"/>
        </w:rPr>
        <w:t>. Prior to execution of this Agreement, Executive was advised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of Executive’s right to seek independent advice from an attorney of Executive’s own selection regarding this Agreement. Executive acknowledges that Executive has entered into this Agreement knowingly and voluntarily and with full knowledge and understanding of the provisions of this Agreement after being given the opportunity to consult with counsel. Executive further represents that, in entering into this Agreement, Executive is not relying on any statements or representations made by any of the directors, officers, employees or agents of the Company that are not expressly set forth herein, and that Executive is relying only upon Executive’s own judgment and any advice provided by Executive’s attorney.</w:t>
      </w:r>
    </w:p>
    <w:p>
      <w:pPr>
        <w:spacing w:after="0" w:line="178"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Invalidity</w:t>
      </w:r>
      <w:r>
        <w:rPr>
          <w:rFonts w:ascii="Times New Roman" w:cs="Times New Roman" w:eastAsia="Times New Roman" w:hAnsi="Times New Roman"/>
          <w:sz w:val="22"/>
          <w:szCs w:val="22"/>
          <w:color w:val="auto"/>
        </w:rPr>
        <w:t>. If any term or provision of this Agreement or the application thereof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or circumstance shall to any extent be invalid or unenforceable, the remainder of this Agreement or the application of such term or provision to persons or circumstances other than those to which it is invalid or unenforceable shall not be affected thereby, and each term and provision of this Agreement shall be valid and be enforced to the fullest extent permitted by law.</w:t>
      </w:r>
    </w:p>
    <w:p>
      <w:pPr>
        <w:spacing w:after="0" w:line="176"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4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Survivability</w:t>
      </w:r>
      <w:r>
        <w:rPr>
          <w:rFonts w:ascii="Times New Roman" w:cs="Times New Roman" w:eastAsia="Times New Roman" w:hAnsi="Times New Roman"/>
          <w:sz w:val="22"/>
          <w:szCs w:val="22"/>
          <w:color w:val="auto"/>
        </w:rPr>
        <w:t>. The provisions of this Agreement that by their terms call for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subsequent to the termination of either Executive’s employment or this Agreement (including the terms of Sections 5, 7, 8 and 10) shall so survive such termination.</w:t>
      </w:r>
    </w:p>
    <w:p>
      <w:pPr>
        <w:spacing w:after="0" w:line="167" w:lineRule="exact"/>
        <w:rPr>
          <w:rFonts w:ascii="Times New Roman" w:cs="Times New Roman" w:eastAsia="Times New Roman" w:hAnsi="Times New Roman"/>
          <w:sz w:val="22"/>
          <w:szCs w:val="22"/>
          <w:color w:val="auto"/>
        </w:rPr>
      </w:pPr>
    </w:p>
    <w:p>
      <w:pPr>
        <w:ind w:firstLine="1304"/>
        <w:spacing w:after="0" w:line="262" w:lineRule="auto"/>
        <w:tabs>
          <w:tab w:leader="none" w:pos="194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Headings; Construction</w:t>
      </w:r>
      <w:r>
        <w:rPr>
          <w:rFonts w:ascii="Times New Roman" w:cs="Times New Roman" w:eastAsia="Times New Roman" w:hAnsi="Times New Roman"/>
          <w:sz w:val="22"/>
          <w:szCs w:val="22"/>
          <w:color w:val="auto"/>
        </w:rPr>
        <w:t>. The section headings used in this Agreement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included solely for convenience and shall not affect, or be used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5" w:name="page146"/>
    <w:bookmarkEnd w:id="145"/>
    <w:p>
      <w:pPr>
        <w:spacing w:after="0" w:line="258" w:lineRule="auto"/>
        <w:rPr>
          <w:sz w:val="20"/>
          <w:szCs w:val="20"/>
          <w:color w:val="auto"/>
        </w:rPr>
      </w:pPr>
      <w:r>
        <w:rPr>
          <w:rFonts w:ascii="Times New Roman" w:cs="Times New Roman" w:eastAsia="Times New Roman" w:hAnsi="Times New Roman"/>
          <w:sz w:val="22"/>
          <w:szCs w:val="22"/>
          <w:color w:val="auto"/>
        </w:rPr>
        <w:t>the interpretation hereof. For purposes of this Agreement, the term “including” shall mean “including, without limitation.”</w:t>
      </w:r>
    </w:p>
    <w:p>
      <w:pPr>
        <w:spacing w:after="0" w:line="154" w:lineRule="exact"/>
        <w:rPr>
          <w:sz w:val="20"/>
          <w:szCs w:val="20"/>
          <w:color w:val="auto"/>
        </w:rPr>
      </w:pPr>
    </w:p>
    <w:p>
      <w:pPr>
        <w:ind w:firstLine="1304"/>
        <w:spacing w:after="0" w:line="262" w:lineRule="auto"/>
        <w:tabs>
          <w:tab w:leader="none" w:pos="194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several counterparts, each of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deemed to be an original but all of which together shall constitute one and the same instrument.</w:t>
      </w:r>
    </w:p>
    <w:p>
      <w:pPr>
        <w:spacing w:after="0" w:line="149"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4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Tax Withholding</w:t>
      </w:r>
      <w:r>
        <w:rPr>
          <w:rFonts w:ascii="Times New Roman" w:cs="Times New Roman" w:eastAsia="Times New Roman" w:hAnsi="Times New Roman"/>
          <w:sz w:val="22"/>
          <w:szCs w:val="22"/>
          <w:color w:val="auto"/>
        </w:rPr>
        <w:t>. The Company may withhold from any amounts payable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such Federal, state, local or foreign taxes as shall be required to be withheld pursuant to any applicable law or regulation.</w:t>
      </w:r>
    </w:p>
    <w:p>
      <w:pPr>
        <w:spacing w:after="0" w:line="16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952"/>
        <w:spacing w:after="0" w:line="233" w:lineRule="auto"/>
        <w:tabs>
          <w:tab w:leader="none" w:pos="2592"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General</w:t>
      </w:r>
      <w:r>
        <w:rPr>
          <w:rFonts w:ascii="Times New Roman" w:cs="Times New Roman" w:eastAsia="Times New Roman" w:hAnsi="Times New Roman"/>
          <w:sz w:val="22"/>
          <w:szCs w:val="22"/>
          <w:color w:val="auto"/>
        </w:rPr>
        <w:t>. It is intended that payments and benefits made or provided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not result in penalty taxes or accelerated taxation pursuant to Section 409A of the Code. Any payments that qualify for the “short-term deferral” exception, the separation pay exception or another exception under Section 409A of the Code shall be paid under the applicable exception. For purposes of the limitations on nonqualified deferred compensation under Section 409A of the Code, each payment of compensation under this Agreement shall be treated as a separate payment of compensation. All payments to be made upon a termination of employment under this Agreement may only be made upon a “separation from service” under Section 409A of the Code to the extent necessary in order to avoid the imposition of penalty taxes on Executive pursuant to Section 409A of the Code. In no event may Executive, directly or indirectly, designate the calendar year of any payment under this Agreement, and to the extent required by Section 409A of the Code, any payment that may be paid in more than one taxable year (depending on the time that Executive executes the Release) shall be paid in the later taxable year.</w:t>
      </w:r>
    </w:p>
    <w:p>
      <w:pPr>
        <w:spacing w:after="0" w:line="184" w:lineRule="exact"/>
        <w:rPr>
          <w:rFonts w:ascii="Times New Roman" w:cs="Times New Roman" w:eastAsia="Times New Roman" w:hAnsi="Times New Roman"/>
          <w:sz w:val="22"/>
          <w:szCs w:val="22"/>
          <w:color w:val="auto"/>
        </w:rPr>
      </w:pPr>
    </w:p>
    <w:p>
      <w:pPr>
        <w:jc w:val="both"/>
        <w:ind w:firstLine="1952"/>
        <w:spacing w:after="0" w:line="234" w:lineRule="auto"/>
        <w:tabs>
          <w:tab w:leader="none" w:pos="2592"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Reimbursements and In-Kind Benefits</w:t>
      </w:r>
      <w:r>
        <w:rPr>
          <w:rFonts w:ascii="Times New Roman" w:cs="Times New Roman" w:eastAsia="Times New Roman" w:hAnsi="Times New Roman"/>
          <w:sz w:val="22"/>
          <w:szCs w:val="22"/>
          <w:color w:val="auto"/>
        </w:rPr>
        <w:t>. Notwithstanding anything to the contrary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this Agreement, all reimbursements and in-kind benefits provided under this Agreement that are subject to Section 409A of the Code shall be made in accordance with the requirements of Section 409A of the Code, including, where applicable, the requirement that (A) any reimbursement is for expenses incurred during Executive’s lifetime (or during a shorter period of time specified in this Agreement); (B) the amount of expenses eligible for reimbursement, or in-kind benefits provided, during a calendar year may not affect the expenses eligible for reimbursement, or in-kind benefits to be provided, in any other calendar year; (C) the reimbursement of an eligible expense shall be made no later than the last day of the calendar year following the year in which the expense is incurred; and (D) the right to reimbursement or in-kind benefits is not subject to liquidation or exchange for another benefit.</w:t>
      </w:r>
    </w:p>
    <w:p>
      <w:pPr>
        <w:spacing w:after="0" w:line="179" w:lineRule="exact"/>
        <w:rPr>
          <w:rFonts w:ascii="Times New Roman" w:cs="Times New Roman" w:eastAsia="Times New Roman" w:hAnsi="Times New Roman"/>
          <w:sz w:val="22"/>
          <w:szCs w:val="22"/>
          <w:color w:val="auto"/>
        </w:rPr>
      </w:pPr>
    </w:p>
    <w:p>
      <w:pPr>
        <w:jc w:val="both"/>
        <w:ind w:firstLine="1952"/>
        <w:spacing w:after="0" w:line="237" w:lineRule="auto"/>
        <w:tabs>
          <w:tab w:leader="none" w:pos="2592"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Delay of Payments</w:t>
      </w:r>
      <w:r>
        <w:rPr>
          <w:rFonts w:ascii="Times New Roman" w:cs="Times New Roman" w:eastAsia="Times New Roman" w:hAnsi="Times New Roman"/>
          <w:sz w:val="22"/>
          <w:szCs w:val="22"/>
          <w:color w:val="auto"/>
        </w:rPr>
        <w:t>. Notwithstanding any other provision of this Agreement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contrary, if Executive is considered a “specified employee” for purposes of Section 409A of the Code (as determined in accordance with the methodology established by the Company and its Affiliates as in effect on the Termination Date), any payment that constitutes nonqualified deferred compensation within the meaning of Section 409A of the Code that is otherwise due to Executive under this Agreement during the six-month period immediately following Executive’s separation from service (as determined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6" w:name="page147"/>
    <w:bookmarkEnd w:id="146"/>
    <w:p>
      <w:pPr>
        <w:jc w:val="both"/>
        <w:spacing w:after="0" w:line="249" w:lineRule="auto"/>
        <w:rPr>
          <w:sz w:val="20"/>
          <w:szCs w:val="20"/>
          <w:color w:val="auto"/>
        </w:rPr>
      </w:pPr>
      <w:r>
        <w:rPr>
          <w:rFonts w:ascii="Times New Roman" w:cs="Times New Roman" w:eastAsia="Times New Roman" w:hAnsi="Times New Roman"/>
          <w:sz w:val="21"/>
          <w:szCs w:val="21"/>
          <w:color w:val="auto"/>
        </w:rPr>
        <w:t>Section 409A of the Code) on account of Executive’s separation from service shall be accumulated and paid to Executive on the first business day of the seventh month following Executive’s separation from service (the “</w:t>
      </w:r>
      <w:r>
        <w:rPr>
          <w:rFonts w:ascii="Times New Roman" w:cs="Times New Roman" w:eastAsia="Times New Roman" w:hAnsi="Times New Roman"/>
          <w:sz w:val="21"/>
          <w:szCs w:val="21"/>
          <w:b w:val="1"/>
          <w:bCs w:val="1"/>
          <w:color w:val="auto"/>
        </w:rPr>
        <w:t>Delayed Payment Date</w:t>
      </w:r>
      <w:r>
        <w:rPr>
          <w:rFonts w:ascii="Times New Roman" w:cs="Times New Roman" w:eastAsia="Times New Roman" w:hAnsi="Times New Roman"/>
          <w:sz w:val="21"/>
          <w:szCs w:val="21"/>
          <w:color w:val="auto"/>
        </w:rPr>
        <w:t>”), to the extent necessary to prevent the imposition of tax penalties on Executive under Section 409A of the Code. If Executive dies during the postponement period, the amounts and entitlements delayed on account of Section 409A of the Code shall be paid to the personal representative of Executive’s estate on the first to occur of the Delayed Payment Date or 30 calendar days after the date of Executive’s death.</w:t>
      </w:r>
    </w:p>
    <w:p>
      <w:pPr>
        <w:spacing w:after="0" w:line="167" w:lineRule="exact"/>
        <w:rPr>
          <w:sz w:val="20"/>
          <w:szCs w:val="20"/>
          <w:color w:val="auto"/>
        </w:rPr>
      </w:pPr>
    </w:p>
    <w:p>
      <w:pPr>
        <w:jc w:val="both"/>
        <w:ind w:firstLine="1304"/>
        <w:spacing w:after="0" w:line="236" w:lineRule="auto"/>
        <w:tabs>
          <w:tab w:leader="none" w:pos="19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color w:val="auto"/>
        </w:rPr>
        <w:t>. No provision of this Agreement shall be modified or amended except by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instrument in writing duly executed by the Parties hereto. No custom, act, payment, favor or indulgence shall be deemed a waiver by the Company of any of Executive’s obligations hereunder or release Executive therefrom. No waiver by any party of any breach by the other party of any term or provision hereof shall be deemed to be an assent or waiver by any party to or of any succeeding breach of the same or any other term or provision. This Agreement is personal to and shall not be assignable by any party, but shall inure to the benefit of the Parties hereto and their respective heirs, beneficiaries, successors and assigns.</w:t>
      </w:r>
    </w:p>
    <w:p>
      <w:pPr>
        <w:spacing w:after="0" w:line="175"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Agreement constitutes the entire agreement of the Parties hereto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respect of the terms and conditions of Executive’s employment with the Company and its Affiliates, including Executive’s severance entitlements, and, as of the Effective Date, supersedes and cancels in their entirety all prior understandings, agreements and commitments, whether written or oral, relating to the terms and conditions of employment between Executive, on the one hand, and the Company or its Affiliates, on the other hand. For the avoidance of doubt, this Agreement does not limit the terms of any benefit plans (including equity award agreements) of the Company or its Affiliates that are applicable Executive, except to the extent that the terms of this Agreement are more favorable to Executive.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7" w:name="page148"/>
    <w:bookmarkEnd w:id="147"/>
    <w:p>
      <w:pPr>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each of Executive and the Company have caused this Agreement to be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and delivered, effective as of the Effective Date.</w:t>
      </w:r>
    </w:p>
    <w:p>
      <w:pPr>
        <w:spacing w:after="0" w:line="15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9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Kyle Newkirk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-151130</wp:posOffset>
            </wp:positionV>
            <wp:extent cx="30861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0">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WESTROCK COFFEE COMPANY</w:t>
      </w:r>
    </w:p>
    <w:p>
      <w:pPr>
        <w:spacing w:after="0" w:line="23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10795</wp:posOffset>
            </wp:positionV>
            <wp:extent cx="28803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1">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ind w:left="5380"/>
        <w:spacing w:after="0"/>
        <w:rPr>
          <w:sz w:val="20"/>
          <w:szCs w:val="20"/>
          <w:color w:val="auto"/>
        </w:rPr>
      </w:pPr>
      <w:r>
        <w:rPr>
          <w:rFonts w:ascii="Times New Roman" w:cs="Times New Roman" w:eastAsia="Times New Roman" w:hAnsi="Times New Roman"/>
          <w:sz w:val="22"/>
          <w:szCs w:val="22"/>
          <w:color w:val="auto"/>
        </w:rPr>
        <w:t>T. Christopher Pledger</w:t>
      </w:r>
    </w:p>
    <w:p>
      <w:pPr>
        <w:ind w:left="538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Employment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GENERAL RELEASE OF CLAIMS</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THIS GENERAL RELEASE OF CLAIMS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is executed by Kyle Newkirk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date set forth on the signature page hereto. For purposes of this Release, reference is made to the Employment Agreement between Westrock Coffee Company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and Executive, dated as of [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 2022 (the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 Terms that are capitalized but not defined herein shall have the meanings set forth in the Employment Agreement.</w:t>
      </w:r>
    </w:p>
    <w:p>
      <w:pPr>
        <w:spacing w:after="0" w:line="177" w:lineRule="exact"/>
        <w:rPr>
          <w:sz w:val="20"/>
          <w:szCs w:val="20"/>
          <w:color w:val="auto"/>
        </w:rPr>
      </w:pPr>
    </w:p>
    <w:p>
      <w:pPr>
        <w:ind w:left="660" w:hanging="328"/>
        <w:spacing w:after="0"/>
        <w:tabs>
          <w:tab w:leader="none" w:pos="6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General Release and Waiver of Claims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Release</w:t>
      </w:r>
      <w:r>
        <w:rPr>
          <w:rFonts w:ascii="Times New Roman" w:cs="Times New Roman" w:eastAsia="Times New Roman" w:hAnsi="Times New Roman"/>
          <w:sz w:val="21"/>
          <w:szCs w:val="21"/>
          <w:color w:val="auto"/>
        </w:rPr>
        <w:t>. In consideration of the payments and benefits afforded under the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and after consultation with counsel, Executive and each of Executive’s respective heirs, executors, administrators, representatives, agents, successors and assigns (collectively, the “</w:t>
      </w:r>
      <w:r>
        <w:rPr>
          <w:rFonts w:ascii="Times New Roman" w:cs="Times New Roman" w:eastAsia="Times New Roman" w:hAnsi="Times New Roman"/>
          <w:sz w:val="21"/>
          <w:szCs w:val="21"/>
          <w:b w:val="1"/>
          <w:bCs w:val="1"/>
          <w:color w:val="auto"/>
        </w:rPr>
        <w:t>Releasors</w:t>
      </w:r>
      <w:r>
        <w:rPr>
          <w:rFonts w:ascii="Times New Roman" w:cs="Times New Roman" w:eastAsia="Times New Roman" w:hAnsi="Times New Roman"/>
          <w:sz w:val="21"/>
          <w:szCs w:val="21"/>
          <w:color w:val="auto"/>
        </w:rPr>
        <w:t>”) hereby irrevocably and unconditionally release and forever discharge the Company and its Affiliates and each of its officers, employees, directors and agents (“</w:t>
      </w:r>
      <w:r>
        <w:rPr>
          <w:rFonts w:ascii="Times New Roman" w:cs="Times New Roman" w:eastAsia="Times New Roman" w:hAnsi="Times New Roman"/>
          <w:sz w:val="21"/>
          <w:szCs w:val="21"/>
          <w:b w:val="1"/>
          <w:bCs w:val="1"/>
          <w:color w:val="auto"/>
        </w:rPr>
        <w:t>Releasees</w:t>
      </w:r>
      <w:r>
        <w:rPr>
          <w:rFonts w:ascii="Times New Roman" w:cs="Times New Roman" w:eastAsia="Times New Roman" w:hAnsi="Times New Roman"/>
          <w:sz w:val="21"/>
          <w:szCs w:val="21"/>
          <w:color w:val="auto"/>
        </w:rPr>
        <w:t>”) from any and all claims, actions, causes of action, rights, judgments, obligations, damages, demands, accountings or liabilities of whatever kind or character (collectively, “</w:t>
      </w:r>
      <w:r>
        <w:rPr>
          <w:rFonts w:ascii="Times New Roman" w:cs="Times New Roman" w:eastAsia="Times New Roman" w:hAnsi="Times New Roman"/>
          <w:sz w:val="21"/>
          <w:szCs w:val="21"/>
          <w:b w:val="1"/>
          <w:bCs w:val="1"/>
          <w:color w:val="auto"/>
        </w:rPr>
        <w:t>Claims</w:t>
      </w:r>
      <w:r>
        <w:rPr>
          <w:rFonts w:ascii="Times New Roman" w:cs="Times New Roman" w:eastAsia="Times New Roman" w:hAnsi="Times New Roman"/>
          <w:sz w:val="21"/>
          <w:szCs w:val="21"/>
          <w:color w:val="auto"/>
        </w:rPr>
        <w:t>”) that the Releasors may have arising out of Executive’s employment relationship with and service as an employee, officer or director of the Company and its Affiliates, and the termination of any such relationship or service, in each case up to and including the date Executive executes this Release. Executive acknowledges that the foregoing sentence includes Claims arising under Federal, state or local laws, statutes, orders or regulations that relate to the employment relationship or prohibiting employment discrimination, including Claims under Title VII of the Civil Rights Act of 1964; The Civil Rights Act of 1991; Sections 1981 through 1988 of Title 42 of the United States Code; the Employee Retirement Income Security Act of 1974; the Immigration Reform and Control Act; the Sarbanes-Oxley Act of 2002; the Americans with Disabilities Act of 1990; the Family and Medical Leave Act; the Equal Pay Act; the Fair Credit Reporting Act; Occupational Safety and Health Act; the federal Fair Labor Standards Act; and any other federal, state or local civil, human rights, bias, whistleblower, discrimination, retaliation, compensation, employment, labor or other local, state or federal law, regulation or ordinance.</w:t>
      </w:r>
    </w:p>
    <w:p>
      <w:pPr>
        <w:spacing w:after="0" w:line="173" w:lineRule="exact"/>
        <w:rPr>
          <w:rFonts w:ascii="Times New Roman" w:cs="Times New Roman" w:eastAsia="Times New Roman" w:hAnsi="Times New Roman"/>
          <w:sz w:val="21"/>
          <w:szCs w:val="21"/>
          <w:color w:val="auto"/>
        </w:rPr>
      </w:pPr>
    </w:p>
    <w:p>
      <w:pPr>
        <w:jc w:val="both"/>
        <w:ind w:firstLine="1304"/>
        <w:spacing w:after="0" w:line="233" w:lineRule="auto"/>
        <w:tabs>
          <w:tab w:leader="none" w:pos="1944"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Exceptions to Release</w:t>
      </w:r>
      <w:r>
        <w:rPr>
          <w:rFonts w:ascii="Times New Roman" w:cs="Times New Roman" w:eastAsia="Times New Roman" w:hAnsi="Times New Roman"/>
          <w:sz w:val="22"/>
          <w:szCs w:val="22"/>
          <w:color w:val="auto"/>
        </w:rPr>
        <w:t>. Notwithstanding anything contained herein to the contrary,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Release specifically excludes and shall not affect: (i) the obligations of the Company or its Affiliates set forth in the Employment Agreement and to be performed after the date hereof, including without limitation under in Sections 5, 8 and 10 thereof, or under any other benefit plan, agreement, arrangement or policy of the Company or its Affiliates that is applicable to Executive and that, in each case, by its terms, contains obligations that are to be performed after the date hereof by the Company or its Affiliates; (ii) any indemnification or similar rights Executive has as a current or former officer, director, employee or agent of the Company or its Affiliates, including, without limitation, any and all rights thereto under applicable law, the certificate of incorporation, bylaws or other governance documents or such entities, or any rights with respect to coverage under any directors’ and officers’ insurance policies and/or indemnification agreements; (iii) any Claim the Releasors may have as the holder or beneficial owners of securities of the Company or its Affiliates or other rights relating to securities or equity awards in respect of the common stock of the Company or its Affiliates; (iv) rights to accrued but unpaid salary, paid time off, vacation or other compensation due through the date of termination of employment; (v) any unreimbursed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768350</wp:posOffset>
            </wp:positionV>
            <wp:extent cx="629221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9" w:name="page150"/>
    <w:bookmarkEnd w:id="149"/>
    <w:p>
      <w:pPr>
        <w:jc w:val="both"/>
        <w:spacing w:after="0" w:line="239" w:lineRule="auto"/>
        <w:rPr>
          <w:sz w:val="20"/>
          <w:szCs w:val="20"/>
          <w:color w:val="auto"/>
        </w:rPr>
      </w:pPr>
      <w:r>
        <w:rPr>
          <w:rFonts w:ascii="Times New Roman" w:cs="Times New Roman" w:eastAsia="Times New Roman" w:hAnsi="Times New Roman"/>
          <w:sz w:val="22"/>
          <w:szCs w:val="22"/>
          <w:color w:val="auto"/>
        </w:rPr>
        <w:t>business expenses; (vi) benefits or the right to seek benefits under applicable workers’ compensation and/or unemployment compensation statutes; and (vii) any Claims that may arise in the future from events or actions occurring after the date Executive executes this Release or that Executive may not by law release through an agreement such as this.</w:t>
      </w:r>
    </w:p>
    <w:p>
      <w:pPr>
        <w:spacing w:after="0" w:line="176" w:lineRule="exact"/>
        <w:rPr>
          <w:sz w:val="20"/>
          <w:szCs w:val="20"/>
          <w:color w:val="auto"/>
        </w:rPr>
      </w:pPr>
    </w:p>
    <w:p>
      <w:pPr>
        <w:jc w:val="both"/>
        <w:ind w:firstLine="1304"/>
        <w:spacing w:after="0" w:line="233" w:lineRule="auto"/>
        <w:tabs>
          <w:tab w:leader="none" w:pos="1944"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Specific Release of ADEA Claims</w:t>
      </w:r>
      <w:r>
        <w:rPr>
          <w:rFonts w:ascii="Times New Roman" w:cs="Times New Roman" w:eastAsia="Times New Roman" w:hAnsi="Times New Roman"/>
          <w:sz w:val="22"/>
          <w:szCs w:val="22"/>
          <w:color w:val="auto"/>
        </w:rPr>
        <w:t>. In further consideration of the payments and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to Executive under the Employment Agreement, the Releasors hereby unconditionally release and forever discharge the Releasees from any and all Claims that the Releasors may have as of the date Employee signs this Release arising under the Federal Age Discrimination in Employment Act of 1967, as amended, and the applicable rules and regulations promulgated thereunder (“</w:t>
      </w:r>
      <w:r>
        <w:rPr>
          <w:rFonts w:ascii="Times New Roman" w:cs="Times New Roman" w:eastAsia="Times New Roman" w:hAnsi="Times New Roman"/>
          <w:sz w:val="22"/>
          <w:szCs w:val="22"/>
          <w:b w:val="1"/>
          <w:bCs w:val="1"/>
          <w:color w:val="auto"/>
        </w:rPr>
        <w:t>ADEA</w:t>
      </w:r>
      <w:r>
        <w:rPr>
          <w:rFonts w:ascii="Times New Roman" w:cs="Times New Roman" w:eastAsia="Times New Roman" w:hAnsi="Times New Roman"/>
          <w:sz w:val="22"/>
          <w:szCs w:val="22"/>
          <w:color w:val="auto"/>
        </w:rPr>
        <w:t xml:space="preserve">”). By signing this Release, Executive hereby acknowledges and confirms the following: (i) Executive was advised by the Company in connection with Executive’s termination of employment to consult with an attorney of Executive’s choice prior to signing this Release and to have such attorney explain to Executive the terms of this Release, including, without limitation, the terms relating to Executive’s release of claims arising under ADEA, and Executive has in fact consulted with an attorney; (ii) Executive was given a period of not fewer than </w:t>
      </w:r>
      <w:r>
        <w:rPr>
          <w:rFonts w:ascii="Times New Roman" w:cs="Times New Roman" w:eastAsia="Times New Roman" w:hAnsi="Times New Roman"/>
          <w:sz w:val="22"/>
          <w:szCs w:val="22"/>
          <w:b w:val="1"/>
          <w:bCs w:val="1"/>
          <w:color w:val="auto"/>
        </w:rPr>
        <w:t>[twenty-one (21)] [forty-five (45)]</w:t>
      </w:r>
      <w:r>
        <w:rPr>
          <w:rFonts w:ascii="Times New Roman" w:cs="Times New Roman" w:eastAsia="Times New Roman" w:hAnsi="Times New Roman"/>
          <w:sz w:val="22"/>
          <w:szCs w:val="22"/>
          <w:color w:val="auto"/>
        </w:rPr>
        <w:t xml:space="preserve"> calendar days to consider the terms of this Release and to consult with an attorney of Executive’s choosing with respect thereto; and (iii) Executive knowingly and voluntarily accepts the terms of this Release. Executive also understands that Executive has seven (7) calendar days following the date on which Executive signs this Release within which to revoke the release contained in this Section 1(c), by providing the Company a written notice of Executive’s revocation of the release and waiver contained in this Section 1(c).</w:t>
      </w:r>
    </w:p>
    <w:p>
      <w:pPr>
        <w:spacing w:after="0" w:line="177" w:lineRule="exact"/>
        <w:rPr>
          <w:rFonts w:ascii="Times New Roman" w:cs="Times New Roman" w:eastAsia="Times New Roman" w:hAnsi="Times New Roman"/>
          <w:sz w:val="22"/>
          <w:szCs w:val="22"/>
          <w:color w:val="auto"/>
        </w:rPr>
      </w:pPr>
    </w:p>
    <w:p>
      <w:pPr>
        <w:ind w:firstLine="1304"/>
        <w:spacing w:after="0" w:line="262" w:lineRule="auto"/>
        <w:tabs>
          <w:tab w:leader="none" w:pos="1944"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Assignment</w:t>
      </w:r>
      <w:r>
        <w:rPr>
          <w:rFonts w:ascii="Times New Roman" w:cs="Times New Roman" w:eastAsia="Times New Roman" w:hAnsi="Times New Roman"/>
          <w:sz w:val="22"/>
          <w:szCs w:val="22"/>
          <w:color w:val="auto"/>
        </w:rPr>
        <w:t>. Executive represents and warrants that Executive has not assigned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Claims being released under this Release.</w:t>
      </w:r>
    </w:p>
    <w:p>
      <w:pPr>
        <w:spacing w:after="0" w:line="149" w:lineRule="exact"/>
        <w:rPr>
          <w:rFonts w:ascii="Times New Roman" w:cs="Times New Roman" w:eastAsia="Times New Roman" w:hAnsi="Times New Roman"/>
          <w:sz w:val="22"/>
          <w:szCs w:val="22"/>
          <w:color w:val="auto"/>
        </w:rPr>
      </w:pPr>
    </w:p>
    <w:p>
      <w:pPr>
        <w:jc w:val="both"/>
        <w:ind w:firstLine="332"/>
        <w:spacing w:after="0" w:line="233" w:lineRule="auto"/>
        <w:tabs>
          <w:tab w:leader="none" w:pos="64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Proceedings</w:t>
      </w:r>
      <w:r>
        <w:rPr>
          <w:rFonts w:ascii="Times New Roman" w:cs="Times New Roman" w:eastAsia="Times New Roman" w:hAnsi="Times New Roman"/>
          <w:sz w:val="22"/>
          <w:szCs w:val="22"/>
          <w:color w:val="auto"/>
        </w:rPr>
        <w:t>. Executive has not filed, and agrees not to initiate or cause to be initiated on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behalf, any complaint, charge, claim or proceeding against the Releasees with respect to any Claims released under Section 1(a) or (c) before any local, state or federal agency, court or other body (each, individually, a “</w:t>
      </w:r>
      <w:r>
        <w:rPr>
          <w:rFonts w:ascii="Times New Roman" w:cs="Times New Roman" w:eastAsia="Times New Roman" w:hAnsi="Times New Roman"/>
          <w:sz w:val="22"/>
          <w:szCs w:val="22"/>
          <w:b w:val="1"/>
          <w:bCs w:val="1"/>
          <w:color w:val="auto"/>
        </w:rPr>
        <w:t>Proceeding</w:t>
      </w:r>
      <w:r>
        <w:rPr>
          <w:rFonts w:ascii="Times New Roman" w:cs="Times New Roman" w:eastAsia="Times New Roman" w:hAnsi="Times New Roman"/>
          <w:sz w:val="22"/>
          <w:szCs w:val="22"/>
          <w:color w:val="auto"/>
        </w:rPr>
        <w:t xml:space="preserve">”), and agrees not to participate voluntarily in any Proceeding involving such Claims;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and subject to the immediately following sentence, nothing set forth here in intended to or shall interfere with Executive’s right to participate in a Proceeding with any appropriate federal, state, or local government agency enforcing discrimination laws, nor shall this Release prohibit Executive from cooperating with any such agency in its investigation. Executive waives any right Executive may have to benefit in any manner from any relief (whether monetary or otherwise) arising out of any Proceeding involving such Claims,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any legally protected whistleblower rights (including under Rule 21F under the Exchange Act). For the avoidance of doubt, the term Proceeding shall not include any complaint, charge, claim or proceeding with respect to the obligations of the Company to Executive under the Employment Agreement or in respect of any other matter described in Section 1(b), and Executive retains all of Executive’s rights in connection with the same.</w:t>
      </w:r>
    </w:p>
    <w:p>
      <w:pPr>
        <w:spacing w:after="0" w:line="179" w:lineRule="exact"/>
        <w:rPr>
          <w:rFonts w:ascii="Times New Roman" w:cs="Times New Roman" w:eastAsia="Times New Roman" w:hAnsi="Times New Roman"/>
          <w:sz w:val="22"/>
          <w:szCs w:val="22"/>
          <w:color w:val="auto"/>
        </w:rPr>
      </w:pPr>
    </w:p>
    <w:p>
      <w:pPr>
        <w:ind w:firstLine="332"/>
        <w:spacing w:after="0" w:line="262" w:lineRule="auto"/>
        <w:tabs>
          <w:tab w:leader="none" w:pos="64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 Clause</w:t>
      </w:r>
      <w:r>
        <w:rPr>
          <w:rFonts w:ascii="Times New Roman" w:cs="Times New Roman" w:eastAsia="Times New Roman" w:hAnsi="Times New Roman"/>
          <w:sz w:val="22"/>
          <w:szCs w:val="22"/>
          <w:color w:val="auto"/>
        </w:rPr>
        <w:t>. In the event any provision or part of this Release is found to be invalid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unenforceable, only that particular provision or part so found, and not the entire Release, shall be inoperative.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50" w:name="page151"/>
    <w:bookmarkEnd w:id="150"/>
    <w:p>
      <w:pPr>
        <w:ind w:firstLine="332"/>
        <w:spacing w:after="0" w:line="262" w:lineRule="auto"/>
        <w:tabs>
          <w:tab w:leader="none" w:pos="64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Admission</w:t>
      </w:r>
      <w:r>
        <w:rPr>
          <w:rFonts w:ascii="Times New Roman" w:cs="Times New Roman" w:eastAsia="Times New Roman" w:hAnsi="Times New Roman"/>
          <w:sz w:val="22"/>
          <w:szCs w:val="22"/>
          <w:color w:val="auto"/>
        </w:rPr>
        <w:t>. Nothing contained in this Release shall be deemed or construed as an admission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wrongdoing or liability on the part of the Releasees.</w:t>
      </w:r>
    </w:p>
    <w:p>
      <w:pPr>
        <w:spacing w:after="0" w:line="149" w:lineRule="exact"/>
        <w:rPr>
          <w:rFonts w:ascii="Times New Roman" w:cs="Times New Roman" w:eastAsia="Times New Roman" w:hAnsi="Times New Roman"/>
          <w:sz w:val="22"/>
          <w:szCs w:val="22"/>
          <w:color w:val="auto"/>
        </w:rPr>
      </w:pPr>
    </w:p>
    <w:p>
      <w:pPr>
        <w:jc w:val="both"/>
        <w:ind w:firstLine="332"/>
        <w:spacing w:after="0" w:line="241" w:lineRule="auto"/>
        <w:tabs>
          <w:tab w:leader="none" w:pos="64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 and Venue</w:t>
      </w:r>
      <w:r>
        <w:rPr>
          <w:rFonts w:ascii="Times New Roman" w:cs="Times New Roman" w:eastAsia="Times New Roman" w:hAnsi="Times New Roman"/>
          <w:sz w:val="22"/>
          <w:szCs w:val="22"/>
          <w:color w:val="auto"/>
        </w:rPr>
        <w:t>. All matters affecting this Release, including the validity thereof, are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governed by, and interpreted and construed in accordance with, the laws of the State of Arkansas applicable to contracts executed in and to be performed in that State,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rights to indemnification shall be governed by and in accordance with the laws of the State of Delaware.</w:t>
      </w:r>
    </w:p>
    <w:p>
      <w:pPr>
        <w:spacing w:after="0" w:line="171" w:lineRule="exact"/>
        <w:rPr>
          <w:rFonts w:ascii="Times New Roman" w:cs="Times New Roman" w:eastAsia="Times New Roman" w:hAnsi="Times New Roman"/>
          <w:sz w:val="22"/>
          <w:szCs w:val="22"/>
          <w:color w:val="auto"/>
        </w:rPr>
      </w:pPr>
    </w:p>
    <w:p>
      <w:pPr>
        <w:ind w:firstLine="332"/>
        <w:spacing w:after="0" w:line="262" w:lineRule="auto"/>
        <w:tabs>
          <w:tab w:leader="none" w:pos="64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Release may be executed in counterparts and each counterpart shall be deemed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w:t>
      </w:r>
    </w:p>
    <w:p>
      <w:pPr>
        <w:spacing w:after="0" w:line="149" w:lineRule="exact"/>
        <w:rPr>
          <w:rFonts w:ascii="Times New Roman" w:cs="Times New Roman" w:eastAsia="Times New Roman" w:hAnsi="Times New Roman"/>
          <w:sz w:val="22"/>
          <w:szCs w:val="22"/>
          <w:color w:val="auto"/>
        </w:rPr>
      </w:pPr>
    </w:p>
    <w:p>
      <w:pPr>
        <w:jc w:val="both"/>
        <w:ind w:firstLine="332"/>
        <w:spacing w:after="0" w:line="241" w:lineRule="auto"/>
        <w:tabs>
          <w:tab w:leader="none" w:pos="64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All notices, requests, demands or other communications under this Release shall be in writing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shall be deemed to have been duly given when delivered in person or deposited in the United States mail, postage prepaid, by registered or certified mail, return receipt requested, to the party to whom such notice is being given as follows:</w:t>
      </w:r>
    </w:p>
    <w:p>
      <w:pPr>
        <w:sectPr>
          <w:pgSz w:w="11900" w:h="16838" w:orient="portrait"/>
          <w:cols w:equalWidth="0" w:num="1">
            <w:col w:w="9920"/>
          </w:cols>
          <w:pgMar w:left="980" w:top="864" w:right="999" w:bottom="1440" w:gutter="0" w:footer="0" w:header="0"/>
        </w:sectPr>
      </w:pPr>
    </w:p>
    <w:p>
      <w:pPr>
        <w:spacing w:after="0" w:line="18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1"/>
          <w:szCs w:val="21"/>
          <w:color w:val="auto"/>
        </w:rPr>
        <w:t>As to Employee: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Executive’s last address on the books and records of the Company</w:t>
      </w:r>
    </w:p>
    <w:p>
      <w:pPr>
        <w:spacing w:after="0" w:line="200" w:lineRule="exact"/>
        <w:rPr>
          <w:sz w:val="20"/>
          <w:szCs w:val="20"/>
          <w:color w:val="auto"/>
        </w:rPr>
      </w:pPr>
    </w:p>
    <w:p>
      <w:pPr>
        <w:sectPr>
          <w:pgSz w:w="11900" w:h="16838" w:orient="portrait"/>
          <w:cols w:equalWidth="0" w:num="2">
            <w:col w:w="3260" w:space="720"/>
            <w:col w:w="5940"/>
          </w:cols>
          <w:pgMar w:left="980" w:top="864" w:right="999" w:bottom="1440" w:gutter="0" w:footer="0" w:header="0"/>
          <w:type w:val="continuous"/>
        </w:sectPr>
      </w:pPr>
    </w:p>
    <w:p>
      <w:pPr>
        <w:spacing w:after="0" w:line="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As to the Company:</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[ADDRESS AS OF DATE OF RELEASE]</w:t>
      </w:r>
    </w:p>
    <w:p>
      <w:pPr>
        <w:spacing w:after="0" w:line="200" w:lineRule="exact"/>
        <w:rPr>
          <w:sz w:val="20"/>
          <w:szCs w:val="20"/>
          <w:color w:val="auto"/>
        </w:rPr>
      </w:pPr>
    </w:p>
    <w:p>
      <w:pPr>
        <w:sectPr>
          <w:pgSz w:w="11900" w:h="16838" w:orient="portrait"/>
          <w:cols w:equalWidth="0" w:num="2">
            <w:col w:w="3260" w:space="720"/>
            <w:col w:w="5940"/>
          </w:cols>
          <w:pgMar w:left="980" w:top="864" w:right="999" w:bottom="1440" w:gutter="0" w:footer="0" w:header="0"/>
          <w:type w:val="continuous"/>
        </w:sectPr>
      </w:pPr>
    </w:p>
    <w:p>
      <w:pPr>
        <w:spacing w:after="0" w:line="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Any party may change Executive’s address or the name of the person to whose attention the notice or other communication shall be directed from time to time by serving notice thereof upon the other party as provided herein.</w:t>
      </w:r>
    </w:p>
    <w:p>
      <w:pPr>
        <w:spacing w:after="0" w:line="16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EXECUTIVE ACKNOWLEDGES THAT EXECUTIVE HAS READ THIS RELEASE AND THAT EXECUTIVE FULLY KNOWS, UNDERSTANDS AND APPRECIATES ITS CONTENTS, AND THAT EXECUTIVE HEREBY EXECUTES THE SAME AND MAKES THIS RELEASE AND THE RELEASE PROVIDED FOR HEREIN VOLUNTARILY AND OF EXECUTIVE’S OWN FREE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Executive has executed this Release on the date set forth below.</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Kyle Newkirk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320611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6">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-151130</wp:posOffset>
            </wp:positionV>
            <wp:extent cx="32061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as of:</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64" w:right="1440"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6500" w:type="dxa"/>
            <w:vAlign w:val="bottom"/>
            <w:gridSpan w:val="4"/>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9"/>
              </w:rPr>
              <w:t>WESTROCK COFFEE COMPANY</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500" w:type="dxa"/>
            <w:vAlign w:val="bottom"/>
            <w:gridSpan w:val="4"/>
          </w:tcPr>
          <w:p>
            <w:pPr>
              <w:jc w:val="center"/>
              <w:ind w:right="3420"/>
              <w:spacing w:after="0"/>
              <w:rPr>
                <w:sz w:val="20"/>
                <w:szCs w:val="20"/>
                <w:color w:val="auto"/>
              </w:rPr>
            </w:pPr>
            <w:r>
              <w:rPr>
                <w:rFonts w:ascii="Times New Roman" w:cs="Times New Roman" w:eastAsia="Times New Roman" w:hAnsi="Times New Roman"/>
                <w:sz w:val="18"/>
                <w:szCs w:val="18"/>
                <w:color w:val="auto"/>
                <w:w w:val="99"/>
              </w:rPr>
              <w:t>List of Subsidiaries</w:t>
            </w:r>
          </w:p>
        </w:tc>
      </w:tr>
      <w:tr>
        <w:trPr>
          <w:trHeight w:val="234"/>
        </w:trPr>
        <w:tc>
          <w:tcPr>
            <w:tcW w:w="20" w:type="dxa"/>
            <w:vAlign w:val="bottom"/>
          </w:tcPr>
          <w:p>
            <w:pPr>
              <w:spacing w:after="0"/>
              <w:rPr>
                <w:sz w:val="20"/>
                <w:szCs w:val="20"/>
                <w:color w:val="auto"/>
              </w:rPr>
            </w:pPr>
          </w:p>
        </w:tc>
        <w:tc>
          <w:tcPr>
            <w:tcW w:w="99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(All subsidiaries are 100% owned unless otherwise noted)</w:t>
            </w:r>
          </w:p>
        </w:tc>
      </w:tr>
      <w:tr>
        <w:trPr>
          <w:trHeight w:val="445"/>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20" w:type="dxa"/>
            <w:vAlign w:val="bottom"/>
          </w:tcPr>
          <w:p>
            <w:pPr>
              <w:spacing w:after="0"/>
              <w:rPr>
                <w:sz w:val="24"/>
                <w:szCs w:val="24"/>
                <w:color w:val="auto"/>
              </w:rPr>
            </w:pPr>
          </w:p>
        </w:tc>
        <w:tc>
          <w:tcPr>
            <w:tcW w:w="52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​​​Jurisdiction of Incorporation of Formation</w:t>
            </w:r>
          </w:p>
        </w:tc>
      </w:tr>
      <w:tr>
        <w:trPr>
          <w:trHeight w:val="191"/>
        </w:trPr>
        <w:tc>
          <w:tcPr>
            <w:tcW w:w="20" w:type="dxa"/>
            <w:vAlign w:val="bottom"/>
          </w:tcPr>
          <w:p>
            <w:pPr>
              <w:spacing w:after="0"/>
              <w:rPr>
                <w:sz w:val="16"/>
                <w:szCs w:val="16"/>
                <w:color w:val="auto"/>
              </w:rPr>
            </w:pPr>
          </w:p>
        </w:tc>
        <w:tc>
          <w:tcPr>
            <w:tcW w:w="3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Westrock Beverage Solutions, LLC</w:t>
            </w:r>
          </w:p>
        </w:tc>
        <w:tc>
          <w:tcPr>
            <w:tcW w:w="12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9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6"/>
                <w:szCs w:val="16"/>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Westrock Coffee &amp; Tea International Limited</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Westrock Coffee Roasting, LLC</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Arkansas</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Westrock Beverage Company, LLC</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Arkansas</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&amp; D. Coffee, Inc. (d/b/a Westrock Coffee)</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Westrock Coffee &amp; Tea Singapore Pte. Ltd.</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Westrock Coffee &amp; Tea Malaysia Sdn. Bhd.</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Westrock Coffee International, LLC</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Arkansas</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Tembo Coffee Company Ltd</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Tanzania</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RTC Dorman Limited (49.9%)</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Rwanda Trading Company SA (49.9%)</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Rwanda</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Dorman Rwanda Limited (49.9%)</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Rwanda</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Falcon Coffees Limited</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Falcon Coffees Asia Sdn. Bhd.</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Falcon Coffees Europe GmbH</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Falcon Coffees Peru SRL</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Peru</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Falcon Coffees Korea Ltd.</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Korea</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Origin Merger Sub II, LLC</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Kohana Coffee, LLC</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3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Westrock Project Services, LLC</w:t>
            </w: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Arkansas</w:t>
            </w:r>
          </w:p>
        </w:tc>
      </w:tr>
      <w:tr>
        <w:trPr>
          <w:trHeight w:val="979"/>
        </w:trPr>
        <w:tc>
          <w:tcPr>
            <w:tcW w:w="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333-267153) and Form S-3 (No. 333-274827) of Westrock Coffee Company of our report dated March 10, 2026 relating to the financial statements and financial statement schedule, which appears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Little Rock, Arkansas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ind w:left="13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T. Ford, certify that:</w:t>
      </w:r>
    </w:p>
    <w:p>
      <w:pPr>
        <w:spacing w:after="0" w:line="225" w:lineRule="exact"/>
        <w:rPr>
          <w:sz w:val="20"/>
          <w:szCs w:val="20"/>
          <w:color w:val="auto"/>
        </w:rPr>
      </w:pPr>
    </w:p>
    <w:p>
      <w:pPr>
        <w:ind w:left="340" w:hanging="332"/>
        <w:spacing w:after="0"/>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Westrock Coffee Company;</w:t>
      </w:r>
    </w:p>
    <w:p>
      <w:pPr>
        <w:spacing w:after="0" w:line="225" w:lineRule="exact"/>
        <w:rPr>
          <w:rFonts w:ascii="Times New Roman" w:cs="Times New Roman" w:eastAsia="Times New Roman" w:hAnsi="Times New Roman"/>
          <w:sz w:val="18"/>
          <w:szCs w:val="18"/>
          <w:color w:val="auto"/>
        </w:rPr>
      </w:pPr>
    </w:p>
    <w:p>
      <w:pPr>
        <w:ind w:left="340" w:hanging="332"/>
        <w:spacing w:after="0" w:line="258" w:lineRule="auto"/>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Times New Roman" w:cs="Times New Roman" w:eastAsia="Times New Roman" w:hAnsi="Times New Roman"/>
          <w:sz w:val="18"/>
          <w:szCs w:val="18"/>
          <w:color w:val="auto"/>
        </w:rPr>
      </w:pPr>
    </w:p>
    <w:p>
      <w:pPr>
        <w:ind w:left="340" w:right="80" w:hanging="332"/>
        <w:spacing w:after="0" w:line="258" w:lineRule="auto"/>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420" w:hanging="324"/>
        <w:spacing w:after="0" w:line="289" w:lineRule="auto"/>
        <w:tabs>
          <w:tab w:leader="none" w:pos="980"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9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980" w:right="100" w:hanging="324"/>
        <w:spacing w:after="0" w:line="289" w:lineRule="auto"/>
        <w:tabs>
          <w:tab w:leader="none" w:pos="1001"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340" w:right="200" w:hanging="332"/>
        <w:spacing w:after="0" w:line="266" w:lineRule="auto"/>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58" w:lineRule="auto"/>
        <w:tabs>
          <w:tab w:leader="none" w:pos="98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9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9920"/>
          </w:cols>
          <w:pgMar w:left="980" w:top="117" w:right="999" w:bottom="1440" w:gutter="0" w:footer="0" w:header="0"/>
        </w:sect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10, 2026</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4240" w:space="720"/>
            <w:col w:w="4960"/>
          </w:cols>
          <w:pgMar w:left="980" w:top="117" w:right="999"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T.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11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0">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T. Ford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type w:val="continuous"/>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ind w:left="13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 Christopher Pledger, certify that:</w:t>
      </w:r>
    </w:p>
    <w:p>
      <w:pPr>
        <w:spacing w:after="0" w:line="225" w:lineRule="exact"/>
        <w:rPr>
          <w:sz w:val="20"/>
          <w:szCs w:val="20"/>
          <w:color w:val="auto"/>
        </w:rPr>
      </w:pPr>
    </w:p>
    <w:p>
      <w:pPr>
        <w:ind w:left="340" w:hanging="332"/>
        <w:spacing w:after="0"/>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Westrock Coffee Company;</w:t>
      </w:r>
    </w:p>
    <w:p>
      <w:pPr>
        <w:spacing w:after="0" w:line="225" w:lineRule="exact"/>
        <w:rPr>
          <w:rFonts w:ascii="Times New Roman" w:cs="Times New Roman" w:eastAsia="Times New Roman" w:hAnsi="Times New Roman"/>
          <w:sz w:val="18"/>
          <w:szCs w:val="18"/>
          <w:color w:val="auto"/>
        </w:rPr>
      </w:pPr>
    </w:p>
    <w:p>
      <w:pPr>
        <w:ind w:left="340" w:hanging="332"/>
        <w:spacing w:after="0" w:line="258"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Times New Roman" w:cs="Times New Roman" w:eastAsia="Times New Roman" w:hAnsi="Times New Roman"/>
          <w:sz w:val="18"/>
          <w:szCs w:val="18"/>
          <w:color w:val="auto"/>
        </w:rPr>
      </w:pPr>
    </w:p>
    <w:p>
      <w:pPr>
        <w:ind w:left="340" w:right="80" w:hanging="332"/>
        <w:spacing w:after="0" w:line="258"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420" w:hanging="324"/>
        <w:spacing w:after="0" w:line="289" w:lineRule="auto"/>
        <w:tabs>
          <w:tab w:leader="none" w:pos="98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91"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980" w:right="100" w:hanging="324"/>
        <w:spacing w:after="0" w:line="289" w:lineRule="auto"/>
        <w:tabs>
          <w:tab w:leader="none" w:pos="1001"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340" w:right="200" w:hanging="332"/>
        <w:spacing w:after="0" w:line="266"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58" w:lineRule="auto"/>
        <w:tabs>
          <w:tab w:leader="none" w:pos="981"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91"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spacing w:after="0"/>
        <w:tabs>
          <w:tab w:leader="none" w:pos="5000" w:val="left"/>
        </w:tabs>
        <w:rPr>
          <w:sz w:val="20"/>
          <w:szCs w:val="20"/>
          <w:color w:val="auto"/>
        </w:rPr>
      </w:pPr>
      <w:r>
        <w:rPr>
          <w:rFonts w:ascii="Times New Roman" w:cs="Times New Roman" w:eastAsia="Times New Roman" w:hAnsi="Times New Roman"/>
          <w:sz w:val="18"/>
          <w:szCs w:val="18"/>
          <w:color w:val="auto"/>
        </w:rPr>
        <w:t>Date: March 10, 2026</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203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2">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Christopher Pledger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0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Annual Report of Westrock Coffee Company (the “Company”) on Form 10-K for the period ended December 31, 2025, as filed with the Securities and Exchange Commission on the date hereof (the “Report”), I, Scott T. Ford, Chief Executive Officer of the Company, certify, pursuant to 18 U.S.C. Section 1350, as adopted pursuant to Section 906 of the Sarbanes-Oxley Act of 2002, to my knowledge, that:</w:t>
      </w:r>
    </w:p>
    <w:p>
      <w:pPr>
        <w:spacing w:after="0" w:line="166" w:lineRule="exact"/>
        <w:rPr>
          <w:sz w:val="20"/>
          <w:szCs w:val="20"/>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18"/>
          <w:szCs w:val="18"/>
          <w:color w:val="auto"/>
        </w:rPr>
        <w:t>Date: March 10, 2026</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T.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0943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4">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T. Ford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20" w:firstLine="693"/>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Annual Report of Westrock Coffee Company (the “Company”) on Form 10-K for the period ended December 31, 2025, as filed with the Securities and Exchange Commission on the date hereof (the “Report”), I, T. Christopher Pledger, Chief Financial Officer of the Company, certify, pursuant to 18 U.S.C. Section 1350, as adopted pursuant to Section 906 of the Sarbanes-Oxley Act of 2002, to my knowledge, that:</w:t>
      </w:r>
    </w:p>
    <w:p>
      <w:pPr>
        <w:spacing w:after="0" w:line="166" w:lineRule="exact"/>
        <w:rPr>
          <w:sz w:val="20"/>
          <w:szCs w:val="20"/>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18"/>
          <w:szCs w:val="18"/>
          <w:color w:val="auto"/>
        </w:rPr>
        <w:t>Date: March 10, 2026</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0943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6">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Christopher Pledger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1)"/>
      <w:numFmt w:val="lowerRoman"/>
      <w:start w:val="2"/>
    </w:lvl>
  </w:abstractNum>
  <w:abstractNum w:abstractNumId="6">
    <w:nsid w:val="7644A45C"/>
    <w:multiLevelType w:val="hybridMultilevel"/>
    <w:lvl w:ilvl="0">
      <w:lvlJc w:val="left"/>
      <w:lvlText w:val="(%1)"/>
      <w:numFmt w:val="lowerRoman"/>
      <w:start w:val="3"/>
    </w:lvl>
  </w:abstractNum>
  <w:abstractNum w:abstractNumId="7">
    <w:nsid w:val="32FFF902"/>
    <w:multiLevelType w:val="hybridMultilevel"/>
    <w:lvl w:ilvl="0">
      <w:lvlJc w:val="left"/>
      <w:lvlText w:val="%1."/>
      <w:numFmt w:val="decimal"/>
      <w:start w:val="815"/>
    </w:lvl>
  </w:abstractNum>
  <w:abstractNum w:abstractNumId="8">
    <w:nsid w:val="684A481A"/>
    <w:multiLevelType w:val="hybridMultilevel"/>
    <w:lvl w:ilvl="0">
      <w:lvlJc w:val="left"/>
      <w:lvlText w:val="(%1)"/>
      <w:numFmt w:val="lowerLetter"/>
      <w:start w:val="1"/>
    </w:lvl>
  </w:abstractNum>
  <w:abstractNum w:abstractNumId="9">
    <w:nsid w:val="579478FE"/>
    <w:multiLevelType w:val="hybridMultilevel"/>
    <w:lvl w:ilvl="0">
      <w:lvlJc w:val="left"/>
      <w:lvlText w:val="(%1)"/>
      <w:numFmt w:val="lowerRoman"/>
      <w:start w:val="2"/>
    </w:lvl>
  </w:abstractNum>
  <w:abstractNum w:abstractNumId="10">
    <w:nsid w:val="749ABB43"/>
    <w:multiLevelType w:val="hybridMultilevel"/>
    <w:lvl w:ilvl="0">
      <w:lvlJc w:val="left"/>
      <w:lvlText w:val="(%1)"/>
      <w:numFmt w:val="lowerLetter"/>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1)"/>
      <w:numFmt w:val="decimal"/>
      <w:start w:val="1"/>
    </w:lvl>
  </w:abstractNum>
  <w:abstractNum w:abstractNumId="13">
    <w:nsid w:val="79A1DEAA"/>
    <w:multiLevelType w:val="hybridMultilevel"/>
    <w:lvl w:ilvl="0">
      <w:lvlJc w:val="left"/>
      <w:lvlText w:val="(%1)"/>
      <w:numFmt w:val="decimal"/>
      <w:start w:val="1"/>
    </w:lvl>
  </w:abstractNum>
  <w:abstractNum w:abstractNumId="14">
    <w:nsid w:val="75C6C33A"/>
    <w:multiLevelType w:val="hybridMultilevel"/>
    <w:lvl w:ilvl="0">
      <w:lvlJc w:val="left"/>
      <w:lvlText w:val="(%1)"/>
      <w:numFmt w:val="decimal"/>
      <w:start w:val="1"/>
    </w:lvl>
  </w:abstractNum>
  <w:abstractNum w:abstractNumId="15">
    <w:nsid w:val="12E685FB"/>
    <w:multiLevelType w:val="hybridMultilevel"/>
    <w:lvl w:ilvl="0">
      <w:lvlJc w:val="left"/>
      <w:lvlText w:val="(%1)"/>
      <w:numFmt w:val="lowerLetter"/>
      <w:start w:val="1"/>
    </w:lvl>
  </w:abstractNum>
  <w:abstractNum w:abstractNumId="16">
    <w:nsid w:val="70C6A529"/>
    <w:multiLevelType w:val="hybridMultilevel"/>
    <w:lvl w:ilvl="0">
      <w:lvlJc w:val="left"/>
      <w:lvlText w:val="(%1)"/>
      <w:numFmt w:val="decimal"/>
      <w:start w:val="1"/>
    </w:lvl>
  </w:abstractNum>
  <w:abstractNum w:abstractNumId="17">
    <w:nsid w:val="520EEDD1"/>
    <w:multiLevelType w:val="hybridMultilevel"/>
    <w:lvl w:ilvl="0">
      <w:lvlJc w:val="left"/>
      <w:lvlText w:val="*"/>
      <w:numFmt w:val="bullet"/>
      <w:start w:val="1"/>
    </w:lvl>
    <w:lvl w:ilvl="1">
      <w:lvlJc w:val="left"/>
      <w:lvlText w:val="%2"/>
      <w:numFmt w:val="decimal"/>
      <w:start w:val="104"/>
    </w:lvl>
  </w:abstractNum>
  <w:abstractNum w:abstractNumId="18">
    <w:nsid w:val="374A3FE6"/>
    <w:multiLevelType w:val="hybridMultilevel"/>
    <w:lvl w:ilvl="0">
      <w:lvlJc w:val="left"/>
      <w:lvlText w:val="**"/>
      <w:numFmt w:val="bullet"/>
      <w:start w:val="1"/>
    </w:lvl>
    <w:lvl w:ilvl="1">
      <w:lvlJc w:val="left"/>
      <w:lvlText w:val="%2"/>
      <w:numFmt w:val="decimal"/>
      <w:start w:val="1"/>
    </w:lvl>
  </w:abstractNum>
  <w:abstractNum w:abstractNumId="19">
    <w:nsid w:val="4F4EF005"/>
    <w:multiLevelType w:val="hybridMultilevel"/>
    <w:lvl w:ilvl="0">
      <w:lvlJc w:val="left"/>
      <w:lvlText w:val="%1."/>
      <w:numFmt w:val="decimal"/>
      <w:start w:val="1"/>
    </w:lvl>
  </w:abstractNum>
  <w:abstractNum w:abstractNumId="20">
    <w:nsid w:val="23F9C13C"/>
    <w:multiLevelType w:val="hybridMultilevel"/>
    <w:lvl w:ilvl="0">
      <w:lvlJc w:val="left"/>
      <w:lvlText w:val="(%1)"/>
      <w:numFmt w:val="lowerLetter"/>
      <w:start w:val="1"/>
    </w:lvl>
  </w:abstractNum>
  <w:abstractNum w:abstractNumId="21">
    <w:nsid w:val="649BB77C"/>
    <w:multiLevelType w:val="hybridMultilevel"/>
    <w:lvl w:ilvl="0">
      <w:lvlJc w:val="left"/>
      <w:lvlText w:val="%1."/>
      <w:numFmt w:val="decimal"/>
      <w:start w:val="3"/>
    </w:lvl>
  </w:abstractNum>
  <w:abstractNum w:abstractNumId="22">
    <w:nsid w:val="275AC794"/>
    <w:multiLevelType w:val="hybridMultilevel"/>
    <w:lvl w:ilvl="0">
      <w:lvlJc w:val="left"/>
      <w:lvlText w:val="(%1)"/>
      <w:numFmt w:val="lowerLetter"/>
      <w:start w:val="1"/>
    </w:lvl>
  </w:abstractNum>
  <w:abstractNum w:abstractNumId="23">
    <w:nsid w:val="39386575"/>
    <w:multiLevelType w:val="hybridMultilevel"/>
    <w:lvl w:ilvl="0">
      <w:lvlJc w:val="left"/>
      <w:lvlText w:val="%1."/>
      <w:numFmt w:val="decimal"/>
      <w:start w:val="4"/>
    </w:lvl>
  </w:abstractNum>
  <w:abstractNum w:abstractNumId="24">
    <w:nsid w:val="1CF10FD8"/>
    <w:multiLevelType w:val="hybridMultilevel"/>
    <w:lvl w:ilvl="0">
      <w:lvlJc w:val="left"/>
      <w:lvlText w:val="(%1)"/>
      <w:numFmt w:val="lowerLetter"/>
      <w:start w:val="1"/>
    </w:lvl>
  </w:abstractNum>
  <w:abstractNum w:abstractNumId="25">
    <w:nsid w:val="180115BE"/>
    <w:multiLevelType w:val="hybridMultilevel"/>
    <w:lvl w:ilvl="0">
      <w:lvlJc w:val="left"/>
      <w:lvlText w:val="(%1)"/>
      <w:numFmt w:val="lowerLetter"/>
      <w:start w:val="2"/>
    </w:lvl>
    <w:lvl w:ilvl="1">
      <w:lvlJc w:val="left"/>
      <w:lvlText w:val="(%2)"/>
      <w:numFmt w:val="lowerRoman"/>
      <w:start w:val="1"/>
    </w:lvl>
  </w:abstractNum>
  <w:abstractNum w:abstractNumId="26">
    <w:nsid w:val="235BA861"/>
    <w:multiLevelType w:val="hybridMultilevel"/>
    <w:lvl w:ilvl="0">
      <w:lvlJc w:val="left"/>
      <w:lvlText w:val="(%1)"/>
      <w:numFmt w:val="lowerLetter"/>
      <w:start w:val="3"/>
    </w:lvl>
    <w:lvl w:ilvl="1">
      <w:lvlJc w:val="left"/>
      <w:lvlText w:val="(%2)"/>
      <w:numFmt w:val="lowerRoman"/>
      <w:start w:val="1"/>
    </w:lvl>
  </w:abstractNum>
  <w:abstractNum w:abstractNumId="27">
    <w:nsid w:val="47398C89"/>
    <w:multiLevelType w:val="hybridMultilevel"/>
    <w:lvl w:ilvl="0">
      <w:lvlJc w:val="left"/>
      <w:lvlText w:val="%1"/>
      <w:numFmt w:val="lowerLetter"/>
      <w:start w:val="1"/>
    </w:lvl>
    <w:lvl w:ilvl="1">
      <w:lvlJc w:val="left"/>
      <w:lvlText w:val="(%2)"/>
      <w:numFmt w:val="lowerLetter"/>
      <w:start w:val="4"/>
    </w:lvl>
  </w:abstractNum>
  <w:abstractNum w:abstractNumId="28">
    <w:nsid w:val="354FE9F9"/>
    <w:multiLevelType w:val="hybridMultilevel"/>
    <w:lvl w:ilvl="0">
      <w:lvlJc w:val="left"/>
      <w:lvlText w:val="(%1)"/>
      <w:numFmt w:val="lowerLetter"/>
      <w:start w:val="61"/>
    </w:lvl>
    <w:lvl w:ilvl="1">
      <w:lvlJc w:val="left"/>
      <w:lvlText w:val="%2"/>
      <w:numFmt w:val="lowerLetter"/>
      <w:start w:val="1"/>
    </w:lvl>
  </w:abstractNum>
  <w:abstractNum w:abstractNumId="29">
    <w:nsid w:val="15B5AF5C"/>
    <w:multiLevelType w:val="hybridMultilevel"/>
    <w:lvl w:ilvl="0">
      <w:lvlJc w:val="left"/>
      <w:lvlText w:val="%1."/>
      <w:numFmt w:val="decimal"/>
      <w:start w:val="5"/>
    </w:lvl>
  </w:abstractNum>
  <w:abstractNum w:abstractNumId="30">
    <w:nsid w:val="741226BB"/>
    <w:multiLevelType w:val="hybridMultilevel"/>
    <w:lvl w:ilvl="0">
      <w:lvlJc w:val="left"/>
      <w:lvlText w:val="(%1)"/>
      <w:numFmt w:val="lowerLetter"/>
      <w:start w:val="1"/>
    </w:lvl>
    <w:lvl w:ilvl="1">
      <w:lvlJc w:val="left"/>
      <w:lvlText w:val="(%2)"/>
      <w:numFmt w:val="lowerLetter"/>
      <w:start w:val="9"/>
    </w:lvl>
  </w:abstractNum>
  <w:abstractNum w:abstractNumId="31">
    <w:nsid w:val="D34B6A8"/>
    <w:multiLevelType w:val="hybridMultilevel"/>
    <w:lvl w:ilvl="0">
      <w:lvlJc w:val="left"/>
      <w:lvlText w:val="(%1)"/>
      <w:numFmt w:val="lowerRoman"/>
      <w:start w:val="2"/>
    </w:lvl>
  </w:abstractNum>
  <w:abstractNum w:abstractNumId="32">
    <w:nsid w:val="10233C99"/>
    <w:multiLevelType w:val="hybridMultilevel"/>
    <w:lvl w:ilvl="0">
      <w:lvlJc w:val="left"/>
      <w:lvlText w:val="(%1)"/>
      <w:numFmt w:val="lowerLetter"/>
      <w:start w:val="2"/>
    </w:lvl>
  </w:abstractNum>
  <w:abstractNum w:abstractNumId="33">
    <w:nsid w:val="3F6AB60F"/>
    <w:multiLevelType w:val="hybridMultilevel"/>
    <w:lvl w:ilvl="0">
      <w:lvlJc w:val="left"/>
      <w:lvlText w:val="%1."/>
      <w:numFmt w:val="decimal"/>
      <w:start w:val="6"/>
    </w:lvl>
  </w:abstractNum>
  <w:abstractNum w:abstractNumId="34">
    <w:nsid w:val="61574095"/>
    <w:multiLevelType w:val="hybridMultilevel"/>
    <w:lvl w:ilvl="0">
      <w:lvlJc w:val="left"/>
      <w:lvlText w:val="(%1)"/>
      <w:numFmt w:val="lowerLetter"/>
      <w:start w:val="1"/>
    </w:lvl>
  </w:abstractNum>
  <w:abstractNum w:abstractNumId="35">
    <w:nsid w:val="7E0C57B1"/>
    <w:multiLevelType w:val="hybridMultilevel"/>
    <w:lvl w:ilvl="0">
      <w:lvlJc w:val="left"/>
      <w:lvlText w:val="(%1)"/>
      <w:numFmt w:val="lowerLetter"/>
      <w:start w:val="2"/>
    </w:lvl>
  </w:abstractNum>
  <w:abstractNum w:abstractNumId="36">
    <w:nsid w:val="77AE35EB"/>
    <w:multiLevelType w:val="hybridMultilevel"/>
    <w:lvl w:ilvl="0">
      <w:lvlJc w:val="left"/>
      <w:lvlText w:val="(%1)"/>
      <w:numFmt w:val="lowerLetter"/>
      <w:start w:val="5"/>
    </w:lvl>
  </w:abstractNum>
  <w:abstractNum w:abstractNumId="37">
    <w:nsid w:val="579BE4F1"/>
    <w:multiLevelType w:val="hybridMultilevel"/>
    <w:lvl w:ilvl="0">
      <w:lvlJc w:val="left"/>
      <w:lvlText w:val="(%1)"/>
      <w:numFmt w:val="lowerLetter"/>
      <w:start w:val="8"/>
    </w:lvl>
    <w:lvl w:ilvl="1">
      <w:lvlJc w:val="left"/>
      <w:lvlText w:val="(%2)"/>
      <w:numFmt w:val="lowerRoman"/>
      <w:start w:val="1"/>
    </w:lvl>
  </w:abstractNum>
  <w:abstractNum w:abstractNumId="38">
    <w:nsid w:val="310C50B3"/>
    <w:multiLevelType w:val="hybridMultilevel"/>
    <w:lvl w:ilvl="0">
      <w:lvlJc w:val="left"/>
      <w:lvlText w:val="%1."/>
      <w:numFmt w:val="decimal"/>
      <w:start w:val="8"/>
    </w:lvl>
  </w:abstractNum>
  <w:abstractNum w:abstractNumId="39">
    <w:nsid w:val="5FF87E05"/>
    <w:multiLevelType w:val="hybridMultilevel"/>
    <w:lvl w:ilvl="0">
      <w:lvlJc w:val="left"/>
      <w:lvlText w:val="(%1)"/>
      <w:numFmt w:val="lowerLetter"/>
      <w:start w:val="1"/>
    </w:lvl>
  </w:abstractNum>
  <w:abstractNum w:abstractNumId="40">
    <w:nsid w:val="2F305DEF"/>
    <w:multiLevelType w:val="hybridMultilevel"/>
    <w:lvl w:ilvl="0">
      <w:lvlJc w:val="left"/>
      <w:lvlText w:val="(%1)"/>
      <w:numFmt w:val="lowerLetter"/>
      <w:start w:val="4"/>
    </w:lvl>
    <w:lvl w:ilvl="1">
      <w:lvlJc w:val="left"/>
      <w:lvlText w:val="(%2)"/>
      <w:numFmt w:val="lowerRoman"/>
      <w:start w:val="1"/>
    </w:lvl>
  </w:abstractNum>
  <w:abstractNum w:abstractNumId="41">
    <w:nsid w:val="25A70BF7"/>
    <w:multiLevelType w:val="hybridMultilevel"/>
    <w:lvl w:ilvl="0">
      <w:lvlJc w:val="left"/>
      <w:lvlText w:val="%1"/>
      <w:numFmt w:val="decimal"/>
      <w:start w:val="1"/>
    </w:lvl>
    <w:lvl w:ilvl="1">
      <w:lvlJc w:val="left"/>
      <w:lvlText w:val="(%2)"/>
      <w:numFmt w:val="lowerRoman"/>
      <w:start w:val="4"/>
    </w:lvl>
  </w:abstractNum>
  <w:abstractNum w:abstractNumId="42">
    <w:nsid w:val="1DBABF00"/>
    <w:multiLevelType w:val="hybridMultilevel"/>
    <w:lvl w:ilvl="0">
      <w:lvlJc w:val="left"/>
      <w:lvlText w:val="%1."/>
      <w:numFmt w:val="decimal"/>
      <w:start w:val="9"/>
    </w:lvl>
    <w:lvl w:ilvl="1">
      <w:lvlJc w:val="left"/>
      <w:lvlText w:val="%2"/>
      <w:numFmt w:val="lowerRoman"/>
      <w:start w:val="1"/>
    </w:lvl>
  </w:abstractNum>
  <w:abstractNum w:abstractNumId="43">
    <w:nsid w:val="4AD084E9"/>
    <w:multiLevelType w:val="hybridMultilevel"/>
    <w:lvl w:ilvl="0">
      <w:lvlJc w:val="left"/>
      <w:lvlText w:val="(%1)"/>
      <w:numFmt w:val="lowerLetter"/>
      <w:start w:val="1"/>
    </w:lvl>
  </w:abstractNum>
  <w:abstractNum w:abstractNumId="44">
    <w:nsid w:val="1F48EAA1"/>
    <w:multiLevelType w:val="hybridMultilevel"/>
    <w:lvl w:ilvl="0">
      <w:lvlJc w:val="left"/>
      <w:lvlText w:val="(%1)"/>
      <w:numFmt w:val="lowerLetter"/>
      <w:start w:val="2"/>
    </w:lvl>
  </w:abstractNum>
  <w:abstractNum w:abstractNumId="45">
    <w:nsid w:val="1381823A"/>
    <w:multiLevelType w:val="hybridMultilevel"/>
    <w:lvl w:ilvl="0">
      <w:lvlJc w:val="left"/>
      <w:lvlText w:val="(%1)"/>
      <w:numFmt w:val="lowerLetter"/>
      <w:start w:val="3"/>
    </w:lvl>
  </w:abstractNum>
  <w:abstractNum w:abstractNumId="46">
    <w:nsid w:val="5DB70AE5"/>
    <w:multiLevelType w:val="hybridMultilevel"/>
    <w:lvl w:ilvl="0">
      <w:lvlJc w:val="left"/>
      <w:lvlText w:val="(%1)"/>
      <w:numFmt w:val="lowerLetter"/>
      <w:start w:val="7"/>
    </w:lvl>
    <w:lvl w:ilvl="1">
      <w:lvlJc w:val="left"/>
      <w:lvlText w:val="(%2)"/>
      <w:numFmt w:val="lowerRoman"/>
      <w:start w:val="1"/>
    </w:lvl>
  </w:abstractNum>
  <w:abstractNum w:abstractNumId="47">
    <w:nsid w:val="100F8FCA"/>
    <w:multiLevelType w:val="hybridMultilevel"/>
    <w:lvl w:ilvl="0">
      <w:lvlJc w:val="left"/>
      <w:lvlText w:val="(%1)"/>
      <w:numFmt w:val="lowerLetter"/>
      <w:start w:val="10"/>
    </w:lvl>
  </w:abstractNum>
  <w:abstractNum w:abstractNumId="48">
    <w:nsid w:val="6590700B"/>
    <w:multiLevelType w:val="hybridMultilevel"/>
    <w:lvl w:ilvl="0">
      <w:lvlJc w:val="left"/>
      <w:lvlText w:val="%1."/>
      <w:numFmt w:val="decimal"/>
      <w:start w:val="1"/>
    </w:lvl>
    <w:lvl w:ilvl="1">
      <w:lvlJc w:val="left"/>
      <w:lvlText w:val="(%2)"/>
      <w:numFmt w:val="lowerLetter"/>
      <w:start w:val="1"/>
    </w:lvl>
  </w:abstractNum>
  <w:abstractNum w:abstractNumId="49">
    <w:nsid w:val="15014ACB"/>
    <w:multiLevelType w:val="hybridMultilevel"/>
    <w:lvl w:ilvl="0">
      <w:lvlJc w:val="left"/>
      <w:lvlText w:val="%1"/>
      <w:numFmt w:val="decimal"/>
      <w:start w:val="1"/>
    </w:lvl>
    <w:lvl w:ilvl="1">
      <w:lvlJc w:val="left"/>
      <w:lvlText w:val="(%2)"/>
      <w:numFmt w:val="lowerLetter"/>
      <w:start w:val="3"/>
    </w:lvl>
  </w:abstractNum>
  <w:abstractNum w:abstractNumId="50">
    <w:nsid w:val="5F5E7FD0"/>
    <w:multiLevelType w:val="hybridMultilevel"/>
    <w:lvl w:ilvl="0">
      <w:lvlJc w:val="left"/>
      <w:lvlText w:val="%1."/>
      <w:numFmt w:val="decimal"/>
      <w:start w:val="2"/>
    </w:lvl>
    <w:lvl w:ilvl="1">
      <w:lvlJc w:val="left"/>
      <w:lvlText w:val="%2"/>
      <w:numFmt w:val="lowerLetter"/>
      <w:start w:val="1"/>
    </w:lvl>
  </w:abstractNum>
  <w:abstractNum w:abstractNumId="51">
    <w:nsid w:val="98A3148"/>
    <w:multiLevelType w:val="hybridMultilevel"/>
    <w:lvl w:ilvl="0">
      <w:lvlJc w:val="left"/>
      <w:lvlText w:val="%1."/>
      <w:numFmt w:val="decimal"/>
      <w:start w:val="4"/>
    </w:lvl>
  </w:abstractNum>
  <w:abstractNum w:abstractNumId="52">
    <w:nsid w:val="799D0247"/>
    <w:multiLevelType w:val="hybridMultilevel"/>
    <w:lvl w:ilvl="0">
      <w:lvlJc w:val="left"/>
      <w:lvlText w:val="%1."/>
      <w:numFmt w:val="decimal"/>
      <w:start w:val="1"/>
    </w:lvl>
  </w:abstractNum>
  <w:abstractNum w:abstractNumId="53">
    <w:nsid w:val="6B94764"/>
    <w:multiLevelType w:val="hybridMultilevel"/>
    <w:lvl w:ilvl="0">
      <w:lvlJc w:val="left"/>
      <w:lvlText w:val="(%1)"/>
      <w:numFmt w:val="lowerLetter"/>
      <w:start w:val="1"/>
    </w:lvl>
  </w:abstractNum>
  <w:abstractNum w:abstractNumId="54">
    <w:nsid w:val="42C296BD"/>
    <w:multiLevelType w:val="hybridMultilevel"/>
    <w:lvl w:ilvl="0">
      <w:lvlJc w:val="left"/>
      <w:lvlText w:val="%1."/>
      <w:numFmt w:val="decimal"/>
      <w:start w:val="3"/>
    </w:lvl>
  </w:abstractNum>
  <w:abstractNum w:abstractNumId="55">
    <w:nsid w:val="168E121F"/>
    <w:multiLevelType w:val="hybridMultilevel"/>
    <w:lvl w:ilvl="0">
      <w:lvlJc w:val="left"/>
      <w:lvlText w:val="(%1)"/>
      <w:numFmt w:val="lowerLetter"/>
      <w:start w:val="1"/>
    </w:lvl>
  </w:abstractNum>
  <w:abstractNum w:abstractNumId="56">
    <w:nsid w:val="1EBA5D23"/>
    <w:multiLevelType w:val="hybridMultilevel"/>
    <w:lvl w:ilvl="0">
      <w:lvlJc w:val="left"/>
      <w:lvlText w:val="%1."/>
      <w:numFmt w:val="decimal"/>
      <w:start w:val="4"/>
    </w:lvl>
  </w:abstractNum>
  <w:abstractNum w:abstractNumId="57">
    <w:nsid w:val="661E3F1E"/>
    <w:multiLevelType w:val="hybridMultilevel"/>
    <w:lvl w:ilvl="0">
      <w:lvlJc w:val="left"/>
      <w:lvlText w:val="(%1)"/>
      <w:numFmt w:val="lowerLetter"/>
      <w:start w:val="1"/>
    </w:lvl>
  </w:abstractNum>
  <w:abstractNum w:abstractNumId="58">
    <w:nsid w:val="5DC79EA8"/>
    <w:multiLevelType w:val="hybridMultilevel"/>
    <w:lvl w:ilvl="0">
      <w:lvlJc w:val="left"/>
      <w:lvlText w:val="(%1)"/>
      <w:numFmt w:val="lowerLetter"/>
      <w:start w:val="2"/>
    </w:lvl>
    <w:lvl w:ilvl="1">
      <w:lvlJc w:val="left"/>
      <w:lvlText w:val="(%2)"/>
      <w:numFmt w:val="lowerRoman"/>
      <w:start w:val="1"/>
    </w:lvl>
  </w:abstractNum>
  <w:abstractNum w:abstractNumId="59">
    <w:nsid w:val="540A471C"/>
    <w:multiLevelType w:val="hybridMultilevel"/>
    <w:lvl w:ilvl="0">
      <w:lvlJc w:val="left"/>
      <w:lvlText w:val="(%1)"/>
      <w:numFmt w:val="lowerLetter"/>
      <w:start w:val="3"/>
    </w:lvl>
    <w:lvl w:ilvl="1">
      <w:lvlJc w:val="left"/>
      <w:lvlText w:val="(%2)"/>
      <w:numFmt w:val="lowerRoman"/>
      <w:start w:val="1"/>
    </w:lvl>
  </w:abstractNum>
  <w:abstractNum w:abstractNumId="60">
    <w:nsid w:val="7BD3EE7B"/>
    <w:multiLevelType w:val="hybridMultilevel"/>
    <w:lvl w:ilvl="0">
      <w:lvlJc w:val="left"/>
      <w:lvlText w:val="%1"/>
      <w:numFmt w:val="lowerLetter"/>
      <w:start w:val="1"/>
    </w:lvl>
    <w:lvl w:ilvl="1">
      <w:lvlJc w:val="left"/>
      <w:lvlText w:val="(%2)"/>
      <w:numFmt w:val="lowerLetter"/>
      <w:start w:val="4"/>
    </w:lvl>
  </w:abstractNum>
  <w:abstractNum w:abstractNumId="61">
    <w:nsid w:val="51D9C564"/>
    <w:multiLevelType w:val="hybridMultilevel"/>
    <w:lvl w:ilvl="0">
      <w:lvlJc w:val="left"/>
      <w:lvlText w:val="(%1)"/>
      <w:numFmt w:val="lowerLetter"/>
      <w:start w:val="61"/>
    </w:lvl>
    <w:lvl w:ilvl="1">
      <w:lvlJc w:val="left"/>
      <w:lvlText w:val="%2"/>
      <w:numFmt w:val="lowerLetter"/>
      <w:start w:val="1"/>
    </w:lvl>
  </w:abstractNum>
  <w:abstractNum w:abstractNumId="62">
    <w:nsid w:val="613EFDC5"/>
    <w:multiLevelType w:val="hybridMultilevel"/>
    <w:lvl w:ilvl="0">
      <w:lvlJc w:val="left"/>
      <w:lvlText w:val="%1."/>
      <w:numFmt w:val="decimal"/>
      <w:start w:val="5"/>
    </w:lvl>
  </w:abstractNum>
  <w:abstractNum w:abstractNumId="63">
    <w:nsid w:val="BF72B14"/>
    <w:multiLevelType w:val="hybridMultilevel"/>
    <w:lvl w:ilvl="0">
      <w:lvlJc w:val="left"/>
      <w:lvlText w:val="(%1)"/>
      <w:numFmt w:val="lowerLetter"/>
      <w:start w:val="1"/>
    </w:lvl>
    <w:lvl w:ilvl="1">
      <w:lvlJc w:val="left"/>
      <w:lvlText w:val="(%2)"/>
      <w:numFmt w:val="lowerLetter"/>
      <w:start w:val="9"/>
    </w:lvl>
  </w:abstractNum>
  <w:abstractNum w:abstractNumId="64">
    <w:nsid w:val="11447B73"/>
    <w:multiLevelType w:val="hybridMultilevel"/>
    <w:lvl w:ilvl="0">
      <w:lvlJc w:val="left"/>
      <w:lvlText w:val="(%1)"/>
      <w:numFmt w:val="lowerRoman"/>
      <w:start w:val="2"/>
    </w:lvl>
  </w:abstractNum>
  <w:abstractNum w:abstractNumId="65">
    <w:nsid w:val="42963E5A"/>
    <w:multiLevelType w:val="hybridMultilevel"/>
    <w:lvl w:ilvl="0">
      <w:lvlJc w:val="left"/>
      <w:lvlText w:val="(%1)"/>
      <w:numFmt w:val="lowerLetter"/>
      <w:start w:val="2"/>
    </w:lvl>
  </w:abstractNum>
  <w:abstractNum w:abstractNumId="66">
    <w:nsid w:val="A0382C5"/>
    <w:multiLevelType w:val="hybridMultilevel"/>
    <w:lvl w:ilvl="0">
      <w:lvlJc w:val="left"/>
      <w:lvlText w:val="%1."/>
      <w:numFmt w:val="decimal"/>
      <w:start w:val="6"/>
    </w:lvl>
  </w:abstractNum>
  <w:abstractNum w:abstractNumId="67">
    <w:nsid w:val="8F2B15E"/>
    <w:multiLevelType w:val="hybridMultilevel"/>
    <w:lvl w:ilvl="0">
      <w:lvlJc w:val="left"/>
      <w:lvlText w:val="(%1)"/>
      <w:numFmt w:val="lowerLetter"/>
      <w:start w:val="1"/>
    </w:lvl>
  </w:abstractNum>
  <w:abstractNum w:abstractNumId="68">
    <w:nsid w:val="1A32234B"/>
    <w:multiLevelType w:val="hybridMultilevel"/>
    <w:lvl w:ilvl="0">
      <w:lvlJc w:val="left"/>
      <w:lvlText w:val="(%1)"/>
      <w:numFmt w:val="lowerLetter"/>
      <w:start w:val="2"/>
    </w:lvl>
  </w:abstractNum>
  <w:abstractNum w:abstractNumId="69">
    <w:nsid w:val="3B0FD379"/>
    <w:multiLevelType w:val="hybridMultilevel"/>
    <w:lvl w:ilvl="0">
      <w:lvlJc w:val="left"/>
      <w:lvlText w:val="(%1)"/>
      <w:numFmt w:val="lowerLetter"/>
      <w:start w:val="5"/>
    </w:lvl>
  </w:abstractNum>
  <w:abstractNum w:abstractNumId="70">
    <w:nsid w:val="68EB2F63"/>
    <w:multiLevelType w:val="hybridMultilevel"/>
    <w:lvl w:ilvl="0">
      <w:lvlJc w:val="left"/>
      <w:lvlText w:val="(%1)"/>
      <w:numFmt w:val="lowerLetter"/>
      <w:start w:val="8"/>
    </w:lvl>
    <w:lvl w:ilvl="1">
      <w:lvlJc w:val="left"/>
      <w:lvlText w:val="(%2)"/>
      <w:numFmt w:val="lowerRoman"/>
      <w:start w:val="1"/>
    </w:lvl>
  </w:abstractNum>
  <w:abstractNum w:abstractNumId="71">
    <w:nsid w:val="4962813B"/>
    <w:multiLevelType w:val="hybridMultilevel"/>
    <w:lvl w:ilvl="0">
      <w:lvlJc w:val="left"/>
      <w:lvlText w:val="%1."/>
      <w:numFmt w:val="decimal"/>
      <w:start w:val="8"/>
    </w:lvl>
  </w:abstractNum>
  <w:abstractNum w:abstractNumId="72">
    <w:nsid w:val="60B6DF70"/>
    <w:multiLevelType w:val="hybridMultilevel"/>
    <w:lvl w:ilvl="0">
      <w:lvlJc w:val="left"/>
      <w:lvlText w:val="(%1)"/>
      <w:numFmt w:val="lowerLetter"/>
      <w:start w:val="1"/>
    </w:lvl>
  </w:abstractNum>
  <w:abstractNum w:abstractNumId="73">
    <w:nsid w:val="6A5EE64"/>
    <w:multiLevelType w:val="hybridMultilevel"/>
    <w:lvl w:ilvl="0">
      <w:lvlJc w:val="left"/>
      <w:lvlText w:val="(%1)"/>
      <w:numFmt w:val="lowerLetter"/>
      <w:start w:val="4"/>
    </w:lvl>
    <w:lvl w:ilvl="1">
      <w:lvlJc w:val="left"/>
      <w:lvlText w:val="(%2)"/>
      <w:numFmt w:val="lowerRoman"/>
      <w:start w:val="1"/>
    </w:lvl>
  </w:abstractNum>
  <w:abstractNum w:abstractNumId="74">
    <w:nsid w:val="14330624"/>
    <w:multiLevelType w:val="hybridMultilevel"/>
    <w:lvl w:ilvl="0">
      <w:lvlJc w:val="left"/>
      <w:lvlText w:val="%1"/>
      <w:numFmt w:val="decimal"/>
      <w:start w:val="1"/>
    </w:lvl>
    <w:lvl w:ilvl="1">
      <w:lvlJc w:val="left"/>
      <w:lvlText w:val="(%2)"/>
      <w:numFmt w:val="lowerRoman"/>
      <w:start w:val="4"/>
    </w:lvl>
  </w:abstractNum>
  <w:abstractNum w:abstractNumId="75">
    <w:nsid w:val="7FFFCA11"/>
    <w:multiLevelType w:val="hybridMultilevel"/>
    <w:lvl w:ilvl="0">
      <w:lvlJc w:val="left"/>
      <w:lvlText w:val="%1."/>
      <w:numFmt w:val="decimal"/>
      <w:start w:val="9"/>
    </w:lvl>
    <w:lvl w:ilvl="1">
      <w:lvlJc w:val="left"/>
      <w:lvlText w:val="%2"/>
      <w:numFmt w:val="lowerRoman"/>
      <w:start w:val="1"/>
    </w:lvl>
  </w:abstractNum>
  <w:abstractNum w:abstractNumId="76">
    <w:nsid w:val="1A27709E"/>
    <w:multiLevelType w:val="hybridMultilevel"/>
    <w:lvl w:ilvl="0">
      <w:lvlJc w:val="left"/>
      <w:lvlText w:val="(%1)"/>
      <w:numFmt w:val="lowerLetter"/>
      <w:start w:val="1"/>
    </w:lvl>
  </w:abstractNum>
  <w:abstractNum w:abstractNumId="77">
    <w:nsid w:val="71EA1109"/>
    <w:multiLevelType w:val="hybridMultilevel"/>
    <w:lvl w:ilvl="0">
      <w:lvlJc w:val="left"/>
      <w:lvlText w:val="(%1)"/>
      <w:numFmt w:val="lowerLetter"/>
      <w:start w:val="2"/>
    </w:lvl>
  </w:abstractNum>
  <w:abstractNum w:abstractNumId="78">
    <w:nsid w:val="100F59DC"/>
    <w:multiLevelType w:val="hybridMultilevel"/>
    <w:lvl w:ilvl="0">
      <w:lvlJc w:val="left"/>
      <w:lvlText w:val="(%1)"/>
      <w:numFmt w:val="lowerLetter"/>
      <w:start w:val="3"/>
    </w:lvl>
  </w:abstractNum>
  <w:abstractNum w:abstractNumId="79">
    <w:nsid w:val="7FB7E0AA"/>
    <w:multiLevelType w:val="hybridMultilevel"/>
    <w:lvl w:ilvl="0">
      <w:lvlJc w:val="left"/>
      <w:lvlText w:val="(%1)"/>
      <w:numFmt w:val="lowerLetter"/>
      <w:start w:val="7"/>
    </w:lvl>
    <w:lvl w:ilvl="1">
      <w:lvlJc w:val="left"/>
      <w:lvlText w:val="(%2)"/>
      <w:numFmt w:val="lowerRoman"/>
      <w:start w:val="1"/>
    </w:lvl>
  </w:abstractNum>
  <w:abstractNum w:abstractNumId="80">
    <w:nsid w:val="6EB5BD4"/>
    <w:multiLevelType w:val="hybridMultilevel"/>
    <w:lvl w:ilvl="0">
      <w:lvlJc w:val="left"/>
      <w:lvlText w:val="(%1)"/>
      <w:numFmt w:val="lowerLetter"/>
      <w:start w:val="10"/>
    </w:lvl>
  </w:abstractNum>
  <w:abstractNum w:abstractNumId="81">
    <w:nsid w:val="6F6DD9AC"/>
    <w:multiLevelType w:val="hybridMultilevel"/>
    <w:lvl w:ilvl="0">
      <w:lvlJc w:val="left"/>
      <w:lvlText w:val="%1."/>
      <w:numFmt w:val="decimal"/>
      <w:start w:val="1"/>
    </w:lvl>
    <w:lvl w:ilvl="1">
      <w:lvlJc w:val="left"/>
      <w:lvlText w:val="(%2)"/>
      <w:numFmt w:val="lowerLetter"/>
      <w:start w:val="1"/>
    </w:lvl>
  </w:abstractNum>
  <w:abstractNum w:abstractNumId="82">
    <w:nsid w:val="94211F2"/>
    <w:multiLevelType w:val="hybridMultilevel"/>
    <w:lvl w:ilvl="0">
      <w:lvlJc w:val="left"/>
      <w:lvlText w:val="%1"/>
      <w:numFmt w:val="decimal"/>
      <w:start w:val="1"/>
    </w:lvl>
    <w:lvl w:ilvl="1">
      <w:lvlJc w:val="left"/>
      <w:lvlText w:val="(%2)"/>
      <w:numFmt w:val="lowerLetter"/>
      <w:start w:val="3"/>
    </w:lvl>
  </w:abstractNum>
  <w:abstractNum w:abstractNumId="83">
    <w:nsid w:val="885E1B"/>
    <w:multiLevelType w:val="hybridMultilevel"/>
    <w:lvl w:ilvl="0">
      <w:lvlJc w:val="left"/>
      <w:lvlText w:val="%1."/>
      <w:numFmt w:val="decimal"/>
      <w:start w:val="2"/>
    </w:lvl>
    <w:lvl w:ilvl="1">
      <w:lvlJc w:val="left"/>
      <w:lvlText w:val="%2"/>
      <w:numFmt w:val="lowerLetter"/>
      <w:start w:val="1"/>
    </w:lvl>
  </w:abstractNum>
  <w:abstractNum w:abstractNumId="84">
    <w:nsid w:val="76272110"/>
    <w:multiLevelType w:val="hybridMultilevel"/>
    <w:lvl w:ilvl="0">
      <w:lvlJc w:val="left"/>
      <w:lvlText w:val="%1."/>
      <w:numFmt w:val="decimal"/>
      <w:start w:val="4"/>
    </w:lvl>
  </w:abstractNum>
  <w:abstractNum w:abstractNumId="85">
    <w:nsid w:val="4C04A8AF"/>
    <w:multiLevelType w:val="hybridMultilevel"/>
    <w:lvl w:ilvl="0">
      <w:lvlJc w:val="left"/>
      <w:lvlText w:val="%1."/>
      <w:numFmt w:val="decimal"/>
      <w:start w:val="1"/>
    </w:lvl>
    <w:lvl w:ilvl="1">
      <w:lvlJc w:val="left"/>
      <w:lvlText w:val="(%2)"/>
      <w:numFmt w:val="low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23" Type="http://schemas.openxmlformats.org/officeDocument/2006/relationships/image" Target="media/image106.png"/><Relationship Id="rId133" Type="http://schemas.openxmlformats.org/officeDocument/2006/relationships/image" Target="media/image107.png"/><Relationship Id="rId146" Type="http://schemas.openxmlformats.org/officeDocument/2006/relationships/image" Target="media/image108.png"/><Relationship Id="rId154" Type="http://schemas.openxmlformats.org/officeDocument/2006/relationships/image" Target="media/image109.png"/><Relationship Id="rId155" Type="http://schemas.openxmlformats.org/officeDocument/2006/relationships/image" Target="media/image110.png"/><Relationship Id="rId156" Type="http://schemas.openxmlformats.org/officeDocument/2006/relationships/image" Target="media/image111.png"/><Relationship Id="rId157" Type="http://schemas.openxmlformats.org/officeDocument/2006/relationships/image" Target="media/image112.png"/><Relationship Id="rId158" Type="http://schemas.openxmlformats.org/officeDocument/2006/relationships/image" Target="media/image113.png"/><Relationship Id="rId159" Type="http://schemas.openxmlformats.org/officeDocument/2006/relationships/image" Target="media/image114.png"/><Relationship Id="rId160" Type="http://schemas.openxmlformats.org/officeDocument/2006/relationships/image" Target="media/image115.png"/><Relationship Id="rId161" Type="http://schemas.openxmlformats.org/officeDocument/2006/relationships/image" Target="media/image116.png"/><Relationship Id="rId162" Type="http://schemas.openxmlformats.org/officeDocument/2006/relationships/image" Target="media/image117.png"/><Relationship Id="rId163" Type="http://schemas.openxmlformats.org/officeDocument/2006/relationships/image" Target="media/image118.png"/><Relationship Id="rId164" Type="http://schemas.openxmlformats.org/officeDocument/2006/relationships/image" Target="media/image119.png"/><Relationship Id="rId165" Type="http://schemas.openxmlformats.org/officeDocument/2006/relationships/image" Target="media/image120.png"/><Relationship Id="rId166" Type="http://schemas.openxmlformats.org/officeDocument/2006/relationships/image" Target="media/image121.png"/><Relationship Id="rId167" Type="http://schemas.openxmlformats.org/officeDocument/2006/relationships/image" Target="media/image122.png"/><Relationship Id="rId168" Type="http://schemas.openxmlformats.org/officeDocument/2006/relationships/image" Target="media/image123.png"/><Relationship Id="rId169" Type="http://schemas.openxmlformats.org/officeDocument/2006/relationships/image" Target="media/image124.png"/><Relationship Id="rId170" Type="http://schemas.openxmlformats.org/officeDocument/2006/relationships/image" Target="media/image125.png"/><Relationship Id="rId171" Type="http://schemas.openxmlformats.org/officeDocument/2006/relationships/image" Target="media/image126.png"/><Relationship Id="rId172" Type="http://schemas.openxmlformats.org/officeDocument/2006/relationships/image" Target="media/image127.png"/><Relationship Id="rId173" Type="http://schemas.openxmlformats.org/officeDocument/2006/relationships/image" Target="media/image128.png"/><Relationship Id="rId174" Type="http://schemas.openxmlformats.org/officeDocument/2006/relationships/image" Target="media/image129.png"/><Relationship Id="rId175" Type="http://schemas.openxmlformats.org/officeDocument/2006/relationships/image" Target="media/image130.png"/><Relationship Id="rId176" Type="http://schemas.openxmlformats.org/officeDocument/2006/relationships/image" Target="media/image131.png"/><Relationship Id="rId177" Type="http://schemas.openxmlformats.org/officeDocument/2006/relationships/image" Target="media/image132.png"/><Relationship Id="rId178" Type="http://schemas.openxmlformats.org/officeDocument/2006/relationships/image" Target="media/image133.png"/><Relationship Id="rId179" Type="http://schemas.openxmlformats.org/officeDocument/2006/relationships/image" Target="media/image134.png"/><Relationship Id="rId180" Type="http://schemas.openxmlformats.org/officeDocument/2006/relationships/image" Target="media/image135.png"/><Relationship Id="rId181" Type="http://schemas.openxmlformats.org/officeDocument/2006/relationships/image" Target="media/image136.png"/><Relationship Id="rId182" Type="http://schemas.openxmlformats.org/officeDocument/2006/relationships/image" Target="media/image137.png"/><Relationship Id="rId183" Type="http://schemas.openxmlformats.org/officeDocument/2006/relationships/image" Target="media/image138.png"/><Relationship Id="rId184" Type="http://schemas.openxmlformats.org/officeDocument/2006/relationships/image" Target="media/image139.png"/><Relationship Id="rId185" Type="http://schemas.openxmlformats.org/officeDocument/2006/relationships/image" Target="media/image140.png"/><Relationship Id="rId186" Type="http://schemas.openxmlformats.org/officeDocument/2006/relationships/image" Target="media/image141.png"/><Relationship Id="rId187" Type="http://schemas.openxmlformats.org/officeDocument/2006/relationships/image" Target="media/image142.png"/><Relationship Id="rId188" Type="http://schemas.openxmlformats.org/officeDocument/2006/relationships/image" Target="media/image143.png"/><Relationship Id="rId189" Type="http://schemas.openxmlformats.org/officeDocument/2006/relationships/image" Target="media/image144.png"/><Relationship Id="rId190" Type="http://schemas.openxmlformats.org/officeDocument/2006/relationships/image" Target="media/image145.png"/><Relationship Id="rId191" Type="http://schemas.openxmlformats.org/officeDocument/2006/relationships/image" Target="media/image146.png"/><Relationship Id="rId192" Type="http://schemas.openxmlformats.org/officeDocument/2006/relationships/image" Target="media/image147.png"/><Relationship Id="rId193" Type="http://schemas.openxmlformats.org/officeDocument/2006/relationships/image" Target="media/image148.png"/><Relationship Id="rId194" Type="http://schemas.openxmlformats.org/officeDocument/2006/relationships/image" Target="media/image149.png"/><Relationship Id="rId195" Type="http://schemas.openxmlformats.org/officeDocument/2006/relationships/image" Target="media/image150.png"/><Relationship Id="rId196" Type="http://schemas.openxmlformats.org/officeDocument/2006/relationships/image" Target="media/image151.png"/><Relationship Id="rId197" Type="http://schemas.openxmlformats.org/officeDocument/2006/relationships/image" Target="media/image152.png"/><Relationship Id="rId198" Type="http://schemas.openxmlformats.org/officeDocument/2006/relationships/image" Target="media/image153.png"/><Relationship Id="rId199" Type="http://schemas.openxmlformats.org/officeDocument/2006/relationships/image" Target="media/image154.png"/><Relationship Id="rId200" Type="http://schemas.openxmlformats.org/officeDocument/2006/relationships/image" Target="media/image155.png"/><Relationship Id="rId201" Type="http://schemas.openxmlformats.org/officeDocument/2006/relationships/image" Target="media/image156.png"/><Relationship Id="rId202" Type="http://schemas.openxmlformats.org/officeDocument/2006/relationships/image" Target="media/image157.png"/><Relationship Id="rId203" Type="http://schemas.openxmlformats.org/officeDocument/2006/relationships/image" Target="media/image158.png"/><Relationship Id="rId204" Type="http://schemas.openxmlformats.org/officeDocument/2006/relationships/image" Target="media/image159.png"/><Relationship Id="rId205" Type="http://schemas.openxmlformats.org/officeDocument/2006/relationships/image" Target="media/image160.png"/><Relationship Id="rId206" Type="http://schemas.openxmlformats.org/officeDocument/2006/relationships/image" Target="media/image161.png"/><Relationship Id="rId207" Type="http://schemas.openxmlformats.org/officeDocument/2006/relationships/image" Target="media/image162.png"/><Relationship Id="rId208" Type="http://schemas.openxmlformats.org/officeDocument/2006/relationships/image" Target="media/image163.png"/><Relationship Id="rId209" Type="http://schemas.openxmlformats.org/officeDocument/2006/relationships/image" Target="media/image164.png"/><Relationship Id="rId210" Type="http://schemas.openxmlformats.org/officeDocument/2006/relationships/image" Target="media/image165.png"/><Relationship Id="rId211" Type="http://schemas.openxmlformats.org/officeDocument/2006/relationships/image" Target="media/image166.png"/><Relationship Id="rId212" Type="http://schemas.openxmlformats.org/officeDocument/2006/relationships/image" Target="media/image167.png"/><Relationship Id="rId213" Type="http://schemas.openxmlformats.org/officeDocument/2006/relationships/image" Target="media/image168.png"/><Relationship Id="rId214" Type="http://schemas.openxmlformats.org/officeDocument/2006/relationships/image" Target="media/image169.png"/><Relationship Id="rId215" Type="http://schemas.openxmlformats.org/officeDocument/2006/relationships/image" Target="media/image170.png"/><Relationship Id="rId216" Type="http://schemas.openxmlformats.org/officeDocument/2006/relationships/image" Target="media/image171.png"/><Relationship Id="rId217" Type="http://schemas.openxmlformats.org/officeDocument/2006/relationships/image" Target="media/image172.png"/><Relationship Id="rId113" Type="http://schemas.openxmlformats.org/officeDocument/2006/relationships/hyperlink" Target="https://www.sec.gov/Archives/edgar/data/1806347/000110465922085470/tm2212886-14_s4a.htm#tANNEA" TargetMode="External"/><Relationship Id="rId114" Type="http://schemas.openxmlformats.org/officeDocument/2006/relationships/hyperlink" Target="https://www.sec.gov/Archives/edgar/data/1806347/000155837022014048/west-20220630xex3d1.htm" TargetMode="External"/><Relationship Id="rId115" Type="http://schemas.openxmlformats.org/officeDocument/2006/relationships/hyperlink" Target="https://www.sec.gov/Archives/edgar/data/1806347/000155837022014048/west-20220630xex3d2.htm" TargetMode="External"/><Relationship Id="rId116" Type="http://schemas.openxmlformats.org/officeDocument/2006/relationships/hyperlink" Target="https://www.sec.gov/Archives/edgar/data/1806347/000110465922069935/tm2212886d6_ex4-5.htm" TargetMode="External"/><Relationship Id="rId117" Type="http://schemas.openxmlformats.org/officeDocument/2006/relationships/hyperlink" Target="https://www.sec.gov/Archives/edgar/data/1806347/000110465922080226/tm2212886d9_ex4-6.htm" TargetMode="External"/><Relationship Id="rId118" Type="http://schemas.openxmlformats.org/officeDocument/2006/relationships/hyperlink" Target="https://www.sec.gov/Archives/edgar/data/1806347/000110465923077081/tm2320195d1_ex4-2.htm" TargetMode="External"/><Relationship Id="rId119" Type="http://schemas.openxmlformats.org/officeDocument/2006/relationships/hyperlink" Target="https://www.sec.gov/Archives/edgar/data/1806347/000110465924115327/tm2427652d1_ex4-1.htm" TargetMode="External"/><Relationship Id="rId120" Type="http://schemas.openxmlformats.org/officeDocument/2006/relationships/hyperlink" Target="https://www.sec.gov/Archives/edgar/data/1806347/000110465924024575/tm246306d1_ex4-1.htm" TargetMode="External"/><Relationship Id="rId121" Type="http://schemas.openxmlformats.org/officeDocument/2006/relationships/hyperlink" Target="https://www.sec.gov/Archives/edgar/data/1806347/000110465925107736/west-20251104xex4d1.htm" TargetMode="External"/><Relationship Id="rId122" Type="http://schemas.openxmlformats.org/officeDocument/2006/relationships/hyperlink" Target="https://www.sec.gov/Archives/edgar/data/1806347/000155837025002804/west-20241231xex4d6.htm" TargetMode="External"/><Relationship Id="rId124" Type="http://schemas.openxmlformats.org/officeDocument/2006/relationships/hyperlink" Target="https://www.sec.gov/Archives/edgar/data/1806347/000110465922085470/tm2212886-14_s4a.htm#tANNE2C" TargetMode="External"/><Relationship Id="rId125" Type="http://schemas.openxmlformats.org/officeDocument/2006/relationships/hyperlink" Target="https://www.sec.gov/Archives/edgar/data/1806347/000110465922085470/tm2212886-14_s4a.htm#tANNED" TargetMode="External"/><Relationship Id="rId126" Type="http://schemas.openxmlformats.org/officeDocument/2006/relationships/hyperlink" Target="https://www.sec.gov/Archives/edgar/data/1806347/000110465922080226/tm2212886d9_ex10-6.htm" TargetMode="External"/><Relationship Id="rId127" Type="http://schemas.openxmlformats.org/officeDocument/2006/relationships/hyperlink" Target="https://www.sec.gov/Archives/edgar/data/1806347/000155837022014048/west-20220630xex10d3.htm" TargetMode="External"/><Relationship Id="rId128" Type="http://schemas.openxmlformats.org/officeDocument/2006/relationships/hyperlink" Target="https://www.sec.gov/Archives/edgar/data/1806347/000110465923021756/tm236580d1_ex10-1.htm" TargetMode="External"/><Relationship Id="rId129" Type="http://schemas.openxmlformats.org/officeDocument/2006/relationships/hyperlink" Target="https://www.sec.gov/Archives/edgar/data/1806347/000110465923077081/tm2320195d1_ex10-2.htm" TargetMode="External"/><Relationship Id="rId130" Type="http://schemas.openxmlformats.org/officeDocument/2006/relationships/hyperlink" Target="https://www.sec.gov/Archives/edgar/data/1806347/000110465924024575/tm246306d1_ex10-1.htm" TargetMode="External"/><Relationship Id="rId131" Type="http://schemas.openxmlformats.org/officeDocument/2006/relationships/hyperlink" Target="https://www.sec.gov/Archives/edgar/data/1806347/000110465925003769/tm253163d1_ex10-1.htm" TargetMode="External"/><Relationship Id="rId132" Type="http://schemas.openxmlformats.org/officeDocument/2006/relationships/hyperlink" Target="https://www.sec.gov/Archives/edgar/data/1806347/000110465925107736/west-20251104xex10d1.htm" TargetMode="External"/><Relationship Id="rId134" Type="http://schemas.openxmlformats.org/officeDocument/2006/relationships/hyperlink" Target="https://www.sec.gov/Archives/edgar/data/1806347/000155837022014048/west-20220630xex10d4.htm" TargetMode="External"/><Relationship Id="rId135" Type="http://schemas.openxmlformats.org/officeDocument/2006/relationships/hyperlink" Target="https://www.sec.gov/Archives/edgar/data/1806347/000155837022014048/west-20220630xex10d5.htm" TargetMode="External"/><Relationship Id="rId136" Type="http://schemas.openxmlformats.org/officeDocument/2006/relationships/hyperlink" Target="https://www.sec.gov/Archives/edgar/data/1806347/000155837022014048/west-20220630xex10d6.htm" TargetMode="External"/><Relationship Id="rId137" Type="http://schemas.openxmlformats.org/officeDocument/2006/relationships/hyperlink" Target="https://www.sec.gov/Archives/edgar/data/1806347/000155837023004279/west-20221231xex10d9.htm" TargetMode="External"/><Relationship Id="rId138" Type="http://schemas.openxmlformats.org/officeDocument/2006/relationships/hyperlink" Target="https://www.sec.gov/Archives/edgar/data/1806347/000155837023004279/west-20221231xex10d10.htm" TargetMode="External"/><Relationship Id="rId139" Type="http://schemas.openxmlformats.org/officeDocument/2006/relationships/hyperlink" Target="https://www.sec.gov/Archives/edgar/data/1806347/000155837022014048/west-20220630xex10d7.htm" TargetMode="External"/><Relationship Id="rId140" Type="http://schemas.openxmlformats.org/officeDocument/2006/relationships/hyperlink" Target="https://www.sec.gov/Archives/edgar/data/1806347/000155837022017832/west-20220930xex10d8.htm" TargetMode="External"/><Relationship Id="rId141" Type="http://schemas.openxmlformats.org/officeDocument/2006/relationships/hyperlink" Target="https://www.sec.gov/Archives/edgar/data/1806347/000155837024007645/west-20240331xex10d3.htm" TargetMode="External"/><Relationship Id="rId142" Type="http://schemas.openxmlformats.org/officeDocument/2006/relationships/hyperlink" Target="https://www.sec.gov/Archives/edgar/data/1806347/000155837025007010/west-20250331xex10d2.htm" TargetMode="External"/><Relationship Id="rId143" Type="http://schemas.openxmlformats.org/officeDocument/2006/relationships/hyperlink" Target="https://www.sec.gov/Archives/edgar/data/1806347/000155837025007010/west-20250331xex10d3.htm" TargetMode="External"/><Relationship Id="rId144" Type="http://schemas.openxmlformats.org/officeDocument/2006/relationships/hyperlink" Target="https://www.sec.gov/Archives/edgar/data/1806347/000155837022014048/west-20220630xex10d8.htm" TargetMode="External"/><Relationship Id="rId145" Type="http://schemas.openxmlformats.org/officeDocument/2006/relationships/hyperlink" Target="https://www.sec.gov/Archives/edgar/data/1806347/000155837022014048/west-20220630xex10d9.htm" TargetMode="External"/><Relationship Id="rId147" Type="http://schemas.openxmlformats.org/officeDocument/2006/relationships/hyperlink" Target="https://www.sec.gov/Archives/edgar/data/1806347/000110465922069935/tm2212886d6_ex10-19.htm" TargetMode="External"/><Relationship Id="rId148" Type="http://schemas.openxmlformats.org/officeDocument/2006/relationships/hyperlink" Target="https://www.sec.gov/Archives/edgar/data/1806347/000110465922069935/tm2212886d6_ex10-20.htm" TargetMode="External"/><Relationship Id="rId149" Type="http://schemas.openxmlformats.org/officeDocument/2006/relationships/hyperlink" Target="https://www.sec.gov/Archives/edgar/data/1806347/000155837025002804/west-20241231xex10d21.htm" TargetMode="External"/><Relationship Id="rId150" Type="http://schemas.openxmlformats.org/officeDocument/2006/relationships/hyperlink" Target="https://www.sec.gov/Archives/edgar/data/1806347/000110465924093733/tm2421376d2_ex10-20.htm" TargetMode="External"/><Relationship Id="rId151" Type="http://schemas.openxmlformats.org/officeDocument/2006/relationships/hyperlink" Target="https://www.sec.gov/Archives/edgar/data/1806347/000110465924093733/tm2421376d2_ex10-21.htm" TargetMode="External"/><Relationship Id="rId152" Type="http://schemas.openxmlformats.org/officeDocument/2006/relationships/hyperlink" Target="https://www.sec.gov/Archives/edgar/data/1806347/000155837025002804/west-20241231xex19.htm" TargetMode="External"/><Relationship Id="rId153" Type="http://schemas.openxmlformats.org/officeDocument/2006/relationships/hyperlink" Target="https://www.sec.gov/Archives/edgar/data/1806347/000155837024003417/west-20231231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2026-03-10T16:42:17Z</dcterms:created>
  <dcterms:modified xsi:type="dcterms:W3CDTF">2026-03-10T16:42:17Z</dcterms:modified>
</cp:coreProperties>
</file>